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00" w:firstRow="0" w:lastRow="0" w:firstColumn="0" w:lastColumn="0" w:noHBand="0" w:noVBand="0"/>
      </w:tblPr>
      <w:tblGrid>
        <w:gridCol w:w="7818"/>
      </w:tblGrid>
      <w:tr w:rsidR="00152658" w:rsidRPr="0033283C" w14:paraId="5D38F24F" w14:textId="77777777" w:rsidTr="002F40E5">
        <w:tc>
          <w:tcPr>
            <w:tcW w:w="0" w:type="auto"/>
          </w:tcPr>
          <w:p w14:paraId="75D73C80" w14:textId="77777777" w:rsidR="00152658" w:rsidRPr="0033283C" w:rsidRDefault="00152658" w:rsidP="002F40E5">
            <w:pPr>
              <w:pStyle w:val="MainHeading"/>
              <w:outlineLvl w:val="0"/>
            </w:pPr>
            <w:bookmarkStart w:id="0" w:name="XMETag_819cd66b76a84ababc18688a8a68b04c" w:colFirst="0" w:colLast="0"/>
            <w:bookmarkStart w:id="1" w:name="_Hlk106200284"/>
            <w:bookmarkStart w:id="2" w:name="_Hlk71399451"/>
            <w:bookmarkStart w:id="3" w:name="_Hlk72849979"/>
            <w:proofErr w:type="gramStart"/>
            <w:r w:rsidRPr="0033283C">
              <w:t>south West</w:t>
            </w:r>
            <w:proofErr w:type="gramEnd"/>
            <w:r w:rsidRPr="0033283C">
              <w:t xml:space="preserve"> Water limited</w:t>
            </w:r>
          </w:p>
        </w:tc>
      </w:tr>
      <w:tr w:rsidR="00152658" w:rsidRPr="0033283C" w14:paraId="3B661472" w14:textId="77777777" w:rsidTr="002F40E5">
        <w:trPr>
          <w:trHeight w:val="1104"/>
        </w:trPr>
        <w:tc>
          <w:tcPr>
            <w:tcW w:w="0" w:type="auto"/>
          </w:tcPr>
          <w:p w14:paraId="6CB4AB9F" w14:textId="77777777" w:rsidR="00152658" w:rsidRPr="0033283C" w:rsidRDefault="00152658" w:rsidP="002F40E5">
            <w:pPr>
              <w:pStyle w:val="MainHeading"/>
              <w:outlineLvl w:val="0"/>
            </w:pPr>
            <w:bookmarkStart w:id="4" w:name="XMETag_e049b3e221ad44e491b48f8451bdb04a" w:colFirst="0" w:colLast="0"/>
            <w:bookmarkEnd w:id="0"/>
            <w:r w:rsidRPr="0033283C">
              <w:t>ANNUAL REPORT AND</w:t>
            </w:r>
          </w:p>
          <w:p w14:paraId="6A28D451" w14:textId="77777777" w:rsidR="00152658" w:rsidRPr="0033283C" w:rsidRDefault="00152658" w:rsidP="002F40E5">
            <w:pPr>
              <w:pStyle w:val="MainHeading"/>
              <w:outlineLvl w:val="0"/>
            </w:pPr>
            <w:r w:rsidRPr="0033283C">
              <w:t xml:space="preserve">FINANCIAL STATEMENTS </w:t>
            </w:r>
          </w:p>
        </w:tc>
      </w:tr>
      <w:bookmarkEnd w:id="4"/>
      <w:tr w:rsidR="00152658" w:rsidRPr="0033283C" w14:paraId="5400A346" w14:textId="77777777" w:rsidTr="002F40E5">
        <w:tc>
          <w:tcPr>
            <w:tcW w:w="0" w:type="auto"/>
          </w:tcPr>
          <w:p w14:paraId="562B3E44" w14:textId="77777777" w:rsidR="00152658" w:rsidRPr="0033283C" w:rsidRDefault="00152658" w:rsidP="002F40E5">
            <w:pPr>
              <w:pStyle w:val="MainHeading"/>
            </w:pPr>
            <w:r w:rsidRPr="0033283C">
              <w:t xml:space="preserve">For the year ended </w:t>
            </w:r>
            <w:bookmarkStart w:id="5" w:name="XMETag_ef6aa5eb71e846cbb51df166dc516060"/>
            <w:r w:rsidRPr="0033283C">
              <w:t>31 March 202</w:t>
            </w:r>
            <w:bookmarkEnd w:id="5"/>
            <w:r w:rsidRPr="0033283C">
              <w:t>6</w:t>
            </w:r>
          </w:p>
        </w:tc>
      </w:tr>
    </w:tbl>
    <w:p w14:paraId="378495D6" w14:textId="77777777" w:rsidR="00152658" w:rsidRPr="0033283C" w:rsidRDefault="00152658" w:rsidP="00152658">
      <w:pPr>
        <w:pStyle w:val="MainHeading"/>
      </w:pPr>
    </w:p>
    <w:p w14:paraId="747511AC" w14:textId="77777777" w:rsidR="00152658" w:rsidRPr="0033283C" w:rsidRDefault="00152658" w:rsidP="00152658">
      <w:pPr>
        <w:pStyle w:val="MainHeading"/>
        <w:rPr>
          <w:rFonts w:ascii="s172" w:hAnsi="s172"/>
        </w:rPr>
      </w:pPr>
    </w:p>
    <w:p w14:paraId="4A33F902" w14:textId="77777777" w:rsidR="00152658" w:rsidRPr="0033283C" w:rsidRDefault="00152658" w:rsidP="00152658">
      <w:pPr>
        <w:pStyle w:val="MainHeading"/>
        <w:rPr>
          <w:sz w:val="38"/>
        </w:rPr>
      </w:pPr>
    </w:p>
    <w:p w14:paraId="46E48F94" w14:textId="77777777" w:rsidR="00152658" w:rsidRPr="0033283C" w:rsidRDefault="00152658" w:rsidP="00152658">
      <w:pPr>
        <w:pStyle w:val="MainHeading"/>
      </w:pPr>
    </w:p>
    <w:p w14:paraId="4964F00A" w14:textId="77777777" w:rsidR="00152658" w:rsidRPr="0033283C" w:rsidRDefault="00152658" w:rsidP="00152658">
      <w:pPr>
        <w:pStyle w:val="MainHeading"/>
      </w:pPr>
    </w:p>
    <w:p w14:paraId="40599037" w14:textId="77777777" w:rsidR="00152658" w:rsidRPr="0033283C" w:rsidRDefault="00152658" w:rsidP="00152658">
      <w:pPr>
        <w:pStyle w:val="MainHeading"/>
      </w:pPr>
    </w:p>
    <w:p w14:paraId="46FE6CFD" w14:textId="77777777" w:rsidR="00152658" w:rsidRPr="0033283C" w:rsidRDefault="00152658" w:rsidP="00152658">
      <w:pPr>
        <w:pStyle w:val="MainHeading"/>
      </w:pPr>
    </w:p>
    <w:p w14:paraId="29A80C0A" w14:textId="77777777" w:rsidR="00152658" w:rsidRPr="0033283C" w:rsidRDefault="00152658" w:rsidP="00152658">
      <w:pPr>
        <w:pStyle w:val="MainHeading"/>
        <w:rPr>
          <w:caps w:val="0"/>
        </w:rPr>
      </w:pPr>
    </w:p>
    <w:p w14:paraId="2EE2A537" w14:textId="77777777" w:rsidR="00152658" w:rsidRPr="0033283C" w:rsidRDefault="00152658" w:rsidP="00152658">
      <w:pPr>
        <w:pStyle w:val="MainHeading"/>
        <w:jc w:val="center"/>
        <w:rPr>
          <w:caps w:val="0"/>
        </w:rPr>
      </w:pPr>
    </w:p>
    <w:p w14:paraId="47E8F0B1" w14:textId="77777777" w:rsidR="00152658" w:rsidRPr="0033283C" w:rsidRDefault="00152658" w:rsidP="00152658">
      <w:pPr>
        <w:pStyle w:val="MainHeading"/>
        <w:rPr>
          <w:caps w:val="0"/>
        </w:rPr>
      </w:pPr>
    </w:p>
    <w:p w14:paraId="4E669B9A" w14:textId="77777777" w:rsidR="00152658" w:rsidRPr="0033283C" w:rsidRDefault="00152658" w:rsidP="00152658">
      <w:pPr>
        <w:pStyle w:val="MainHeading"/>
        <w:rPr>
          <w:caps w:val="0"/>
        </w:rPr>
      </w:pPr>
    </w:p>
    <w:p w14:paraId="516C52F6" w14:textId="77777777" w:rsidR="00152658" w:rsidRPr="0033283C" w:rsidRDefault="00152658" w:rsidP="00152658">
      <w:pPr>
        <w:pStyle w:val="MainHeading"/>
        <w:rPr>
          <w:caps w:val="0"/>
        </w:rPr>
      </w:pPr>
    </w:p>
    <w:p w14:paraId="43B79669" w14:textId="77777777" w:rsidR="00152658" w:rsidRPr="0033283C" w:rsidRDefault="00152658" w:rsidP="00152658">
      <w:pPr>
        <w:pStyle w:val="MainHeading"/>
        <w:rPr>
          <w:caps w:val="0"/>
        </w:rPr>
      </w:pPr>
    </w:p>
    <w:p w14:paraId="75121B53" w14:textId="77777777" w:rsidR="00152658" w:rsidRPr="0033283C" w:rsidRDefault="00152658" w:rsidP="00152658">
      <w:pPr>
        <w:pStyle w:val="MainHeading"/>
        <w:rPr>
          <w:caps w:val="0"/>
        </w:rPr>
      </w:pPr>
    </w:p>
    <w:p w14:paraId="52AF2F8B" w14:textId="77777777" w:rsidR="00152658" w:rsidRPr="0033283C" w:rsidRDefault="00152658" w:rsidP="00152658">
      <w:pPr>
        <w:pStyle w:val="MainHeading"/>
        <w:rPr>
          <w:caps w:val="0"/>
        </w:rPr>
      </w:pPr>
    </w:p>
    <w:p w14:paraId="25BFD305" w14:textId="77777777" w:rsidR="00152658" w:rsidRPr="0033283C" w:rsidRDefault="00152658" w:rsidP="00152658">
      <w:pPr>
        <w:pStyle w:val="MainHeading"/>
        <w:rPr>
          <w:caps w:val="0"/>
        </w:rPr>
      </w:pPr>
    </w:p>
    <w:p w14:paraId="4B0F3365" w14:textId="77777777" w:rsidR="00152658" w:rsidRPr="0033283C" w:rsidRDefault="00152658" w:rsidP="00152658">
      <w:pPr>
        <w:pStyle w:val="MainHeading"/>
        <w:rPr>
          <w:caps w:val="0"/>
        </w:rPr>
      </w:pPr>
    </w:p>
    <w:p w14:paraId="21337599" w14:textId="77777777" w:rsidR="00152658" w:rsidRDefault="00152658" w:rsidP="00152658">
      <w:pPr>
        <w:pStyle w:val="MainHeading"/>
        <w:rPr>
          <w:caps w:val="0"/>
        </w:rPr>
      </w:pPr>
    </w:p>
    <w:p w14:paraId="4E332222" w14:textId="77777777" w:rsidR="00152658" w:rsidRPr="0033283C" w:rsidRDefault="00152658" w:rsidP="00152658">
      <w:pPr>
        <w:pStyle w:val="MainHeading"/>
        <w:rPr>
          <w:caps w:val="0"/>
        </w:rPr>
      </w:pPr>
    </w:p>
    <w:p w14:paraId="1E96C78B" w14:textId="3FA82677" w:rsidR="00152658" w:rsidRDefault="00152658" w:rsidP="00152658">
      <w:pPr>
        <w:outlineLvl w:val="0"/>
        <w:rPr>
          <w:sz w:val="28"/>
          <w:szCs w:val="28"/>
        </w:rPr>
      </w:pPr>
      <w:r w:rsidRPr="0033283C">
        <w:rPr>
          <w:sz w:val="28"/>
          <w:szCs w:val="28"/>
        </w:rPr>
        <w:t>southwestwater.co.uk</w:t>
      </w:r>
      <w:r w:rsidR="00873918">
        <w:rPr>
          <w:sz w:val="28"/>
          <w:szCs w:val="28"/>
        </w:rPr>
        <w:t xml:space="preserve">       </w:t>
      </w:r>
      <w:r w:rsidRPr="0033283C">
        <w:rPr>
          <w:sz w:val="28"/>
          <w:szCs w:val="28"/>
        </w:rPr>
        <w:t>bournemouthwater.co.uk</w:t>
      </w:r>
      <w:r w:rsidR="00873918">
        <w:rPr>
          <w:sz w:val="28"/>
          <w:szCs w:val="28"/>
        </w:rPr>
        <w:t xml:space="preserve">       </w:t>
      </w:r>
      <w:r w:rsidRPr="0033283C">
        <w:rPr>
          <w:sz w:val="28"/>
          <w:szCs w:val="28"/>
        </w:rPr>
        <w:t xml:space="preserve">bristolwater.co.uk </w:t>
      </w:r>
    </w:p>
    <w:p w14:paraId="331CC16C" w14:textId="77777777" w:rsidR="00F53E45" w:rsidRPr="003B6FB7" w:rsidRDefault="00F53E45" w:rsidP="00F53E45">
      <w:pPr>
        <w:spacing w:line="360" w:lineRule="auto"/>
        <w:rPr>
          <w:rFonts w:ascii="Arial" w:hAnsi="Arial" w:cs="Arial"/>
          <w:b/>
          <w:sz w:val="18"/>
          <w:szCs w:val="18"/>
        </w:rPr>
      </w:pPr>
      <w:r w:rsidRPr="003B6FB7">
        <w:rPr>
          <w:rFonts w:ascii="Arial" w:eastAsia="Times New Roman" w:hAnsi="Arial" w:cs="Arial"/>
          <w:b/>
          <w:bCs/>
          <w:caps/>
          <w:color w:val="000000"/>
          <w:sz w:val="18"/>
          <w:szCs w:val="18"/>
        </w:rPr>
        <w:t>Company’s registered number</w:t>
      </w:r>
      <w:r w:rsidRPr="003B6FB7">
        <w:rPr>
          <w:rFonts w:ascii="Arial" w:hAnsi="Arial" w:cs="Arial"/>
          <w:b/>
          <w:sz w:val="18"/>
          <w:szCs w:val="18"/>
        </w:rPr>
        <w:t xml:space="preserve"> </w:t>
      </w:r>
      <w:r w:rsidRPr="003B6FB7">
        <w:rPr>
          <w:rFonts w:ascii="Arial" w:hAnsi="Arial" w:cs="Arial"/>
          <w:b/>
          <w:sz w:val="18"/>
          <w:szCs w:val="18"/>
        </w:rPr>
        <w:tab/>
      </w:r>
      <w:r w:rsidRPr="003B6FB7">
        <w:rPr>
          <w:rFonts w:ascii="Arial" w:hAnsi="Arial" w:cs="Arial"/>
          <w:sz w:val="18"/>
          <w:szCs w:val="18"/>
        </w:rPr>
        <w:t>02366665</w:t>
      </w:r>
    </w:p>
    <w:p w14:paraId="1971EE19" w14:textId="77777777" w:rsidR="00152658" w:rsidRPr="00D0703F" w:rsidRDefault="00152658" w:rsidP="00152658">
      <w:pPr>
        <w:outlineLvl w:val="0"/>
      </w:pPr>
      <w:r w:rsidRPr="00D0703F">
        <w:rPr>
          <w:rFonts w:ascii="Arial" w:eastAsia="Times New Roman" w:hAnsi="Arial" w:cs="DINOT"/>
          <w:caps/>
          <w:color w:val="000000"/>
          <w:sz w:val="32"/>
          <w:szCs w:val="32"/>
        </w:rPr>
        <w:lastRenderedPageBreak/>
        <w:t>contents</w:t>
      </w:r>
    </w:p>
    <w:tbl>
      <w:tblPr>
        <w:tblStyle w:val="TableGrid"/>
        <w:tblW w:w="97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612"/>
        <w:gridCol w:w="6504"/>
        <w:gridCol w:w="534"/>
        <w:gridCol w:w="430"/>
        <w:gridCol w:w="402"/>
        <w:gridCol w:w="426"/>
        <w:gridCol w:w="108"/>
        <w:gridCol w:w="612"/>
      </w:tblGrid>
      <w:tr w:rsidR="00152658" w:rsidRPr="00D0703F" w14:paraId="7B5D4BDD" w14:textId="77777777" w:rsidTr="002F40E5">
        <w:trPr>
          <w:gridBefore w:val="1"/>
          <w:gridAfter w:val="1"/>
          <w:wBefore w:w="108" w:type="dxa"/>
          <w:wAfter w:w="612" w:type="dxa"/>
          <w:trHeight w:val="354"/>
        </w:trPr>
        <w:tc>
          <w:tcPr>
            <w:tcW w:w="7650" w:type="dxa"/>
            <w:gridSpan w:val="3"/>
          </w:tcPr>
          <w:p w14:paraId="42C7FD50" w14:textId="77777777" w:rsidR="00152658" w:rsidRPr="00FC7393" w:rsidRDefault="00152658" w:rsidP="002F40E5">
            <w:pPr>
              <w:pStyle w:val="HeadingLevel2"/>
              <w:tabs>
                <w:tab w:val="right" w:pos="4544"/>
              </w:tabs>
              <w:spacing w:line="240" w:lineRule="auto"/>
            </w:pPr>
            <w:r w:rsidRPr="00FC7393">
              <w:rPr>
                <w:b/>
              </w:rPr>
              <w:t>strategic report</w:t>
            </w:r>
          </w:p>
        </w:tc>
        <w:tc>
          <w:tcPr>
            <w:tcW w:w="1366" w:type="dxa"/>
            <w:gridSpan w:val="4"/>
          </w:tcPr>
          <w:p w14:paraId="0D4DC3CD" w14:textId="77777777" w:rsidR="00152658" w:rsidRPr="00867518" w:rsidRDefault="00152658" w:rsidP="002F40E5">
            <w:pPr>
              <w:pStyle w:val="03body"/>
              <w:tabs>
                <w:tab w:val="right" w:pos="4544"/>
              </w:tabs>
              <w:spacing w:line="240" w:lineRule="auto"/>
              <w:rPr>
                <w:highlight w:val="yellow"/>
              </w:rPr>
            </w:pPr>
          </w:p>
        </w:tc>
      </w:tr>
      <w:tr w:rsidR="00152658" w:rsidRPr="00735726" w14:paraId="3B7AFA9D" w14:textId="77777777" w:rsidTr="002F40E5">
        <w:trPr>
          <w:gridBefore w:val="1"/>
          <w:gridAfter w:val="1"/>
          <w:wBefore w:w="108" w:type="dxa"/>
          <w:wAfter w:w="612" w:type="dxa"/>
          <w:trHeight w:val="227"/>
        </w:trPr>
        <w:tc>
          <w:tcPr>
            <w:tcW w:w="7650" w:type="dxa"/>
            <w:gridSpan w:val="3"/>
          </w:tcPr>
          <w:p w14:paraId="014DD2A7" w14:textId="4DF14CCA"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Executive Chair’s letter</w:t>
            </w:r>
          </w:p>
        </w:tc>
        <w:tc>
          <w:tcPr>
            <w:tcW w:w="1366" w:type="dxa"/>
            <w:gridSpan w:val="4"/>
          </w:tcPr>
          <w:p w14:paraId="2197112F" w14:textId="2CFCAF7D" w:rsidR="00152658" w:rsidRPr="009A2CAE" w:rsidRDefault="003D1633" w:rsidP="002F40E5">
            <w:pPr>
              <w:pStyle w:val="03body"/>
              <w:tabs>
                <w:tab w:val="right" w:pos="4544"/>
              </w:tabs>
              <w:spacing w:line="240" w:lineRule="auto"/>
              <w:jc w:val="center"/>
            </w:pPr>
            <w:r w:rsidRPr="009A2CAE">
              <w:t>4</w:t>
            </w:r>
          </w:p>
        </w:tc>
      </w:tr>
      <w:tr w:rsidR="00152658" w:rsidRPr="00735726" w14:paraId="7EF5E469" w14:textId="77777777" w:rsidTr="002F40E5">
        <w:trPr>
          <w:gridBefore w:val="1"/>
          <w:gridAfter w:val="1"/>
          <w:wBefore w:w="108" w:type="dxa"/>
          <w:wAfter w:w="612" w:type="dxa"/>
          <w:trHeight w:val="227"/>
        </w:trPr>
        <w:tc>
          <w:tcPr>
            <w:tcW w:w="7650" w:type="dxa"/>
            <w:gridSpan w:val="3"/>
          </w:tcPr>
          <w:p w14:paraId="77ED2366" w14:textId="263DBAB2"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Chief Executive</w:t>
            </w:r>
            <w:r w:rsidR="00484DA3" w:rsidRPr="00735726">
              <w:rPr>
                <w:rFonts w:ascii="Arial" w:hAnsi="Arial" w:cs="Arial"/>
                <w:sz w:val="18"/>
                <w:szCs w:val="18"/>
              </w:rPr>
              <w:t xml:space="preserve"> Officer</w:t>
            </w:r>
            <w:r w:rsidRPr="00735726">
              <w:rPr>
                <w:rFonts w:ascii="Arial" w:hAnsi="Arial" w:cs="Arial"/>
                <w:sz w:val="18"/>
                <w:szCs w:val="18"/>
              </w:rPr>
              <w:t>’s introduction</w:t>
            </w:r>
          </w:p>
        </w:tc>
        <w:tc>
          <w:tcPr>
            <w:tcW w:w="1366" w:type="dxa"/>
            <w:gridSpan w:val="4"/>
          </w:tcPr>
          <w:p w14:paraId="5F73F7CA" w14:textId="15EFB4CE" w:rsidR="00152658" w:rsidRPr="009A2CAE" w:rsidRDefault="003D1633" w:rsidP="002F40E5">
            <w:pPr>
              <w:pStyle w:val="03body"/>
              <w:tabs>
                <w:tab w:val="right" w:pos="4544"/>
              </w:tabs>
              <w:spacing w:line="240" w:lineRule="auto"/>
              <w:jc w:val="center"/>
            </w:pPr>
            <w:r w:rsidRPr="009A2CAE">
              <w:t>8</w:t>
            </w:r>
          </w:p>
        </w:tc>
      </w:tr>
      <w:tr w:rsidR="00484DA3" w:rsidRPr="00735726" w14:paraId="00F15D8E" w14:textId="77777777" w:rsidTr="002F40E5">
        <w:trPr>
          <w:gridBefore w:val="1"/>
          <w:gridAfter w:val="1"/>
          <w:wBefore w:w="108" w:type="dxa"/>
          <w:wAfter w:w="612" w:type="dxa"/>
          <w:trHeight w:val="227"/>
        </w:trPr>
        <w:tc>
          <w:tcPr>
            <w:tcW w:w="7650" w:type="dxa"/>
            <w:gridSpan w:val="3"/>
          </w:tcPr>
          <w:p w14:paraId="1D104DAD" w14:textId="13F8A57F" w:rsidR="00484DA3" w:rsidRPr="00735726" w:rsidRDefault="00484DA3" w:rsidP="002F40E5">
            <w:pPr>
              <w:spacing w:line="240" w:lineRule="auto"/>
              <w:rPr>
                <w:rFonts w:ascii="Arial" w:hAnsi="Arial" w:cs="Arial"/>
                <w:sz w:val="18"/>
                <w:szCs w:val="18"/>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group context</w:t>
            </w:r>
          </w:p>
        </w:tc>
        <w:tc>
          <w:tcPr>
            <w:tcW w:w="1366" w:type="dxa"/>
            <w:gridSpan w:val="4"/>
          </w:tcPr>
          <w:p w14:paraId="1580956E" w14:textId="6FE79EC4" w:rsidR="00484DA3" w:rsidRPr="009A2CAE" w:rsidRDefault="003D1633" w:rsidP="002F40E5">
            <w:pPr>
              <w:pStyle w:val="03body"/>
              <w:tabs>
                <w:tab w:val="right" w:pos="4544"/>
              </w:tabs>
              <w:spacing w:line="240" w:lineRule="auto"/>
              <w:jc w:val="center"/>
            </w:pPr>
            <w:r w:rsidRPr="009A2CAE">
              <w:t>9</w:t>
            </w:r>
          </w:p>
        </w:tc>
      </w:tr>
      <w:tr w:rsidR="00152658" w:rsidRPr="00735726" w14:paraId="2D026208" w14:textId="77777777" w:rsidTr="002F40E5">
        <w:trPr>
          <w:gridBefore w:val="1"/>
          <w:gridAfter w:val="1"/>
          <w:wBefore w:w="108" w:type="dxa"/>
          <w:wAfter w:w="612" w:type="dxa"/>
          <w:trHeight w:val="227"/>
        </w:trPr>
        <w:tc>
          <w:tcPr>
            <w:tcW w:w="7650" w:type="dxa"/>
            <w:gridSpan w:val="3"/>
          </w:tcPr>
          <w:p w14:paraId="3A487CCB"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Our strategy and business model</w:t>
            </w:r>
          </w:p>
        </w:tc>
        <w:tc>
          <w:tcPr>
            <w:tcW w:w="1366" w:type="dxa"/>
            <w:gridSpan w:val="4"/>
          </w:tcPr>
          <w:p w14:paraId="09E839E9" w14:textId="7E956122" w:rsidR="00152658" w:rsidRPr="009A2CAE" w:rsidRDefault="003D1633" w:rsidP="002F40E5">
            <w:pPr>
              <w:pStyle w:val="03body"/>
              <w:tabs>
                <w:tab w:val="right" w:pos="4544"/>
              </w:tabs>
              <w:spacing w:line="240" w:lineRule="auto"/>
              <w:jc w:val="center"/>
            </w:pPr>
            <w:r w:rsidRPr="009A2CAE">
              <w:t>11</w:t>
            </w:r>
          </w:p>
        </w:tc>
      </w:tr>
      <w:tr w:rsidR="00152658" w:rsidRPr="00735726" w14:paraId="04D2B504" w14:textId="77777777" w:rsidTr="002F40E5">
        <w:trPr>
          <w:gridBefore w:val="1"/>
          <w:gridAfter w:val="1"/>
          <w:wBefore w:w="108" w:type="dxa"/>
          <w:wAfter w:w="612" w:type="dxa"/>
          <w:trHeight w:val="227"/>
        </w:trPr>
        <w:tc>
          <w:tcPr>
            <w:tcW w:w="7650" w:type="dxa"/>
            <w:gridSpan w:val="3"/>
          </w:tcPr>
          <w:p w14:paraId="51130E70"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Our plans to 2030</w:t>
            </w:r>
          </w:p>
        </w:tc>
        <w:tc>
          <w:tcPr>
            <w:tcW w:w="1366" w:type="dxa"/>
            <w:gridSpan w:val="4"/>
          </w:tcPr>
          <w:p w14:paraId="631DAF15" w14:textId="2A9860DB" w:rsidR="00152658" w:rsidRPr="009A2CAE" w:rsidRDefault="003D1633" w:rsidP="002F40E5">
            <w:pPr>
              <w:pStyle w:val="03body"/>
              <w:tabs>
                <w:tab w:val="right" w:pos="4544"/>
              </w:tabs>
              <w:spacing w:line="240" w:lineRule="auto"/>
              <w:jc w:val="center"/>
            </w:pPr>
            <w:r w:rsidRPr="009A2CAE">
              <w:t>14</w:t>
            </w:r>
          </w:p>
        </w:tc>
      </w:tr>
      <w:tr w:rsidR="00152658" w:rsidRPr="00735726" w14:paraId="3A0C456B" w14:textId="77777777" w:rsidTr="002F40E5">
        <w:trPr>
          <w:gridBefore w:val="1"/>
          <w:gridAfter w:val="1"/>
          <w:wBefore w:w="108" w:type="dxa"/>
          <w:wAfter w:w="612" w:type="dxa"/>
          <w:trHeight w:val="227"/>
        </w:trPr>
        <w:tc>
          <w:tcPr>
            <w:tcW w:w="7650" w:type="dxa"/>
            <w:gridSpan w:val="3"/>
          </w:tcPr>
          <w:p w14:paraId="2276FBA6"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Our people and culture</w:t>
            </w:r>
          </w:p>
        </w:tc>
        <w:tc>
          <w:tcPr>
            <w:tcW w:w="1366" w:type="dxa"/>
            <w:gridSpan w:val="4"/>
          </w:tcPr>
          <w:p w14:paraId="49A0D4B0" w14:textId="4F87DD08" w:rsidR="00152658" w:rsidRPr="009A2CAE" w:rsidRDefault="003D1633" w:rsidP="002F40E5">
            <w:pPr>
              <w:pStyle w:val="03body"/>
              <w:tabs>
                <w:tab w:val="right" w:pos="4544"/>
              </w:tabs>
              <w:spacing w:line="240" w:lineRule="auto"/>
              <w:jc w:val="center"/>
            </w:pPr>
            <w:r w:rsidRPr="009A2CAE">
              <w:t>19</w:t>
            </w:r>
          </w:p>
        </w:tc>
      </w:tr>
      <w:tr w:rsidR="00152658" w:rsidRPr="00735726" w14:paraId="181ADD2C" w14:textId="77777777" w:rsidTr="002F40E5">
        <w:trPr>
          <w:gridBefore w:val="1"/>
          <w:gridAfter w:val="1"/>
          <w:wBefore w:w="108" w:type="dxa"/>
          <w:wAfter w:w="612" w:type="dxa"/>
          <w:trHeight w:val="227"/>
        </w:trPr>
        <w:tc>
          <w:tcPr>
            <w:tcW w:w="7650" w:type="dxa"/>
            <w:gridSpan w:val="3"/>
          </w:tcPr>
          <w:p w14:paraId="03CFFFC7"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 xml:space="preserve">Stakeholder engagement </w:t>
            </w:r>
          </w:p>
        </w:tc>
        <w:tc>
          <w:tcPr>
            <w:tcW w:w="1366" w:type="dxa"/>
            <w:gridSpan w:val="4"/>
          </w:tcPr>
          <w:p w14:paraId="5D9429F7" w14:textId="29B01D3D" w:rsidR="00152658" w:rsidRPr="009A2CAE" w:rsidRDefault="003D1633" w:rsidP="002F40E5">
            <w:pPr>
              <w:pStyle w:val="03body"/>
              <w:tabs>
                <w:tab w:val="right" w:pos="4544"/>
              </w:tabs>
              <w:spacing w:line="240" w:lineRule="auto"/>
              <w:jc w:val="center"/>
            </w:pPr>
            <w:r w:rsidRPr="009A2CAE">
              <w:t>26</w:t>
            </w:r>
          </w:p>
        </w:tc>
      </w:tr>
      <w:tr w:rsidR="00152658" w:rsidRPr="00735726" w14:paraId="7FDE506E" w14:textId="77777777" w:rsidTr="002F40E5">
        <w:trPr>
          <w:gridBefore w:val="1"/>
          <w:gridAfter w:val="1"/>
          <w:wBefore w:w="108" w:type="dxa"/>
          <w:wAfter w:w="612" w:type="dxa"/>
          <w:trHeight w:val="227"/>
        </w:trPr>
        <w:tc>
          <w:tcPr>
            <w:tcW w:w="7650" w:type="dxa"/>
            <w:gridSpan w:val="3"/>
          </w:tcPr>
          <w:p w14:paraId="59A39ECD" w14:textId="7E53D569" w:rsidR="00152658" w:rsidRPr="00735726" w:rsidRDefault="00484DA3" w:rsidP="002F40E5">
            <w:pPr>
              <w:spacing w:line="240" w:lineRule="auto"/>
              <w:rPr>
                <w:rFonts w:ascii="Arial" w:hAnsi="Arial" w:cs="Arial"/>
                <w:sz w:val="18"/>
                <w:szCs w:val="18"/>
              </w:rPr>
            </w:pPr>
            <w:r w:rsidRPr="00735726">
              <w:rPr>
                <w:rFonts w:ascii="Arial" w:hAnsi="Arial" w:cs="Arial"/>
                <w:sz w:val="18"/>
                <w:szCs w:val="18"/>
              </w:rPr>
              <w:t>Our d</w:t>
            </w:r>
            <w:r w:rsidR="00152658" w:rsidRPr="00735726">
              <w:rPr>
                <w:rFonts w:ascii="Arial" w:hAnsi="Arial" w:cs="Arial"/>
                <w:sz w:val="18"/>
                <w:szCs w:val="18"/>
              </w:rPr>
              <w:t xml:space="preserve">elivery </w:t>
            </w:r>
            <w:r w:rsidRPr="00735726">
              <w:rPr>
                <w:rFonts w:ascii="Arial" w:hAnsi="Arial" w:cs="Arial"/>
                <w:sz w:val="18"/>
                <w:szCs w:val="18"/>
              </w:rPr>
              <w:t>framework</w:t>
            </w:r>
          </w:p>
        </w:tc>
        <w:tc>
          <w:tcPr>
            <w:tcW w:w="1366" w:type="dxa"/>
            <w:gridSpan w:val="4"/>
          </w:tcPr>
          <w:p w14:paraId="750FF2B0" w14:textId="77777777" w:rsidR="00152658" w:rsidRPr="009A2CAE" w:rsidRDefault="00152658" w:rsidP="002F40E5">
            <w:pPr>
              <w:pStyle w:val="03body"/>
              <w:tabs>
                <w:tab w:val="right" w:pos="4544"/>
              </w:tabs>
              <w:spacing w:line="240" w:lineRule="auto"/>
              <w:jc w:val="center"/>
            </w:pPr>
          </w:p>
        </w:tc>
      </w:tr>
      <w:tr w:rsidR="00152658" w:rsidRPr="00735726" w14:paraId="4E706919" w14:textId="77777777" w:rsidTr="002F40E5">
        <w:trPr>
          <w:gridBefore w:val="2"/>
          <w:wBefore w:w="720" w:type="dxa"/>
          <w:trHeight w:val="227"/>
        </w:trPr>
        <w:tc>
          <w:tcPr>
            <w:tcW w:w="7468" w:type="dxa"/>
            <w:gridSpan w:val="3"/>
          </w:tcPr>
          <w:p w14:paraId="0EC08DF7" w14:textId="113F5142"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Building water resources</w:t>
            </w:r>
            <w:r w:rsidR="00FC7393" w:rsidRPr="00735726">
              <w:rPr>
                <w:rFonts w:ascii="Arial" w:hAnsi="Arial" w:cs="Arial"/>
                <w:sz w:val="18"/>
                <w:szCs w:val="18"/>
              </w:rPr>
              <w:t>, improving water quality</w:t>
            </w:r>
          </w:p>
        </w:tc>
        <w:tc>
          <w:tcPr>
            <w:tcW w:w="1548" w:type="dxa"/>
            <w:gridSpan w:val="4"/>
          </w:tcPr>
          <w:p w14:paraId="0C12F5E7" w14:textId="17AA90FB" w:rsidR="00152658" w:rsidRPr="009A2CAE" w:rsidRDefault="003D1633" w:rsidP="002F40E5">
            <w:pPr>
              <w:pStyle w:val="03body"/>
              <w:tabs>
                <w:tab w:val="right" w:pos="4544"/>
              </w:tabs>
              <w:spacing w:line="240" w:lineRule="auto"/>
            </w:pPr>
            <w:r w:rsidRPr="009A2CAE">
              <w:t>36</w:t>
            </w:r>
          </w:p>
        </w:tc>
      </w:tr>
      <w:tr w:rsidR="00152658" w:rsidRPr="00735726" w14:paraId="2B4FAD03" w14:textId="77777777" w:rsidTr="002F40E5">
        <w:trPr>
          <w:gridBefore w:val="2"/>
          <w:wBefore w:w="720" w:type="dxa"/>
          <w:trHeight w:val="227"/>
        </w:trPr>
        <w:tc>
          <w:tcPr>
            <w:tcW w:w="7468" w:type="dxa"/>
            <w:gridSpan w:val="3"/>
          </w:tcPr>
          <w:p w14:paraId="497CB72D"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Tackling storm overflows and pollutions</w:t>
            </w:r>
          </w:p>
        </w:tc>
        <w:tc>
          <w:tcPr>
            <w:tcW w:w="1548" w:type="dxa"/>
            <w:gridSpan w:val="4"/>
          </w:tcPr>
          <w:p w14:paraId="508C240B" w14:textId="64B0AEC4" w:rsidR="00152658" w:rsidRPr="009A2CAE" w:rsidRDefault="003D1633" w:rsidP="002F40E5">
            <w:pPr>
              <w:pStyle w:val="03body"/>
              <w:tabs>
                <w:tab w:val="right" w:pos="4544"/>
              </w:tabs>
              <w:spacing w:line="240" w:lineRule="auto"/>
            </w:pPr>
            <w:r w:rsidRPr="009A2CAE">
              <w:t>41</w:t>
            </w:r>
          </w:p>
        </w:tc>
      </w:tr>
      <w:tr w:rsidR="00152658" w:rsidRPr="00735726" w14:paraId="0FC592EA" w14:textId="77777777" w:rsidTr="002F40E5">
        <w:trPr>
          <w:gridBefore w:val="2"/>
          <w:wBefore w:w="720" w:type="dxa"/>
          <w:trHeight w:val="227"/>
        </w:trPr>
        <w:tc>
          <w:tcPr>
            <w:tcW w:w="7468" w:type="dxa"/>
            <w:gridSpan w:val="3"/>
          </w:tcPr>
          <w:p w14:paraId="2AAD1EF6" w14:textId="267DCC59"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 xml:space="preserve">Driving environmental gains and delivering </w:t>
            </w:r>
            <w:r w:rsidR="00FC7393" w:rsidRPr="00735726">
              <w:rPr>
                <w:rFonts w:ascii="Arial" w:hAnsi="Arial" w:cs="Arial"/>
                <w:sz w:val="18"/>
                <w:szCs w:val="18"/>
              </w:rPr>
              <w:t>N</w:t>
            </w:r>
            <w:r w:rsidRPr="00735726">
              <w:rPr>
                <w:rFonts w:ascii="Arial" w:hAnsi="Arial" w:cs="Arial"/>
                <w:sz w:val="18"/>
                <w:szCs w:val="18"/>
              </w:rPr>
              <w:t xml:space="preserve">et </w:t>
            </w:r>
            <w:r w:rsidR="00FC7393" w:rsidRPr="00735726">
              <w:rPr>
                <w:rFonts w:ascii="Arial" w:hAnsi="Arial" w:cs="Arial"/>
                <w:sz w:val="18"/>
                <w:szCs w:val="18"/>
              </w:rPr>
              <w:t>Z</w:t>
            </w:r>
            <w:r w:rsidRPr="00735726">
              <w:rPr>
                <w:rFonts w:ascii="Arial" w:hAnsi="Arial" w:cs="Arial"/>
                <w:sz w:val="18"/>
                <w:szCs w:val="18"/>
              </w:rPr>
              <w:t>ero</w:t>
            </w:r>
          </w:p>
        </w:tc>
        <w:tc>
          <w:tcPr>
            <w:tcW w:w="1548" w:type="dxa"/>
            <w:gridSpan w:val="4"/>
          </w:tcPr>
          <w:p w14:paraId="4E899929" w14:textId="0F4BE7B2" w:rsidR="00152658" w:rsidRPr="009A2CAE" w:rsidRDefault="003D1633" w:rsidP="002F40E5">
            <w:pPr>
              <w:pStyle w:val="03body"/>
              <w:tabs>
                <w:tab w:val="right" w:pos="4544"/>
              </w:tabs>
              <w:spacing w:line="240" w:lineRule="auto"/>
            </w:pPr>
            <w:r w:rsidRPr="009A2CAE">
              <w:t>46</w:t>
            </w:r>
          </w:p>
        </w:tc>
      </w:tr>
      <w:tr w:rsidR="00152658" w:rsidRPr="00735726" w14:paraId="70208C0A" w14:textId="77777777" w:rsidTr="002F40E5">
        <w:trPr>
          <w:gridBefore w:val="2"/>
          <w:wBefore w:w="720" w:type="dxa"/>
          <w:trHeight w:val="227"/>
        </w:trPr>
        <w:tc>
          <w:tcPr>
            <w:tcW w:w="7468" w:type="dxa"/>
            <w:gridSpan w:val="3"/>
          </w:tcPr>
          <w:p w14:paraId="29A1C665"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Supporting affordability, delivering for customers</w:t>
            </w:r>
          </w:p>
        </w:tc>
        <w:tc>
          <w:tcPr>
            <w:tcW w:w="1548" w:type="dxa"/>
            <w:gridSpan w:val="4"/>
          </w:tcPr>
          <w:p w14:paraId="3E44CAB0" w14:textId="38BD337B" w:rsidR="00152658" w:rsidRPr="009A2CAE" w:rsidRDefault="003D1633" w:rsidP="002F40E5">
            <w:pPr>
              <w:pStyle w:val="03body"/>
              <w:tabs>
                <w:tab w:val="right" w:pos="4544"/>
              </w:tabs>
              <w:spacing w:line="240" w:lineRule="auto"/>
            </w:pPr>
            <w:r w:rsidRPr="009A2CAE">
              <w:t>51</w:t>
            </w:r>
          </w:p>
        </w:tc>
      </w:tr>
      <w:tr w:rsidR="00152658" w:rsidRPr="00735726" w14:paraId="04EEF3E9" w14:textId="77777777" w:rsidTr="002F40E5">
        <w:trPr>
          <w:gridAfter w:val="2"/>
          <w:wAfter w:w="720" w:type="dxa"/>
          <w:trHeight w:val="227"/>
        </w:trPr>
        <w:tc>
          <w:tcPr>
            <w:tcW w:w="8188" w:type="dxa"/>
            <w:gridSpan w:val="5"/>
          </w:tcPr>
          <w:p w14:paraId="2BA94E20" w14:textId="10DCDB1F" w:rsidR="00152658" w:rsidRPr="009A2CAE" w:rsidRDefault="00FC7393" w:rsidP="00FC7393">
            <w:pPr>
              <w:spacing w:line="240" w:lineRule="auto"/>
              <w:ind w:left="142"/>
              <w:rPr>
                <w:rFonts w:ascii="Arial" w:hAnsi="Arial" w:cs="Arial"/>
                <w:sz w:val="18"/>
                <w:szCs w:val="18"/>
              </w:rPr>
            </w:pPr>
            <w:r w:rsidRPr="00735726">
              <w:rPr>
                <w:rFonts w:ascii="Arial" w:hAnsi="Arial" w:cs="Arial"/>
                <w:sz w:val="18"/>
                <w:szCs w:val="18"/>
              </w:rPr>
              <w:t>Chief Financial Officer’s review</w:t>
            </w:r>
          </w:p>
        </w:tc>
        <w:tc>
          <w:tcPr>
            <w:tcW w:w="828" w:type="dxa"/>
            <w:gridSpan w:val="2"/>
          </w:tcPr>
          <w:p w14:paraId="1926EA15" w14:textId="5FA4B8E8" w:rsidR="00152658" w:rsidRPr="009A2CAE" w:rsidRDefault="003D1633" w:rsidP="002F40E5">
            <w:pPr>
              <w:pStyle w:val="03body"/>
              <w:tabs>
                <w:tab w:val="right" w:pos="4544"/>
              </w:tabs>
              <w:spacing w:line="240" w:lineRule="auto"/>
              <w:rPr>
                <w:rFonts w:cs="Arial"/>
                <w:color w:val="auto"/>
              </w:rPr>
            </w:pPr>
            <w:r w:rsidRPr="009A2CAE">
              <w:t>55</w:t>
            </w:r>
          </w:p>
        </w:tc>
      </w:tr>
      <w:tr w:rsidR="00152658" w:rsidRPr="00735726" w14:paraId="3607D102" w14:textId="77777777" w:rsidTr="002F40E5">
        <w:trPr>
          <w:gridBefore w:val="1"/>
          <w:gridAfter w:val="1"/>
          <w:wBefore w:w="108" w:type="dxa"/>
          <w:wAfter w:w="612" w:type="dxa"/>
          <w:trHeight w:val="227"/>
        </w:trPr>
        <w:tc>
          <w:tcPr>
            <w:tcW w:w="7650" w:type="dxa"/>
            <w:gridSpan w:val="3"/>
          </w:tcPr>
          <w:p w14:paraId="4C5383E1" w14:textId="77777777" w:rsidR="00152658" w:rsidRPr="00735726" w:rsidRDefault="00152658" w:rsidP="00D636C2">
            <w:pPr>
              <w:spacing w:line="240" w:lineRule="auto"/>
              <w:ind w:left="37"/>
              <w:rPr>
                <w:rFonts w:ascii="Arial" w:hAnsi="Arial" w:cs="Arial"/>
                <w:sz w:val="18"/>
                <w:szCs w:val="18"/>
              </w:rPr>
            </w:pPr>
            <w:r w:rsidRPr="00735726">
              <w:rPr>
                <w:rFonts w:ascii="Arial" w:hAnsi="Arial" w:cs="Arial"/>
                <w:sz w:val="18"/>
                <w:szCs w:val="18"/>
              </w:rPr>
              <w:t>Our risk management</w:t>
            </w:r>
          </w:p>
        </w:tc>
        <w:tc>
          <w:tcPr>
            <w:tcW w:w="1366" w:type="dxa"/>
            <w:gridSpan w:val="4"/>
          </w:tcPr>
          <w:p w14:paraId="3AF72309" w14:textId="0A2387BF" w:rsidR="00152658" w:rsidRPr="009A2CAE" w:rsidRDefault="003D1633" w:rsidP="00D636C2">
            <w:pPr>
              <w:pStyle w:val="03body"/>
              <w:tabs>
                <w:tab w:val="right" w:pos="4544"/>
              </w:tabs>
              <w:spacing w:line="240" w:lineRule="auto"/>
              <w:ind w:left="37"/>
              <w:jc w:val="center"/>
            </w:pPr>
            <w:r w:rsidRPr="009A2CAE">
              <w:t>62</w:t>
            </w:r>
          </w:p>
        </w:tc>
      </w:tr>
      <w:tr w:rsidR="00152658" w:rsidRPr="00735726" w14:paraId="0771BA39" w14:textId="77777777" w:rsidTr="002F40E5">
        <w:trPr>
          <w:gridBefore w:val="1"/>
          <w:gridAfter w:val="1"/>
          <w:wBefore w:w="108" w:type="dxa"/>
          <w:wAfter w:w="612" w:type="dxa"/>
          <w:trHeight w:val="227"/>
        </w:trPr>
        <w:tc>
          <w:tcPr>
            <w:tcW w:w="7650" w:type="dxa"/>
            <w:gridSpan w:val="3"/>
          </w:tcPr>
          <w:p w14:paraId="64EA112A" w14:textId="77777777" w:rsidR="00152658" w:rsidRPr="00735726" w:rsidRDefault="00152658" w:rsidP="00D636C2">
            <w:pPr>
              <w:spacing w:line="240" w:lineRule="auto"/>
              <w:ind w:left="37"/>
              <w:rPr>
                <w:rFonts w:ascii="Arial" w:hAnsi="Arial" w:cs="Arial"/>
                <w:sz w:val="18"/>
                <w:szCs w:val="18"/>
              </w:rPr>
            </w:pPr>
            <w:r w:rsidRPr="00735726">
              <w:rPr>
                <w:rFonts w:ascii="Arial" w:hAnsi="Arial" w:cs="Arial"/>
                <w:sz w:val="18"/>
                <w:szCs w:val="18"/>
              </w:rPr>
              <w:t>Viability statement</w:t>
            </w:r>
          </w:p>
        </w:tc>
        <w:tc>
          <w:tcPr>
            <w:tcW w:w="1366" w:type="dxa"/>
            <w:gridSpan w:val="4"/>
          </w:tcPr>
          <w:p w14:paraId="02A1777D" w14:textId="051AB6E4" w:rsidR="00152658" w:rsidRPr="009A2CAE" w:rsidRDefault="003D1633" w:rsidP="00D636C2">
            <w:pPr>
              <w:pStyle w:val="03body"/>
              <w:tabs>
                <w:tab w:val="right" w:pos="4544"/>
              </w:tabs>
              <w:spacing w:line="240" w:lineRule="auto"/>
              <w:ind w:left="37"/>
              <w:jc w:val="center"/>
            </w:pPr>
            <w:r w:rsidRPr="009A2CAE">
              <w:t>75</w:t>
            </w:r>
          </w:p>
        </w:tc>
      </w:tr>
      <w:tr w:rsidR="00152658" w:rsidRPr="00735726" w14:paraId="44A64D8F" w14:textId="77777777" w:rsidTr="002F40E5">
        <w:trPr>
          <w:gridBefore w:val="1"/>
          <w:gridAfter w:val="1"/>
          <w:wBefore w:w="108" w:type="dxa"/>
          <w:wAfter w:w="612" w:type="dxa"/>
          <w:trHeight w:val="227"/>
        </w:trPr>
        <w:tc>
          <w:tcPr>
            <w:tcW w:w="7650" w:type="dxa"/>
            <w:gridSpan w:val="3"/>
          </w:tcPr>
          <w:p w14:paraId="3101DEF2" w14:textId="77777777" w:rsidR="00152658" w:rsidRPr="00735726" w:rsidRDefault="00152658" w:rsidP="00D636C2">
            <w:pPr>
              <w:spacing w:line="240" w:lineRule="auto"/>
              <w:ind w:left="37"/>
              <w:rPr>
                <w:rFonts w:ascii="Arial" w:hAnsi="Arial" w:cs="Arial"/>
                <w:sz w:val="18"/>
                <w:szCs w:val="18"/>
              </w:rPr>
            </w:pPr>
            <w:r w:rsidRPr="00735726">
              <w:rPr>
                <w:rFonts w:ascii="Arial" w:hAnsi="Arial" w:cs="Arial"/>
                <w:sz w:val="18"/>
                <w:szCs w:val="18"/>
              </w:rPr>
              <w:t>Our ESG approach</w:t>
            </w:r>
          </w:p>
        </w:tc>
        <w:tc>
          <w:tcPr>
            <w:tcW w:w="1366" w:type="dxa"/>
            <w:gridSpan w:val="4"/>
          </w:tcPr>
          <w:p w14:paraId="2FD2CA44" w14:textId="75F6BC28" w:rsidR="00152658" w:rsidRPr="009A2CAE" w:rsidRDefault="003D1633" w:rsidP="00D636C2">
            <w:pPr>
              <w:pStyle w:val="03body"/>
              <w:tabs>
                <w:tab w:val="right" w:pos="4544"/>
              </w:tabs>
              <w:spacing w:line="240" w:lineRule="auto"/>
              <w:ind w:left="37"/>
              <w:jc w:val="center"/>
            </w:pPr>
            <w:r w:rsidRPr="009A2CAE">
              <w:t>78</w:t>
            </w:r>
          </w:p>
        </w:tc>
      </w:tr>
      <w:tr w:rsidR="00152658" w:rsidRPr="00735726" w14:paraId="73BAC769" w14:textId="77777777" w:rsidTr="00FC7393">
        <w:trPr>
          <w:gridAfter w:val="3"/>
          <w:wAfter w:w="1146" w:type="dxa"/>
          <w:trHeight w:val="227"/>
        </w:trPr>
        <w:tc>
          <w:tcPr>
            <w:tcW w:w="7224" w:type="dxa"/>
            <w:gridSpan w:val="3"/>
          </w:tcPr>
          <w:p w14:paraId="05F7628E" w14:textId="77777777" w:rsidR="00152658" w:rsidRPr="00735726" w:rsidRDefault="00152658" w:rsidP="00FC7393">
            <w:pPr>
              <w:spacing w:line="240" w:lineRule="auto"/>
              <w:ind w:left="142"/>
              <w:rPr>
                <w:rFonts w:ascii="Arial" w:hAnsi="Arial" w:cs="Arial"/>
                <w:sz w:val="18"/>
                <w:szCs w:val="18"/>
              </w:rPr>
            </w:pPr>
            <w:proofErr w:type="gramStart"/>
            <w:r w:rsidRPr="00735726">
              <w:rPr>
                <w:rFonts w:ascii="Arial" w:hAnsi="Arial" w:cs="Arial"/>
                <w:sz w:val="18"/>
                <w:szCs w:val="18"/>
              </w:rPr>
              <w:t>Task-force</w:t>
            </w:r>
            <w:proofErr w:type="gramEnd"/>
            <w:r w:rsidRPr="00735726">
              <w:rPr>
                <w:rFonts w:ascii="Arial" w:hAnsi="Arial" w:cs="Arial"/>
                <w:sz w:val="18"/>
                <w:szCs w:val="18"/>
              </w:rPr>
              <w:t xml:space="preserve"> on Climate-related Financial Disclosures (TCFD)</w:t>
            </w:r>
          </w:p>
        </w:tc>
        <w:tc>
          <w:tcPr>
            <w:tcW w:w="1366" w:type="dxa"/>
            <w:gridSpan w:val="3"/>
          </w:tcPr>
          <w:p w14:paraId="7E8C9EF3" w14:textId="4F3A552E" w:rsidR="00152658" w:rsidRPr="009A2CAE" w:rsidRDefault="00D83D43" w:rsidP="00FC7393">
            <w:pPr>
              <w:pStyle w:val="03body"/>
              <w:tabs>
                <w:tab w:val="right" w:pos="4544"/>
              </w:tabs>
              <w:spacing w:line="240" w:lineRule="auto"/>
              <w:ind w:left="286" w:right="-704"/>
              <w:jc w:val="center"/>
            </w:pPr>
            <w:r w:rsidRPr="009A2CAE">
              <w:t xml:space="preserve"> </w:t>
            </w:r>
            <w:r w:rsidR="003D1633" w:rsidRPr="009A2CAE">
              <w:t>79</w:t>
            </w:r>
          </w:p>
        </w:tc>
      </w:tr>
      <w:tr w:rsidR="00152658" w:rsidRPr="00735726" w14:paraId="7292311E" w14:textId="77777777" w:rsidTr="00FC7393">
        <w:trPr>
          <w:gridAfter w:val="3"/>
          <w:wAfter w:w="1146" w:type="dxa"/>
          <w:trHeight w:val="227"/>
        </w:trPr>
        <w:tc>
          <w:tcPr>
            <w:tcW w:w="7224" w:type="dxa"/>
            <w:gridSpan w:val="3"/>
          </w:tcPr>
          <w:p w14:paraId="5F810027" w14:textId="77777777" w:rsidR="00152658" w:rsidRPr="00735726" w:rsidRDefault="00152658" w:rsidP="00FC7393">
            <w:pPr>
              <w:spacing w:line="240" w:lineRule="auto"/>
              <w:ind w:left="142"/>
              <w:rPr>
                <w:rFonts w:ascii="Arial" w:hAnsi="Arial" w:cs="Arial"/>
                <w:sz w:val="18"/>
                <w:szCs w:val="18"/>
              </w:rPr>
            </w:pPr>
            <w:proofErr w:type="gramStart"/>
            <w:r w:rsidRPr="00735726">
              <w:rPr>
                <w:rFonts w:ascii="Arial" w:hAnsi="Arial" w:cs="Arial"/>
                <w:sz w:val="18"/>
                <w:szCs w:val="18"/>
              </w:rPr>
              <w:t>Task-force</w:t>
            </w:r>
            <w:proofErr w:type="gramEnd"/>
            <w:r w:rsidRPr="00735726">
              <w:rPr>
                <w:rFonts w:ascii="Arial" w:hAnsi="Arial" w:cs="Arial"/>
                <w:sz w:val="18"/>
                <w:szCs w:val="18"/>
              </w:rPr>
              <w:t xml:space="preserve"> on Nature-related Financial Disclosures (TNFD)</w:t>
            </w:r>
          </w:p>
        </w:tc>
        <w:tc>
          <w:tcPr>
            <w:tcW w:w="1366" w:type="dxa"/>
            <w:gridSpan w:val="3"/>
          </w:tcPr>
          <w:p w14:paraId="72EFBF7E" w14:textId="10E74C33" w:rsidR="00152658" w:rsidRPr="009A2CAE" w:rsidRDefault="00D83D43" w:rsidP="00FC7393">
            <w:pPr>
              <w:pStyle w:val="03body"/>
              <w:tabs>
                <w:tab w:val="right" w:pos="4544"/>
              </w:tabs>
              <w:spacing w:line="240" w:lineRule="auto"/>
              <w:ind w:left="286" w:right="-704"/>
              <w:jc w:val="center"/>
            </w:pPr>
            <w:r w:rsidRPr="009A2CAE">
              <w:t xml:space="preserve"> </w:t>
            </w:r>
            <w:r w:rsidR="003D1633" w:rsidRPr="009A2CAE">
              <w:t>79</w:t>
            </w:r>
          </w:p>
        </w:tc>
      </w:tr>
      <w:tr w:rsidR="00152658" w:rsidRPr="00735726" w14:paraId="5D8A927A" w14:textId="77777777" w:rsidTr="002F40E5">
        <w:trPr>
          <w:gridBefore w:val="1"/>
          <w:gridAfter w:val="1"/>
          <w:wBefore w:w="108" w:type="dxa"/>
          <w:wAfter w:w="612" w:type="dxa"/>
          <w:trHeight w:val="227"/>
        </w:trPr>
        <w:tc>
          <w:tcPr>
            <w:tcW w:w="7650" w:type="dxa"/>
            <w:gridSpan w:val="3"/>
          </w:tcPr>
          <w:p w14:paraId="6D733EE9" w14:textId="712F25E3"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 xml:space="preserve">Non-Financial and sustainability information </w:t>
            </w:r>
            <w:r w:rsidR="00484DA3" w:rsidRPr="00735726">
              <w:rPr>
                <w:rFonts w:ascii="Arial" w:hAnsi="Arial" w:cs="Arial"/>
                <w:sz w:val="18"/>
                <w:szCs w:val="18"/>
              </w:rPr>
              <w:t>statement</w:t>
            </w:r>
          </w:p>
        </w:tc>
        <w:tc>
          <w:tcPr>
            <w:tcW w:w="1366" w:type="dxa"/>
            <w:gridSpan w:val="4"/>
          </w:tcPr>
          <w:p w14:paraId="794169F3" w14:textId="32D30090" w:rsidR="00152658" w:rsidRPr="009A2CAE" w:rsidRDefault="003D1633" w:rsidP="002F40E5">
            <w:pPr>
              <w:pStyle w:val="03body"/>
              <w:tabs>
                <w:tab w:val="right" w:pos="4544"/>
              </w:tabs>
              <w:spacing w:line="240" w:lineRule="auto"/>
              <w:jc w:val="center"/>
            </w:pPr>
            <w:r w:rsidRPr="009A2CAE">
              <w:t>93</w:t>
            </w:r>
          </w:p>
        </w:tc>
      </w:tr>
      <w:tr w:rsidR="00152658" w:rsidRPr="00735726" w14:paraId="628E1301" w14:textId="77777777" w:rsidTr="002F40E5">
        <w:trPr>
          <w:gridBefore w:val="1"/>
          <w:gridAfter w:val="1"/>
          <w:wBefore w:w="108" w:type="dxa"/>
          <w:wAfter w:w="612" w:type="dxa"/>
          <w:trHeight w:val="113"/>
        </w:trPr>
        <w:tc>
          <w:tcPr>
            <w:tcW w:w="7650" w:type="dxa"/>
            <w:gridSpan w:val="3"/>
          </w:tcPr>
          <w:p w14:paraId="28222E42" w14:textId="77777777" w:rsidR="00152658" w:rsidRPr="00735726" w:rsidRDefault="00152658" w:rsidP="002F40E5">
            <w:pPr>
              <w:pStyle w:val="HeadingLevel2"/>
              <w:tabs>
                <w:tab w:val="right" w:pos="4544"/>
              </w:tabs>
              <w:spacing w:line="240" w:lineRule="auto"/>
              <w:rPr>
                <w:b/>
              </w:rPr>
            </w:pPr>
            <w:r w:rsidRPr="00735726">
              <w:rPr>
                <w:b/>
              </w:rPr>
              <w:t>GOVERNANCE</w:t>
            </w:r>
          </w:p>
        </w:tc>
        <w:tc>
          <w:tcPr>
            <w:tcW w:w="1366" w:type="dxa"/>
            <w:gridSpan w:val="4"/>
          </w:tcPr>
          <w:p w14:paraId="42556EF2" w14:textId="77777777" w:rsidR="00152658" w:rsidRPr="009A2CAE" w:rsidRDefault="00152658" w:rsidP="002F40E5">
            <w:pPr>
              <w:spacing w:line="240" w:lineRule="auto"/>
              <w:jc w:val="center"/>
              <w:rPr>
                <w:rFonts w:ascii="Arial" w:hAnsi="Arial" w:cs="DINOT-Light"/>
                <w:b/>
                <w:caps/>
                <w:color w:val="000000"/>
                <w:sz w:val="18"/>
                <w:szCs w:val="18"/>
              </w:rPr>
            </w:pPr>
          </w:p>
        </w:tc>
      </w:tr>
      <w:tr w:rsidR="00152658" w:rsidRPr="00735726" w14:paraId="757A446A" w14:textId="77777777" w:rsidTr="002F40E5">
        <w:trPr>
          <w:gridBefore w:val="1"/>
          <w:gridAfter w:val="1"/>
          <w:wBefore w:w="108" w:type="dxa"/>
          <w:wAfter w:w="612" w:type="dxa"/>
          <w:trHeight w:val="227"/>
        </w:trPr>
        <w:tc>
          <w:tcPr>
            <w:tcW w:w="7650" w:type="dxa"/>
            <w:gridSpan w:val="3"/>
          </w:tcPr>
          <w:p w14:paraId="7F7BE613"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 xml:space="preserve">Governance </w:t>
            </w:r>
            <w:proofErr w:type="gramStart"/>
            <w:r w:rsidRPr="00735726">
              <w:rPr>
                <w:rFonts w:ascii="Arial" w:hAnsi="Arial" w:cs="Arial"/>
                <w:sz w:val="18"/>
                <w:szCs w:val="18"/>
              </w:rPr>
              <w:t>at a glance</w:t>
            </w:r>
            <w:proofErr w:type="gramEnd"/>
          </w:p>
        </w:tc>
        <w:tc>
          <w:tcPr>
            <w:tcW w:w="1366" w:type="dxa"/>
            <w:gridSpan w:val="4"/>
          </w:tcPr>
          <w:p w14:paraId="4F366980" w14:textId="4020D086" w:rsidR="00152658" w:rsidRPr="009A2CAE" w:rsidRDefault="003D1633" w:rsidP="002F40E5">
            <w:pPr>
              <w:pStyle w:val="03body"/>
              <w:tabs>
                <w:tab w:val="right" w:pos="4544"/>
              </w:tabs>
              <w:spacing w:line="240" w:lineRule="auto"/>
              <w:jc w:val="center"/>
            </w:pPr>
            <w:r w:rsidRPr="009A2CAE">
              <w:t>97</w:t>
            </w:r>
          </w:p>
        </w:tc>
      </w:tr>
      <w:tr w:rsidR="00152658" w:rsidRPr="00735726" w14:paraId="7F875490" w14:textId="77777777" w:rsidTr="002F40E5">
        <w:trPr>
          <w:gridBefore w:val="1"/>
          <w:gridAfter w:val="1"/>
          <w:wBefore w:w="108" w:type="dxa"/>
          <w:wAfter w:w="612" w:type="dxa"/>
          <w:trHeight w:val="227"/>
        </w:trPr>
        <w:tc>
          <w:tcPr>
            <w:tcW w:w="7650" w:type="dxa"/>
            <w:gridSpan w:val="3"/>
          </w:tcPr>
          <w:p w14:paraId="6E9F8C71" w14:textId="38CD6256"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Chair’s introduction</w:t>
            </w:r>
          </w:p>
        </w:tc>
        <w:tc>
          <w:tcPr>
            <w:tcW w:w="1366" w:type="dxa"/>
            <w:gridSpan w:val="4"/>
          </w:tcPr>
          <w:p w14:paraId="79DBC7A7" w14:textId="1BDB7035" w:rsidR="00152658" w:rsidRPr="009A2CAE" w:rsidRDefault="003D1633" w:rsidP="002F40E5">
            <w:pPr>
              <w:pStyle w:val="03body"/>
              <w:tabs>
                <w:tab w:val="right" w:pos="4544"/>
              </w:tabs>
              <w:spacing w:line="240" w:lineRule="auto"/>
              <w:jc w:val="center"/>
            </w:pPr>
            <w:r w:rsidRPr="009A2CAE">
              <w:t>100</w:t>
            </w:r>
          </w:p>
        </w:tc>
      </w:tr>
      <w:tr w:rsidR="00152658" w:rsidRPr="00735726" w14:paraId="5F999E04" w14:textId="77777777" w:rsidTr="002F40E5">
        <w:trPr>
          <w:gridBefore w:val="1"/>
          <w:gridAfter w:val="1"/>
          <w:wBefore w:w="108" w:type="dxa"/>
          <w:wAfter w:w="612" w:type="dxa"/>
          <w:trHeight w:val="227"/>
        </w:trPr>
        <w:tc>
          <w:tcPr>
            <w:tcW w:w="7650" w:type="dxa"/>
            <w:gridSpan w:val="3"/>
          </w:tcPr>
          <w:p w14:paraId="05C4251B"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Our Board and Executive Team</w:t>
            </w:r>
          </w:p>
        </w:tc>
        <w:tc>
          <w:tcPr>
            <w:tcW w:w="1366" w:type="dxa"/>
            <w:gridSpan w:val="4"/>
          </w:tcPr>
          <w:p w14:paraId="50D03BF9" w14:textId="75B5DC2D" w:rsidR="00152658" w:rsidRPr="009A2CAE" w:rsidRDefault="003D1633" w:rsidP="002F40E5">
            <w:pPr>
              <w:pStyle w:val="03body"/>
              <w:tabs>
                <w:tab w:val="right" w:pos="4544"/>
              </w:tabs>
              <w:spacing w:line="240" w:lineRule="auto"/>
              <w:jc w:val="center"/>
            </w:pPr>
            <w:r w:rsidRPr="009A2CAE">
              <w:t>102</w:t>
            </w:r>
          </w:p>
        </w:tc>
      </w:tr>
      <w:tr w:rsidR="00152658" w:rsidRPr="00735726" w14:paraId="6D5C56DB" w14:textId="77777777" w:rsidTr="002F40E5">
        <w:trPr>
          <w:gridBefore w:val="1"/>
          <w:gridAfter w:val="1"/>
          <w:wBefore w:w="108" w:type="dxa"/>
          <w:wAfter w:w="612" w:type="dxa"/>
          <w:trHeight w:val="227"/>
        </w:trPr>
        <w:tc>
          <w:tcPr>
            <w:tcW w:w="7650" w:type="dxa"/>
            <w:gridSpan w:val="3"/>
          </w:tcPr>
          <w:p w14:paraId="234FE223"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Monitoring purpose and culture</w:t>
            </w:r>
          </w:p>
        </w:tc>
        <w:tc>
          <w:tcPr>
            <w:tcW w:w="1366" w:type="dxa"/>
            <w:gridSpan w:val="4"/>
          </w:tcPr>
          <w:p w14:paraId="4AA314A8" w14:textId="320E1C87" w:rsidR="00152658" w:rsidRPr="009A2CAE" w:rsidRDefault="003D1633" w:rsidP="002F40E5">
            <w:pPr>
              <w:pStyle w:val="03body"/>
              <w:tabs>
                <w:tab w:val="right" w:pos="4544"/>
              </w:tabs>
              <w:spacing w:line="240" w:lineRule="auto"/>
              <w:jc w:val="center"/>
            </w:pPr>
            <w:r w:rsidRPr="009A2CAE">
              <w:t>107</w:t>
            </w:r>
          </w:p>
        </w:tc>
      </w:tr>
      <w:tr w:rsidR="00152658" w:rsidRPr="00735726" w14:paraId="4CFDCA24" w14:textId="77777777" w:rsidTr="002F40E5">
        <w:trPr>
          <w:gridBefore w:val="1"/>
          <w:gridAfter w:val="1"/>
          <w:wBefore w:w="108" w:type="dxa"/>
          <w:wAfter w:w="612" w:type="dxa"/>
          <w:trHeight w:val="227"/>
        </w:trPr>
        <w:tc>
          <w:tcPr>
            <w:tcW w:w="7650" w:type="dxa"/>
            <w:gridSpan w:val="3"/>
          </w:tcPr>
          <w:p w14:paraId="0A7D09FF"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 xml:space="preserve">Board leadership </w:t>
            </w:r>
          </w:p>
        </w:tc>
        <w:tc>
          <w:tcPr>
            <w:tcW w:w="1366" w:type="dxa"/>
            <w:gridSpan w:val="4"/>
          </w:tcPr>
          <w:p w14:paraId="79F5279E" w14:textId="770B3C63" w:rsidR="00152658" w:rsidRPr="009A2CAE" w:rsidRDefault="003D1633" w:rsidP="002F40E5">
            <w:pPr>
              <w:pStyle w:val="03body"/>
              <w:tabs>
                <w:tab w:val="right" w:pos="4544"/>
              </w:tabs>
              <w:spacing w:line="240" w:lineRule="auto"/>
              <w:jc w:val="center"/>
            </w:pPr>
            <w:r w:rsidRPr="009A2CAE">
              <w:t>109</w:t>
            </w:r>
          </w:p>
        </w:tc>
      </w:tr>
      <w:tr w:rsidR="00152658" w:rsidRPr="00735726" w14:paraId="474D2341" w14:textId="77777777" w:rsidTr="002F40E5">
        <w:trPr>
          <w:gridBefore w:val="1"/>
          <w:gridAfter w:val="1"/>
          <w:wBefore w:w="108" w:type="dxa"/>
          <w:wAfter w:w="612" w:type="dxa"/>
          <w:trHeight w:val="227"/>
        </w:trPr>
        <w:tc>
          <w:tcPr>
            <w:tcW w:w="7650" w:type="dxa"/>
            <w:gridSpan w:val="3"/>
          </w:tcPr>
          <w:p w14:paraId="3F4096BA"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Division of responsibilities</w:t>
            </w:r>
          </w:p>
        </w:tc>
        <w:tc>
          <w:tcPr>
            <w:tcW w:w="1366" w:type="dxa"/>
            <w:gridSpan w:val="4"/>
          </w:tcPr>
          <w:p w14:paraId="2BE33AA2" w14:textId="1D59FA10" w:rsidR="00152658" w:rsidRPr="009A2CAE" w:rsidRDefault="003D1633" w:rsidP="002F40E5">
            <w:pPr>
              <w:pStyle w:val="03body"/>
              <w:tabs>
                <w:tab w:val="right" w:pos="4544"/>
              </w:tabs>
              <w:spacing w:line="240" w:lineRule="auto"/>
              <w:jc w:val="center"/>
            </w:pPr>
            <w:r w:rsidRPr="009A2CAE">
              <w:t>110</w:t>
            </w:r>
          </w:p>
        </w:tc>
      </w:tr>
      <w:tr w:rsidR="00152658" w:rsidRPr="00735726" w14:paraId="76C3F75C" w14:textId="77777777" w:rsidTr="002F40E5">
        <w:trPr>
          <w:gridBefore w:val="1"/>
          <w:gridAfter w:val="1"/>
          <w:wBefore w:w="108" w:type="dxa"/>
          <w:wAfter w:w="612" w:type="dxa"/>
          <w:trHeight w:val="227"/>
        </w:trPr>
        <w:tc>
          <w:tcPr>
            <w:tcW w:w="7650" w:type="dxa"/>
            <w:gridSpan w:val="3"/>
          </w:tcPr>
          <w:p w14:paraId="754E5C9C"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An effective Board</w:t>
            </w:r>
          </w:p>
        </w:tc>
        <w:tc>
          <w:tcPr>
            <w:tcW w:w="1366" w:type="dxa"/>
            <w:gridSpan w:val="4"/>
          </w:tcPr>
          <w:p w14:paraId="5A43D15E" w14:textId="2E3ED383" w:rsidR="00152658" w:rsidRPr="009A2CAE" w:rsidRDefault="003D1633" w:rsidP="002F40E5">
            <w:pPr>
              <w:pStyle w:val="03body"/>
              <w:tabs>
                <w:tab w:val="right" w:pos="4544"/>
              </w:tabs>
              <w:spacing w:line="240" w:lineRule="auto"/>
              <w:jc w:val="center"/>
            </w:pPr>
            <w:r w:rsidRPr="009A2CAE">
              <w:t>112</w:t>
            </w:r>
          </w:p>
        </w:tc>
      </w:tr>
      <w:tr w:rsidR="00152658" w:rsidRPr="00735726" w14:paraId="36213BA8" w14:textId="77777777" w:rsidTr="002F40E5">
        <w:trPr>
          <w:gridBefore w:val="1"/>
          <w:gridAfter w:val="1"/>
          <w:wBefore w:w="108" w:type="dxa"/>
          <w:wAfter w:w="612" w:type="dxa"/>
          <w:trHeight w:val="227"/>
        </w:trPr>
        <w:tc>
          <w:tcPr>
            <w:tcW w:w="7650" w:type="dxa"/>
            <w:gridSpan w:val="3"/>
          </w:tcPr>
          <w:p w14:paraId="56F57A0F"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Key activities of the Board</w:t>
            </w:r>
          </w:p>
        </w:tc>
        <w:tc>
          <w:tcPr>
            <w:tcW w:w="1366" w:type="dxa"/>
            <w:gridSpan w:val="4"/>
          </w:tcPr>
          <w:p w14:paraId="2258722F" w14:textId="62783379" w:rsidR="00152658" w:rsidRPr="009A2CAE" w:rsidRDefault="003D1633" w:rsidP="002F40E5">
            <w:pPr>
              <w:pStyle w:val="03body"/>
              <w:tabs>
                <w:tab w:val="right" w:pos="4544"/>
              </w:tabs>
              <w:spacing w:line="240" w:lineRule="auto"/>
              <w:jc w:val="center"/>
            </w:pPr>
            <w:r w:rsidRPr="009A2CAE">
              <w:t>116</w:t>
            </w:r>
          </w:p>
        </w:tc>
      </w:tr>
      <w:tr w:rsidR="00152658" w:rsidRPr="00735726" w14:paraId="1DBC1210" w14:textId="77777777" w:rsidTr="002F40E5">
        <w:trPr>
          <w:gridBefore w:val="1"/>
          <w:gridAfter w:val="1"/>
          <w:wBefore w:w="108" w:type="dxa"/>
          <w:wAfter w:w="612" w:type="dxa"/>
          <w:trHeight w:val="227"/>
        </w:trPr>
        <w:tc>
          <w:tcPr>
            <w:tcW w:w="7650" w:type="dxa"/>
            <w:gridSpan w:val="3"/>
          </w:tcPr>
          <w:p w14:paraId="33FA79EB"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How the Board engages with stakeholders</w:t>
            </w:r>
          </w:p>
        </w:tc>
        <w:tc>
          <w:tcPr>
            <w:tcW w:w="1366" w:type="dxa"/>
            <w:gridSpan w:val="4"/>
          </w:tcPr>
          <w:p w14:paraId="2B23F6B4" w14:textId="2C08A303" w:rsidR="00152658" w:rsidRPr="009A2CAE" w:rsidRDefault="003D1633" w:rsidP="002F40E5">
            <w:pPr>
              <w:pStyle w:val="03body"/>
              <w:tabs>
                <w:tab w:val="right" w:pos="4544"/>
              </w:tabs>
              <w:spacing w:line="240" w:lineRule="auto"/>
              <w:jc w:val="center"/>
            </w:pPr>
            <w:r w:rsidRPr="009A2CAE">
              <w:t>118</w:t>
            </w:r>
          </w:p>
        </w:tc>
      </w:tr>
      <w:tr w:rsidR="00152658" w:rsidRPr="00735726" w14:paraId="6CEEF566" w14:textId="77777777" w:rsidTr="002F40E5">
        <w:trPr>
          <w:gridBefore w:val="1"/>
          <w:gridAfter w:val="1"/>
          <w:wBefore w:w="108" w:type="dxa"/>
          <w:wAfter w:w="612" w:type="dxa"/>
          <w:trHeight w:val="227"/>
        </w:trPr>
        <w:tc>
          <w:tcPr>
            <w:tcW w:w="7650" w:type="dxa"/>
            <w:gridSpan w:val="3"/>
          </w:tcPr>
          <w:p w14:paraId="530DABE7"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 xml:space="preserve">Composition, succession and evaluation </w:t>
            </w:r>
            <w:r w:rsidRPr="00735726">
              <w:rPr>
                <w:rFonts w:ascii="Arial" w:hAnsi="Arial" w:cs="Arial"/>
                <w:sz w:val="18"/>
                <w:szCs w:val="18"/>
              </w:rPr>
              <w:tab/>
            </w:r>
          </w:p>
        </w:tc>
        <w:tc>
          <w:tcPr>
            <w:tcW w:w="1366" w:type="dxa"/>
            <w:gridSpan w:val="4"/>
          </w:tcPr>
          <w:p w14:paraId="4E88B0AE" w14:textId="76FF038E" w:rsidR="00152658" w:rsidRPr="009A2CAE" w:rsidRDefault="003D1633" w:rsidP="002F40E5">
            <w:pPr>
              <w:pStyle w:val="03body"/>
              <w:tabs>
                <w:tab w:val="right" w:pos="4544"/>
              </w:tabs>
              <w:spacing w:line="240" w:lineRule="auto"/>
              <w:jc w:val="center"/>
            </w:pPr>
            <w:r w:rsidRPr="009A2CAE">
              <w:t>120</w:t>
            </w:r>
          </w:p>
        </w:tc>
      </w:tr>
      <w:tr w:rsidR="00152658" w:rsidRPr="00735726" w14:paraId="112566A1" w14:textId="77777777" w:rsidTr="002F40E5">
        <w:trPr>
          <w:gridBefore w:val="1"/>
          <w:gridAfter w:val="1"/>
          <w:wBefore w:w="108" w:type="dxa"/>
          <w:wAfter w:w="612" w:type="dxa"/>
          <w:trHeight w:val="227"/>
        </w:trPr>
        <w:tc>
          <w:tcPr>
            <w:tcW w:w="7650" w:type="dxa"/>
            <w:gridSpan w:val="3"/>
          </w:tcPr>
          <w:p w14:paraId="2649435E" w14:textId="1DA65738" w:rsidR="00152658" w:rsidRPr="00735726" w:rsidRDefault="00484DA3" w:rsidP="002F40E5">
            <w:pPr>
              <w:spacing w:line="240" w:lineRule="auto"/>
              <w:rPr>
                <w:rFonts w:ascii="Arial" w:hAnsi="Arial" w:cs="Arial"/>
                <w:sz w:val="18"/>
                <w:szCs w:val="18"/>
              </w:rPr>
            </w:pPr>
            <w:r w:rsidRPr="00735726">
              <w:rPr>
                <w:rFonts w:ascii="Arial" w:hAnsi="Arial" w:cs="Arial"/>
                <w:sz w:val="18"/>
                <w:szCs w:val="18"/>
              </w:rPr>
              <w:t xml:space="preserve">Section </w:t>
            </w:r>
            <w:r w:rsidR="00152658" w:rsidRPr="00735726">
              <w:rPr>
                <w:rFonts w:ascii="Arial" w:hAnsi="Arial" w:cs="Arial"/>
                <w:sz w:val="18"/>
                <w:szCs w:val="18"/>
              </w:rPr>
              <w:t>172(1) statement</w:t>
            </w:r>
          </w:p>
        </w:tc>
        <w:tc>
          <w:tcPr>
            <w:tcW w:w="1366" w:type="dxa"/>
            <w:gridSpan w:val="4"/>
          </w:tcPr>
          <w:p w14:paraId="63AA239F" w14:textId="7B79F5A5" w:rsidR="00152658" w:rsidRPr="009A2CAE" w:rsidRDefault="003D1633" w:rsidP="002F40E5">
            <w:pPr>
              <w:pStyle w:val="03body"/>
              <w:tabs>
                <w:tab w:val="right" w:pos="4544"/>
              </w:tabs>
              <w:spacing w:line="240" w:lineRule="auto"/>
              <w:jc w:val="center"/>
            </w:pPr>
            <w:r w:rsidRPr="009A2CAE">
              <w:t>122</w:t>
            </w:r>
          </w:p>
        </w:tc>
      </w:tr>
      <w:tr w:rsidR="00152658" w:rsidRPr="00735726" w14:paraId="5E7AF815" w14:textId="77777777" w:rsidTr="002F40E5">
        <w:trPr>
          <w:gridBefore w:val="1"/>
          <w:gridAfter w:val="1"/>
          <w:wBefore w:w="108" w:type="dxa"/>
          <w:wAfter w:w="612" w:type="dxa"/>
          <w:trHeight w:val="227"/>
        </w:trPr>
        <w:tc>
          <w:tcPr>
            <w:tcW w:w="7650" w:type="dxa"/>
            <w:gridSpan w:val="3"/>
          </w:tcPr>
          <w:p w14:paraId="62DED620"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lastRenderedPageBreak/>
              <w:t>Nomination Committee Report</w:t>
            </w:r>
          </w:p>
        </w:tc>
        <w:tc>
          <w:tcPr>
            <w:tcW w:w="1366" w:type="dxa"/>
            <w:gridSpan w:val="4"/>
          </w:tcPr>
          <w:p w14:paraId="19C966D7" w14:textId="57088327" w:rsidR="00152658" w:rsidRPr="009A2CAE" w:rsidRDefault="003D1633" w:rsidP="002F40E5">
            <w:pPr>
              <w:pStyle w:val="03body"/>
              <w:tabs>
                <w:tab w:val="right" w:pos="4544"/>
              </w:tabs>
              <w:spacing w:line="240" w:lineRule="auto"/>
              <w:jc w:val="center"/>
            </w:pPr>
            <w:r w:rsidRPr="009A2CAE">
              <w:t>125</w:t>
            </w:r>
          </w:p>
        </w:tc>
      </w:tr>
      <w:tr w:rsidR="00152658" w:rsidRPr="00735726" w14:paraId="31693F75" w14:textId="77777777" w:rsidTr="002F40E5">
        <w:trPr>
          <w:gridBefore w:val="1"/>
          <w:gridAfter w:val="1"/>
          <w:wBefore w:w="108" w:type="dxa"/>
          <w:wAfter w:w="612" w:type="dxa"/>
          <w:trHeight w:val="227"/>
        </w:trPr>
        <w:tc>
          <w:tcPr>
            <w:tcW w:w="7650" w:type="dxa"/>
            <w:gridSpan w:val="3"/>
          </w:tcPr>
          <w:p w14:paraId="2E8C1D63"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Audit Committee Report</w:t>
            </w:r>
          </w:p>
        </w:tc>
        <w:tc>
          <w:tcPr>
            <w:tcW w:w="1366" w:type="dxa"/>
            <w:gridSpan w:val="4"/>
          </w:tcPr>
          <w:p w14:paraId="50503E0C" w14:textId="14C32B38" w:rsidR="00152658" w:rsidRPr="009A2CAE" w:rsidRDefault="003D1633" w:rsidP="002F40E5">
            <w:pPr>
              <w:pStyle w:val="03body"/>
              <w:tabs>
                <w:tab w:val="right" w:pos="4544"/>
              </w:tabs>
              <w:spacing w:line="240" w:lineRule="auto"/>
              <w:jc w:val="center"/>
            </w:pPr>
            <w:r w:rsidRPr="009A2CAE">
              <w:t>130</w:t>
            </w:r>
          </w:p>
        </w:tc>
      </w:tr>
      <w:tr w:rsidR="00152658" w:rsidRPr="00735726" w14:paraId="0B9C1AD1" w14:textId="77777777" w:rsidTr="002F40E5">
        <w:trPr>
          <w:gridBefore w:val="1"/>
          <w:gridAfter w:val="1"/>
          <w:wBefore w:w="108" w:type="dxa"/>
          <w:wAfter w:w="612" w:type="dxa"/>
          <w:trHeight w:val="227"/>
        </w:trPr>
        <w:tc>
          <w:tcPr>
            <w:tcW w:w="7650" w:type="dxa"/>
            <w:gridSpan w:val="3"/>
          </w:tcPr>
          <w:p w14:paraId="57521F3E"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ESG Committee Report</w:t>
            </w:r>
          </w:p>
        </w:tc>
        <w:tc>
          <w:tcPr>
            <w:tcW w:w="1366" w:type="dxa"/>
            <w:gridSpan w:val="4"/>
          </w:tcPr>
          <w:p w14:paraId="04855F0D" w14:textId="0BABAE6E" w:rsidR="00152658" w:rsidRPr="009A2CAE" w:rsidRDefault="003D1633" w:rsidP="002F40E5">
            <w:pPr>
              <w:pStyle w:val="03body"/>
              <w:tabs>
                <w:tab w:val="right" w:pos="4544"/>
              </w:tabs>
              <w:spacing w:line="240" w:lineRule="auto"/>
              <w:jc w:val="center"/>
            </w:pPr>
            <w:r w:rsidRPr="009A2CAE">
              <w:t>140</w:t>
            </w:r>
          </w:p>
        </w:tc>
      </w:tr>
      <w:tr w:rsidR="00152658" w:rsidRPr="00735726" w14:paraId="7036BABD" w14:textId="77777777" w:rsidTr="002F40E5">
        <w:trPr>
          <w:gridBefore w:val="1"/>
          <w:gridAfter w:val="1"/>
          <w:wBefore w:w="108" w:type="dxa"/>
          <w:wAfter w:w="612" w:type="dxa"/>
          <w:trHeight w:val="227"/>
        </w:trPr>
        <w:tc>
          <w:tcPr>
            <w:tcW w:w="7650" w:type="dxa"/>
            <w:gridSpan w:val="3"/>
          </w:tcPr>
          <w:p w14:paraId="7EBD7407"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Health and Safety Committee Report</w:t>
            </w:r>
          </w:p>
        </w:tc>
        <w:tc>
          <w:tcPr>
            <w:tcW w:w="1366" w:type="dxa"/>
            <w:gridSpan w:val="4"/>
          </w:tcPr>
          <w:p w14:paraId="451921E9" w14:textId="07043391" w:rsidR="00152658" w:rsidRPr="009A2CAE" w:rsidRDefault="003D1633" w:rsidP="002F40E5">
            <w:pPr>
              <w:pStyle w:val="03body"/>
              <w:tabs>
                <w:tab w:val="right" w:pos="4544"/>
              </w:tabs>
              <w:spacing w:line="240" w:lineRule="auto"/>
              <w:jc w:val="center"/>
            </w:pPr>
            <w:r w:rsidRPr="009A2CAE">
              <w:t>144</w:t>
            </w:r>
          </w:p>
        </w:tc>
      </w:tr>
      <w:tr w:rsidR="00152658" w:rsidRPr="00735726" w14:paraId="6EC7B0D8" w14:textId="77777777" w:rsidTr="002F40E5">
        <w:trPr>
          <w:gridBefore w:val="1"/>
          <w:gridAfter w:val="1"/>
          <w:wBefore w:w="108" w:type="dxa"/>
          <w:wAfter w:w="612" w:type="dxa"/>
          <w:trHeight w:val="227"/>
        </w:trPr>
        <w:tc>
          <w:tcPr>
            <w:tcW w:w="7650" w:type="dxa"/>
            <w:gridSpan w:val="3"/>
          </w:tcPr>
          <w:p w14:paraId="7EA6CF5B"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Remuneration Committee Report</w:t>
            </w:r>
          </w:p>
        </w:tc>
        <w:tc>
          <w:tcPr>
            <w:tcW w:w="1366" w:type="dxa"/>
            <w:gridSpan w:val="4"/>
          </w:tcPr>
          <w:p w14:paraId="606DC912" w14:textId="3D235C19" w:rsidR="00152658" w:rsidRPr="009A2CAE" w:rsidRDefault="003D1633" w:rsidP="002F40E5">
            <w:pPr>
              <w:pStyle w:val="03body"/>
              <w:tabs>
                <w:tab w:val="right" w:pos="4544"/>
              </w:tabs>
              <w:spacing w:line="240" w:lineRule="auto"/>
              <w:jc w:val="center"/>
            </w:pPr>
            <w:r w:rsidRPr="009A2CAE">
              <w:t>145</w:t>
            </w:r>
          </w:p>
        </w:tc>
      </w:tr>
      <w:tr w:rsidR="00152658" w:rsidRPr="00735726" w14:paraId="31D32F79" w14:textId="77777777" w:rsidTr="002F40E5">
        <w:trPr>
          <w:gridBefore w:val="1"/>
          <w:gridAfter w:val="1"/>
          <w:wBefore w:w="108" w:type="dxa"/>
          <w:wAfter w:w="612" w:type="dxa"/>
          <w:trHeight w:val="227"/>
        </w:trPr>
        <w:tc>
          <w:tcPr>
            <w:tcW w:w="7650" w:type="dxa"/>
            <w:gridSpan w:val="3"/>
          </w:tcPr>
          <w:p w14:paraId="7DD85197"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Director’s Remuneration Report</w:t>
            </w:r>
          </w:p>
        </w:tc>
        <w:tc>
          <w:tcPr>
            <w:tcW w:w="1366" w:type="dxa"/>
            <w:gridSpan w:val="4"/>
          </w:tcPr>
          <w:p w14:paraId="6EBF0943" w14:textId="24FB347B" w:rsidR="00152658" w:rsidRPr="009A2CAE" w:rsidRDefault="003D1633" w:rsidP="002F40E5">
            <w:pPr>
              <w:pStyle w:val="03body"/>
              <w:tabs>
                <w:tab w:val="right" w:pos="4544"/>
              </w:tabs>
              <w:spacing w:line="240" w:lineRule="auto"/>
              <w:jc w:val="center"/>
            </w:pPr>
            <w:r w:rsidRPr="009A2CAE">
              <w:t>150</w:t>
            </w:r>
          </w:p>
        </w:tc>
      </w:tr>
      <w:tr w:rsidR="00152658" w:rsidRPr="00735726" w14:paraId="63B3B46B" w14:textId="77777777" w:rsidTr="002F40E5">
        <w:trPr>
          <w:gridBefore w:val="1"/>
          <w:gridAfter w:val="1"/>
          <w:wBefore w:w="108" w:type="dxa"/>
          <w:wAfter w:w="612" w:type="dxa"/>
          <w:trHeight w:val="227"/>
        </w:trPr>
        <w:tc>
          <w:tcPr>
            <w:tcW w:w="7650" w:type="dxa"/>
            <w:gridSpan w:val="3"/>
          </w:tcPr>
          <w:p w14:paraId="0DD11099"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Board of Directors and company information</w:t>
            </w:r>
          </w:p>
        </w:tc>
        <w:tc>
          <w:tcPr>
            <w:tcW w:w="1366" w:type="dxa"/>
            <w:gridSpan w:val="4"/>
          </w:tcPr>
          <w:p w14:paraId="287676AE" w14:textId="60055971" w:rsidR="00152658" w:rsidRPr="009A2CAE" w:rsidRDefault="003D1633" w:rsidP="002F40E5">
            <w:pPr>
              <w:pStyle w:val="03body"/>
              <w:tabs>
                <w:tab w:val="right" w:pos="4544"/>
              </w:tabs>
              <w:spacing w:line="240" w:lineRule="auto"/>
              <w:jc w:val="center"/>
            </w:pPr>
            <w:r w:rsidRPr="009A2CAE">
              <w:t>160</w:t>
            </w:r>
          </w:p>
        </w:tc>
      </w:tr>
      <w:tr w:rsidR="00152658" w:rsidRPr="00735726" w14:paraId="5302BD9F" w14:textId="77777777" w:rsidTr="002F40E5">
        <w:trPr>
          <w:gridBefore w:val="1"/>
          <w:gridAfter w:val="1"/>
          <w:wBefore w:w="108" w:type="dxa"/>
          <w:wAfter w:w="612" w:type="dxa"/>
          <w:trHeight w:val="227"/>
        </w:trPr>
        <w:tc>
          <w:tcPr>
            <w:tcW w:w="7650" w:type="dxa"/>
            <w:gridSpan w:val="3"/>
          </w:tcPr>
          <w:p w14:paraId="001D6A75"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Directors’ Report</w:t>
            </w:r>
          </w:p>
        </w:tc>
        <w:tc>
          <w:tcPr>
            <w:tcW w:w="1366" w:type="dxa"/>
            <w:gridSpan w:val="4"/>
          </w:tcPr>
          <w:p w14:paraId="0389A81B" w14:textId="22E853D7" w:rsidR="00152658" w:rsidRPr="009A2CAE" w:rsidRDefault="003D1633" w:rsidP="002F40E5">
            <w:pPr>
              <w:pStyle w:val="03body"/>
              <w:tabs>
                <w:tab w:val="right" w:pos="4544"/>
              </w:tabs>
              <w:spacing w:line="240" w:lineRule="auto"/>
              <w:jc w:val="center"/>
            </w:pPr>
            <w:r w:rsidRPr="009A2CAE">
              <w:t>161</w:t>
            </w:r>
          </w:p>
        </w:tc>
      </w:tr>
      <w:tr w:rsidR="00152658" w:rsidRPr="00735726" w14:paraId="44C636F7" w14:textId="77777777" w:rsidTr="002F40E5">
        <w:trPr>
          <w:gridBefore w:val="1"/>
          <w:gridAfter w:val="1"/>
          <w:wBefore w:w="108" w:type="dxa"/>
          <w:wAfter w:w="612" w:type="dxa"/>
          <w:trHeight w:val="227"/>
        </w:trPr>
        <w:tc>
          <w:tcPr>
            <w:tcW w:w="7650" w:type="dxa"/>
            <w:gridSpan w:val="3"/>
          </w:tcPr>
          <w:p w14:paraId="2B314C40"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Statement of Directors’ responsibilities</w:t>
            </w:r>
          </w:p>
        </w:tc>
        <w:tc>
          <w:tcPr>
            <w:tcW w:w="1366" w:type="dxa"/>
            <w:gridSpan w:val="4"/>
          </w:tcPr>
          <w:p w14:paraId="1D46EB86" w14:textId="04453EEB" w:rsidR="00152658" w:rsidRPr="009A2CAE" w:rsidRDefault="003D1633" w:rsidP="002F40E5">
            <w:pPr>
              <w:pStyle w:val="03body"/>
              <w:tabs>
                <w:tab w:val="right" w:pos="4544"/>
              </w:tabs>
              <w:spacing w:line="240" w:lineRule="auto"/>
              <w:jc w:val="center"/>
            </w:pPr>
            <w:r w:rsidRPr="009A2CAE">
              <w:t>166</w:t>
            </w:r>
          </w:p>
        </w:tc>
      </w:tr>
      <w:tr w:rsidR="00152658" w:rsidRPr="00735726" w14:paraId="5A815A2B" w14:textId="77777777" w:rsidTr="002F40E5">
        <w:trPr>
          <w:gridBefore w:val="1"/>
          <w:gridAfter w:val="1"/>
          <w:wBefore w:w="108" w:type="dxa"/>
          <w:wAfter w:w="612" w:type="dxa"/>
          <w:trHeight w:val="227"/>
        </w:trPr>
        <w:tc>
          <w:tcPr>
            <w:tcW w:w="7650" w:type="dxa"/>
            <w:gridSpan w:val="3"/>
          </w:tcPr>
          <w:p w14:paraId="03377FEB" w14:textId="77777777" w:rsidR="00152658" w:rsidRPr="00735726" w:rsidRDefault="00152658" w:rsidP="002F40E5">
            <w:pPr>
              <w:spacing w:line="240" w:lineRule="auto"/>
              <w:rPr>
                <w:rFonts w:ascii="Arial" w:hAnsi="Arial" w:cs="DINOT-Light"/>
                <w:b/>
                <w:color w:val="000000"/>
                <w:sz w:val="18"/>
                <w:szCs w:val="18"/>
              </w:rPr>
            </w:pPr>
            <w:r w:rsidRPr="00735726">
              <w:rPr>
                <w:rFonts w:ascii="Arial" w:hAnsi="Arial" w:cs="DINOT-Light"/>
                <w:b/>
                <w:color w:val="000000"/>
                <w:sz w:val="18"/>
                <w:szCs w:val="18"/>
              </w:rPr>
              <w:t>INDEPENDENT AUDITOR’S REPORT</w:t>
            </w:r>
          </w:p>
        </w:tc>
        <w:tc>
          <w:tcPr>
            <w:tcW w:w="1366" w:type="dxa"/>
            <w:gridSpan w:val="4"/>
          </w:tcPr>
          <w:p w14:paraId="03331A37" w14:textId="55A86D28" w:rsidR="00152658" w:rsidRPr="009A2CAE" w:rsidRDefault="003D1633" w:rsidP="002F40E5">
            <w:pPr>
              <w:pStyle w:val="03body"/>
              <w:tabs>
                <w:tab w:val="right" w:pos="4544"/>
              </w:tabs>
              <w:spacing w:line="240" w:lineRule="auto"/>
              <w:jc w:val="center"/>
            </w:pPr>
            <w:r w:rsidRPr="009A2CAE">
              <w:t>168</w:t>
            </w:r>
          </w:p>
        </w:tc>
      </w:tr>
      <w:tr w:rsidR="00152658" w:rsidRPr="00735726" w14:paraId="446BC795" w14:textId="77777777" w:rsidTr="002F40E5">
        <w:trPr>
          <w:gridBefore w:val="1"/>
          <w:gridAfter w:val="1"/>
          <w:wBefore w:w="108" w:type="dxa"/>
          <w:wAfter w:w="612" w:type="dxa"/>
          <w:trHeight w:val="227"/>
        </w:trPr>
        <w:tc>
          <w:tcPr>
            <w:tcW w:w="7650" w:type="dxa"/>
            <w:gridSpan w:val="3"/>
          </w:tcPr>
          <w:p w14:paraId="2F6CF836" w14:textId="77777777" w:rsidR="00152658" w:rsidRPr="00735726" w:rsidRDefault="00152658" w:rsidP="002F40E5">
            <w:pPr>
              <w:spacing w:line="240" w:lineRule="auto"/>
              <w:rPr>
                <w:rFonts w:ascii="Arial" w:hAnsi="Arial" w:cs="DINOT-Light"/>
                <w:b/>
                <w:color w:val="000000"/>
                <w:sz w:val="18"/>
                <w:szCs w:val="18"/>
              </w:rPr>
            </w:pPr>
            <w:r w:rsidRPr="00735726">
              <w:rPr>
                <w:rFonts w:ascii="Arial" w:hAnsi="Arial" w:cs="DINOT-Light"/>
                <w:b/>
                <w:color w:val="000000"/>
                <w:sz w:val="18"/>
                <w:szCs w:val="18"/>
              </w:rPr>
              <w:t>FINANCIAL STATEMENTS</w:t>
            </w:r>
          </w:p>
        </w:tc>
        <w:tc>
          <w:tcPr>
            <w:tcW w:w="1366" w:type="dxa"/>
            <w:gridSpan w:val="4"/>
          </w:tcPr>
          <w:p w14:paraId="027B0497" w14:textId="77777777" w:rsidR="00152658" w:rsidRPr="009A2CAE" w:rsidRDefault="00152658" w:rsidP="002F40E5">
            <w:pPr>
              <w:spacing w:line="240" w:lineRule="auto"/>
              <w:jc w:val="center"/>
            </w:pPr>
          </w:p>
        </w:tc>
      </w:tr>
      <w:tr w:rsidR="00152658" w:rsidRPr="00735726" w14:paraId="5D50E3AE" w14:textId="77777777" w:rsidTr="002F40E5">
        <w:trPr>
          <w:gridBefore w:val="1"/>
          <w:gridAfter w:val="1"/>
          <w:wBefore w:w="108" w:type="dxa"/>
          <w:wAfter w:w="612" w:type="dxa"/>
          <w:trHeight w:val="227"/>
        </w:trPr>
        <w:tc>
          <w:tcPr>
            <w:tcW w:w="7650" w:type="dxa"/>
            <w:gridSpan w:val="3"/>
          </w:tcPr>
          <w:p w14:paraId="75D477D8"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Statement of Profit or Loss</w:t>
            </w:r>
          </w:p>
        </w:tc>
        <w:tc>
          <w:tcPr>
            <w:tcW w:w="1366" w:type="dxa"/>
            <w:gridSpan w:val="4"/>
          </w:tcPr>
          <w:p w14:paraId="73068CB5" w14:textId="295E1F53" w:rsidR="00152658" w:rsidRPr="009A2CAE" w:rsidRDefault="003D1633" w:rsidP="002F40E5">
            <w:pPr>
              <w:pStyle w:val="03body"/>
              <w:tabs>
                <w:tab w:val="right" w:pos="4544"/>
              </w:tabs>
              <w:spacing w:line="240" w:lineRule="auto"/>
              <w:jc w:val="center"/>
            </w:pPr>
            <w:r w:rsidRPr="009A2CAE">
              <w:t>176</w:t>
            </w:r>
          </w:p>
        </w:tc>
      </w:tr>
      <w:tr w:rsidR="00152658" w:rsidRPr="00735726" w14:paraId="56397795" w14:textId="77777777" w:rsidTr="002F40E5">
        <w:trPr>
          <w:gridBefore w:val="1"/>
          <w:gridAfter w:val="1"/>
          <w:wBefore w:w="108" w:type="dxa"/>
          <w:wAfter w:w="612" w:type="dxa"/>
          <w:trHeight w:val="227"/>
        </w:trPr>
        <w:tc>
          <w:tcPr>
            <w:tcW w:w="7650" w:type="dxa"/>
            <w:gridSpan w:val="3"/>
          </w:tcPr>
          <w:p w14:paraId="033B61A8"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Statement of Comprehensive Income</w:t>
            </w:r>
          </w:p>
        </w:tc>
        <w:tc>
          <w:tcPr>
            <w:tcW w:w="1366" w:type="dxa"/>
            <w:gridSpan w:val="4"/>
          </w:tcPr>
          <w:p w14:paraId="181E1C89" w14:textId="49B4A3F8" w:rsidR="00152658" w:rsidRPr="009A2CAE" w:rsidRDefault="003D1633" w:rsidP="002F40E5">
            <w:pPr>
              <w:pStyle w:val="03body"/>
              <w:tabs>
                <w:tab w:val="right" w:pos="4544"/>
              </w:tabs>
              <w:spacing w:line="240" w:lineRule="auto"/>
              <w:jc w:val="center"/>
            </w:pPr>
            <w:r w:rsidRPr="009A2CAE">
              <w:t>177</w:t>
            </w:r>
          </w:p>
        </w:tc>
      </w:tr>
      <w:tr w:rsidR="00152658" w:rsidRPr="00735726" w14:paraId="784FC09D" w14:textId="77777777" w:rsidTr="002F40E5">
        <w:trPr>
          <w:gridBefore w:val="1"/>
          <w:gridAfter w:val="1"/>
          <w:wBefore w:w="108" w:type="dxa"/>
          <w:wAfter w:w="612" w:type="dxa"/>
          <w:trHeight w:val="227"/>
        </w:trPr>
        <w:tc>
          <w:tcPr>
            <w:tcW w:w="7650" w:type="dxa"/>
            <w:gridSpan w:val="3"/>
          </w:tcPr>
          <w:p w14:paraId="75AD685E"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Balance Sheet</w:t>
            </w:r>
          </w:p>
        </w:tc>
        <w:tc>
          <w:tcPr>
            <w:tcW w:w="1366" w:type="dxa"/>
            <w:gridSpan w:val="4"/>
          </w:tcPr>
          <w:p w14:paraId="1889C4CE" w14:textId="3E8050F3" w:rsidR="00152658" w:rsidRPr="009A2CAE" w:rsidRDefault="003D1633" w:rsidP="002F40E5">
            <w:pPr>
              <w:pStyle w:val="03body"/>
              <w:tabs>
                <w:tab w:val="right" w:pos="4544"/>
              </w:tabs>
              <w:spacing w:line="240" w:lineRule="auto"/>
              <w:jc w:val="center"/>
            </w:pPr>
            <w:r w:rsidRPr="009A2CAE">
              <w:t>178</w:t>
            </w:r>
          </w:p>
        </w:tc>
      </w:tr>
      <w:tr w:rsidR="00152658" w:rsidRPr="00735726" w14:paraId="3BF88B7F" w14:textId="77777777" w:rsidTr="002F40E5">
        <w:trPr>
          <w:gridBefore w:val="1"/>
          <w:gridAfter w:val="1"/>
          <w:wBefore w:w="108" w:type="dxa"/>
          <w:wAfter w:w="612" w:type="dxa"/>
          <w:trHeight w:val="227"/>
        </w:trPr>
        <w:tc>
          <w:tcPr>
            <w:tcW w:w="7650" w:type="dxa"/>
            <w:gridSpan w:val="3"/>
          </w:tcPr>
          <w:p w14:paraId="269D4691"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Statement of Changes in Equity</w:t>
            </w:r>
          </w:p>
        </w:tc>
        <w:tc>
          <w:tcPr>
            <w:tcW w:w="1366" w:type="dxa"/>
            <w:gridSpan w:val="4"/>
          </w:tcPr>
          <w:p w14:paraId="7AA8E224" w14:textId="47B02DA9" w:rsidR="00152658" w:rsidRPr="009A2CAE" w:rsidRDefault="003D1633" w:rsidP="002F40E5">
            <w:pPr>
              <w:pStyle w:val="03body"/>
              <w:tabs>
                <w:tab w:val="right" w:pos="4544"/>
              </w:tabs>
              <w:spacing w:line="240" w:lineRule="auto"/>
              <w:jc w:val="center"/>
            </w:pPr>
            <w:r w:rsidRPr="009A2CAE">
              <w:t>179</w:t>
            </w:r>
          </w:p>
        </w:tc>
      </w:tr>
      <w:tr w:rsidR="00152658" w:rsidRPr="00735726" w14:paraId="63F3DCD6" w14:textId="77777777" w:rsidTr="002F40E5">
        <w:trPr>
          <w:gridBefore w:val="1"/>
          <w:gridAfter w:val="1"/>
          <w:wBefore w:w="108" w:type="dxa"/>
          <w:wAfter w:w="612" w:type="dxa"/>
          <w:trHeight w:val="227"/>
        </w:trPr>
        <w:tc>
          <w:tcPr>
            <w:tcW w:w="7650" w:type="dxa"/>
            <w:gridSpan w:val="3"/>
          </w:tcPr>
          <w:p w14:paraId="490C49E6"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Cash Flow Statement</w:t>
            </w:r>
          </w:p>
        </w:tc>
        <w:tc>
          <w:tcPr>
            <w:tcW w:w="1366" w:type="dxa"/>
            <w:gridSpan w:val="4"/>
          </w:tcPr>
          <w:p w14:paraId="777BD052" w14:textId="0F3188DA" w:rsidR="00152658" w:rsidRPr="009A2CAE" w:rsidRDefault="003D1633" w:rsidP="002F40E5">
            <w:pPr>
              <w:pStyle w:val="03body"/>
              <w:tabs>
                <w:tab w:val="right" w:pos="4544"/>
              </w:tabs>
              <w:spacing w:line="240" w:lineRule="auto"/>
              <w:jc w:val="center"/>
            </w:pPr>
            <w:r w:rsidRPr="009A2CAE">
              <w:t>180</w:t>
            </w:r>
          </w:p>
        </w:tc>
      </w:tr>
      <w:tr w:rsidR="00152658" w:rsidRPr="00735726" w14:paraId="4C333F28" w14:textId="77777777" w:rsidTr="002F40E5">
        <w:trPr>
          <w:gridBefore w:val="1"/>
          <w:gridAfter w:val="1"/>
          <w:wBefore w:w="108" w:type="dxa"/>
          <w:wAfter w:w="612" w:type="dxa"/>
          <w:trHeight w:val="227"/>
        </w:trPr>
        <w:tc>
          <w:tcPr>
            <w:tcW w:w="7650" w:type="dxa"/>
            <w:gridSpan w:val="3"/>
          </w:tcPr>
          <w:p w14:paraId="1D6BF21C" w14:textId="77777777" w:rsidR="00152658" w:rsidRPr="00735726" w:rsidRDefault="00152658" w:rsidP="002F40E5">
            <w:pPr>
              <w:spacing w:line="240" w:lineRule="auto"/>
              <w:rPr>
                <w:rFonts w:ascii="Arial" w:hAnsi="Arial" w:cs="Arial"/>
                <w:sz w:val="18"/>
                <w:szCs w:val="18"/>
              </w:rPr>
            </w:pPr>
            <w:r w:rsidRPr="00735726">
              <w:rPr>
                <w:rFonts w:ascii="Arial" w:hAnsi="Arial" w:cs="Arial"/>
                <w:sz w:val="18"/>
                <w:szCs w:val="18"/>
              </w:rPr>
              <w:t>Notes to the Financial Statements</w:t>
            </w:r>
          </w:p>
        </w:tc>
        <w:tc>
          <w:tcPr>
            <w:tcW w:w="1366" w:type="dxa"/>
            <w:gridSpan w:val="4"/>
          </w:tcPr>
          <w:p w14:paraId="5133D305" w14:textId="306B28EE" w:rsidR="00152658" w:rsidRPr="009A2CAE" w:rsidRDefault="003D1633" w:rsidP="002F40E5">
            <w:pPr>
              <w:pStyle w:val="03body"/>
              <w:tabs>
                <w:tab w:val="right" w:pos="4544"/>
              </w:tabs>
              <w:spacing w:line="240" w:lineRule="auto"/>
              <w:jc w:val="center"/>
            </w:pPr>
            <w:r w:rsidRPr="009A2CAE">
              <w:t>181</w:t>
            </w:r>
          </w:p>
        </w:tc>
      </w:tr>
    </w:tbl>
    <w:p w14:paraId="650AC14A" w14:textId="77777777" w:rsidR="00152658" w:rsidRPr="00735726" w:rsidRDefault="00152658" w:rsidP="00152658">
      <w:pPr>
        <w:widowControl w:val="0"/>
        <w:suppressAutoHyphens/>
        <w:autoSpaceDE w:val="0"/>
        <w:autoSpaceDN w:val="0"/>
        <w:adjustRightInd w:val="0"/>
        <w:spacing w:after="0" w:line="288" w:lineRule="auto"/>
        <w:textAlignment w:val="center"/>
        <w:outlineLvl w:val="0"/>
        <w:rPr>
          <w:rFonts w:ascii="Arial" w:eastAsia="Times New Roman" w:hAnsi="Arial" w:cs="DINOT"/>
          <w:caps/>
          <w:color w:val="000000"/>
          <w:sz w:val="32"/>
          <w:szCs w:val="32"/>
        </w:rPr>
      </w:pPr>
    </w:p>
    <w:p w14:paraId="68A612F7" w14:textId="77777777" w:rsidR="00152658" w:rsidRPr="00735726" w:rsidRDefault="00152658" w:rsidP="00152658">
      <w:pPr>
        <w:spacing w:after="160" w:line="259" w:lineRule="auto"/>
        <w:rPr>
          <w:rFonts w:ascii="Arial" w:eastAsia="Times New Roman" w:hAnsi="Arial" w:cs="DINOT"/>
          <w:caps/>
          <w:color w:val="000000"/>
          <w:sz w:val="32"/>
          <w:szCs w:val="32"/>
        </w:rPr>
      </w:pPr>
      <w:r w:rsidRPr="00735726">
        <w:rPr>
          <w:rFonts w:ascii="Arial" w:eastAsia="Times New Roman" w:hAnsi="Arial" w:cs="DINOT"/>
          <w:caps/>
          <w:color w:val="000000"/>
          <w:sz w:val="32"/>
          <w:szCs w:val="32"/>
        </w:rPr>
        <w:br w:type="page"/>
      </w:r>
    </w:p>
    <w:p w14:paraId="2E9A31A7" w14:textId="1395FE04" w:rsidR="004F030D" w:rsidRPr="00735726" w:rsidRDefault="00152658" w:rsidP="00844EFD">
      <w:pPr>
        <w:outlineLvl w:val="0"/>
        <w:rPr>
          <w:rFonts w:ascii="Arial" w:hAnsi="Arial" w:cs="Arial"/>
          <w:sz w:val="32"/>
          <w:szCs w:val="32"/>
        </w:rPr>
      </w:pPr>
      <w:r w:rsidRPr="00735726">
        <w:rPr>
          <w:rFonts w:ascii="Arial" w:hAnsi="Arial" w:cs="Arial"/>
          <w:sz w:val="32"/>
          <w:szCs w:val="32"/>
        </w:rPr>
        <w:lastRenderedPageBreak/>
        <w:t xml:space="preserve">EXECUTIVE </w:t>
      </w:r>
      <w:r w:rsidR="004F030D" w:rsidRPr="00735726">
        <w:rPr>
          <w:rFonts w:ascii="Arial" w:hAnsi="Arial" w:cs="Arial"/>
          <w:sz w:val="32"/>
          <w:szCs w:val="32"/>
        </w:rPr>
        <w:t xml:space="preserve">CHAIR’S LETTER </w:t>
      </w:r>
    </w:p>
    <w:p w14:paraId="082FE932" w14:textId="1B396CAE" w:rsidR="00665358" w:rsidRPr="00735726" w:rsidRDefault="00665358" w:rsidP="00844EFD">
      <w:pPr>
        <w:rPr>
          <w:rFonts w:ascii="Arial" w:hAnsi="Arial" w:cs="Arial"/>
          <w:sz w:val="18"/>
          <w:szCs w:val="18"/>
        </w:rPr>
      </w:pPr>
      <w:bookmarkStart w:id="6" w:name="_Hlk135381064"/>
      <w:bookmarkStart w:id="7" w:name="_Hlk135380616"/>
      <w:bookmarkEnd w:id="1"/>
      <w:r w:rsidRPr="00735726">
        <w:rPr>
          <w:rFonts w:ascii="Arial" w:hAnsi="Arial" w:cs="Arial"/>
          <w:sz w:val="18"/>
          <w:szCs w:val="18"/>
        </w:rPr>
        <w:t xml:space="preserve">With a renewed focus and leadership changes, we are well positioned to deliver for customers, communities, and the environment.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is well positioned to meet rising expectations, strengthening leadership, sharpening operational delivery and maintaining the financial resilience required to deliver improvements for customers and the environment.</w:t>
      </w:r>
    </w:p>
    <w:p w14:paraId="6272D32F" w14:textId="5CB8961D" w:rsidR="00665358" w:rsidRPr="00735726" w:rsidRDefault="00665358" w:rsidP="00844EFD">
      <w:pPr>
        <w:rPr>
          <w:rFonts w:ascii="Arial" w:hAnsi="Arial" w:cs="Arial"/>
          <w:sz w:val="18"/>
          <w:szCs w:val="18"/>
        </w:rPr>
      </w:pPr>
      <w:r w:rsidRPr="00735726">
        <w:rPr>
          <w:rFonts w:ascii="Arial" w:hAnsi="Arial" w:cs="Arial"/>
          <w:sz w:val="18"/>
          <w:szCs w:val="18"/>
        </w:rPr>
        <w:t xml:space="preserve">This has been a year of significant progress, evolution and continued delivery for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amidst a changing landscape in the UK water sector. </w:t>
      </w:r>
    </w:p>
    <w:p w14:paraId="03E92FEC" w14:textId="491DE092" w:rsidR="00665358" w:rsidRPr="00735726" w:rsidRDefault="00665358" w:rsidP="00844EFD">
      <w:pPr>
        <w:rPr>
          <w:rFonts w:ascii="Arial" w:hAnsi="Arial" w:cs="Arial"/>
          <w:sz w:val="18"/>
          <w:szCs w:val="18"/>
        </w:rPr>
      </w:pPr>
      <w:r w:rsidRPr="00735726">
        <w:rPr>
          <w:rFonts w:ascii="Arial" w:hAnsi="Arial" w:cs="Arial"/>
          <w:sz w:val="18"/>
          <w:szCs w:val="18"/>
        </w:rPr>
        <w:t>During the year, the industry has been subject to the most significant review of its regulatory framework since privatisation. The work of the Independent Water Commission, led by Sir Jon Cunliffe, and the Government’s subsequent White Paper, ‘A New Vision for Water’, signal a profound shift in expectations for the sector, with greater transparency, stronger environmental accountability and a renewed focus on long-term infrastructure resilience, all of which we support wholeheartedly.</w:t>
      </w:r>
    </w:p>
    <w:p w14:paraId="41F58BC4" w14:textId="75094EA5" w:rsidR="00665358" w:rsidRPr="00735726" w:rsidRDefault="00665358" w:rsidP="00844EFD">
      <w:pPr>
        <w:rPr>
          <w:rFonts w:ascii="Arial" w:hAnsi="Arial" w:cs="Arial"/>
          <w:sz w:val="18"/>
          <w:szCs w:val="18"/>
        </w:rPr>
      </w:pPr>
      <w:r w:rsidRPr="00735726">
        <w:rPr>
          <w:rFonts w:ascii="Arial" w:hAnsi="Arial" w:cs="Arial"/>
          <w:sz w:val="18"/>
          <w:szCs w:val="18"/>
        </w:rPr>
        <w:t>These reforms come at a time when the underlying challenges facing water systems are intensifying. Climate change is placing increasing pressure on water resources and wastewater networks, while population growth and ageing infrastructure require sustained investment and long-term planning. Against this backdrop, companies must demonstrate strong operational performance coupled with the capability to deliver the significant investment required in the decades ahead.</w:t>
      </w:r>
    </w:p>
    <w:p w14:paraId="60B09B75" w14:textId="099C1ED6" w:rsidR="00665358" w:rsidRPr="00735726" w:rsidRDefault="00665358" w:rsidP="00844EFD">
      <w:pPr>
        <w:rPr>
          <w:rFonts w:ascii="Arial" w:hAnsi="Arial" w:cs="Arial"/>
          <w:sz w:val="18"/>
          <w:szCs w:val="18"/>
        </w:rPr>
      </w:pPr>
      <w:r w:rsidRPr="00735726">
        <w:rPr>
          <w:rFonts w:ascii="Arial" w:hAnsi="Arial" w:cs="Arial"/>
          <w:sz w:val="18"/>
          <w:szCs w:val="18"/>
        </w:rPr>
        <w:t>We have undergone important changes to our leadership and governance whilst also entering the first year of a longer-term plan with AMP8 running from 2025</w:t>
      </w:r>
      <w:r w:rsidR="006C1BA9" w:rsidRPr="00735726">
        <w:rPr>
          <w:rFonts w:ascii="Arial" w:hAnsi="Arial" w:cs="Arial"/>
          <w:sz w:val="18"/>
          <w:szCs w:val="18"/>
        </w:rPr>
        <w:t>-</w:t>
      </w:r>
      <w:r w:rsidRPr="00735726">
        <w:rPr>
          <w:rFonts w:ascii="Arial" w:hAnsi="Arial" w:cs="Arial"/>
          <w:sz w:val="18"/>
          <w:szCs w:val="18"/>
        </w:rPr>
        <w:t>2030 and constituting the largest investment programme in the Company’s history. Our focus as a Board has therefore required a balance between near-term delivery and ensuring we are best placed to achieve the goals of our five-year plan.</w:t>
      </w:r>
    </w:p>
    <w:p w14:paraId="4009A4D7" w14:textId="15B3BD35" w:rsidR="000F1B6E" w:rsidRPr="00735726" w:rsidRDefault="00665358" w:rsidP="00844EFD">
      <w:pPr>
        <w:rPr>
          <w:rFonts w:ascii="Arial" w:hAnsi="Arial" w:cs="Arial"/>
          <w:sz w:val="18"/>
          <w:szCs w:val="18"/>
        </w:rPr>
      </w:pPr>
      <w:r w:rsidRPr="00735726">
        <w:rPr>
          <w:rFonts w:ascii="Arial" w:hAnsi="Arial" w:cs="Arial"/>
          <w:sz w:val="18"/>
          <w:szCs w:val="18"/>
        </w:rPr>
        <w:t xml:space="preserve">Reflecting these priorities, the Board has focused in the past 12 months on ensuring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is well positioned to meet rising expectations by strengthening leadership, focusing on operational delivery plans and maintaining the financial resilience required to deliver improvements for customers and the environment.</w:t>
      </w:r>
    </w:p>
    <w:p w14:paraId="3960E015" w14:textId="17D67DFE" w:rsidR="00397E61" w:rsidRPr="00735726" w:rsidRDefault="000F1B6E" w:rsidP="00277639">
      <w:pPr>
        <w:rPr>
          <w:rFonts w:ascii="Arial" w:hAnsi="Arial" w:cs="Arial"/>
          <w:sz w:val="18"/>
          <w:szCs w:val="18"/>
        </w:rPr>
      </w:pPr>
      <w:r w:rsidRPr="00735726">
        <w:rPr>
          <w:rFonts w:ascii="Arial" w:eastAsia="Times New Roman" w:hAnsi="Arial" w:cs="DINOT-Light"/>
          <w:b/>
          <w:color w:val="000000"/>
          <w:sz w:val="18"/>
          <w:szCs w:val="18"/>
        </w:rPr>
        <w:t>LEADERSHIP AND BOARD CHANGES</w:t>
      </w:r>
      <w:r w:rsidR="00D62E2B" w:rsidRPr="00735726">
        <w:rPr>
          <w:rFonts w:ascii="Arial" w:hAnsi="Arial" w:cs="Arial"/>
          <w:sz w:val="18"/>
          <w:szCs w:val="18"/>
        </w:rPr>
        <w:br/>
      </w:r>
      <w:r w:rsidRPr="00735726">
        <w:rPr>
          <w:rFonts w:ascii="Arial" w:hAnsi="Arial" w:cs="Arial"/>
          <w:sz w:val="18"/>
          <w:szCs w:val="18"/>
        </w:rPr>
        <w:t xml:space="preserve">This year has marked a significant transition in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leadership. </w:t>
      </w:r>
    </w:p>
    <w:p w14:paraId="700D76F9" w14:textId="01077CE1" w:rsidR="000F1B6E" w:rsidRPr="00735726" w:rsidRDefault="000F1B6E" w:rsidP="00844EFD">
      <w:pPr>
        <w:spacing w:after="160"/>
        <w:rPr>
          <w:rFonts w:ascii="Arial" w:hAnsi="Arial" w:cs="Arial"/>
          <w:sz w:val="18"/>
          <w:szCs w:val="18"/>
        </w:rPr>
      </w:pPr>
      <w:r w:rsidRPr="00735726">
        <w:rPr>
          <w:rFonts w:ascii="Arial" w:hAnsi="Arial" w:cs="Arial"/>
          <w:sz w:val="18"/>
          <w:szCs w:val="18"/>
        </w:rPr>
        <w:t>Susan Davy stepped down as Chief Executive in December 2025 after 18 years of dedicated service.</w:t>
      </w:r>
      <w:r w:rsidR="00397E61" w:rsidRPr="00735726">
        <w:rPr>
          <w:rFonts w:ascii="Arial" w:hAnsi="Arial" w:cs="Arial"/>
          <w:sz w:val="18"/>
          <w:szCs w:val="18"/>
        </w:rPr>
        <w:t xml:space="preserve"> </w:t>
      </w:r>
      <w:r w:rsidRPr="00735726">
        <w:rPr>
          <w:rFonts w:ascii="Arial" w:hAnsi="Arial" w:cs="Arial"/>
          <w:sz w:val="18"/>
          <w:szCs w:val="18"/>
        </w:rPr>
        <w:t>Under Susan’s leadership</w:t>
      </w:r>
      <w:r w:rsidR="00B1686C" w:rsidRPr="00735726">
        <w:rPr>
          <w:rFonts w:ascii="Arial" w:hAnsi="Arial" w:cs="Arial"/>
          <w:sz w:val="18"/>
          <w:szCs w:val="18"/>
        </w:rPr>
        <w:t>,</w:t>
      </w:r>
      <w:r w:rsidRPr="00735726">
        <w:rPr>
          <w:rFonts w:ascii="Arial" w:hAnsi="Arial" w:cs="Arial"/>
          <w:sz w:val="18"/>
          <w:szCs w:val="18"/>
        </w:rPr>
        <w:t xml:space="preserv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navigated a period of considerable change, including the mobilisation of our plans for the new regulatory cycle and the development of our record investment programme. On behalf of the Board, I would like to thank Susan for her commitment and leadership.</w:t>
      </w:r>
    </w:p>
    <w:p w14:paraId="27B29208" w14:textId="1AAC43D4" w:rsidR="000F1B6E" w:rsidRPr="00735726" w:rsidRDefault="000F1B6E" w:rsidP="00844EFD">
      <w:pPr>
        <w:spacing w:after="160"/>
        <w:rPr>
          <w:rFonts w:ascii="Arial" w:hAnsi="Arial" w:cs="Arial"/>
          <w:sz w:val="18"/>
          <w:szCs w:val="18"/>
        </w:rPr>
      </w:pPr>
      <w:r w:rsidRPr="00735726">
        <w:rPr>
          <w:rFonts w:ascii="Arial" w:hAnsi="Arial" w:cs="Arial"/>
          <w:sz w:val="18"/>
          <w:szCs w:val="18"/>
        </w:rPr>
        <w:t xml:space="preserve">Keith Haslett joined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as Chief Executive on </w:t>
      </w:r>
      <w:r w:rsidR="00A774C5" w:rsidRPr="00735726">
        <w:rPr>
          <w:rFonts w:ascii="Arial" w:hAnsi="Arial" w:cs="Arial"/>
          <w:sz w:val="18"/>
          <w:szCs w:val="18"/>
        </w:rPr>
        <w:t>19 May</w:t>
      </w:r>
      <w:r w:rsidRPr="00735726">
        <w:rPr>
          <w:rFonts w:ascii="Arial" w:hAnsi="Arial" w:cs="Arial"/>
          <w:sz w:val="18"/>
          <w:szCs w:val="18"/>
        </w:rPr>
        <w:t xml:space="preserve"> 2026. In previous roles Keith has delivered improvements in business performance and customer outcomes and brings deep operational experience across complex infrastructure businesses and a strong track record of both transformation and disciplined operational and capital delivery. The Board is working closely with Keith as we strengthen operational performance and deliver the ambitious programme of investment now underway with discipline and focus.</w:t>
      </w:r>
    </w:p>
    <w:p w14:paraId="50B1BA83" w14:textId="77777777" w:rsidR="000F1B6E" w:rsidRPr="00735726" w:rsidRDefault="000F1B6E" w:rsidP="00844EFD">
      <w:pPr>
        <w:spacing w:after="160"/>
        <w:rPr>
          <w:rFonts w:ascii="Arial" w:hAnsi="Arial" w:cs="Arial"/>
          <w:sz w:val="18"/>
          <w:szCs w:val="18"/>
        </w:rPr>
      </w:pPr>
      <w:r w:rsidRPr="00735726">
        <w:rPr>
          <w:rFonts w:ascii="Arial" w:hAnsi="Arial" w:cs="Arial"/>
          <w:sz w:val="18"/>
          <w:szCs w:val="18"/>
        </w:rPr>
        <w:t xml:space="preserve">In support of our clear aims and ambitions, we also announced in February 2026 the creation of a new Chief Asset Officer role, with Ian Christie joining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in May 2026. Asset health sits at the heart of reliable service delivery and environmental performance and</w:t>
      </w:r>
      <w:r w:rsidRPr="00735726">
        <w:rPr>
          <w:rFonts w:ascii="Calibre-Light" w:hAnsi="Calibre-Light" w:cs="Calibre-Light"/>
          <w:color w:val="414142"/>
          <w:sz w:val="16"/>
          <w:szCs w:val="16"/>
        </w:rPr>
        <w:t xml:space="preserve"> </w:t>
      </w:r>
      <w:r w:rsidRPr="00735726">
        <w:rPr>
          <w:rFonts w:ascii="Arial" w:hAnsi="Arial" w:cs="Arial"/>
          <w:sz w:val="18"/>
          <w:szCs w:val="18"/>
        </w:rPr>
        <w:t>strengthening our asset management capability is a deliberate step as we enter a period of record investment. Ian brings extensive experience in asset management, operational delivery and system planning, and will play a key role in ensuring that asset health and long-term resilience sit at the centre of decision-making across the Company.</w:t>
      </w:r>
    </w:p>
    <w:p w14:paraId="5AFF67DE" w14:textId="31686C19" w:rsidR="000F1B6E" w:rsidRPr="00735726" w:rsidRDefault="000F1B6E" w:rsidP="00844EFD">
      <w:pPr>
        <w:spacing w:after="160"/>
        <w:rPr>
          <w:rFonts w:ascii="Arial" w:hAnsi="Arial" w:cs="Arial"/>
          <w:sz w:val="18"/>
          <w:szCs w:val="18"/>
        </w:rPr>
      </w:pPr>
      <w:r w:rsidRPr="00735726">
        <w:rPr>
          <w:rFonts w:ascii="Arial" w:hAnsi="Arial" w:cs="Arial"/>
          <w:sz w:val="18"/>
          <w:szCs w:val="18"/>
        </w:rPr>
        <w:t xml:space="preserve">Alongside this transition we have continued to evolve our Board and leadership structure to ensure the right capabilities are in place for the next phase of the business. Iain Evans stepped down from the Board on 31 March 2026 after nearly </w:t>
      </w:r>
      <w:r w:rsidR="00C61D9A" w:rsidRPr="00735726">
        <w:rPr>
          <w:rFonts w:ascii="Arial" w:hAnsi="Arial" w:cs="Arial"/>
          <w:sz w:val="18"/>
          <w:szCs w:val="18"/>
        </w:rPr>
        <w:t>six</w:t>
      </w:r>
      <w:r w:rsidRPr="00735726">
        <w:rPr>
          <w:rFonts w:ascii="Arial" w:hAnsi="Arial" w:cs="Arial"/>
          <w:sz w:val="18"/>
          <w:szCs w:val="18"/>
        </w:rPr>
        <w:t xml:space="preserve"> years of service, including as Senior Independent Director. I would like to thank Iain for his thoughtful challenge, wise counsel and commitment to the Company over many years. </w:t>
      </w:r>
      <w:r w:rsidR="00397E61" w:rsidRPr="00735726">
        <w:rPr>
          <w:rFonts w:ascii="Arial" w:hAnsi="Arial" w:cs="Arial"/>
          <w:sz w:val="18"/>
          <w:szCs w:val="18"/>
        </w:rPr>
        <w:t xml:space="preserve">Sir </w:t>
      </w:r>
      <w:r w:rsidRPr="00735726">
        <w:rPr>
          <w:rFonts w:ascii="Arial" w:hAnsi="Arial" w:cs="Arial"/>
          <w:sz w:val="18"/>
          <w:szCs w:val="18"/>
        </w:rPr>
        <w:t>Andrew Haines, appointed as a Non-Executive Director in November 2025 and assuming the role of Senior Independent Director from 1 April 2026, brings extensive experience from across regulated infrastructure sectors, most recently as Chief Executive of Network Rail.</w:t>
      </w:r>
    </w:p>
    <w:p w14:paraId="660627DE" w14:textId="4AE3325D" w:rsidR="000F1B6E" w:rsidRPr="00414826" w:rsidRDefault="000F1B6E" w:rsidP="00844EFD">
      <w:pPr>
        <w:spacing w:after="160"/>
        <w:rPr>
          <w:rFonts w:ascii="Arial" w:hAnsi="Arial" w:cs="Arial"/>
          <w:sz w:val="18"/>
          <w:szCs w:val="18"/>
        </w:rPr>
      </w:pPr>
      <w:r w:rsidRPr="00762DCC">
        <w:rPr>
          <w:rFonts w:ascii="Arial" w:hAnsi="Arial" w:cs="Arial"/>
          <w:sz w:val="18"/>
          <w:szCs w:val="18"/>
        </w:rPr>
        <w:lastRenderedPageBreak/>
        <w:t xml:space="preserve">With these changes now in place, the work of the temporary Operating Committee that I supported as Executive Chair over the leadership transition period has concluded. I would like to thank Laura Flowerdew, Sarah Heald and Andrew Garard for their work and dedication serving on the Operating Committee during this period. I resumed my Non-Executive Chair role on </w:t>
      </w:r>
      <w:r w:rsidRPr="009A2CAE">
        <w:rPr>
          <w:rFonts w:ascii="Arial" w:hAnsi="Arial" w:cs="Arial"/>
          <w:sz w:val="18"/>
          <w:szCs w:val="18"/>
        </w:rPr>
        <w:t xml:space="preserve">1 April 2026 when Keith joined </w:t>
      </w:r>
      <w:r w:rsidR="00DD00F2" w:rsidRPr="009A2CAE">
        <w:rPr>
          <w:rFonts w:ascii="Arial" w:hAnsi="Arial" w:cs="Arial"/>
          <w:sz w:val="18"/>
          <w:szCs w:val="18"/>
        </w:rPr>
        <w:t xml:space="preserve">Pennon Group plc as </w:t>
      </w:r>
      <w:r w:rsidRPr="009A2CAE">
        <w:rPr>
          <w:rFonts w:ascii="Arial" w:hAnsi="Arial" w:cs="Arial"/>
          <w:sz w:val="18"/>
          <w:szCs w:val="18"/>
        </w:rPr>
        <w:t>Chief Executive</w:t>
      </w:r>
      <w:r w:rsidRPr="00762DCC">
        <w:rPr>
          <w:rFonts w:ascii="Arial" w:hAnsi="Arial" w:cs="Arial"/>
          <w:sz w:val="18"/>
          <w:szCs w:val="18"/>
        </w:rPr>
        <w:t xml:space="preserve"> and I will continue to ensure continuity of governance and oversight as the Company enters the next phase of delivery.</w:t>
      </w:r>
    </w:p>
    <w:p w14:paraId="51F57C13" w14:textId="389099CE" w:rsidR="007758F3" w:rsidRPr="007758F3" w:rsidRDefault="007758F3" w:rsidP="00844EFD">
      <w:pPr>
        <w:spacing w:after="160"/>
        <w:rPr>
          <w:rFonts w:ascii="Arial" w:hAnsi="Arial" w:cs="Arial"/>
          <w:sz w:val="18"/>
          <w:szCs w:val="18"/>
          <w:highlight w:val="yellow"/>
        </w:rPr>
      </w:pPr>
      <w:r w:rsidRPr="00414826">
        <w:rPr>
          <w:rFonts w:ascii="Arial" w:eastAsia="Times New Roman" w:hAnsi="Arial" w:cs="DINOT-Light"/>
          <w:b/>
          <w:color w:val="000000"/>
          <w:sz w:val="18"/>
          <w:szCs w:val="18"/>
        </w:rPr>
        <w:t>OUR PERFORMANCE</w:t>
      </w:r>
      <w:r w:rsidR="00D62E2B">
        <w:rPr>
          <w:rFonts w:ascii="Arial" w:hAnsi="Arial" w:cs="Arial"/>
          <w:sz w:val="18"/>
          <w:szCs w:val="18"/>
        </w:rPr>
        <w:br/>
      </w:r>
      <w:r w:rsidRPr="007758F3">
        <w:rPr>
          <w:rFonts w:ascii="Arial" w:hAnsi="Arial" w:cs="Arial"/>
          <w:sz w:val="18"/>
          <w:szCs w:val="18"/>
        </w:rPr>
        <w:t xml:space="preserve">The </w:t>
      </w:r>
      <w:r w:rsidR="00414826" w:rsidRPr="00414826">
        <w:rPr>
          <w:rFonts w:ascii="Arial" w:hAnsi="Arial" w:cs="Arial"/>
          <w:sz w:val="18"/>
          <w:szCs w:val="18"/>
        </w:rPr>
        <w:t>Company</w:t>
      </w:r>
      <w:r w:rsidRPr="007758F3">
        <w:rPr>
          <w:rFonts w:ascii="Arial" w:hAnsi="Arial" w:cs="Arial"/>
          <w:sz w:val="18"/>
          <w:szCs w:val="18"/>
        </w:rPr>
        <w:t xml:space="preserve"> has returned to profitability during </w:t>
      </w:r>
      <w:r w:rsidRPr="0030152B">
        <w:rPr>
          <w:rFonts w:ascii="Arial" w:hAnsi="Arial" w:cs="Arial"/>
          <w:sz w:val="18"/>
          <w:szCs w:val="18"/>
        </w:rPr>
        <w:t xml:space="preserve">the year, with underlying EBITDA increasing by </w:t>
      </w:r>
      <w:r w:rsidR="0030152B" w:rsidRPr="0030152B">
        <w:rPr>
          <w:rFonts w:ascii="Arial" w:hAnsi="Arial" w:cs="Arial"/>
          <w:sz w:val="18"/>
          <w:szCs w:val="18"/>
        </w:rPr>
        <w:t>55.7</w:t>
      </w:r>
      <w:r w:rsidRPr="0030152B">
        <w:rPr>
          <w:rFonts w:ascii="Arial" w:hAnsi="Arial" w:cs="Arial"/>
          <w:sz w:val="18"/>
          <w:szCs w:val="18"/>
        </w:rPr>
        <w:t>% compared with the prior year to £</w:t>
      </w:r>
      <w:r w:rsidR="0030152B" w:rsidRPr="0030152B">
        <w:rPr>
          <w:rFonts w:ascii="Arial" w:hAnsi="Arial" w:cs="Arial"/>
          <w:sz w:val="18"/>
          <w:szCs w:val="18"/>
        </w:rPr>
        <w:t>4</w:t>
      </w:r>
      <w:r w:rsidR="00657D25">
        <w:rPr>
          <w:rFonts w:ascii="Arial" w:hAnsi="Arial" w:cs="Arial"/>
          <w:sz w:val="18"/>
          <w:szCs w:val="18"/>
        </w:rPr>
        <w:t>82.4</w:t>
      </w:r>
      <w:r w:rsidRPr="0030152B">
        <w:rPr>
          <w:rFonts w:ascii="Arial" w:hAnsi="Arial" w:cs="Arial"/>
          <w:sz w:val="18"/>
          <w:szCs w:val="18"/>
        </w:rPr>
        <w:t xml:space="preserve"> million. This reflects</w:t>
      </w:r>
      <w:r w:rsidRPr="00ED7E23">
        <w:rPr>
          <w:rFonts w:ascii="Arial" w:hAnsi="Arial" w:cs="Arial"/>
          <w:sz w:val="18"/>
          <w:szCs w:val="18"/>
        </w:rPr>
        <w:t xml:space="preserve"> tariff increases in the first year of AMP8 as well as improving underlying performance across the business with the early benefit of operational efficiencies as well as the investment programmes now underway.</w:t>
      </w:r>
      <w:r w:rsidR="0030152B">
        <w:rPr>
          <w:rFonts w:ascii="Arial" w:hAnsi="Arial" w:cs="Arial"/>
          <w:sz w:val="18"/>
          <w:szCs w:val="18"/>
        </w:rPr>
        <w:t xml:space="preserve"> Profit Before Tax was £</w:t>
      </w:r>
      <w:r w:rsidR="00371141">
        <w:rPr>
          <w:rFonts w:ascii="Arial" w:hAnsi="Arial" w:cs="Arial"/>
          <w:sz w:val="18"/>
          <w:szCs w:val="18"/>
        </w:rPr>
        <w:t>124.9 million compared to a prior year loss of £61.2 million.</w:t>
      </w:r>
    </w:p>
    <w:p w14:paraId="4BAE1F48" w14:textId="4526E1F0" w:rsidR="00A25691" w:rsidRDefault="007758F3" w:rsidP="00844EFD">
      <w:pPr>
        <w:spacing w:after="160"/>
        <w:rPr>
          <w:rFonts w:ascii="Arial" w:hAnsi="Arial" w:cs="Arial"/>
          <w:sz w:val="18"/>
          <w:szCs w:val="18"/>
          <w:highlight w:val="yellow"/>
        </w:rPr>
      </w:pPr>
      <w:r w:rsidRPr="00A25691">
        <w:rPr>
          <w:rFonts w:ascii="Arial" w:hAnsi="Arial" w:cs="Arial"/>
          <w:i/>
          <w:iCs/>
          <w:sz w:val="18"/>
          <w:szCs w:val="18"/>
        </w:rPr>
        <w:t>OPERATIONAL AND ENVIRONMENTAL PERFORMANCE</w:t>
      </w:r>
      <w:r w:rsidR="00D62E2B">
        <w:rPr>
          <w:rFonts w:ascii="Arial" w:hAnsi="Arial" w:cs="Arial"/>
          <w:sz w:val="18"/>
          <w:szCs w:val="18"/>
        </w:rPr>
        <w:br/>
      </w:r>
      <w:r w:rsidR="00A25691" w:rsidRPr="00A25691">
        <w:rPr>
          <w:rFonts w:ascii="Arial" w:hAnsi="Arial" w:cs="Arial"/>
          <w:sz w:val="18"/>
          <w:szCs w:val="18"/>
        </w:rPr>
        <w:t xml:space="preserve">The year has once again demonstrated how rapidly the operating environment for water infrastructure is changing. Conditions during the year </w:t>
      </w:r>
      <w:r w:rsidR="00A25691" w:rsidRPr="006F195B">
        <w:rPr>
          <w:rFonts w:ascii="Arial" w:hAnsi="Arial" w:cs="Arial"/>
          <w:sz w:val="18"/>
          <w:szCs w:val="18"/>
        </w:rPr>
        <w:t xml:space="preserve">ranged from one of the driest springs on record to intense storms and exceptional rainfall later in the year. The </w:t>
      </w:r>
      <w:proofErr w:type="gramStart"/>
      <w:r w:rsidR="00A25691" w:rsidRPr="006F195B">
        <w:rPr>
          <w:rFonts w:ascii="Arial" w:hAnsi="Arial" w:cs="Arial"/>
          <w:sz w:val="18"/>
          <w:szCs w:val="18"/>
        </w:rPr>
        <w:t>South West</w:t>
      </w:r>
      <w:proofErr w:type="gramEnd"/>
      <w:r w:rsidR="00A25691" w:rsidRPr="006F195B">
        <w:rPr>
          <w:rFonts w:ascii="Arial" w:hAnsi="Arial" w:cs="Arial"/>
          <w:sz w:val="18"/>
          <w:szCs w:val="18"/>
        </w:rPr>
        <w:t xml:space="preserve"> of England experienced five named storms with around 150% of average rainfall during November and December 2025, rising to 190% in January and February 2026, </w:t>
      </w:r>
      <w:r w:rsidR="00A25691" w:rsidRPr="00A25691">
        <w:rPr>
          <w:rFonts w:ascii="Arial" w:hAnsi="Arial" w:cs="Arial"/>
          <w:sz w:val="18"/>
          <w:szCs w:val="18"/>
        </w:rPr>
        <w:t xml:space="preserve">placing significant pressure on both our water and wastewater networks and resulting in net operational penalties </w:t>
      </w:r>
      <w:r w:rsidR="00A25691" w:rsidRPr="00B2617F">
        <w:rPr>
          <w:rFonts w:ascii="Arial" w:hAnsi="Arial" w:cs="Arial"/>
          <w:sz w:val="18"/>
          <w:szCs w:val="18"/>
        </w:rPr>
        <w:t>of £</w:t>
      </w:r>
      <w:r w:rsidR="00FC6E71" w:rsidRPr="00B2617F">
        <w:rPr>
          <w:rFonts w:ascii="Arial" w:hAnsi="Arial" w:cs="Arial"/>
          <w:sz w:val="18"/>
          <w:szCs w:val="18"/>
        </w:rPr>
        <w:t>40.6</w:t>
      </w:r>
      <w:r w:rsidR="00A25691" w:rsidRPr="00B2617F">
        <w:rPr>
          <w:rFonts w:ascii="Arial" w:hAnsi="Arial" w:cs="Arial"/>
          <w:sz w:val="18"/>
          <w:szCs w:val="18"/>
        </w:rPr>
        <w:t xml:space="preserve"> million</w:t>
      </w:r>
      <w:r w:rsidR="00B2617F">
        <w:rPr>
          <w:rStyle w:val="FootnoteReference"/>
          <w:rFonts w:ascii="Arial" w:hAnsi="Arial" w:cs="Arial"/>
          <w:sz w:val="18"/>
          <w:szCs w:val="18"/>
        </w:rPr>
        <w:footnoteReference w:id="1"/>
      </w:r>
      <w:r w:rsidR="00A25691" w:rsidRPr="00B2617F">
        <w:rPr>
          <w:rFonts w:ascii="Arial" w:hAnsi="Arial" w:cs="Arial"/>
          <w:sz w:val="18"/>
          <w:szCs w:val="18"/>
        </w:rPr>
        <w:t xml:space="preserve">. </w:t>
      </w:r>
      <w:r w:rsidR="00A25691" w:rsidRPr="00A25691">
        <w:rPr>
          <w:rFonts w:ascii="Arial" w:hAnsi="Arial" w:cs="Arial"/>
          <w:sz w:val="18"/>
          <w:szCs w:val="18"/>
        </w:rPr>
        <w:t>These extremes, and the impact on our performance, highlight the increasing volatility created by climate change and reinforce the need for sustained investment in resilient infrastructure.</w:t>
      </w:r>
    </w:p>
    <w:p w14:paraId="1255F9B2" w14:textId="2EA3DE8F" w:rsidR="007758F3" w:rsidRPr="00947053" w:rsidRDefault="007758F3" w:rsidP="00F56E61">
      <w:pPr>
        <w:spacing w:after="160"/>
        <w:rPr>
          <w:rFonts w:ascii="Arial" w:hAnsi="Arial" w:cs="Arial"/>
          <w:sz w:val="18"/>
          <w:szCs w:val="18"/>
        </w:rPr>
      </w:pPr>
      <w:r w:rsidRPr="00A25691">
        <w:rPr>
          <w:rFonts w:ascii="Arial" w:hAnsi="Arial" w:cs="Arial"/>
          <w:sz w:val="18"/>
          <w:szCs w:val="18"/>
        </w:rPr>
        <w:t xml:space="preserve">Despite these challenges and the disappointing </w:t>
      </w:r>
      <w:r w:rsidRPr="006F195B">
        <w:rPr>
          <w:rFonts w:ascii="Arial" w:hAnsi="Arial" w:cs="Arial"/>
          <w:sz w:val="18"/>
          <w:szCs w:val="18"/>
        </w:rPr>
        <w:t xml:space="preserve">outcome, we continue to make progress in improving environmental performance across the </w:t>
      </w:r>
      <w:r w:rsidR="00A25691" w:rsidRPr="006F195B">
        <w:rPr>
          <w:rFonts w:ascii="Arial" w:hAnsi="Arial" w:cs="Arial"/>
          <w:sz w:val="18"/>
          <w:szCs w:val="18"/>
        </w:rPr>
        <w:t>Company</w:t>
      </w:r>
      <w:r w:rsidRPr="006F195B">
        <w:rPr>
          <w:rFonts w:ascii="Arial" w:hAnsi="Arial" w:cs="Arial"/>
          <w:sz w:val="18"/>
          <w:szCs w:val="18"/>
        </w:rPr>
        <w:t>. We kn</w:t>
      </w:r>
      <w:r w:rsidRPr="00A25691">
        <w:rPr>
          <w:rFonts w:ascii="Arial" w:hAnsi="Arial" w:cs="Arial"/>
          <w:sz w:val="18"/>
          <w:szCs w:val="18"/>
        </w:rPr>
        <w:t xml:space="preserve">ow we have further to go, but our Pollution Incident Reduction Plan is delivering measurable improvements with </w:t>
      </w:r>
      <w:r w:rsidRPr="00947053">
        <w:rPr>
          <w:rFonts w:ascii="Arial" w:hAnsi="Arial" w:cs="Arial"/>
          <w:sz w:val="18"/>
          <w:szCs w:val="18"/>
        </w:rPr>
        <w:t xml:space="preserve">a c.34% reduction year-on-year in pollutions and normalised pollutions reduced by c.53%. </w:t>
      </w:r>
      <w:r w:rsidR="00F56E61" w:rsidRPr="00F56E61">
        <w:rPr>
          <w:rFonts w:ascii="Arial" w:hAnsi="Arial" w:cs="Arial"/>
          <w:sz w:val="18"/>
          <w:szCs w:val="18"/>
        </w:rPr>
        <w:t>Disappointingly, our</w:t>
      </w:r>
      <w:r w:rsidR="00F56E61">
        <w:rPr>
          <w:rFonts w:ascii="Arial" w:hAnsi="Arial" w:cs="Arial"/>
          <w:sz w:val="18"/>
          <w:szCs w:val="18"/>
        </w:rPr>
        <w:t xml:space="preserve"> </w:t>
      </w:r>
      <w:r w:rsidR="00F56E61" w:rsidRPr="00F56E61">
        <w:rPr>
          <w:rFonts w:ascii="Arial" w:hAnsi="Arial" w:cs="Arial"/>
          <w:sz w:val="18"/>
          <w:szCs w:val="18"/>
        </w:rPr>
        <w:t>provisional assessment for the 2025 EPA rating is 1* as</w:t>
      </w:r>
      <w:r w:rsidR="00F56E61">
        <w:rPr>
          <w:rFonts w:ascii="Arial" w:hAnsi="Arial" w:cs="Arial"/>
          <w:sz w:val="18"/>
          <w:szCs w:val="18"/>
        </w:rPr>
        <w:t xml:space="preserve"> </w:t>
      </w:r>
      <w:r w:rsidR="00F56E61" w:rsidRPr="00F56E61">
        <w:rPr>
          <w:rFonts w:ascii="Arial" w:hAnsi="Arial" w:cs="Arial"/>
          <w:sz w:val="18"/>
          <w:szCs w:val="18"/>
        </w:rPr>
        <w:t>pollution incidents, although improved, were still above</w:t>
      </w:r>
      <w:r w:rsidR="00F56E61">
        <w:rPr>
          <w:rFonts w:ascii="Arial" w:hAnsi="Arial" w:cs="Arial"/>
          <w:sz w:val="18"/>
          <w:szCs w:val="18"/>
        </w:rPr>
        <w:t xml:space="preserve"> </w:t>
      </w:r>
      <w:r w:rsidR="00F56E61" w:rsidRPr="00F56E61">
        <w:rPr>
          <w:rFonts w:ascii="Arial" w:hAnsi="Arial" w:cs="Arial"/>
          <w:sz w:val="18"/>
          <w:szCs w:val="18"/>
        </w:rPr>
        <w:t>target, and our WINEP programme did not achieve full</w:t>
      </w:r>
      <w:r w:rsidR="00F56E61">
        <w:rPr>
          <w:rFonts w:ascii="Arial" w:hAnsi="Arial" w:cs="Arial"/>
          <w:sz w:val="18"/>
          <w:szCs w:val="18"/>
        </w:rPr>
        <w:t xml:space="preserve"> </w:t>
      </w:r>
      <w:r w:rsidR="00F56E61" w:rsidRPr="00F56E61">
        <w:rPr>
          <w:rFonts w:ascii="Arial" w:hAnsi="Arial" w:cs="Arial"/>
          <w:sz w:val="18"/>
          <w:szCs w:val="18"/>
        </w:rPr>
        <w:t>delivery in the year, with four projects not finalised by</w:t>
      </w:r>
      <w:r w:rsidR="00F56E61">
        <w:rPr>
          <w:rFonts w:ascii="Arial" w:hAnsi="Arial" w:cs="Arial"/>
          <w:sz w:val="18"/>
          <w:szCs w:val="18"/>
        </w:rPr>
        <w:t xml:space="preserve"> </w:t>
      </w:r>
      <w:r w:rsidR="00F56E61" w:rsidRPr="00F56E61">
        <w:rPr>
          <w:rFonts w:ascii="Arial" w:hAnsi="Arial" w:cs="Arial"/>
          <w:sz w:val="18"/>
          <w:szCs w:val="18"/>
        </w:rPr>
        <w:t>March 2026.</w:t>
      </w:r>
    </w:p>
    <w:p w14:paraId="01383F74" w14:textId="29A2057F" w:rsidR="007758F3" w:rsidRPr="007758F3" w:rsidRDefault="007758F3" w:rsidP="00844EFD">
      <w:pPr>
        <w:spacing w:after="160"/>
        <w:rPr>
          <w:rFonts w:ascii="Arial" w:hAnsi="Arial" w:cs="Arial"/>
          <w:sz w:val="18"/>
          <w:szCs w:val="18"/>
          <w:highlight w:val="yellow"/>
        </w:rPr>
      </w:pPr>
      <w:r w:rsidRPr="00947053">
        <w:rPr>
          <w:rFonts w:ascii="Arial" w:hAnsi="Arial" w:cs="Arial"/>
          <w:sz w:val="18"/>
          <w:szCs w:val="18"/>
        </w:rPr>
        <w:t xml:space="preserve">Storm overflow use reflects a 17% reduction over the past year, with spill duration reducing c.25% </w:t>
      </w:r>
      <w:proofErr w:type="gramStart"/>
      <w:r w:rsidRPr="00947053">
        <w:rPr>
          <w:rFonts w:ascii="Arial" w:hAnsi="Arial" w:cs="Arial"/>
          <w:sz w:val="18"/>
          <w:szCs w:val="18"/>
        </w:rPr>
        <w:t>as a result of</w:t>
      </w:r>
      <w:proofErr w:type="gramEnd"/>
      <w:r w:rsidRPr="00947053">
        <w:rPr>
          <w:rFonts w:ascii="Arial" w:hAnsi="Arial" w:cs="Arial"/>
          <w:sz w:val="18"/>
          <w:szCs w:val="18"/>
        </w:rPr>
        <w:t xml:space="preserve"> continued investment in our infrastructure despite the </w:t>
      </w:r>
      <w:proofErr w:type="gramStart"/>
      <w:r w:rsidRPr="00947053">
        <w:rPr>
          <w:rFonts w:ascii="Arial" w:hAnsi="Arial" w:cs="Arial"/>
          <w:sz w:val="18"/>
          <w:szCs w:val="18"/>
        </w:rPr>
        <w:t>higher than average</w:t>
      </w:r>
      <w:proofErr w:type="gramEnd"/>
      <w:r w:rsidRPr="00947053">
        <w:rPr>
          <w:rFonts w:ascii="Arial" w:hAnsi="Arial" w:cs="Arial"/>
          <w:sz w:val="18"/>
          <w:szCs w:val="18"/>
        </w:rPr>
        <w:t xml:space="preserve"> rainfall, particularly in the last months of the year. During the 2025 bathing season, storm overflow usage at bathing water sites</w:t>
      </w:r>
      <w:r w:rsidRPr="00A25691">
        <w:rPr>
          <w:rFonts w:ascii="Arial" w:hAnsi="Arial" w:cs="Arial"/>
          <w:sz w:val="18"/>
          <w:szCs w:val="18"/>
        </w:rPr>
        <w:t xml:space="preserve"> reduced by more than 25% year-on-year and 96.2% of bathing waters in the </w:t>
      </w:r>
      <w:proofErr w:type="gramStart"/>
      <w:r w:rsidRPr="00A25691">
        <w:rPr>
          <w:rFonts w:ascii="Arial" w:hAnsi="Arial" w:cs="Arial"/>
          <w:sz w:val="18"/>
          <w:szCs w:val="18"/>
        </w:rPr>
        <w:t>South West</w:t>
      </w:r>
      <w:proofErr w:type="gramEnd"/>
      <w:r w:rsidRPr="00A25691">
        <w:rPr>
          <w:rFonts w:ascii="Arial" w:hAnsi="Arial" w:cs="Arial"/>
          <w:sz w:val="18"/>
          <w:szCs w:val="18"/>
        </w:rPr>
        <w:t xml:space="preserve"> were classified as Excellent or Good. </w:t>
      </w:r>
      <w:proofErr w:type="gramStart"/>
      <w:r w:rsidRPr="00A25691">
        <w:rPr>
          <w:rFonts w:ascii="Arial" w:hAnsi="Arial" w:cs="Arial"/>
          <w:sz w:val="18"/>
          <w:szCs w:val="18"/>
        </w:rPr>
        <w:t>South West</w:t>
      </w:r>
      <w:proofErr w:type="gramEnd"/>
      <w:r w:rsidRPr="00A25691">
        <w:rPr>
          <w:rFonts w:ascii="Arial" w:hAnsi="Arial" w:cs="Arial"/>
          <w:sz w:val="18"/>
          <w:szCs w:val="18"/>
        </w:rPr>
        <w:t xml:space="preserve"> Water maintained 100% bathing water compliance for the fifth consecutive year.</w:t>
      </w:r>
    </w:p>
    <w:p w14:paraId="0C4F0F63" w14:textId="7FB69691" w:rsidR="007758F3" w:rsidRPr="00947053" w:rsidRDefault="007758F3" w:rsidP="00844EFD">
      <w:pPr>
        <w:spacing w:after="160"/>
        <w:rPr>
          <w:rFonts w:ascii="Arial" w:hAnsi="Arial" w:cs="Arial"/>
          <w:sz w:val="18"/>
          <w:szCs w:val="18"/>
        </w:rPr>
      </w:pPr>
      <w:r w:rsidRPr="00A25691">
        <w:rPr>
          <w:rFonts w:ascii="Arial" w:hAnsi="Arial" w:cs="Arial"/>
          <w:sz w:val="18"/>
          <w:szCs w:val="18"/>
        </w:rPr>
        <w:t xml:space="preserve">We recognise the significant impact sewer flooding can have on customers when homes, businesses and properties are affected. </w:t>
      </w:r>
      <w:r w:rsidRPr="00F0517E">
        <w:rPr>
          <w:rFonts w:ascii="Arial" w:hAnsi="Arial" w:cs="Arial"/>
          <w:sz w:val="18"/>
          <w:szCs w:val="18"/>
        </w:rPr>
        <w:t xml:space="preserve">Internal sewer flooding incidents remained </w:t>
      </w:r>
      <w:r w:rsidR="00F0517E" w:rsidRPr="00F0517E">
        <w:rPr>
          <w:rFonts w:ascii="Arial" w:hAnsi="Arial" w:cs="Arial"/>
          <w:sz w:val="18"/>
          <w:szCs w:val="18"/>
        </w:rPr>
        <w:t>low</w:t>
      </w:r>
      <w:r w:rsidRPr="00F0517E">
        <w:rPr>
          <w:rFonts w:ascii="Arial" w:hAnsi="Arial" w:cs="Arial"/>
          <w:sz w:val="18"/>
          <w:szCs w:val="18"/>
        </w:rPr>
        <w:t>, although</w:t>
      </w:r>
      <w:r w:rsidRPr="00A25691">
        <w:rPr>
          <w:rFonts w:ascii="Arial" w:hAnsi="Arial" w:cs="Arial"/>
          <w:sz w:val="18"/>
          <w:szCs w:val="18"/>
        </w:rPr>
        <w:t xml:space="preserve"> </w:t>
      </w:r>
      <w:r w:rsidRPr="00947053">
        <w:rPr>
          <w:rFonts w:ascii="Arial" w:hAnsi="Arial" w:cs="Arial"/>
          <w:sz w:val="18"/>
          <w:szCs w:val="18"/>
        </w:rPr>
        <w:t>increased year-on-year to 1.20 per 10,000 connections; one-third of this increase is due to the exceptionally high rainfall and weather events, with underlying performance consistent with previous years and we are focused on ensuring we deliver at these levels going forward. This performance still delivers strong outperformance against the target of 1.34 and we expect it to remain a strong position compared with industry performance.</w:t>
      </w:r>
    </w:p>
    <w:p w14:paraId="13A82AD2" w14:textId="3A870252" w:rsidR="007758F3" w:rsidRPr="007758F3" w:rsidRDefault="007758F3" w:rsidP="00844EFD">
      <w:pPr>
        <w:spacing w:after="160"/>
        <w:rPr>
          <w:rFonts w:ascii="Arial" w:hAnsi="Arial" w:cs="Arial"/>
          <w:sz w:val="18"/>
          <w:szCs w:val="18"/>
          <w:highlight w:val="yellow"/>
        </w:rPr>
      </w:pPr>
      <w:r w:rsidRPr="00947053">
        <w:rPr>
          <w:rFonts w:ascii="Arial" w:hAnsi="Arial" w:cs="Arial"/>
          <w:sz w:val="18"/>
          <w:szCs w:val="18"/>
        </w:rPr>
        <w:t xml:space="preserve">We are also strengthening our water quality and water resource resilience through upgrades to treatment works, enhanced monitoring and increased focus on asset health. Our targeted investment in AMP7 coupled with high rainfall across the winter months, </w:t>
      </w:r>
      <w:r w:rsidRPr="0070057F">
        <w:rPr>
          <w:rFonts w:ascii="Arial" w:hAnsi="Arial" w:cs="Arial"/>
          <w:sz w:val="18"/>
          <w:szCs w:val="18"/>
        </w:rPr>
        <w:t>meant that storage levels finished the year at c.9</w:t>
      </w:r>
      <w:r w:rsidR="0070057F" w:rsidRPr="0070057F">
        <w:rPr>
          <w:rFonts w:ascii="Arial" w:hAnsi="Arial" w:cs="Arial"/>
          <w:sz w:val="18"/>
          <w:szCs w:val="18"/>
        </w:rPr>
        <w:t>7</w:t>
      </w:r>
      <w:r w:rsidRPr="0070057F">
        <w:rPr>
          <w:rFonts w:ascii="Arial" w:hAnsi="Arial" w:cs="Arial"/>
          <w:sz w:val="18"/>
          <w:szCs w:val="18"/>
        </w:rPr>
        <w:t xml:space="preserve">% </w:t>
      </w:r>
      <w:r w:rsidR="006C1BA9">
        <w:rPr>
          <w:rFonts w:ascii="Arial" w:hAnsi="Arial" w:cs="Arial"/>
          <w:sz w:val="18"/>
          <w:szCs w:val="18"/>
        </w:rPr>
        <w:t>-</w:t>
      </w:r>
      <w:r w:rsidR="006C1BA9" w:rsidRPr="00947053">
        <w:rPr>
          <w:rFonts w:ascii="Arial" w:hAnsi="Arial" w:cs="Arial"/>
          <w:sz w:val="18"/>
          <w:szCs w:val="18"/>
        </w:rPr>
        <w:t xml:space="preserve"> </w:t>
      </w:r>
      <w:r w:rsidRPr="00947053">
        <w:rPr>
          <w:rFonts w:ascii="Arial" w:hAnsi="Arial" w:cs="Arial"/>
          <w:sz w:val="18"/>
          <w:szCs w:val="18"/>
        </w:rPr>
        <w:t>well</w:t>
      </w:r>
      <w:r w:rsidRPr="00A25691">
        <w:rPr>
          <w:rFonts w:ascii="Arial" w:hAnsi="Arial" w:cs="Arial"/>
          <w:sz w:val="18"/>
          <w:szCs w:val="18"/>
        </w:rPr>
        <w:t xml:space="preserve"> ahead of anticipated needs in the summer months. Our water quality performance continues to strengthen </w:t>
      </w:r>
      <w:r w:rsidR="006C1BA9">
        <w:rPr>
          <w:rFonts w:ascii="Arial" w:hAnsi="Arial" w:cs="Arial"/>
          <w:sz w:val="18"/>
          <w:szCs w:val="18"/>
        </w:rPr>
        <w:t>-</w:t>
      </w:r>
      <w:r w:rsidR="006C1BA9" w:rsidRPr="00A25691">
        <w:rPr>
          <w:rFonts w:ascii="Arial" w:hAnsi="Arial" w:cs="Arial"/>
          <w:sz w:val="18"/>
          <w:szCs w:val="18"/>
        </w:rPr>
        <w:t xml:space="preserve"> </w:t>
      </w:r>
      <w:r w:rsidRPr="00A25691">
        <w:rPr>
          <w:rFonts w:ascii="Arial" w:hAnsi="Arial" w:cs="Arial"/>
          <w:sz w:val="18"/>
          <w:szCs w:val="18"/>
        </w:rPr>
        <w:t>a testament to our Quality First approach</w:t>
      </w:r>
      <w:r w:rsidR="00A25691" w:rsidRPr="00A25691">
        <w:rPr>
          <w:rFonts w:ascii="Arial" w:hAnsi="Arial" w:cs="Arial"/>
          <w:sz w:val="18"/>
          <w:szCs w:val="18"/>
        </w:rPr>
        <w:t>, with</w:t>
      </w:r>
      <w:r w:rsidRPr="00A25691">
        <w:rPr>
          <w:rFonts w:ascii="Arial" w:hAnsi="Arial" w:cs="Arial"/>
          <w:sz w:val="18"/>
          <w:szCs w:val="18"/>
        </w:rPr>
        <w:t xml:space="preserve"> </w:t>
      </w:r>
      <w:proofErr w:type="gramStart"/>
      <w:r w:rsidRPr="00A25691">
        <w:rPr>
          <w:rFonts w:ascii="Arial" w:hAnsi="Arial" w:cs="Arial"/>
          <w:sz w:val="18"/>
          <w:szCs w:val="18"/>
        </w:rPr>
        <w:t>South West</w:t>
      </w:r>
      <w:proofErr w:type="gramEnd"/>
      <w:r w:rsidRPr="00A25691">
        <w:rPr>
          <w:rFonts w:ascii="Arial" w:hAnsi="Arial" w:cs="Arial"/>
          <w:sz w:val="18"/>
          <w:szCs w:val="18"/>
        </w:rPr>
        <w:t xml:space="preserve"> Water </w:t>
      </w:r>
      <w:r w:rsidR="00A25691" w:rsidRPr="00A25691">
        <w:rPr>
          <w:rFonts w:ascii="Arial" w:hAnsi="Arial" w:cs="Arial"/>
          <w:sz w:val="18"/>
          <w:szCs w:val="18"/>
        </w:rPr>
        <w:t xml:space="preserve">having maintained </w:t>
      </w:r>
      <w:r w:rsidRPr="00A25691">
        <w:rPr>
          <w:rFonts w:ascii="Arial" w:hAnsi="Arial" w:cs="Arial"/>
          <w:sz w:val="18"/>
          <w:szCs w:val="18"/>
        </w:rPr>
        <w:t>a strong sector</w:t>
      </w:r>
      <w:r w:rsidR="00624D60" w:rsidRPr="00A25691">
        <w:rPr>
          <w:rFonts w:ascii="Arial" w:hAnsi="Arial" w:cs="Arial"/>
          <w:sz w:val="18"/>
          <w:szCs w:val="18"/>
        </w:rPr>
        <w:t>-</w:t>
      </w:r>
      <w:r w:rsidRPr="00A25691">
        <w:rPr>
          <w:rFonts w:ascii="Arial" w:hAnsi="Arial" w:cs="Arial"/>
          <w:sz w:val="18"/>
          <w:szCs w:val="18"/>
        </w:rPr>
        <w:t>wide position and Bristol Water saw year-on-year improvements.</w:t>
      </w:r>
    </w:p>
    <w:p w14:paraId="140565EE" w14:textId="20C3B1F7" w:rsidR="007758F3" w:rsidRPr="0092685D" w:rsidRDefault="007758F3" w:rsidP="00844EFD">
      <w:pPr>
        <w:spacing w:after="160"/>
        <w:rPr>
          <w:rFonts w:ascii="Arial" w:hAnsi="Arial" w:cs="Arial"/>
          <w:sz w:val="18"/>
          <w:szCs w:val="18"/>
        </w:rPr>
      </w:pPr>
      <w:r w:rsidRPr="0092685D">
        <w:rPr>
          <w:rFonts w:ascii="Arial" w:hAnsi="Arial" w:cs="Arial"/>
          <w:sz w:val="18"/>
          <w:szCs w:val="18"/>
        </w:rPr>
        <w:t xml:space="preserve">Reducing leakage remains central to long-term supply resilience. The year presented significant challenges, particularly in the </w:t>
      </w:r>
      <w:proofErr w:type="gramStart"/>
      <w:r w:rsidRPr="0092685D">
        <w:rPr>
          <w:rFonts w:ascii="Arial" w:hAnsi="Arial" w:cs="Arial"/>
          <w:sz w:val="18"/>
          <w:szCs w:val="18"/>
        </w:rPr>
        <w:t>South West</w:t>
      </w:r>
      <w:proofErr w:type="gramEnd"/>
      <w:r w:rsidRPr="0092685D">
        <w:rPr>
          <w:rFonts w:ascii="Arial" w:hAnsi="Arial" w:cs="Arial"/>
          <w:sz w:val="18"/>
          <w:szCs w:val="18"/>
        </w:rPr>
        <w:t xml:space="preserve">, due to extreme weather conditions increasing pressure on our network resilience and caused higher burst frequency across our networks. Whilst Bristol Water met leakage targets, </w:t>
      </w:r>
      <w:proofErr w:type="gramStart"/>
      <w:r w:rsidRPr="0092685D">
        <w:rPr>
          <w:rFonts w:ascii="Arial" w:hAnsi="Arial" w:cs="Arial"/>
          <w:sz w:val="18"/>
          <w:szCs w:val="18"/>
        </w:rPr>
        <w:t>South West</w:t>
      </w:r>
      <w:proofErr w:type="gramEnd"/>
      <w:r w:rsidRPr="0092685D">
        <w:rPr>
          <w:rFonts w:ascii="Arial" w:hAnsi="Arial" w:cs="Arial"/>
          <w:sz w:val="18"/>
          <w:szCs w:val="18"/>
        </w:rPr>
        <w:t xml:space="preserve"> Water’s efforts were impacted by these weather conditions and fell slightly short of the reduction required to meet the year one target. Our teams remain focused on fixing leaks, as record activity in leak detection and repair was achieved with more fixes carried out than ever before.</w:t>
      </w:r>
    </w:p>
    <w:p w14:paraId="7C69895F" w14:textId="77777777" w:rsidR="007758F3" w:rsidRPr="0092685D" w:rsidRDefault="007758F3" w:rsidP="00844EFD">
      <w:pPr>
        <w:spacing w:after="160"/>
        <w:rPr>
          <w:rFonts w:ascii="Arial" w:hAnsi="Arial" w:cs="Arial"/>
          <w:sz w:val="18"/>
          <w:szCs w:val="18"/>
        </w:rPr>
      </w:pPr>
      <w:r w:rsidRPr="0092685D">
        <w:rPr>
          <w:rFonts w:ascii="Arial" w:hAnsi="Arial" w:cs="Arial"/>
          <w:sz w:val="18"/>
          <w:szCs w:val="18"/>
        </w:rPr>
        <w:lastRenderedPageBreak/>
        <w:t>The impact that weather had on leakage also impacted</w:t>
      </w:r>
      <w:r w:rsidRPr="0092685D">
        <w:rPr>
          <w:rFonts w:ascii="Calibre-Light" w:hAnsi="Calibre-Light" w:cs="Calibre-Light"/>
          <w:color w:val="414142"/>
          <w:sz w:val="16"/>
          <w:szCs w:val="16"/>
        </w:rPr>
        <w:t xml:space="preserve"> </w:t>
      </w:r>
      <w:r w:rsidRPr="0092685D">
        <w:rPr>
          <w:rFonts w:ascii="Arial" w:hAnsi="Arial" w:cs="Arial"/>
          <w:sz w:val="18"/>
          <w:szCs w:val="18"/>
        </w:rPr>
        <w:t xml:space="preserve">on our supply interruption performance, </w:t>
      </w:r>
      <w:proofErr w:type="gramStart"/>
      <w:r w:rsidRPr="0092685D">
        <w:rPr>
          <w:rFonts w:ascii="Arial" w:hAnsi="Arial" w:cs="Arial"/>
          <w:sz w:val="18"/>
          <w:szCs w:val="18"/>
        </w:rPr>
        <w:t>as a result of</w:t>
      </w:r>
      <w:proofErr w:type="gramEnd"/>
      <w:r w:rsidRPr="0092685D">
        <w:rPr>
          <w:rFonts w:ascii="Arial" w:hAnsi="Arial" w:cs="Arial"/>
          <w:sz w:val="18"/>
          <w:szCs w:val="18"/>
        </w:rPr>
        <w:t xml:space="preserve"> an increase in burst pipes. Despite these challenges, our operational teams ensured </w:t>
      </w:r>
      <w:r w:rsidRPr="00211DFA">
        <w:rPr>
          <w:rFonts w:ascii="Arial" w:hAnsi="Arial" w:cs="Arial"/>
          <w:sz w:val="18"/>
          <w:szCs w:val="18"/>
        </w:rPr>
        <w:t>that around 75% of bursts resulted in no impact to customer supply.</w:t>
      </w:r>
    </w:p>
    <w:p w14:paraId="0ABC7721" w14:textId="3A5FC60A" w:rsidR="007758F3" w:rsidRPr="00211DFA" w:rsidRDefault="007758F3" w:rsidP="00844EFD">
      <w:pPr>
        <w:spacing w:after="160"/>
        <w:rPr>
          <w:rFonts w:ascii="Arial" w:hAnsi="Arial" w:cs="Arial"/>
          <w:sz w:val="18"/>
          <w:szCs w:val="18"/>
        </w:rPr>
      </w:pPr>
      <w:r w:rsidRPr="0092685D">
        <w:rPr>
          <w:rFonts w:ascii="Arial" w:hAnsi="Arial" w:cs="Arial"/>
          <w:sz w:val="18"/>
          <w:szCs w:val="18"/>
        </w:rPr>
        <w:t xml:space="preserve">We continue to deliver environmental gains, having </w:t>
      </w:r>
      <w:r w:rsidRPr="00211DFA">
        <w:rPr>
          <w:rFonts w:ascii="Arial" w:hAnsi="Arial" w:cs="Arial"/>
          <w:sz w:val="18"/>
          <w:szCs w:val="18"/>
        </w:rPr>
        <w:t xml:space="preserve">restored 254 hectares of peatland during the year, engaging 2,370 people in events, volunteer days and school excursions. </w:t>
      </w:r>
    </w:p>
    <w:p w14:paraId="70D3E5EF" w14:textId="1ABB2579" w:rsidR="001C70AC" w:rsidRPr="0092685D" w:rsidRDefault="003017E1" w:rsidP="00844EFD">
      <w:pPr>
        <w:spacing w:after="160"/>
        <w:rPr>
          <w:rFonts w:ascii="Arial" w:hAnsi="Arial" w:cs="Arial"/>
          <w:sz w:val="18"/>
          <w:szCs w:val="18"/>
        </w:rPr>
      </w:pPr>
      <w:r w:rsidRPr="0092685D">
        <w:rPr>
          <w:rFonts w:ascii="Arial" w:hAnsi="Arial" w:cs="Arial"/>
          <w:i/>
          <w:iCs/>
          <w:sz w:val="18"/>
          <w:szCs w:val="18"/>
        </w:rPr>
        <w:t>SUPPORTING CUSTOMERS AND COMMUNITIES</w:t>
      </w:r>
      <w:r w:rsidR="00D62E2B">
        <w:rPr>
          <w:rFonts w:ascii="Arial" w:hAnsi="Arial" w:cs="Arial"/>
          <w:i/>
          <w:iCs/>
          <w:sz w:val="18"/>
          <w:szCs w:val="18"/>
        </w:rPr>
        <w:br/>
      </w:r>
      <w:r w:rsidR="001C70AC" w:rsidRPr="0092685D">
        <w:rPr>
          <w:rFonts w:ascii="Arial" w:hAnsi="Arial" w:cs="Arial"/>
          <w:i/>
          <w:iCs/>
          <w:sz w:val="18"/>
          <w:szCs w:val="18"/>
        </w:rPr>
        <w:t>S</w:t>
      </w:r>
      <w:r w:rsidR="001C70AC" w:rsidRPr="0092685D">
        <w:rPr>
          <w:rFonts w:ascii="Arial" w:hAnsi="Arial" w:cs="Arial"/>
          <w:sz w:val="18"/>
          <w:szCs w:val="18"/>
        </w:rPr>
        <w:t xml:space="preserve">upporting customers and </w:t>
      </w:r>
      <w:proofErr w:type="gramStart"/>
      <w:r w:rsidR="001C70AC" w:rsidRPr="0092685D">
        <w:rPr>
          <w:rFonts w:ascii="Arial" w:hAnsi="Arial" w:cs="Arial"/>
          <w:sz w:val="18"/>
          <w:szCs w:val="18"/>
        </w:rPr>
        <w:t>communities</w:t>
      </w:r>
      <w:proofErr w:type="gramEnd"/>
      <w:r w:rsidR="001C70AC" w:rsidRPr="0092685D">
        <w:rPr>
          <w:rFonts w:ascii="Arial" w:hAnsi="Arial" w:cs="Arial"/>
          <w:sz w:val="18"/>
          <w:szCs w:val="18"/>
        </w:rPr>
        <w:t xml:space="preserve"> remains central to </w:t>
      </w:r>
      <w:proofErr w:type="gramStart"/>
      <w:r w:rsidR="0092685D" w:rsidRPr="0092685D">
        <w:rPr>
          <w:rFonts w:ascii="Arial" w:hAnsi="Arial" w:cs="Arial"/>
          <w:sz w:val="18"/>
          <w:szCs w:val="18"/>
        </w:rPr>
        <w:t>South West</w:t>
      </w:r>
      <w:proofErr w:type="gramEnd"/>
      <w:r w:rsidR="0092685D" w:rsidRPr="0092685D">
        <w:rPr>
          <w:rFonts w:ascii="Arial" w:hAnsi="Arial" w:cs="Arial"/>
          <w:sz w:val="18"/>
          <w:szCs w:val="18"/>
        </w:rPr>
        <w:t xml:space="preserve"> Water’s</w:t>
      </w:r>
      <w:r w:rsidR="001C70AC" w:rsidRPr="0092685D">
        <w:rPr>
          <w:rFonts w:ascii="Arial" w:hAnsi="Arial" w:cs="Arial"/>
          <w:sz w:val="18"/>
          <w:szCs w:val="18"/>
        </w:rPr>
        <w:t xml:space="preserve"> purpose. </w:t>
      </w:r>
    </w:p>
    <w:p w14:paraId="7E91968F" w14:textId="77777777" w:rsidR="0092685D" w:rsidRPr="0092685D" w:rsidRDefault="001C70AC" w:rsidP="00844EFD">
      <w:pPr>
        <w:spacing w:after="160"/>
        <w:rPr>
          <w:rFonts w:ascii="Arial" w:hAnsi="Arial" w:cs="Arial"/>
          <w:sz w:val="18"/>
          <w:szCs w:val="18"/>
        </w:rPr>
      </w:pPr>
      <w:r w:rsidRPr="0092685D">
        <w:rPr>
          <w:rFonts w:ascii="Arial" w:hAnsi="Arial" w:cs="Arial"/>
          <w:sz w:val="18"/>
          <w:szCs w:val="18"/>
        </w:rPr>
        <w:t>The start of the new regulatory period saw bill increases across the sector reflecting record levels of investment in infrastructure and environmental improvements.</w:t>
      </w:r>
      <w:r w:rsidR="0092685D" w:rsidRPr="0092685D">
        <w:rPr>
          <w:rFonts w:ascii="Arial" w:hAnsi="Arial" w:cs="Arial"/>
          <w:sz w:val="18"/>
          <w:szCs w:val="18"/>
        </w:rPr>
        <w:t xml:space="preserve"> </w:t>
      </w:r>
      <w:r w:rsidRPr="0092685D">
        <w:rPr>
          <w:rFonts w:ascii="Arial" w:hAnsi="Arial" w:cs="Arial"/>
          <w:sz w:val="18"/>
          <w:szCs w:val="18"/>
        </w:rPr>
        <w:t>Understandably this has heightened sensitivity around affordability for many households.</w:t>
      </w:r>
    </w:p>
    <w:p w14:paraId="7FA5A53C" w14:textId="6D5E1ACB" w:rsidR="001C70AC" w:rsidRPr="001C70AC" w:rsidRDefault="001C70AC" w:rsidP="00844EFD">
      <w:pPr>
        <w:spacing w:after="160"/>
        <w:rPr>
          <w:rFonts w:ascii="Arial" w:hAnsi="Arial" w:cs="Arial"/>
          <w:sz w:val="18"/>
          <w:szCs w:val="18"/>
          <w:highlight w:val="yellow"/>
        </w:rPr>
      </w:pPr>
      <w:r w:rsidRPr="0092685D">
        <w:rPr>
          <w:rFonts w:ascii="Arial" w:hAnsi="Arial" w:cs="Arial"/>
          <w:sz w:val="18"/>
          <w:szCs w:val="18"/>
        </w:rPr>
        <w:t xml:space="preserve">In response, we have continued to strengthen support for customers needing additional help, through </w:t>
      </w:r>
      <w:r w:rsidRPr="00B94423">
        <w:rPr>
          <w:rFonts w:ascii="Arial" w:hAnsi="Arial" w:cs="Arial"/>
          <w:sz w:val="18"/>
          <w:szCs w:val="18"/>
        </w:rPr>
        <w:t>our £200 million support package across this five-year period coupled with our affordability toolkit. Over the past ye</w:t>
      </w:r>
      <w:r w:rsidRPr="0092685D">
        <w:rPr>
          <w:rFonts w:ascii="Arial" w:hAnsi="Arial" w:cs="Arial"/>
          <w:sz w:val="18"/>
          <w:szCs w:val="18"/>
        </w:rPr>
        <w:t xml:space="preserve">ar, we </w:t>
      </w:r>
      <w:r w:rsidRPr="00EA35C4">
        <w:rPr>
          <w:rFonts w:ascii="Arial" w:hAnsi="Arial" w:cs="Arial"/>
          <w:sz w:val="18"/>
          <w:szCs w:val="18"/>
        </w:rPr>
        <w:t>saw a</w:t>
      </w:r>
      <w:r w:rsidR="00EA35C4" w:rsidRPr="00EA35C4">
        <w:rPr>
          <w:rFonts w:ascii="Arial" w:hAnsi="Arial" w:cs="Arial"/>
          <w:sz w:val="18"/>
          <w:szCs w:val="18"/>
        </w:rPr>
        <w:t xml:space="preserve"> 12%</w:t>
      </w:r>
      <w:r w:rsidRPr="00EA35C4">
        <w:rPr>
          <w:rFonts w:ascii="Arial" w:hAnsi="Arial" w:cs="Arial"/>
          <w:sz w:val="18"/>
          <w:szCs w:val="18"/>
        </w:rPr>
        <w:t xml:space="preserve"> year-on-year increase </w:t>
      </w:r>
      <w:r w:rsidRPr="0092685D">
        <w:rPr>
          <w:rFonts w:ascii="Arial" w:hAnsi="Arial" w:cs="Arial"/>
          <w:sz w:val="18"/>
          <w:szCs w:val="18"/>
        </w:rPr>
        <w:t>in those benefitting from that toolkit and support available, and we continue to focus on proactively providing support to those who need it most.</w:t>
      </w:r>
    </w:p>
    <w:p w14:paraId="78EFBB66" w14:textId="189962E9" w:rsidR="001C70AC" w:rsidRPr="001C70AC" w:rsidRDefault="001C70AC" w:rsidP="00844EFD">
      <w:pPr>
        <w:spacing w:after="160"/>
        <w:rPr>
          <w:rFonts w:ascii="Arial" w:hAnsi="Arial" w:cs="Arial"/>
          <w:sz w:val="18"/>
          <w:szCs w:val="18"/>
          <w:highlight w:val="yellow"/>
        </w:rPr>
      </w:pPr>
      <w:r w:rsidRPr="0092685D">
        <w:rPr>
          <w:rFonts w:ascii="Arial" w:hAnsi="Arial" w:cs="Arial"/>
          <w:sz w:val="18"/>
          <w:szCs w:val="18"/>
        </w:rPr>
        <w:t>We also remain focused on supporting customers with the tailored services they need through our Priority Services Register (PSR)</w:t>
      </w:r>
      <w:r w:rsidR="00657D25">
        <w:rPr>
          <w:rFonts w:ascii="Arial" w:hAnsi="Arial" w:cs="Arial"/>
          <w:sz w:val="18"/>
          <w:szCs w:val="18"/>
        </w:rPr>
        <w:t xml:space="preserve"> and</w:t>
      </w:r>
      <w:r w:rsidRPr="0092685D">
        <w:rPr>
          <w:rFonts w:ascii="Arial" w:hAnsi="Arial" w:cs="Arial"/>
          <w:sz w:val="18"/>
          <w:szCs w:val="18"/>
        </w:rPr>
        <w:t xml:space="preserve"> </w:t>
      </w:r>
      <w:r w:rsidR="006C164D">
        <w:rPr>
          <w:rFonts w:ascii="Arial" w:hAnsi="Arial" w:cs="Arial"/>
          <w:sz w:val="18"/>
          <w:szCs w:val="18"/>
        </w:rPr>
        <w:t>c</w:t>
      </w:r>
      <w:r w:rsidR="006C164D" w:rsidRPr="006C164D">
        <w:rPr>
          <w:rFonts w:ascii="Arial" w:hAnsi="Arial" w:cs="Arial"/>
          <w:sz w:val="18"/>
          <w:szCs w:val="18"/>
        </w:rPr>
        <w:t>.</w:t>
      </w:r>
      <w:r w:rsidR="003366F3" w:rsidRPr="006C164D">
        <w:rPr>
          <w:rFonts w:ascii="Arial" w:hAnsi="Arial" w:cs="Arial"/>
          <w:sz w:val="18"/>
          <w:szCs w:val="18"/>
        </w:rPr>
        <w:t>24</w:t>
      </w:r>
      <w:r w:rsidR="006C164D" w:rsidRPr="006C164D">
        <w:rPr>
          <w:rFonts w:ascii="Arial" w:hAnsi="Arial" w:cs="Arial"/>
          <w:sz w:val="18"/>
          <w:szCs w:val="18"/>
        </w:rPr>
        <w:t>8</w:t>
      </w:r>
      <w:r w:rsidR="003366F3" w:rsidRPr="006C164D">
        <w:rPr>
          <w:rFonts w:ascii="Arial" w:hAnsi="Arial" w:cs="Arial"/>
          <w:sz w:val="18"/>
          <w:szCs w:val="18"/>
        </w:rPr>
        <w:t>,</w:t>
      </w:r>
      <w:r w:rsidR="006C164D" w:rsidRPr="006C164D">
        <w:rPr>
          <w:rFonts w:ascii="Arial" w:hAnsi="Arial" w:cs="Arial"/>
          <w:sz w:val="18"/>
          <w:szCs w:val="18"/>
        </w:rPr>
        <w:t>000</w:t>
      </w:r>
      <w:r w:rsidRPr="006C164D">
        <w:rPr>
          <w:rFonts w:ascii="Arial" w:hAnsi="Arial" w:cs="Arial"/>
          <w:sz w:val="18"/>
          <w:szCs w:val="18"/>
        </w:rPr>
        <w:t xml:space="preserve"> </w:t>
      </w:r>
      <w:r w:rsidRPr="0092685D">
        <w:rPr>
          <w:rFonts w:ascii="Arial" w:hAnsi="Arial" w:cs="Arial"/>
          <w:sz w:val="18"/>
          <w:szCs w:val="18"/>
        </w:rPr>
        <w:t>customers are now registered for additional help during an incident.</w:t>
      </w:r>
    </w:p>
    <w:p w14:paraId="0AFAF419" w14:textId="77777777" w:rsidR="001C70AC" w:rsidRPr="0092685D" w:rsidRDefault="001C70AC" w:rsidP="00844EFD">
      <w:pPr>
        <w:spacing w:after="160"/>
        <w:rPr>
          <w:rFonts w:ascii="Arial" w:hAnsi="Arial" w:cs="Arial"/>
          <w:sz w:val="18"/>
          <w:szCs w:val="18"/>
        </w:rPr>
      </w:pPr>
      <w:r w:rsidRPr="0092685D">
        <w:rPr>
          <w:rFonts w:ascii="Arial" w:hAnsi="Arial" w:cs="Arial"/>
          <w:sz w:val="18"/>
          <w:szCs w:val="18"/>
        </w:rPr>
        <w:t xml:space="preserve">We have also listened to our customers and the feedback they have given us on our services and continuously feed this back into our business. Initiatives such as </w:t>
      </w:r>
      <w:proofErr w:type="spellStart"/>
      <w:r w:rsidRPr="0092685D">
        <w:rPr>
          <w:rFonts w:ascii="Arial" w:hAnsi="Arial" w:cs="Arial"/>
          <w:sz w:val="18"/>
          <w:szCs w:val="18"/>
        </w:rPr>
        <w:t>WaterShare</w:t>
      </w:r>
      <w:proofErr w:type="spellEnd"/>
      <w:r w:rsidRPr="0092685D">
        <w:rPr>
          <w:rFonts w:ascii="Arial" w:hAnsi="Arial" w:cs="Arial"/>
          <w:sz w:val="18"/>
          <w:szCs w:val="18"/>
        </w:rPr>
        <w:t xml:space="preserve">+ also continue to give customers both a voice and a stake in how their water company is run. We know that we are a critical part of the communities we serve and are building in their feedback, particularly on how we can do more to communicate and engage, to our strategy going forward. </w:t>
      </w:r>
    </w:p>
    <w:p w14:paraId="5A5BE89B" w14:textId="4F7430DA" w:rsidR="001C70AC" w:rsidRPr="004B4F88" w:rsidRDefault="001C70AC" w:rsidP="00844EFD">
      <w:pPr>
        <w:spacing w:after="160"/>
        <w:rPr>
          <w:rFonts w:ascii="Arial" w:hAnsi="Arial" w:cs="Arial"/>
          <w:sz w:val="18"/>
          <w:szCs w:val="18"/>
        </w:rPr>
      </w:pPr>
      <w:r w:rsidRPr="0092685D">
        <w:rPr>
          <w:rFonts w:ascii="Arial" w:hAnsi="Arial" w:cs="Arial"/>
          <w:i/>
          <w:iCs/>
          <w:sz w:val="18"/>
          <w:szCs w:val="18"/>
        </w:rPr>
        <w:t xml:space="preserve">MOBILISING THE AMP8 INVESTMENT PROGRAMME AND DELIVERING ON OUR FOUR PRIORITIES </w:t>
      </w:r>
      <w:r w:rsidR="00D62E2B">
        <w:rPr>
          <w:rFonts w:ascii="Arial" w:hAnsi="Arial" w:cs="Arial"/>
          <w:sz w:val="18"/>
          <w:szCs w:val="18"/>
        </w:rPr>
        <w:br/>
      </w:r>
      <w:r w:rsidRPr="004B4F88">
        <w:rPr>
          <w:rFonts w:ascii="Arial" w:hAnsi="Arial" w:cs="Arial"/>
          <w:sz w:val="18"/>
          <w:szCs w:val="18"/>
        </w:rPr>
        <w:t xml:space="preserve">The challenging weather events in the year underline the importance of sustained investment in resilient infrastructure as climate extremes become more frequent and more severe. April 2025 marked the beginning of the new regulatory period and the start of the most ambitious investment programme in </w:t>
      </w:r>
      <w:proofErr w:type="gramStart"/>
      <w:r w:rsidR="004B4F88" w:rsidRPr="004B4F88">
        <w:rPr>
          <w:rFonts w:ascii="Arial" w:hAnsi="Arial" w:cs="Arial"/>
          <w:sz w:val="18"/>
          <w:szCs w:val="18"/>
        </w:rPr>
        <w:t>South West</w:t>
      </w:r>
      <w:proofErr w:type="gramEnd"/>
      <w:r w:rsidR="004B4F88" w:rsidRPr="004B4F88">
        <w:rPr>
          <w:rFonts w:ascii="Arial" w:hAnsi="Arial" w:cs="Arial"/>
          <w:sz w:val="18"/>
          <w:szCs w:val="18"/>
        </w:rPr>
        <w:t xml:space="preserve"> Water’s</w:t>
      </w:r>
      <w:r w:rsidRPr="004B4F88">
        <w:rPr>
          <w:rFonts w:ascii="Arial" w:hAnsi="Arial" w:cs="Arial"/>
          <w:sz w:val="18"/>
          <w:szCs w:val="18"/>
        </w:rPr>
        <w:t xml:space="preserve"> history.</w:t>
      </w:r>
    </w:p>
    <w:p w14:paraId="3EE96C44" w14:textId="45439F46" w:rsidR="001C70AC" w:rsidRPr="006F195B" w:rsidRDefault="001C70AC" w:rsidP="00844EFD">
      <w:pPr>
        <w:spacing w:after="160"/>
        <w:rPr>
          <w:rFonts w:ascii="Arial" w:hAnsi="Arial" w:cs="Arial"/>
          <w:sz w:val="18"/>
          <w:szCs w:val="18"/>
        </w:rPr>
      </w:pPr>
      <w:r w:rsidRPr="00BE79A1">
        <w:rPr>
          <w:rFonts w:ascii="Arial" w:hAnsi="Arial" w:cs="Arial"/>
          <w:sz w:val="18"/>
          <w:szCs w:val="18"/>
        </w:rPr>
        <w:t xml:space="preserve">Our acceptance of the PR24 Final Determinations enabled us to accelerate mobilisation </w:t>
      </w:r>
      <w:r w:rsidRPr="006F195B">
        <w:rPr>
          <w:rFonts w:ascii="Arial" w:hAnsi="Arial" w:cs="Arial"/>
          <w:sz w:val="18"/>
          <w:szCs w:val="18"/>
        </w:rPr>
        <w:t>of our £3.</w:t>
      </w:r>
      <w:r w:rsidR="00BE79A1" w:rsidRPr="006F195B">
        <w:rPr>
          <w:rFonts w:ascii="Arial" w:hAnsi="Arial" w:cs="Arial"/>
          <w:sz w:val="18"/>
          <w:szCs w:val="18"/>
        </w:rPr>
        <w:t>0</w:t>
      </w:r>
      <w:r w:rsidRPr="006F195B">
        <w:rPr>
          <w:rFonts w:ascii="Arial" w:hAnsi="Arial" w:cs="Arial"/>
          <w:sz w:val="18"/>
          <w:szCs w:val="18"/>
        </w:rPr>
        <w:t xml:space="preserve"> billion</w:t>
      </w:r>
      <w:r w:rsidR="00BE79A1" w:rsidRPr="006F195B">
        <w:rPr>
          <w:rStyle w:val="FootnoteReference"/>
          <w:rFonts w:ascii="Arial" w:hAnsi="Arial" w:cs="Arial"/>
          <w:sz w:val="18"/>
          <w:szCs w:val="18"/>
        </w:rPr>
        <w:footnoteReference w:id="2"/>
      </w:r>
      <w:r w:rsidRPr="006F195B">
        <w:rPr>
          <w:rFonts w:ascii="Arial" w:hAnsi="Arial" w:cs="Arial"/>
          <w:sz w:val="18"/>
          <w:szCs w:val="18"/>
        </w:rPr>
        <w:t xml:space="preserve"> investment programme to 2030. This programme is focused on strengthening water resource resilience, improving environmental performance and upgrading critical infrastructure across the regions we serve. </w:t>
      </w:r>
    </w:p>
    <w:p w14:paraId="0F4EDA7F" w14:textId="77777777" w:rsidR="001C70AC" w:rsidRPr="006F195B" w:rsidRDefault="001C70AC" w:rsidP="00844EFD">
      <w:pPr>
        <w:spacing w:after="160"/>
        <w:rPr>
          <w:rFonts w:ascii="Arial" w:hAnsi="Arial" w:cs="Arial"/>
          <w:sz w:val="18"/>
          <w:szCs w:val="18"/>
        </w:rPr>
      </w:pPr>
      <w:r w:rsidRPr="006F195B">
        <w:rPr>
          <w:rFonts w:ascii="Arial" w:hAnsi="Arial" w:cs="Arial"/>
          <w:sz w:val="18"/>
          <w:szCs w:val="18"/>
        </w:rPr>
        <w:t xml:space="preserve">Early progress has been made as we continue to work hard towards our longer-term goals in AMP8. We are securing efficiencies as projects move from design into </w:t>
      </w:r>
      <w:proofErr w:type="gramStart"/>
      <w:r w:rsidRPr="006F195B">
        <w:rPr>
          <w:rFonts w:ascii="Arial" w:hAnsi="Arial" w:cs="Arial"/>
          <w:sz w:val="18"/>
          <w:szCs w:val="18"/>
        </w:rPr>
        <w:t>delivery, and</w:t>
      </w:r>
      <w:proofErr w:type="gramEnd"/>
      <w:r w:rsidRPr="006F195B">
        <w:rPr>
          <w:rFonts w:ascii="Arial" w:hAnsi="Arial" w:cs="Arial"/>
          <w:sz w:val="18"/>
          <w:szCs w:val="18"/>
        </w:rPr>
        <w:t xml:space="preserve"> are increasing focus on asset health and base expenditure to ensure that networks remain resilient, while delivering the step-change in environmental performance expected during this regulatory period. </w:t>
      </w:r>
    </w:p>
    <w:p w14:paraId="714B4F2E" w14:textId="3782FB7B" w:rsidR="006C164D" w:rsidRPr="006C164D" w:rsidRDefault="006C164D" w:rsidP="006C164D">
      <w:pPr>
        <w:spacing w:after="160"/>
        <w:rPr>
          <w:rFonts w:ascii="Arial" w:hAnsi="Arial" w:cs="Arial"/>
          <w:sz w:val="18"/>
          <w:szCs w:val="18"/>
        </w:rPr>
      </w:pPr>
      <w:r>
        <w:rPr>
          <w:rFonts w:ascii="Arial" w:eastAsia="Times New Roman" w:hAnsi="Arial" w:cs="DINOT-Light"/>
          <w:b/>
          <w:color w:val="000000"/>
          <w:sz w:val="18"/>
          <w:szCs w:val="18"/>
        </w:rPr>
        <w:t>LEGAL AND REGULATORY PROCEEDINGS</w:t>
      </w:r>
      <w:r w:rsidR="00D62E2B">
        <w:rPr>
          <w:rFonts w:ascii="Arial" w:hAnsi="Arial" w:cs="Arial"/>
          <w:sz w:val="18"/>
          <w:szCs w:val="18"/>
        </w:rPr>
        <w:br/>
      </w:r>
      <w:r w:rsidRPr="006C164D">
        <w:rPr>
          <w:rFonts w:ascii="Arial" w:hAnsi="Arial" w:cs="Arial"/>
          <w:sz w:val="18"/>
          <w:szCs w:val="18"/>
        </w:rPr>
        <w:t xml:space="preserve">Whilst we have made good progress in the past year, enforcement undertakings agreed with Ofwat around our wastewater business and the conclusion of the Drinking Water Inspectorate’s (DWI) prosecution against </w:t>
      </w:r>
      <w:proofErr w:type="gramStart"/>
      <w:r w:rsidRPr="006C164D">
        <w:rPr>
          <w:rFonts w:ascii="Arial" w:hAnsi="Arial" w:cs="Arial"/>
          <w:sz w:val="18"/>
          <w:szCs w:val="18"/>
        </w:rPr>
        <w:t>South West</w:t>
      </w:r>
      <w:proofErr w:type="gramEnd"/>
      <w:r w:rsidRPr="006C164D">
        <w:rPr>
          <w:rFonts w:ascii="Arial" w:hAnsi="Arial" w:cs="Arial"/>
          <w:sz w:val="18"/>
          <w:szCs w:val="18"/>
        </w:rPr>
        <w:t xml:space="preserve"> Water for the 2024 Brixham water quality incident both underline that we must deliver with greater rigour and discipline. We recognise the impact on both customers and the environment from these incidents, and that we must do more to live up to the expectations of the customers and communities we serve. I also reiterate our unreserved apology for the impact that the Brixham incident had on customers, their families and the wider community. It is now vital that having reflected on the learnings from these situations, we embed improvements across our operational businesses and take from them</w:t>
      </w:r>
      <w:r>
        <w:rPr>
          <w:rFonts w:ascii="Arial" w:hAnsi="Arial" w:cs="Arial"/>
          <w:sz w:val="18"/>
          <w:szCs w:val="18"/>
        </w:rPr>
        <w:t xml:space="preserve"> </w:t>
      </w:r>
      <w:r w:rsidRPr="006C164D">
        <w:rPr>
          <w:rFonts w:ascii="Arial" w:hAnsi="Arial" w:cs="Arial"/>
          <w:sz w:val="18"/>
          <w:szCs w:val="18"/>
        </w:rPr>
        <w:t>a drive to improve our delivery for customers and better</w:t>
      </w:r>
      <w:r>
        <w:rPr>
          <w:rFonts w:ascii="Arial" w:hAnsi="Arial" w:cs="Arial"/>
          <w:sz w:val="18"/>
          <w:szCs w:val="18"/>
        </w:rPr>
        <w:t xml:space="preserve"> </w:t>
      </w:r>
      <w:r w:rsidRPr="006C164D">
        <w:rPr>
          <w:rFonts w:ascii="Arial" w:hAnsi="Arial" w:cs="Arial"/>
          <w:sz w:val="18"/>
          <w:szCs w:val="18"/>
        </w:rPr>
        <w:t>protect the environment as we move forward.</w:t>
      </w:r>
    </w:p>
    <w:p w14:paraId="3E8FC31E" w14:textId="36F660D2" w:rsidR="001C70AC" w:rsidRPr="006F195B" w:rsidRDefault="001C70AC" w:rsidP="00844EFD">
      <w:pPr>
        <w:spacing w:after="160"/>
        <w:rPr>
          <w:rFonts w:ascii="Arial" w:hAnsi="Arial" w:cs="Arial"/>
          <w:sz w:val="18"/>
          <w:szCs w:val="18"/>
        </w:rPr>
      </w:pPr>
      <w:r w:rsidRPr="006F195B">
        <w:rPr>
          <w:rFonts w:ascii="Arial" w:eastAsia="Times New Roman" w:hAnsi="Arial" w:cs="DINOT-Light"/>
          <w:b/>
          <w:color w:val="000000"/>
          <w:sz w:val="18"/>
          <w:szCs w:val="18"/>
        </w:rPr>
        <w:t>LOOKING AHEAD</w:t>
      </w:r>
      <w:r w:rsidR="00D62E2B">
        <w:rPr>
          <w:rFonts w:ascii="Arial" w:hAnsi="Arial" w:cs="Arial"/>
          <w:sz w:val="18"/>
          <w:szCs w:val="18"/>
        </w:rPr>
        <w:br/>
      </w:r>
      <w:r w:rsidRPr="006F195B">
        <w:rPr>
          <w:rFonts w:ascii="Arial" w:hAnsi="Arial" w:cs="Arial"/>
          <w:sz w:val="18"/>
          <w:szCs w:val="18"/>
        </w:rPr>
        <w:t xml:space="preserve">The reforms proposed through the Cunliffe Review and the Government’s White Paper signal a new era for the UK water industry, one that places greater emphasis on transparency, accountability and long-term investment. Delivering on these expectations requires sustained focus, disciplined execution and strong collaboration across government, regulators and companies. </w:t>
      </w:r>
    </w:p>
    <w:p w14:paraId="70051B73" w14:textId="750361FC" w:rsidR="001C70AC" w:rsidRPr="001C70AC" w:rsidRDefault="00BE79A1" w:rsidP="00844EFD">
      <w:pPr>
        <w:spacing w:after="160"/>
        <w:rPr>
          <w:rFonts w:ascii="Arial" w:hAnsi="Arial" w:cs="Arial"/>
          <w:sz w:val="18"/>
          <w:szCs w:val="18"/>
          <w:highlight w:val="yellow"/>
        </w:rPr>
      </w:pPr>
      <w:proofErr w:type="gramStart"/>
      <w:r w:rsidRPr="006F195B">
        <w:rPr>
          <w:rFonts w:ascii="Arial" w:hAnsi="Arial" w:cs="Arial"/>
          <w:sz w:val="18"/>
          <w:szCs w:val="18"/>
        </w:rPr>
        <w:lastRenderedPageBreak/>
        <w:t>South West</w:t>
      </w:r>
      <w:proofErr w:type="gramEnd"/>
      <w:r w:rsidRPr="006F195B">
        <w:rPr>
          <w:rFonts w:ascii="Arial" w:hAnsi="Arial" w:cs="Arial"/>
          <w:sz w:val="18"/>
          <w:szCs w:val="18"/>
        </w:rPr>
        <w:t xml:space="preserve"> Water</w:t>
      </w:r>
      <w:r w:rsidR="001C70AC" w:rsidRPr="006F195B">
        <w:rPr>
          <w:rFonts w:ascii="Arial" w:hAnsi="Arial" w:cs="Arial"/>
          <w:sz w:val="18"/>
          <w:szCs w:val="18"/>
        </w:rPr>
        <w:t xml:space="preserve"> enters this new phase with a refreshed and strengthened leadership, a clear strategy and the largest investment programme in our history underway. Our £3.</w:t>
      </w:r>
      <w:r w:rsidRPr="006F195B">
        <w:rPr>
          <w:rFonts w:ascii="Arial" w:hAnsi="Arial" w:cs="Arial"/>
          <w:sz w:val="18"/>
          <w:szCs w:val="18"/>
        </w:rPr>
        <w:t>0</w:t>
      </w:r>
      <w:r w:rsidR="001C70AC" w:rsidRPr="006F195B">
        <w:rPr>
          <w:rFonts w:ascii="Arial" w:hAnsi="Arial" w:cs="Arial"/>
          <w:sz w:val="18"/>
          <w:szCs w:val="18"/>
        </w:rPr>
        <w:t xml:space="preserve"> billion</w:t>
      </w:r>
      <w:r w:rsidR="00773DC6">
        <w:rPr>
          <w:rStyle w:val="FootnoteReference"/>
          <w:rFonts w:ascii="Arial" w:hAnsi="Arial" w:cs="Arial"/>
          <w:sz w:val="18"/>
          <w:szCs w:val="18"/>
        </w:rPr>
        <w:footnoteReference w:id="3"/>
      </w:r>
      <w:r w:rsidR="001C70AC" w:rsidRPr="006F195B">
        <w:rPr>
          <w:rFonts w:ascii="Arial" w:hAnsi="Arial" w:cs="Arial"/>
          <w:sz w:val="18"/>
          <w:szCs w:val="18"/>
        </w:rPr>
        <w:t xml:space="preserve"> programme</w:t>
      </w:r>
      <w:r w:rsidR="001C70AC" w:rsidRPr="00BE79A1">
        <w:rPr>
          <w:rFonts w:ascii="Arial" w:hAnsi="Arial" w:cs="Arial"/>
          <w:sz w:val="18"/>
          <w:szCs w:val="18"/>
        </w:rPr>
        <w:t xml:space="preserve"> that runs to 2030 will deliver improvements to water quality, environmental performance and infrastructure resilience across the regions we serve. In addition, we have made a submission to Ofwat for a furth</w:t>
      </w:r>
      <w:r w:rsidR="001C70AC" w:rsidRPr="008B11BA">
        <w:rPr>
          <w:rFonts w:ascii="Arial" w:hAnsi="Arial" w:cs="Arial"/>
          <w:sz w:val="18"/>
          <w:szCs w:val="18"/>
        </w:rPr>
        <w:t>er £</w:t>
      </w:r>
      <w:r w:rsidR="00D627AA" w:rsidRPr="008B11BA">
        <w:rPr>
          <w:rFonts w:ascii="Arial" w:hAnsi="Arial" w:cs="Arial"/>
          <w:sz w:val="18"/>
          <w:szCs w:val="18"/>
        </w:rPr>
        <w:t>2</w:t>
      </w:r>
      <w:r w:rsidR="008B11BA" w:rsidRPr="008B11BA">
        <w:rPr>
          <w:rFonts w:ascii="Arial" w:hAnsi="Arial" w:cs="Arial"/>
          <w:sz w:val="18"/>
          <w:szCs w:val="18"/>
        </w:rPr>
        <w:t>4</w:t>
      </w:r>
      <w:r w:rsidR="00D627AA" w:rsidRPr="008B11BA">
        <w:rPr>
          <w:rFonts w:ascii="Arial" w:hAnsi="Arial" w:cs="Arial"/>
          <w:sz w:val="18"/>
          <w:szCs w:val="18"/>
        </w:rPr>
        <w:t>0</w:t>
      </w:r>
      <w:r w:rsidR="001C70AC" w:rsidRPr="008B11BA">
        <w:rPr>
          <w:rFonts w:ascii="Arial" w:hAnsi="Arial" w:cs="Arial"/>
          <w:sz w:val="18"/>
          <w:szCs w:val="18"/>
        </w:rPr>
        <w:t xml:space="preserve"> million</w:t>
      </w:r>
      <w:r w:rsidR="00D627AA" w:rsidRPr="008B11BA">
        <w:rPr>
          <w:rStyle w:val="FootnoteReference"/>
          <w:rFonts w:ascii="Arial" w:hAnsi="Arial" w:cs="Arial"/>
          <w:sz w:val="18"/>
          <w:szCs w:val="18"/>
        </w:rPr>
        <w:footnoteReference w:id="4"/>
      </w:r>
      <w:r w:rsidR="001C70AC" w:rsidRPr="008B11BA">
        <w:rPr>
          <w:rFonts w:ascii="Arial" w:hAnsi="Arial" w:cs="Arial"/>
          <w:sz w:val="18"/>
          <w:szCs w:val="18"/>
        </w:rPr>
        <w:t xml:space="preserve"> </w:t>
      </w:r>
      <w:r w:rsidR="001C70AC" w:rsidRPr="003B4842">
        <w:rPr>
          <w:rFonts w:ascii="Arial" w:hAnsi="Arial" w:cs="Arial"/>
          <w:sz w:val="18"/>
          <w:szCs w:val="18"/>
        </w:rPr>
        <w:t>of investment, under the new “cost change process”, which will provide a further growth opportunity whilst supporting resilience.</w:t>
      </w:r>
    </w:p>
    <w:p w14:paraId="5FE428F7" w14:textId="77777777" w:rsidR="00773DC6" w:rsidRDefault="001C70AC" w:rsidP="00844EFD">
      <w:pPr>
        <w:spacing w:after="160"/>
        <w:rPr>
          <w:rFonts w:ascii="Arial" w:hAnsi="Arial" w:cs="Arial"/>
          <w:sz w:val="18"/>
          <w:szCs w:val="18"/>
        </w:rPr>
      </w:pPr>
      <w:r w:rsidRPr="003B4842">
        <w:rPr>
          <w:rFonts w:ascii="Arial" w:hAnsi="Arial" w:cs="Arial"/>
          <w:sz w:val="18"/>
          <w:szCs w:val="18"/>
        </w:rPr>
        <w:t xml:space="preserve">This has been a year of progress - but also transition and challenge, that provides strong foundations for the future. On behalf of the Board, I would like to thank our colleagues across the </w:t>
      </w:r>
      <w:r w:rsidR="003B4842" w:rsidRPr="003B4842">
        <w:rPr>
          <w:rFonts w:ascii="Arial" w:hAnsi="Arial" w:cs="Arial"/>
          <w:sz w:val="18"/>
          <w:szCs w:val="18"/>
        </w:rPr>
        <w:t>Company</w:t>
      </w:r>
      <w:r w:rsidRPr="003B4842">
        <w:rPr>
          <w:rFonts w:ascii="Arial" w:hAnsi="Arial" w:cs="Arial"/>
          <w:sz w:val="18"/>
          <w:szCs w:val="18"/>
        </w:rPr>
        <w:t xml:space="preserve"> for their dedication and professionalism in delivering essential services every day.</w:t>
      </w:r>
      <w:r w:rsidR="00466A81">
        <w:rPr>
          <w:rFonts w:ascii="Arial" w:hAnsi="Arial" w:cs="Arial"/>
          <w:sz w:val="18"/>
          <w:szCs w:val="18"/>
        </w:rPr>
        <w:t xml:space="preserve"> </w:t>
      </w:r>
    </w:p>
    <w:p w14:paraId="208780F2" w14:textId="54E492E4" w:rsidR="000F1B6E" w:rsidRDefault="001C70AC" w:rsidP="00844EFD">
      <w:pPr>
        <w:spacing w:after="160"/>
        <w:rPr>
          <w:rFonts w:ascii="Arial" w:hAnsi="Arial" w:cs="Arial"/>
          <w:sz w:val="18"/>
          <w:szCs w:val="18"/>
          <w:highlight w:val="yellow"/>
        </w:rPr>
      </w:pPr>
      <w:r w:rsidRPr="00466A81">
        <w:rPr>
          <w:rFonts w:ascii="Arial" w:hAnsi="Arial" w:cs="Arial"/>
          <w:sz w:val="18"/>
          <w:szCs w:val="18"/>
        </w:rPr>
        <w:t xml:space="preserve">With a renewed purpose and a strengthened leadership team, </w:t>
      </w:r>
      <w:proofErr w:type="gramStart"/>
      <w:r w:rsidR="00466A81" w:rsidRPr="00466A81">
        <w:rPr>
          <w:rFonts w:ascii="Arial" w:hAnsi="Arial" w:cs="Arial"/>
          <w:sz w:val="18"/>
          <w:szCs w:val="18"/>
        </w:rPr>
        <w:t>South West</w:t>
      </w:r>
      <w:proofErr w:type="gramEnd"/>
      <w:r w:rsidR="00466A81" w:rsidRPr="00466A81">
        <w:rPr>
          <w:rFonts w:ascii="Arial" w:hAnsi="Arial" w:cs="Arial"/>
          <w:sz w:val="18"/>
          <w:szCs w:val="18"/>
        </w:rPr>
        <w:t xml:space="preserve"> Water</w:t>
      </w:r>
      <w:r w:rsidRPr="00466A81">
        <w:rPr>
          <w:rFonts w:ascii="Arial" w:hAnsi="Arial" w:cs="Arial"/>
          <w:sz w:val="18"/>
          <w:szCs w:val="18"/>
        </w:rPr>
        <w:t xml:space="preserve"> is well positioned to deliver for customers, communities, and the environment in the years ahead. </w:t>
      </w:r>
      <w:r w:rsidR="000F1B6E">
        <w:rPr>
          <w:rFonts w:ascii="Arial" w:hAnsi="Arial" w:cs="Arial"/>
          <w:sz w:val="18"/>
          <w:szCs w:val="18"/>
          <w:highlight w:val="yellow"/>
        </w:rPr>
        <w:br w:type="page"/>
      </w:r>
    </w:p>
    <w:p w14:paraId="5FBEC5F3" w14:textId="1F95E484" w:rsidR="004B667E" w:rsidRPr="004B667E" w:rsidRDefault="004B667E" w:rsidP="00844EFD">
      <w:pPr>
        <w:spacing w:after="160"/>
        <w:rPr>
          <w:rFonts w:ascii="Arial" w:hAnsi="Arial" w:cs="Arial"/>
          <w:sz w:val="32"/>
          <w:szCs w:val="32"/>
        </w:rPr>
      </w:pPr>
      <w:r w:rsidRPr="004B667E">
        <w:rPr>
          <w:rFonts w:ascii="Arial" w:hAnsi="Arial" w:cs="Arial"/>
          <w:sz w:val="32"/>
          <w:szCs w:val="32"/>
        </w:rPr>
        <w:lastRenderedPageBreak/>
        <w:t>CHIEF EXECUTIVE OFFICER’S INTRODUCTION</w:t>
      </w:r>
    </w:p>
    <w:p w14:paraId="75DD5A53" w14:textId="6870E186" w:rsidR="003454C0" w:rsidRPr="00735726" w:rsidRDefault="003454C0" w:rsidP="00844EFD">
      <w:pPr>
        <w:spacing w:after="160"/>
        <w:rPr>
          <w:rFonts w:ascii="Arial" w:hAnsi="Arial" w:cs="Arial"/>
          <w:sz w:val="18"/>
          <w:szCs w:val="18"/>
        </w:rPr>
      </w:pPr>
      <w:r w:rsidRPr="00735726">
        <w:rPr>
          <w:rFonts w:ascii="Arial" w:hAnsi="Arial" w:cs="Arial"/>
          <w:sz w:val="18"/>
          <w:szCs w:val="18"/>
        </w:rPr>
        <w:t xml:space="preserve">We have strong foundations to enter our next phase and transition to AMP8. My commitment is simple: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will be a company that delivers </w:t>
      </w:r>
      <w:r w:rsidR="006C1BA9" w:rsidRPr="00735726">
        <w:rPr>
          <w:rFonts w:ascii="Arial" w:hAnsi="Arial" w:cs="Arial"/>
          <w:sz w:val="18"/>
          <w:szCs w:val="18"/>
        </w:rPr>
        <w:t xml:space="preserve">- </w:t>
      </w:r>
      <w:r w:rsidRPr="00735726">
        <w:rPr>
          <w:rFonts w:ascii="Arial" w:hAnsi="Arial" w:cs="Arial"/>
          <w:sz w:val="18"/>
          <w:szCs w:val="18"/>
        </w:rPr>
        <w:t>consistently, transparently and with pride in the service we provide.</w:t>
      </w:r>
    </w:p>
    <w:p w14:paraId="0313238B" w14:textId="24ED288A" w:rsidR="003454C0" w:rsidRPr="00735726" w:rsidRDefault="003454C0" w:rsidP="00844EFD">
      <w:pPr>
        <w:spacing w:after="160"/>
        <w:rPr>
          <w:rFonts w:ascii="Arial" w:hAnsi="Arial" w:cs="Arial"/>
          <w:sz w:val="18"/>
          <w:szCs w:val="18"/>
        </w:rPr>
      </w:pPr>
      <w:r w:rsidRPr="00735726">
        <w:rPr>
          <w:rFonts w:ascii="Arial" w:hAnsi="Arial" w:cs="Arial"/>
          <w:sz w:val="18"/>
          <w:szCs w:val="18"/>
        </w:rPr>
        <w:t xml:space="preserve">I was delighted to join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as Chief Executive in </w:t>
      </w:r>
      <w:r w:rsidR="00A774C5" w:rsidRPr="00735726">
        <w:rPr>
          <w:rFonts w:ascii="Arial" w:hAnsi="Arial" w:cs="Arial"/>
          <w:sz w:val="18"/>
          <w:szCs w:val="18"/>
        </w:rPr>
        <w:t xml:space="preserve">May </w:t>
      </w:r>
      <w:r w:rsidRPr="00735726">
        <w:rPr>
          <w:rFonts w:ascii="Arial" w:hAnsi="Arial" w:cs="Arial"/>
          <w:sz w:val="18"/>
          <w:szCs w:val="18"/>
        </w:rPr>
        <w:t>2026, at an important moment both for the Company and for the wider UK water sector.</w:t>
      </w:r>
    </w:p>
    <w:p w14:paraId="58FA678C" w14:textId="53243B1D" w:rsidR="003454C0" w:rsidRPr="00735726" w:rsidRDefault="003454C0" w:rsidP="00844EFD">
      <w:pPr>
        <w:spacing w:after="160"/>
        <w:rPr>
          <w:rFonts w:ascii="Arial" w:hAnsi="Arial" w:cs="Arial"/>
          <w:sz w:val="18"/>
          <w:szCs w:val="18"/>
        </w:rPr>
      </w:pPr>
      <w:r w:rsidRPr="00735726">
        <w:rPr>
          <w:rFonts w:ascii="Arial" w:hAnsi="Arial" w:cs="Arial"/>
          <w:sz w:val="18"/>
          <w:szCs w:val="18"/>
        </w:rPr>
        <w:t xml:space="preserve">During my short time with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 have prioritised meeting colleagues across the Company, visiting operational and capital delivery sites, and completing deep dive sessions on our performance. I have learned a great deal and been struck by the professionalism and commitment of our teams, who deliver essential services for customers and communities every day.</w:t>
      </w:r>
    </w:p>
    <w:p w14:paraId="07958067" w14:textId="37F5F529" w:rsidR="003454C0" w:rsidRPr="00735726" w:rsidRDefault="003454C0" w:rsidP="00844EFD">
      <w:pPr>
        <w:spacing w:after="160"/>
        <w:rPr>
          <w:rFonts w:ascii="Arial" w:hAnsi="Arial" w:cs="Arial"/>
          <w:sz w:val="18"/>
          <w:szCs w:val="18"/>
        </w:rPr>
      </w:pPr>
      <w:r w:rsidRPr="00735726">
        <w:rPr>
          <w:rFonts w:ascii="Arial" w:hAnsi="Arial" w:cs="Arial"/>
          <w:sz w:val="18"/>
          <w:szCs w:val="18"/>
        </w:rPr>
        <w:t xml:space="preserve">As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enters a new era under my leadership and transitions into the AMP8 regulatory period, we do so from a solid base. The business has returned to profitability and has mobilised the largest investment programme in its history. This programme will deliver significant improvements in water quality, environmental performance and heightened resilience of the systems on which our customers depend.</w:t>
      </w:r>
    </w:p>
    <w:p w14:paraId="7209816A" w14:textId="55CB3D48" w:rsidR="003454C0" w:rsidRPr="00735726" w:rsidRDefault="003454C0" w:rsidP="00844EFD">
      <w:pPr>
        <w:spacing w:after="160"/>
        <w:rPr>
          <w:rFonts w:ascii="Arial" w:hAnsi="Arial" w:cs="Arial"/>
          <w:sz w:val="18"/>
          <w:szCs w:val="18"/>
        </w:rPr>
      </w:pPr>
      <w:r w:rsidRPr="00735726">
        <w:rPr>
          <w:rFonts w:ascii="Arial" w:hAnsi="Arial" w:cs="Arial"/>
          <w:sz w:val="18"/>
          <w:szCs w:val="18"/>
        </w:rPr>
        <w:t xml:space="preserve">My focus as Chief Executive is clear: to ensure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consistently meets high standards of operational performance while delivering the ambitious programme of investment for improved outcomes we have set out with discipline and efficiency. Whilst we demonstrate industry leading performance in some areas, we clearly have work to do on some of our customer-led measures.</w:t>
      </w:r>
    </w:p>
    <w:p w14:paraId="06E7CA98" w14:textId="77777777" w:rsidR="00F74D2D" w:rsidRPr="00735726" w:rsidRDefault="003454C0" w:rsidP="00844EFD">
      <w:pPr>
        <w:spacing w:after="160"/>
        <w:rPr>
          <w:rFonts w:ascii="Arial" w:hAnsi="Arial" w:cs="Arial"/>
          <w:sz w:val="18"/>
          <w:szCs w:val="18"/>
        </w:rPr>
      </w:pPr>
      <w:r w:rsidRPr="00735726">
        <w:rPr>
          <w:rFonts w:ascii="Arial" w:hAnsi="Arial" w:cs="Arial"/>
          <w:sz w:val="18"/>
          <w:szCs w:val="18"/>
        </w:rPr>
        <w:t xml:space="preserve">Improving environmental performance will be central to that effort, both through our leading catchment management and biodiversity work and our operational delivery. We are already seeing tangible progress through the implementation of our Pollution Incident Reduction Plan and through sustained investment in our wastewater infrastructure. Building on that progress with further focus on operational excellence and introducing industry best practice will be a key priority for the Company and me in the years ahead. </w:t>
      </w:r>
    </w:p>
    <w:p w14:paraId="2F937478" w14:textId="3D7180EF" w:rsidR="003454C0" w:rsidRPr="00735726" w:rsidRDefault="003454C0" w:rsidP="00844EFD">
      <w:pPr>
        <w:spacing w:after="160"/>
        <w:rPr>
          <w:rFonts w:ascii="Arial" w:hAnsi="Arial" w:cs="Arial"/>
          <w:sz w:val="18"/>
          <w:szCs w:val="18"/>
        </w:rPr>
      </w:pPr>
      <w:r w:rsidRPr="00735726">
        <w:rPr>
          <w:rFonts w:ascii="Arial" w:hAnsi="Arial" w:cs="Arial"/>
          <w:sz w:val="18"/>
          <w:szCs w:val="18"/>
        </w:rPr>
        <w:t>We will earn the trust of our customers, the communities we serve, by showing our commitment to innovate, transform and deliver on our promises.</w:t>
      </w:r>
    </w:p>
    <w:p w14:paraId="73473A1D" w14:textId="51C70EDE" w:rsidR="00F74D2D" w:rsidRPr="00735726" w:rsidRDefault="00F74D2D" w:rsidP="00F74D2D">
      <w:pPr>
        <w:spacing w:after="160"/>
        <w:rPr>
          <w:rFonts w:ascii="Arial" w:hAnsi="Arial" w:cs="Arial"/>
          <w:sz w:val="18"/>
          <w:szCs w:val="18"/>
        </w:rPr>
      </w:pPr>
      <w:r w:rsidRPr="00735726">
        <w:rPr>
          <w:rFonts w:ascii="Arial" w:hAnsi="Arial" w:cs="Arial"/>
          <w:sz w:val="18"/>
          <w:szCs w:val="18"/>
        </w:rPr>
        <w:t xml:space="preserve">I was also deeply saddened by the impact our business had on customers in the Brixham area during the 2024 cryptosporidium incident. Whilst I have only been Chief Executive Officer for a few weeks, it is very clear that we must learn lessons from this incident and work hard to rebuild trust with the customer and communities we serve, both in Brixham and beyond. My focus will be on ensuring we drive improvements in the way we operate, how we communicate and support our customers, and delivering a step change in our performance for our customers and the environment. </w:t>
      </w:r>
    </w:p>
    <w:p w14:paraId="44562481" w14:textId="4CFF2550" w:rsidR="003454C0" w:rsidRPr="00735726" w:rsidRDefault="003454C0" w:rsidP="00F74D2D">
      <w:pPr>
        <w:spacing w:after="160"/>
        <w:rPr>
          <w:rFonts w:ascii="Arial" w:hAnsi="Arial" w:cs="Arial"/>
          <w:sz w:val="18"/>
          <w:szCs w:val="18"/>
        </w:rPr>
      </w:pPr>
      <w:r w:rsidRPr="00735726">
        <w:rPr>
          <w:rFonts w:ascii="Arial" w:hAnsi="Arial" w:cs="Arial"/>
          <w:sz w:val="18"/>
          <w:szCs w:val="18"/>
        </w:rPr>
        <w:t>I am clear that asset health and long-term system resilience will also be fundamental to delivering reliable services for customers and improving the environment. The creation of the Chief Asset Officer role, with Ian Christie joining the Company in May 2026, reflects the importance placed on strengthening asset management capability as we deliver the investment plans and prepare for future business plans.</w:t>
      </w:r>
    </w:p>
    <w:p w14:paraId="02899A66" w14:textId="5849F17E" w:rsidR="003454C0" w:rsidRPr="00735726" w:rsidRDefault="003454C0" w:rsidP="00844EFD">
      <w:pPr>
        <w:spacing w:after="160"/>
        <w:rPr>
          <w:rFonts w:ascii="Arial" w:hAnsi="Arial" w:cs="Arial"/>
          <w:sz w:val="18"/>
          <w:szCs w:val="18"/>
        </w:rPr>
      </w:pPr>
      <w:r w:rsidRPr="00735726">
        <w:rPr>
          <w:rFonts w:ascii="Arial" w:hAnsi="Arial" w:cs="Arial"/>
          <w:sz w:val="18"/>
          <w:szCs w:val="18"/>
        </w:rPr>
        <w:t xml:space="preserve">The UK water sector is entering a period of significant change as expectations of environmental performance, transparency and long-term resilience continue to rise and the regulatory landscape is reshaped.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is well positioned to respond and deliver for our stakeholders in this new era, with a clear strategy, strong regional businesses and a committed workforce.</w:t>
      </w:r>
    </w:p>
    <w:p w14:paraId="3A021833" w14:textId="2997C6CB" w:rsidR="003454C0" w:rsidRPr="009A2CAE" w:rsidRDefault="003454C0" w:rsidP="00844EFD">
      <w:pPr>
        <w:spacing w:after="160"/>
        <w:rPr>
          <w:rFonts w:ascii="Arial" w:hAnsi="Arial" w:cs="Arial"/>
          <w:sz w:val="18"/>
          <w:szCs w:val="18"/>
        </w:rPr>
      </w:pPr>
      <w:r w:rsidRPr="00735726">
        <w:rPr>
          <w:rFonts w:ascii="Arial" w:hAnsi="Arial" w:cs="Arial"/>
          <w:sz w:val="18"/>
          <w:szCs w:val="18"/>
        </w:rPr>
        <w:t xml:space="preserve">I am excited and privileged to lead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and look forward to working with colleagues across the Company to transform our operational practices into industry leading performance and outcomes across all areas. This will allow us to build trust and deliver against the expectations of our customers, communities and stakeholders.</w:t>
      </w:r>
      <w:r w:rsidRPr="009A2CAE">
        <w:rPr>
          <w:rFonts w:ascii="Arial" w:hAnsi="Arial" w:cs="Arial"/>
          <w:sz w:val="18"/>
          <w:szCs w:val="18"/>
        </w:rPr>
        <w:br w:type="page"/>
      </w:r>
    </w:p>
    <w:p w14:paraId="01ACF734" w14:textId="77777777" w:rsidR="00681582" w:rsidRPr="00735726" w:rsidRDefault="00681582" w:rsidP="00844EFD">
      <w:pPr>
        <w:rPr>
          <w:rFonts w:ascii="Arial" w:hAnsi="Arial" w:cs="Arial"/>
          <w:sz w:val="32"/>
          <w:szCs w:val="32"/>
        </w:rPr>
      </w:pPr>
      <w:bookmarkStart w:id="8" w:name="_Hlk200996249"/>
      <w:proofErr w:type="gramStart"/>
      <w:r w:rsidRPr="00735726">
        <w:rPr>
          <w:rFonts w:ascii="Arial" w:hAnsi="Arial" w:cs="Arial"/>
          <w:sz w:val="32"/>
          <w:szCs w:val="32"/>
        </w:rPr>
        <w:lastRenderedPageBreak/>
        <w:t>SOUTH WEST</w:t>
      </w:r>
      <w:proofErr w:type="gramEnd"/>
      <w:r w:rsidRPr="00735726">
        <w:rPr>
          <w:rFonts w:ascii="Arial" w:hAnsi="Arial" w:cs="Arial"/>
          <w:sz w:val="32"/>
          <w:szCs w:val="32"/>
        </w:rPr>
        <w:t xml:space="preserve"> WATER’S GROUP CONTEXT</w:t>
      </w:r>
    </w:p>
    <w:p w14:paraId="63943E03" w14:textId="4D88B46F" w:rsidR="00681582" w:rsidRPr="00735726" w:rsidRDefault="00681582" w:rsidP="00844EFD">
      <w:pPr>
        <w:pStyle w:val="Headinglevel4"/>
        <w:spacing w:line="276" w:lineRule="auto"/>
        <w:outlineLvl w:val="0"/>
      </w:pPr>
      <w:proofErr w:type="gramStart"/>
      <w:r w:rsidRPr="00735726">
        <w:rPr>
          <w:rFonts w:eastAsiaTheme="minorHAnsi"/>
          <w:b w:val="0"/>
          <w:bCs w:val="0"/>
          <w:caps w:val="0"/>
          <w:color w:val="auto"/>
        </w:rPr>
        <w:t>South West</w:t>
      </w:r>
      <w:proofErr w:type="gramEnd"/>
      <w:r w:rsidRPr="00735726">
        <w:rPr>
          <w:rFonts w:eastAsiaTheme="minorHAnsi"/>
          <w:b w:val="0"/>
          <w:bCs w:val="0"/>
          <w:caps w:val="0"/>
          <w:color w:val="auto"/>
        </w:rPr>
        <w:t xml:space="preserve"> Water Limited is a subsidiary of Pennon Group plc (which is </w:t>
      </w:r>
      <w:proofErr w:type="gramStart"/>
      <w:r w:rsidRPr="00735726">
        <w:rPr>
          <w:rFonts w:eastAsiaTheme="minorHAnsi"/>
          <w:b w:val="0"/>
          <w:bCs w:val="0"/>
          <w:caps w:val="0"/>
          <w:color w:val="auto"/>
        </w:rPr>
        <w:t>South West</w:t>
      </w:r>
      <w:proofErr w:type="gramEnd"/>
      <w:r w:rsidRPr="00735726">
        <w:rPr>
          <w:rFonts w:eastAsiaTheme="minorHAnsi"/>
          <w:b w:val="0"/>
          <w:bCs w:val="0"/>
          <w:caps w:val="0"/>
          <w:color w:val="auto"/>
        </w:rPr>
        <w:t xml:space="preserve"> Water's immediate and ultimate parent </w:t>
      </w:r>
      <w:r w:rsidR="003B36A4" w:rsidRPr="00735726">
        <w:rPr>
          <w:rFonts w:eastAsiaTheme="minorHAnsi"/>
          <w:b w:val="0"/>
          <w:bCs w:val="0"/>
          <w:caps w:val="0"/>
          <w:color w:val="auto"/>
        </w:rPr>
        <w:t>C</w:t>
      </w:r>
      <w:r w:rsidRPr="00735726">
        <w:rPr>
          <w:rFonts w:eastAsiaTheme="minorHAnsi"/>
          <w:b w:val="0"/>
          <w:bCs w:val="0"/>
          <w:caps w:val="0"/>
          <w:color w:val="auto"/>
        </w:rPr>
        <w:t>ompany), a FTSE 250 company, whose principal significant trading subsidiaries are shown below:</w:t>
      </w:r>
      <w:r w:rsidRPr="00735726">
        <w:t xml:space="preserve"> </w:t>
      </w:r>
    </w:p>
    <w:p w14:paraId="0E74789F" w14:textId="77777777" w:rsidR="008B4478" w:rsidRPr="009A2CAE" w:rsidRDefault="008B4478" w:rsidP="00844EFD">
      <w:pPr>
        <w:pStyle w:val="Headinglevel4"/>
        <w:spacing w:line="276" w:lineRule="auto"/>
        <w:outlineLvl w:val="0"/>
      </w:pPr>
    </w:p>
    <w:p w14:paraId="67DA5E0C" w14:textId="29D50B4D" w:rsidR="00456174" w:rsidRPr="009A2CAE" w:rsidRDefault="00456174" w:rsidP="00844EFD">
      <w:pPr>
        <w:pStyle w:val="Headinglevel4"/>
        <w:spacing w:line="276" w:lineRule="auto"/>
        <w:outlineLvl w:val="0"/>
      </w:pPr>
      <w:r w:rsidRPr="00735726">
        <w:rPr>
          <w:noProof/>
        </w:rPr>
        <w:drawing>
          <wp:inline distT="0" distB="0" distL="0" distR="0" wp14:anchorId="0B2364B0" wp14:editId="3235B23F">
            <wp:extent cx="4890977" cy="2103849"/>
            <wp:effectExtent l="0" t="0" r="5080" b="0"/>
            <wp:docPr id="1324374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935"/>
                    <a:stretch>
                      <a:fillRect/>
                    </a:stretch>
                  </pic:blipFill>
                  <pic:spPr bwMode="auto">
                    <a:xfrm>
                      <a:off x="0" y="0"/>
                      <a:ext cx="4900318" cy="2107867"/>
                    </a:xfrm>
                    <a:prstGeom prst="rect">
                      <a:avLst/>
                    </a:prstGeom>
                    <a:noFill/>
                    <a:ln>
                      <a:noFill/>
                    </a:ln>
                    <a:extLst>
                      <a:ext uri="{53640926-AAD7-44D8-BBD7-CCE9431645EC}">
                        <a14:shadowObscured xmlns:a14="http://schemas.microsoft.com/office/drawing/2010/main"/>
                      </a:ext>
                    </a:extLst>
                  </pic:spPr>
                </pic:pic>
              </a:graphicData>
            </a:graphic>
          </wp:inline>
        </w:drawing>
      </w:r>
    </w:p>
    <w:p w14:paraId="491BD4CE" w14:textId="107EEF9A" w:rsidR="00681582" w:rsidRPr="009A2CAE" w:rsidRDefault="00681582" w:rsidP="00844EFD">
      <w:pPr>
        <w:pStyle w:val="Headinglevel4"/>
        <w:tabs>
          <w:tab w:val="clear" w:pos="340"/>
        </w:tabs>
        <w:spacing w:line="276" w:lineRule="auto"/>
        <w:ind w:left="1843" w:hanging="709"/>
        <w:outlineLvl w:val="0"/>
      </w:pPr>
    </w:p>
    <w:p w14:paraId="14FFF7DF" w14:textId="79F1FDD1" w:rsidR="00681582" w:rsidRPr="009A2CAE" w:rsidRDefault="00681582" w:rsidP="00844EFD">
      <w:pPr>
        <w:pStyle w:val="HeadingLevel1"/>
        <w:spacing w:line="276" w:lineRule="auto"/>
        <w:outlineLvl w:val="0"/>
        <w:rPr>
          <w:rFonts w:eastAsiaTheme="minorHAnsi" w:cs="Arial"/>
          <w:caps w:val="0"/>
          <w:color w:val="auto"/>
          <w:sz w:val="18"/>
          <w:szCs w:val="18"/>
        </w:rPr>
      </w:pPr>
      <w:r w:rsidRPr="00735726">
        <w:rPr>
          <w:rFonts w:eastAsiaTheme="minorHAnsi" w:cs="Arial"/>
          <w:caps w:val="0"/>
          <w:color w:val="auto"/>
          <w:sz w:val="18"/>
          <w:szCs w:val="18"/>
        </w:rPr>
        <w:t xml:space="preserve">Note: </w:t>
      </w:r>
      <w:proofErr w:type="gramStart"/>
      <w:r w:rsidRPr="00735726">
        <w:rPr>
          <w:rFonts w:eastAsiaTheme="minorHAnsi" w:cs="Arial"/>
          <w:caps w:val="0"/>
          <w:color w:val="auto"/>
          <w:sz w:val="18"/>
          <w:szCs w:val="18"/>
        </w:rPr>
        <w:t>South West</w:t>
      </w:r>
      <w:proofErr w:type="gramEnd"/>
      <w:r w:rsidRPr="00735726">
        <w:rPr>
          <w:rFonts w:eastAsiaTheme="minorHAnsi" w:cs="Arial"/>
          <w:caps w:val="0"/>
          <w:color w:val="auto"/>
          <w:sz w:val="18"/>
          <w:szCs w:val="18"/>
        </w:rPr>
        <w:t xml:space="preserve"> Water’s subsidiaries are described in </w:t>
      </w:r>
      <w:r w:rsidRPr="009A2CAE">
        <w:rPr>
          <w:rFonts w:eastAsiaTheme="minorHAnsi" w:cs="Arial"/>
          <w:caps w:val="0"/>
          <w:color w:val="auto"/>
          <w:sz w:val="18"/>
          <w:szCs w:val="18"/>
        </w:rPr>
        <w:t xml:space="preserve">note </w:t>
      </w:r>
      <w:r w:rsidR="003D1633" w:rsidRPr="009A2CAE">
        <w:rPr>
          <w:rFonts w:eastAsiaTheme="minorHAnsi" w:cs="Arial"/>
          <w:caps w:val="0"/>
          <w:color w:val="auto"/>
          <w:sz w:val="18"/>
          <w:szCs w:val="18"/>
        </w:rPr>
        <w:t xml:space="preserve">17 </w:t>
      </w:r>
      <w:r w:rsidRPr="009A2CAE">
        <w:rPr>
          <w:rFonts w:eastAsiaTheme="minorHAnsi" w:cs="Arial"/>
          <w:caps w:val="0"/>
          <w:color w:val="auto"/>
          <w:sz w:val="18"/>
          <w:szCs w:val="18"/>
        </w:rPr>
        <w:t xml:space="preserve">(page </w:t>
      </w:r>
      <w:r w:rsidR="003D1633" w:rsidRPr="009A2CAE">
        <w:rPr>
          <w:rFonts w:eastAsiaTheme="minorHAnsi" w:cs="Arial"/>
          <w:caps w:val="0"/>
          <w:color w:val="auto"/>
          <w:sz w:val="18"/>
          <w:szCs w:val="18"/>
        </w:rPr>
        <w:t>207</w:t>
      </w:r>
      <w:r w:rsidRPr="009A2CAE">
        <w:rPr>
          <w:rFonts w:eastAsiaTheme="minorHAnsi" w:cs="Arial"/>
          <w:caps w:val="0"/>
          <w:color w:val="auto"/>
          <w:sz w:val="18"/>
          <w:szCs w:val="18"/>
        </w:rPr>
        <w:t>).</w:t>
      </w:r>
    </w:p>
    <w:p w14:paraId="3AD4DA16" w14:textId="77777777" w:rsidR="00681582" w:rsidRPr="009A2CAE" w:rsidRDefault="00681582" w:rsidP="00844EFD">
      <w:pPr>
        <w:pStyle w:val="HeadingLevel1"/>
        <w:spacing w:line="276" w:lineRule="auto"/>
        <w:outlineLvl w:val="0"/>
      </w:pPr>
    </w:p>
    <w:p w14:paraId="12BF610D" w14:textId="65208FEE" w:rsidR="00681582" w:rsidRPr="00735726" w:rsidRDefault="00681582" w:rsidP="00844EFD">
      <w:pPr>
        <w:pStyle w:val="HeadingLevel1"/>
        <w:spacing w:line="276" w:lineRule="auto"/>
        <w:outlineLvl w:val="0"/>
        <w:rPr>
          <w:rFonts w:cs="Arial"/>
          <w:i/>
          <w:sz w:val="18"/>
          <w:szCs w:val="18"/>
        </w:rPr>
      </w:pPr>
      <w:proofErr w:type="gramStart"/>
      <w:r w:rsidRPr="00735726">
        <w:rPr>
          <w:rFonts w:cs="Arial"/>
          <w:i/>
          <w:sz w:val="18"/>
          <w:szCs w:val="18"/>
        </w:rPr>
        <w:t>South west</w:t>
      </w:r>
      <w:proofErr w:type="gramEnd"/>
      <w:r w:rsidRPr="00735726">
        <w:rPr>
          <w:rFonts w:cs="Arial"/>
          <w:i/>
          <w:sz w:val="18"/>
          <w:szCs w:val="18"/>
        </w:rPr>
        <w:t xml:space="preserve"> water</w:t>
      </w:r>
      <w:r w:rsidR="003511E5" w:rsidRPr="00735726">
        <w:rPr>
          <w:rFonts w:cs="Arial"/>
          <w:i/>
          <w:sz w:val="18"/>
          <w:szCs w:val="18"/>
        </w:rPr>
        <w:t xml:space="preserve"> (</w:t>
      </w:r>
      <w:proofErr w:type="gramStart"/>
      <w:r w:rsidR="003511E5" w:rsidRPr="00735726">
        <w:rPr>
          <w:rFonts w:cs="Arial"/>
          <w:i/>
          <w:sz w:val="18"/>
          <w:szCs w:val="18"/>
        </w:rPr>
        <w:t>South west</w:t>
      </w:r>
      <w:proofErr w:type="gramEnd"/>
      <w:r w:rsidR="003511E5" w:rsidRPr="00735726">
        <w:rPr>
          <w:rFonts w:cs="Arial"/>
          <w:i/>
          <w:sz w:val="18"/>
          <w:szCs w:val="18"/>
        </w:rPr>
        <w:t xml:space="preserve"> water limited)</w:t>
      </w:r>
    </w:p>
    <w:p w14:paraId="52FAE825" w14:textId="781F1089" w:rsidR="00681582" w:rsidRPr="00735726" w:rsidRDefault="00681582" w:rsidP="00844EFD">
      <w:pPr>
        <w:rPr>
          <w:rFonts w:ascii="Arial" w:hAnsi="Arial" w:cs="Arial"/>
          <w:sz w:val="18"/>
          <w:szCs w:val="18"/>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provides regulated water and wastewater services across Cornwall, Devon, Isles of Scilly and parts of Dorset and Somerset, water only services in areas of Dorset, Hampshire and Wiltshire (the Bournemouth Water area), Bristol</w:t>
      </w:r>
      <w:r w:rsidR="00C3752F" w:rsidRPr="00735726">
        <w:rPr>
          <w:rFonts w:ascii="Arial" w:hAnsi="Arial" w:cs="Arial"/>
          <w:sz w:val="18"/>
          <w:szCs w:val="18"/>
        </w:rPr>
        <w:t>,</w:t>
      </w:r>
      <w:r w:rsidRPr="00735726">
        <w:rPr>
          <w:rFonts w:ascii="Arial" w:hAnsi="Arial" w:cs="Arial"/>
          <w:sz w:val="18"/>
          <w:szCs w:val="18"/>
        </w:rPr>
        <w:t xml:space="preserve"> and a small amount of non-appointed services. It is responsible for delivering the </w:t>
      </w:r>
      <w:r w:rsidR="00456174" w:rsidRPr="00735726">
        <w:rPr>
          <w:rFonts w:ascii="Arial" w:hAnsi="Arial" w:cs="Arial"/>
          <w:sz w:val="18"/>
          <w:szCs w:val="18"/>
        </w:rPr>
        <w:t>2025-30</w:t>
      </w:r>
      <w:r w:rsidRPr="00735726">
        <w:rPr>
          <w:rFonts w:ascii="Arial" w:hAnsi="Arial" w:cs="Arial"/>
          <w:sz w:val="18"/>
          <w:szCs w:val="18"/>
        </w:rPr>
        <w:t xml:space="preserve"> business plan, in the original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area of operation, the Bournemouth Water and the Bristol Water areas of operation.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provides retail services to residential (household) customers. </w:t>
      </w:r>
    </w:p>
    <w:p w14:paraId="7EA8A4A9" w14:textId="5159D368" w:rsidR="00681582" w:rsidRPr="00735726" w:rsidRDefault="00681582" w:rsidP="00844EFD">
      <w:pPr>
        <w:pStyle w:val="HeadingLevel1"/>
        <w:spacing w:line="276" w:lineRule="auto"/>
        <w:outlineLvl w:val="0"/>
        <w:rPr>
          <w:rFonts w:cs="Arial"/>
          <w:i/>
          <w:sz w:val="18"/>
          <w:szCs w:val="18"/>
        </w:rPr>
      </w:pPr>
      <w:r w:rsidRPr="00735726">
        <w:rPr>
          <w:rFonts w:cs="Arial"/>
          <w:i/>
          <w:sz w:val="18"/>
          <w:szCs w:val="18"/>
        </w:rPr>
        <w:t xml:space="preserve">SES </w:t>
      </w:r>
      <w:r w:rsidR="003511E5" w:rsidRPr="00735726">
        <w:rPr>
          <w:rFonts w:cs="Arial"/>
          <w:i/>
          <w:sz w:val="18"/>
          <w:szCs w:val="18"/>
        </w:rPr>
        <w:t>WATER (SUTTON AND EAST SURREY WATER PLC)</w:t>
      </w:r>
    </w:p>
    <w:p w14:paraId="26C1E3B4" w14:textId="70BAA249" w:rsidR="00681582" w:rsidRPr="00735726" w:rsidRDefault="000A5D7E" w:rsidP="00277639">
      <w:pPr>
        <w:pStyle w:val="EYBodytextwithparaspace"/>
        <w:jc w:val="both"/>
        <w:rPr>
          <w:rFonts w:eastAsiaTheme="minorHAnsi" w:cs="Arial"/>
          <w:sz w:val="18"/>
          <w:szCs w:val="18"/>
        </w:rPr>
      </w:pPr>
      <w:r w:rsidRPr="00735726">
        <w:rPr>
          <w:rFonts w:eastAsiaTheme="minorHAnsi"/>
          <w:color w:val="000000" w:themeColor="text1"/>
          <w:sz w:val="18"/>
          <w:szCs w:val="22"/>
        </w:rPr>
        <w:t xml:space="preserve">Sutton and East Surrey Water </w:t>
      </w:r>
      <w:proofErr w:type="gramStart"/>
      <w:r w:rsidRPr="00735726">
        <w:rPr>
          <w:rFonts w:eastAsiaTheme="minorHAnsi"/>
          <w:color w:val="000000" w:themeColor="text1"/>
          <w:sz w:val="18"/>
          <w:szCs w:val="22"/>
        </w:rPr>
        <w:t>provides</w:t>
      </w:r>
      <w:proofErr w:type="gramEnd"/>
      <w:r w:rsidRPr="00735726">
        <w:rPr>
          <w:rFonts w:eastAsiaTheme="minorHAnsi"/>
          <w:color w:val="000000" w:themeColor="text1"/>
          <w:sz w:val="18"/>
          <w:szCs w:val="22"/>
        </w:rPr>
        <w:t xml:space="preserve"> regulated water services across</w:t>
      </w:r>
      <w:r w:rsidRPr="00735726" w:rsidDel="00C43211">
        <w:rPr>
          <w:rFonts w:eastAsiaTheme="minorHAnsi"/>
          <w:color w:val="000000" w:themeColor="text1"/>
          <w:sz w:val="18"/>
          <w:szCs w:val="22"/>
        </w:rPr>
        <w:t xml:space="preserve"> </w:t>
      </w:r>
      <w:r w:rsidRPr="00735726">
        <w:rPr>
          <w:rFonts w:eastAsiaTheme="minorHAnsi"/>
          <w:color w:val="000000" w:themeColor="text1"/>
          <w:sz w:val="18"/>
          <w:szCs w:val="22"/>
        </w:rPr>
        <w:t>the parts of Surrey, Kent and South London.</w:t>
      </w:r>
      <w:r w:rsidR="003511E5" w:rsidRPr="00735726">
        <w:rPr>
          <w:rFonts w:eastAsiaTheme="minorHAnsi" w:cs="Arial"/>
          <w:caps/>
          <w:sz w:val="18"/>
          <w:szCs w:val="18"/>
        </w:rPr>
        <w:t xml:space="preserve"> </w:t>
      </w:r>
      <w:r w:rsidR="003511E5" w:rsidRPr="00735726">
        <w:rPr>
          <w:rFonts w:eastAsiaTheme="minorHAnsi"/>
          <w:color w:val="000000" w:themeColor="text1"/>
          <w:sz w:val="18"/>
          <w:szCs w:val="22"/>
        </w:rPr>
        <w:t>SES Water provides</w:t>
      </w:r>
      <w:r w:rsidR="003511E5" w:rsidRPr="00735726">
        <w:rPr>
          <w:color w:val="000000" w:themeColor="text1"/>
          <w:sz w:val="18"/>
          <w:szCs w:val="22"/>
        </w:rPr>
        <w:t xml:space="preserve"> </w:t>
      </w:r>
      <w:r w:rsidR="003511E5" w:rsidRPr="00735726">
        <w:rPr>
          <w:rFonts w:eastAsiaTheme="minorHAnsi"/>
          <w:color w:val="000000" w:themeColor="text1"/>
          <w:sz w:val="18"/>
          <w:szCs w:val="22"/>
        </w:rPr>
        <w:t>retail services to residential (household) customers.</w:t>
      </w:r>
      <w:r w:rsidRPr="00735726">
        <w:rPr>
          <w:rFonts w:eastAsiaTheme="minorHAnsi" w:cs="Arial"/>
          <w:caps/>
          <w:sz w:val="18"/>
          <w:szCs w:val="18"/>
        </w:rPr>
        <w:t xml:space="preserve"> </w:t>
      </w:r>
      <w:r w:rsidR="00681582" w:rsidRPr="00735726">
        <w:rPr>
          <w:rFonts w:eastAsiaTheme="minorHAnsi" w:cs="Arial"/>
          <w:sz w:val="18"/>
          <w:szCs w:val="18"/>
        </w:rPr>
        <w:t xml:space="preserve">SES Water continues to be managed separately from </w:t>
      </w:r>
      <w:proofErr w:type="gramStart"/>
      <w:r w:rsidR="00681582" w:rsidRPr="00735726">
        <w:rPr>
          <w:rFonts w:eastAsiaTheme="minorHAnsi" w:cs="Arial"/>
          <w:sz w:val="18"/>
          <w:szCs w:val="18"/>
        </w:rPr>
        <w:t>South West</w:t>
      </w:r>
      <w:proofErr w:type="gramEnd"/>
      <w:r w:rsidR="00681582" w:rsidRPr="00735726">
        <w:rPr>
          <w:rFonts w:eastAsiaTheme="minorHAnsi" w:cs="Arial"/>
          <w:sz w:val="18"/>
          <w:szCs w:val="18"/>
        </w:rPr>
        <w:t xml:space="preserve"> Water and </w:t>
      </w:r>
      <w:r w:rsidR="00F9286F" w:rsidRPr="00735726">
        <w:rPr>
          <w:rFonts w:eastAsiaTheme="minorHAnsi" w:cs="Arial"/>
          <w:sz w:val="18"/>
          <w:szCs w:val="18"/>
        </w:rPr>
        <w:t>results do not form part of this Annual Report and Financial Statements.</w:t>
      </w:r>
    </w:p>
    <w:p w14:paraId="4DEBB68F" w14:textId="42F0C554" w:rsidR="00681582" w:rsidRPr="00735726" w:rsidRDefault="0026561E" w:rsidP="00844EFD">
      <w:pPr>
        <w:pStyle w:val="HeadingLevel1"/>
        <w:spacing w:line="276" w:lineRule="auto"/>
        <w:outlineLvl w:val="0"/>
        <w:rPr>
          <w:rFonts w:cs="Arial"/>
          <w:i/>
          <w:sz w:val="18"/>
          <w:szCs w:val="18"/>
        </w:rPr>
      </w:pPr>
      <w:r w:rsidRPr="00735726">
        <w:rPr>
          <w:rFonts w:cs="Arial"/>
          <w:i/>
          <w:sz w:val="18"/>
          <w:szCs w:val="18"/>
        </w:rPr>
        <w:t>PWS</w:t>
      </w:r>
      <w:r w:rsidR="003511E5" w:rsidRPr="00735726">
        <w:rPr>
          <w:rFonts w:cs="Arial"/>
          <w:i/>
          <w:sz w:val="18"/>
          <w:szCs w:val="18"/>
        </w:rPr>
        <w:t xml:space="preserve"> (PENNON WATER SERVICES LIMITED)</w:t>
      </w:r>
    </w:p>
    <w:p w14:paraId="06D9B8C3" w14:textId="29CEF644" w:rsidR="000346DC" w:rsidRPr="00735726" w:rsidRDefault="00681582" w:rsidP="000346DC">
      <w:pPr>
        <w:pStyle w:val="HeadingLevel1"/>
        <w:spacing w:line="276" w:lineRule="auto"/>
        <w:outlineLvl w:val="0"/>
        <w:rPr>
          <w:rFonts w:eastAsiaTheme="minorHAnsi" w:cs="Arial"/>
          <w:caps w:val="0"/>
          <w:color w:val="auto"/>
          <w:sz w:val="18"/>
          <w:szCs w:val="18"/>
        </w:rPr>
      </w:pPr>
      <w:r w:rsidRPr="00735726">
        <w:rPr>
          <w:rFonts w:eastAsiaTheme="minorHAnsi" w:cs="Arial"/>
          <w:caps w:val="0"/>
          <w:color w:val="auto"/>
          <w:sz w:val="18"/>
          <w:szCs w:val="18"/>
        </w:rPr>
        <w:t xml:space="preserve">Pennon Water Services provides retail services to non-household customers. Whilst part of the wider Pennon Group, </w:t>
      </w:r>
      <w:proofErr w:type="gramStart"/>
      <w:r w:rsidRPr="00735726">
        <w:rPr>
          <w:rFonts w:eastAsiaTheme="minorHAnsi" w:cs="Arial"/>
          <w:caps w:val="0"/>
          <w:color w:val="auto"/>
          <w:sz w:val="18"/>
          <w:szCs w:val="18"/>
        </w:rPr>
        <w:t>South West</w:t>
      </w:r>
      <w:proofErr w:type="gramEnd"/>
      <w:r w:rsidRPr="00735726">
        <w:rPr>
          <w:rFonts w:eastAsiaTheme="minorHAnsi" w:cs="Arial"/>
          <w:caps w:val="0"/>
          <w:color w:val="auto"/>
          <w:sz w:val="18"/>
          <w:szCs w:val="18"/>
        </w:rPr>
        <w:t xml:space="preserve"> Water has in place robust policies and practices to ensure full competition compliance with the market codes for the non-household retail market.</w:t>
      </w:r>
      <w:r w:rsidR="000A5D7E" w:rsidRPr="00735726">
        <w:rPr>
          <w:rFonts w:eastAsiaTheme="minorHAnsi" w:cs="Arial"/>
          <w:caps w:val="0"/>
          <w:color w:val="auto"/>
          <w:sz w:val="18"/>
          <w:szCs w:val="18"/>
        </w:rPr>
        <w:t xml:space="preserve"> PWS continues to be managed separately from </w:t>
      </w:r>
      <w:proofErr w:type="gramStart"/>
      <w:r w:rsidR="000A5D7E" w:rsidRPr="00735726">
        <w:rPr>
          <w:rFonts w:eastAsiaTheme="minorHAnsi" w:cs="Arial"/>
          <w:caps w:val="0"/>
          <w:color w:val="auto"/>
          <w:sz w:val="18"/>
          <w:szCs w:val="18"/>
        </w:rPr>
        <w:t>South West</w:t>
      </w:r>
      <w:proofErr w:type="gramEnd"/>
      <w:r w:rsidR="000A5D7E" w:rsidRPr="00735726">
        <w:rPr>
          <w:rFonts w:eastAsiaTheme="minorHAnsi" w:cs="Arial"/>
          <w:caps w:val="0"/>
          <w:color w:val="auto"/>
          <w:sz w:val="18"/>
          <w:szCs w:val="18"/>
        </w:rPr>
        <w:t xml:space="preserve"> Water and is </w:t>
      </w:r>
      <w:r w:rsidR="00F9286F" w:rsidRPr="00735726">
        <w:rPr>
          <w:rFonts w:eastAsiaTheme="minorHAnsi" w:cs="Arial"/>
          <w:caps w:val="0"/>
          <w:color w:val="auto"/>
          <w:sz w:val="18"/>
          <w:szCs w:val="18"/>
        </w:rPr>
        <w:t>and results do not form part of this Annual Report and Financial Statements.</w:t>
      </w:r>
    </w:p>
    <w:p w14:paraId="7D52BC2C" w14:textId="77777777" w:rsidR="000346DC" w:rsidRPr="00735726" w:rsidRDefault="000346DC" w:rsidP="000346DC">
      <w:pPr>
        <w:pStyle w:val="HeadingLevel1"/>
        <w:spacing w:line="276" w:lineRule="auto"/>
        <w:outlineLvl w:val="0"/>
        <w:rPr>
          <w:rFonts w:eastAsiaTheme="minorHAnsi" w:cs="Arial"/>
          <w:caps w:val="0"/>
          <w:color w:val="auto"/>
          <w:sz w:val="18"/>
          <w:szCs w:val="18"/>
        </w:rPr>
      </w:pPr>
    </w:p>
    <w:p w14:paraId="603B6B07" w14:textId="03CA64E0" w:rsidR="000346DC" w:rsidRPr="00735726" w:rsidRDefault="003511E5" w:rsidP="000346DC">
      <w:pPr>
        <w:pStyle w:val="HeadingLevel1"/>
        <w:spacing w:line="276" w:lineRule="auto"/>
        <w:outlineLvl w:val="0"/>
        <w:rPr>
          <w:rFonts w:eastAsiaTheme="majorEastAsia" w:cs="Arial"/>
          <w:caps w:val="0"/>
          <w:color w:val="000000" w:themeColor="text1"/>
          <w:sz w:val="18"/>
          <w:szCs w:val="18"/>
        </w:rPr>
      </w:pPr>
      <w:r w:rsidRPr="00735726">
        <w:rPr>
          <w:rFonts w:cs="Arial"/>
          <w:i/>
          <w:sz w:val="18"/>
          <w:szCs w:val="18"/>
        </w:rPr>
        <w:t>SES BUSINESS WATER (SUTTON AND EAST SURREY WATER SERVICES LIMITED)</w:t>
      </w:r>
      <w:r w:rsidRPr="00735726">
        <w:rPr>
          <w:rFonts w:cs="Arial"/>
          <w:i/>
          <w:sz w:val="18"/>
          <w:szCs w:val="18"/>
        </w:rPr>
        <w:br/>
      </w:r>
      <w:r w:rsidRPr="00735726">
        <w:rPr>
          <w:rFonts w:eastAsiaTheme="majorEastAsia" w:cs="Arial"/>
          <w:caps w:val="0"/>
          <w:color w:val="000000" w:themeColor="text1"/>
          <w:sz w:val="18"/>
          <w:szCs w:val="18"/>
        </w:rPr>
        <w:t xml:space="preserve">Sutton and East Surrey Water Services Limited operates as under the trading name SES Business Water. SES Business Water provides water and wastewater retail services to non-residential customers across the UK. SES Business Water continues to be managed separately from </w:t>
      </w:r>
      <w:proofErr w:type="gramStart"/>
      <w:r w:rsidRPr="00735726">
        <w:rPr>
          <w:rFonts w:eastAsiaTheme="majorEastAsia" w:cs="Arial"/>
          <w:caps w:val="0"/>
          <w:color w:val="000000" w:themeColor="text1"/>
          <w:sz w:val="18"/>
          <w:szCs w:val="18"/>
        </w:rPr>
        <w:t>South West</w:t>
      </w:r>
      <w:proofErr w:type="gramEnd"/>
      <w:r w:rsidRPr="00735726">
        <w:rPr>
          <w:rFonts w:eastAsiaTheme="majorEastAsia" w:cs="Arial"/>
          <w:caps w:val="0"/>
          <w:color w:val="000000" w:themeColor="text1"/>
          <w:sz w:val="18"/>
          <w:szCs w:val="18"/>
        </w:rPr>
        <w:t xml:space="preserve"> Water and is </w:t>
      </w:r>
      <w:r w:rsidR="00F9286F" w:rsidRPr="00735726">
        <w:rPr>
          <w:rFonts w:eastAsiaTheme="minorHAnsi" w:cs="Arial"/>
          <w:caps w:val="0"/>
          <w:color w:val="auto"/>
          <w:sz w:val="18"/>
          <w:szCs w:val="18"/>
        </w:rPr>
        <w:t>and results do not form part of this Annual Report and Financial Statements.</w:t>
      </w:r>
    </w:p>
    <w:p w14:paraId="13E9235F" w14:textId="77777777" w:rsidR="000346DC" w:rsidRPr="00735726" w:rsidRDefault="000346DC" w:rsidP="000346DC">
      <w:pPr>
        <w:pStyle w:val="HeadingLevel1"/>
        <w:spacing w:line="276" w:lineRule="auto"/>
        <w:outlineLvl w:val="0"/>
        <w:rPr>
          <w:rFonts w:eastAsiaTheme="majorEastAsia" w:cs="Arial"/>
          <w:caps w:val="0"/>
          <w:color w:val="000000" w:themeColor="text1"/>
          <w:sz w:val="18"/>
          <w:szCs w:val="18"/>
        </w:rPr>
      </w:pPr>
    </w:p>
    <w:p w14:paraId="15D2F83C" w14:textId="5A29FC5E" w:rsidR="000346DC" w:rsidRPr="00735726" w:rsidRDefault="005B2FEB" w:rsidP="000346DC">
      <w:pPr>
        <w:pStyle w:val="HeadingLevel1"/>
        <w:spacing w:line="276" w:lineRule="auto"/>
        <w:outlineLvl w:val="0"/>
        <w:rPr>
          <w:rFonts w:eastAsiaTheme="majorEastAsia" w:cs="Arial"/>
          <w:caps w:val="0"/>
          <w:color w:val="000000" w:themeColor="text1"/>
          <w:sz w:val="18"/>
          <w:szCs w:val="18"/>
        </w:rPr>
      </w:pPr>
      <w:r w:rsidRPr="00735726">
        <w:rPr>
          <w:rFonts w:cs="Arial"/>
          <w:i/>
          <w:caps w:val="0"/>
          <w:sz w:val="18"/>
          <w:szCs w:val="18"/>
        </w:rPr>
        <w:t>WATER 2 BUSINESS (</w:t>
      </w:r>
      <w:r w:rsidR="0026561E" w:rsidRPr="00735726">
        <w:rPr>
          <w:rFonts w:cs="Arial"/>
          <w:i/>
          <w:caps w:val="0"/>
          <w:sz w:val="18"/>
          <w:szCs w:val="18"/>
        </w:rPr>
        <w:t xml:space="preserve">WATER </w:t>
      </w:r>
      <w:r w:rsidRPr="00735726">
        <w:rPr>
          <w:rFonts w:cs="Arial"/>
          <w:i/>
          <w:caps w:val="0"/>
          <w:sz w:val="18"/>
          <w:szCs w:val="18"/>
        </w:rPr>
        <w:t>2 BUSINESS LIMITED)</w:t>
      </w:r>
      <w:r w:rsidRPr="00735726">
        <w:rPr>
          <w:rFonts w:cs="Arial"/>
          <w:i/>
          <w:caps w:val="0"/>
          <w:sz w:val="18"/>
          <w:szCs w:val="18"/>
        </w:rPr>
        <w:br/>
      </w:r>
      <w:r w:rsidRPr="00735726">
        <w:rPr>
          <w:rFonts w:eastAsiaTheme="majorEastAsia" w:cs="Arial"/>
          <w:caps w:val="0"/>
          <w:color w:val="000000" w:themeColor="text1"/>
          <w:sz w:val="18"/>
          <w:szCs w:val="18"/>
        </w:rPr>
        <w:t>The Company is a joint venture between Wessex Water Limited ("Wessex Water") and Bristol Water Holdings Limited ("Bristol Water"). The principal activities of the Company are retail services relating to the provision of water, sewerage and trade effluent services to non-household customers, together with advice on water efficiency services (i.e. leakage detection and repair, water audits and benchmarking).</w:t>
      </w:r>
      <w:r w:rsidR="000346DC" w:rsidRPr="00735726">
        <w:rPr>
          <w:rFonts w:eastAsiaTheme="majorEastAsia" w:cs="Arial"/>
          <w:caps w:val="0"/>
          <w:color w:val="000000" w:themeColor="text1"/>
          <w:sz w:val="18"/>
          <w:szCs w:val="18"/>
        </w:rPr>
        <w:t xml:space="preserve"> Water 2 Business continues to be managed separately from </w:t>
      </w:r>
      <w:proofErr w:type="gramStart"/>
      <w:r w:rsidR="000346DC" w:rsidRPr="00735726">
        <w:rPr>
          <w:rFonts w:eastAsiaTheme="majorEastAsia" w:cs="Arial"/>
          <w:caps w:val="0"/>
          <w:color w:val="000000" w:themeColor="text1"/>
          <w:sz w:val="18"/>
          <w:szCs w:val="18"/>
        </w:rPr>
        <w:t>South West</w:t>
      </w:r>
      <w:proofErr w:type="gramEnd"/>
      <w:r w:rsidR="000346DC" w:rsidRPr="00735726">
        <w:rPr>
          <w:rFonts w:eastAsiaTheme="majorEastAsia" w:cs="Arial"/>
          <w:caps w:val="0"/>
          <w:color w:val="000000" w:themeColor="text1"/>
          <w:sz w:val="18"/>
          <w:szCs w:val="18"/>
        </w:rPr>
        <w:t xml:space="preserve"> Water and is </w:t>
      </w:r>
      <w:r w:rsidR="00F9286F" w:rsidRPr="00735726">
        <w:rPr>
          <w:rFonts w:eastAsiaTheme="minorHAnsi" w:cs="Arial"/>
          <w:caps w:val="0"/>
          <w:color w:val="auto"/>
          <w:sz w:val="18"/>
          <w:szCs w:val="18"/>
        </w:rPr>
        <w:t>and results do not form part of this Annual Report and Financial Statements.</w:t>
      </w:r>
    </w:p>
    <w:p w14:paraId="01F50EA6" w14:textId="77777777" w:rsidR="000346DC" w:rsidRPr="00735726" w:rsidRDefault="000346DC" w:rsidP="000346DC">
      <w:pPr>
        <w:pStyle w:val="HeadingLevel1"/>
        <w:spacing w:line="276" w:lineRule="auto"/>
        <w:outlineLvl w:val="0"/>
        <w:rPr>
          <w:rFonts w:eastAsiaTheme="majorEastAsia" w:cs="Arial"/>
          <w:caps w:val="0"/>
          <w:color w:val="000000" w:themeColor="text1"/>
          <w:sz w:val="18"/>
          <w:szCs w:val="18"/>
        </w:rPr>
      </w:pPr>
    </w:p>
    <w:p w14:paraId="72EC7777" w14:textId="17C38462" w:rsidR="005B2FEB" w:rsidRPr="00735726" w:rsidRDefault="005B2FEB" w:rsidP="00277639">
      <w:pPr>
        <w:pStyle w:val="HeadingLevel1"/>
        <w:spacing w:line="276" w:lineRule="auto"/>
        <w:outlineLvl w:val="0"/>
        <w:rPr>
          <w:rFonts w:eastAsiaTheme="minorHAnsi" w:cs="Arial"/>
          <w:caps w:val="0"/>
          <w:color w:val="auto"/>
          <w:sz w:val="18"/>
          <w:szCs w:val="18"/>
        </w:rPr>
      </w:pPr>
      <w:r w:rsidRPr="00735726">
        <w:rPr>
          <w:rFonts w:cs="Arial"/>
          <w:i/>
          <w:caps w:val="0"/>
          <w:sz w:val="18"/>
          <w:szCs w:val="18"/>
        </w:rPr>
        <w:t>PENNON POWER (PENNON POWER LIMITED)</w:t>
      </w:r>
      <w:r w:rsidRPr="00735726">
        <w:rPr>
          <w:rFonts w:cs="Arial"/>
          <w:i/>
          <w:caps w:val="0"/>
          <w:sz w:val="18"/>
          <w:szCs w:val="18"/>
        </w:rPr>
        <w:br/>
      </w:r>
      <w:r w:rsidRPr="00735726">
        <w:rPr>
          <w:rFonts w:eastAsiaTheme="majorEastAsia" w:cs="Arial"/>
          <w:caps w:val="0"/>
          <w:color w:val="000000" w:themeColor="text1"/>
          <w:sz w:val="18"/>
          <w:szCs w:val="18"/>
        </w:rPr>
        <w:t xml:space="preserve">Pennon Power has been established to deliver Pennon Group’s renewable energy ambitions and support its </w:t>
      </w:r>
      <w:r w:rsidRPr="00735726">
        <w:rPr>
          <w:rFonts w:eastAsiaTheme="majorEastAsia" w:cs="Arial"/>
          <w:caps w:val="0"/>
          <w:color w:val="000000" w:themeColor="text1"/>
          <w:sz w:val="18"/>
          <w:szCs w:val="18"/>
        </w:rPr>
        <w:lastRenderedPageBreak/>
        <w:t xml:space="preserve">wider Net Zero strategy. It plays a central role in driving investment in clean energy, strengthening energy resilience, and reducing exposure to energy market volatility. </w:t>
      </w:r>
      <w:r w:rsidR="000346DC" w:rsidRPr="00735726">
        <w:rPr>
          <w:rFonts w:eastAsiaTheme="majorEastAsia" w:cs="Arial"/>
          <w:caps w:val="0"/>
          <w:color w:val="000000" w:themeColor="text1"/>
          <w:sz w:val="18"/>
          <w:szCs w:val="18"/>
        </w:rPr>
        <w:t xml:space="preserve">Pennon Power continues to be managed separately from </w:t>
      </w:r>
      <w:proofErr w:type="gramStart"/>
      <w:r w:rsidR="000346DC" w:rsidRPr="00735726">
        <w:rPr>
          <w:rFonts w:eastAsiaTheme="majorEastAsia" w:cs="Arial"/>
          <w:caps w:val="0"/>
          <w:color w:val="000000" w:themeColor="text1"/>
          <w:sz w:val="18"/>
          <w:szCs w:val="18"/>
        </w:rPr>
        <w:t>South West</w:t>
      </w:r>
      <w:proofErr w:type="gramEnd"/>
      <w:r w:rsidR="000346DC" w:rsidRPr="00735726">
        <w:rPr>
          <w:rFonts w:eastAsiaTheme="majorEastAsia" w:cs="Arial"/>
          <w:caps w:val="0"/>
          <w:color w:val="000000" w:themeColor="text1"/>
          <w:sz w:val="18"/>
          <w:szCs w:val="18"/>
        </w:rPr>
        <w:t xml:space="preserve"> Water and is </w:t>
      </w:r>
      <w:r w:rsidR="00F9286F" w:rsidRPr="00735726">
        <w:rPr>
          <w:rFonts w:eastAsiaTheme="minorHAnsi" w:cs="Arial"/>
          <w:caps w:val="0"/>
          <w:color w:val="auto"/>
          <w:sz w:val="18"/>
          <w:szCs w:val="18"/>
        </w:rPr>
        <w:t>and results do not form part of this Annual Report and Financial Statements.</w:t>
      </w:r>
    </w:p>
    <w:p w14:paraId="57245A6E" w14:textId="77777777" w:rsidR="00F9286F" w:rsidRPr="00735726" w:rsidRDefault="00F9286F" w:rsidP="00277639">
      <w:pPr>
        <w:pStyle w:val="HeadingLevel1"/>
        <w:spacing w:line="276" w:lineRule="auto"/>
        <w:outlineLvl w:val="0"/>
        <w:rPr>
          <w:rFonts w:cs="Arial"/>
          <w:color w:val="000000" w:themeColor="text1"/>
          <w:sz w:val="18"/>
          <w:szCs w:val="18"/>
        </w:rPr>
      </w:pPr>
    </w:p>
    <w:p w14:paraId="0B17425E" w14:textId="39F84190" w:rsidR="00681582" w:rsidRPr="00735726" w:rsidRDefault="00681582" w:rsidP="003511E5">
      <w:pPr>
        <w:rPr>
          <w:rFonts w:ascii="Arial" w:eastAsia="Times New Roman" w:hAnsi="Arial" w:cs="Arial"/>
          <w:i/>
          <w:caps/>
          <w:color w:val="000000"/>
          <w:sz w:val="18"/>
          <w:szCs w:val="18"/>
        </w:rPr>
      </w:pPr>
      <w:proofErr w:type="gramStart"/>
      <w:r w:rsidRPr="00735726">
        <w:rPr>
          <w:rFonts w:ascii="Arial" w:eastAsia="Times New Roman" w:hAnsi="Arial" w:cs="Arial"/>
          <w:i/>
          <w:caps/>
          <w:color w:val="000000"/>
          <w:sz w:val="18"/>
          <w:szCs w:val="18"/>
        </w:rPr>
        <w:t>south west</w:t>
      </w:r>
      <w:proofErr w:type="gramEnd"/>
      <w:r w:rsidRPr="00735726">
        <w:rPr>
          <w:rFonts w:ascii="Arial" w:eastAsia="Times New Roman" w:hAnsi="Arial" w:cs="Arial"/>
          <w:i/>
          <w:caps/>
          <w:color w:val="000000"/>
          <w:sz w:val="18"/>
          <w:szCs w:val="18"/>
        </w:rPr>
        <w:t xml:space="preserve"> water’s subsidiaries</w:t>
      </w:r>
    </w:p>
    <w:p w14:paraId="1659CDAB" w14:textId="060A315A" w:rsidR="00681582" w:rsidRPr="00735726" w:rsidRDefault="00681582" w:rsidP="00844EFD">
      <w:pPr>
        <w:rPr>
          <w:rFonts w:ascii="Arial" w:hAnsi="Arial" w:cs="Arial"/>
          <w:sz w:val="18"/>
          <w:szCs w:val="18"/>
        </w:rPr>
      </w:pPr>
      <w:proofErr w:type="gramStart"/>
      <w:r w:rsidRPr="00735726">
        <w:rPr>
          <w:rFonts w:ascii="Arial" w:hAnsi="Arial" w:cs="Arial"/>
          <w:b/>
          <w:sz w:val="18"/>
          <w:szCs w:val="18"/>
        </w:rPr>
        <w:t>South West</w:t>
      </w:r>
      <w:proofErr w:type="gramEnd"/>
      <w:r w:rsidRPr="00735726">
        <w:rPr>
          <w:rFonts w:ascii="Arial" w:hAnsi="Arial" w:cs="Arial"/>
          <w:b/>
          <w:sz w:val="18"/>
          <w:szCs w:val="18"/>
        </w:rPr>
        <w:t xml:space="preserve"> Water Customer Services</w:t>
      </w:r>
      <w:r w:rsidR="00376C8F" w:rsidRPr="00735726">
        <w:rPr>
          <w:rFonts w:ascii="Arial" w:hAnsi="Arial" w:cs="Arial"/>
          <w:b/>
          <w:sz w:val="18"/>
          <w:szCs w:val="18"/>
        </w:rPr>
        <w:t xml:space="preserve"> Limited</w:t>
      </w:r>
      <w:r w:rsidRPr="00735726">
        <w:rPr>
          <w:rFonts w:ascii="Arial" w:hAnsi="Arial" w:cs="Arial"/>
          <w:sz w:val="18"/>
          <w:szCs w:val="18"/>
        </w:rPr>
        <w:t xml:space="preserve"> manages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billing, collections and customer contact activities.</w:t>
      </w:r>
    </w:p>
    <w:p w14:paraId="74F7B2D8" w14:textId="58659EA9" w:rsidR="00681582" w:rsidRPr="00735726" w:rsidRDefault="00681582" w:rsidP="00844EFD">
      <w:pPr>
        <w:rPr>
          <w:rFonts w:ascii="Arial" w:hAnsi="Arial" w:cs="Arial"/>
          <w:sz w:val="18"/>
          <w:szCs w:val="18"/>
        </w:rPr>
      </w:pPr>
      <w:proofErr w:type="gramStart"/>
      <w:r w:rsidRPr="00735726">
        <w:rPr>
          <w:rFonts w:ascii="Arial" w:hAnsi="Arial" w:cs="Arial"/>
          <w:b/>
          <w:sz w:val="18"/>
          <w:szCs w:val="18"/>
        </w:rPr>
        <w:t>South West</w:t>
      </w:r>
      <w:proofErr w:type="gramEnd"/>
      <w:r w:rsidRPr="00735726">
        <w:rPr>
          <w:rFonts w:ascii="Arial" w:hAnsi="Arial" w:cs="Arial"/>
          <w:b/>
          <w:sz w:val="18"/>
          <w:szCs w:val="18"/>
        </w:rPr>
        <w:t xml:space="preserve"> Water Finance</w:t>
      </w:r>
      <w:r w:rsidR="00376C8F" w:rsidRPr="00735726">
        <w:rPr>
          <w:rFonts w:ascii="Arial" w:hAnsi="Arial" w:cs="Arial"/>
          <w:b/>
          <w:sz w:val="18"/>
          <w:szCs w:val="18"/>
        </w:rPr>
        <w:t xml:space="preserve"> plc</w:t>
      </w:r>
      <w:r w:rsidRPr="00735726">
        <w:rPr>
          <w:rFonts w:ascii="Arial" w:hAnsi="Arial" w:cs="Arial"/>
          <w:sz w:val="18"/>
          <w:szCs w:val="18"/>
        </w:rPr>
        <w:t xml:space="preserve"> acts as a financing company, raising borrowings for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w:t>
      </w:r>
    </w:p>
    <w:p w14:paraId="5D9508E5" w14:textId="77777777" w:rsidR="00681582" w:rsidRPr="009A2CAE" w:rsidRDefault="00681582" w:rsidP="00844EFD">
      <w:pPr>
        <w:spacing w:after="160"/>
        <w:rPr>
          <w:rFonts w:ascii="Arial" w:hAnsi="Arial" w:cs="Arial"/>
          <w:sz w:val="32"/>
          <w:szCs w:val="32"/>
        </w:rPr>
      </w:pPr>
      <w:r w:rsidRPr="00735726">
        <w:rPr>
          <w:rFonts w:ascii="Arial" w:hAnsi="Arial" w:cs="Arial"/>
          <w:b/>
          <w:sz w:val="18"/>
          <w:szCs w:val="18"/>
        </w:rPr>
        <w:t xml:space="preserve">Bristol Water plc </w:t>
      </w:r>
      <w:r w:rsidRPr="00735726">
        <w:rPr>
          <w:rFonts w:ascii="Arial" w:hAnsi="Arial" w:cs="Arial"/>
          <w:bCs/>
          <w:sz w:val="18"/>
          <w:szCs w:val="18"/>
        </w:rPr>
        <w:t>is the former operating company of Bristol Water. The company retains external debt and the defined benefit pension scheme.</w:t>
      </w:r>
      <w:r w:rsidRPr="009A2CAE">
        <w:rPr>
          <w:rFonts w:ascii="Arial" w:hAnsi="Arial" w:cs="Arial"/>
          <w:sz w:val="32"/>
          <w:szCs w:val="32"/>
        </w:rPr>
        <w:br w:type="page"/>
      </w:r>
    </w:p>
    <w:bookmarkEnd w:id="8"/>
    <w:p w14:paraId="52598332" w14:textId="3DB5D49B" w:rsidR="002D70AC" w:rsidRPr="00735726" w:rsidRDefault="002D70AC" w:rsidP="00844EFD">
      <w:pPr>
        <w:autoSpaceDE w:val="0"/>
        <w:autoSpaceDN w:val="0"/>
        <w:adjustRightInd w:val="0"/>
        <w:spacing w:after="0"/>
        <w:rPr>
          <w:rFonts w:ascii="Arial" w:hAnsi="Arial" w:cs="Arial"/>
          <w:sz w:val="32"/>
          <w:szCs w:val="32"/>
        </w:rPr>
      </w:pPr>
      <w:r w:rsidRPr="00735726">
        <w:rPr>
          <w:rFonts w:ascii="Arial" w:hAnsi="Arial" w:cs="Arial"/>
          <w:sz w:val="32"/>
          <w:szCs w:val="32"/>
        </w:rPr>
        <w:lastRenderedPageBreak/>
        <w:t>OUR STRATEGY AND BUSINESS MODEL</w:t>
      </w:r>
    </w:p>
    <w:p w14:paraId="195448E4" w14:textId="56991F1A" w:rsidR="002D70AC" w:rsidRPr="00735726" w:rsidRDefault="000724CA" w:rsidP="00844EFD">
      <w:pPr>
        <w:spacing w:after="160"/>
        <w:rPr>
          <w:rFonts w:ascii="Arial" w:eastAsia="Times New Roman" w:hAnsi="Arial" w:cs="DINOT-Light"/>
          <w:b/>
          <w:color w:val="000000"/>
          <w:sz w:val="18"/>
          <w:szCs w:val="18"/>
        </w:rPr>
      </w:pPr>
      <w:r w:rsidRPr="00735726">
        <w:rPr>
          <w:rFonts w:ascii="Arial" w:eastAsia="Times New Roman" w:hAnsi="Arial" w:cs="DINOT-Light"/>
          <w:b/>
          <w:color w:val="000000"/>
          <w:sz w:val="18"/>
          <w:szCs w:val="18"/>
        </w:rPr>
        <w:br/>
      </w:r>
      <w:r w:rsidR="002D70AC" w:rsidRPr="00735726">
        <w:rPr>
          <w:rFonts w:ascii="Arial" w:eastAsia="Times New Roman" w:hAnsi="Arial" w:cs="DINOT-Light"/>
          <w:b/>
          <w:color w:val="000000"/>
          <w:sz w:val="18"/>
          <w:szCs w:val="18"/>
        </w:rPr>
        <w:t>OUR BUSINESS MODEL</w:t>
      </w:r>
    </w:p>
    <w:p w14:paraId="11896BCE" w14:textId="77777777" w:rsidR="002D70AC" w:rsidRPr="00735726" w:rsidRDefault="002D70AC" w:rsidP="00844EFD">
      <w:pPr>
        <w:spacing w:after="160"/>
        <w:rPr>
          <w:rFonts w:ascii="Arial" w:hAnsi="Arial" w:cs="Arial"/>
          <w:bCs/>
          <w:sz w:val="18"/>
          <w:szCs w:val="18"/>
        </w:rPr>
      </w:pPr>
      <w:r w:rsidRPr="00735726">
        <w:rPr>
          <w:rFonts w:ascii="Arial" w:hAnsi="Arial" w:cs="Arial"/>
          <w:bCs/>
          <w:sz w:val="18"/>
          <w:szCs w:val="18"/>
        </w:rPr>
        <w:t xml:space="preserve">Our business model is designed to deliver reliable, regulated water and wastewater services today, while investing at scale to improve environmental performance, strengthen resilience and support long-term value creation. </w:t>
      </w:r>
    </w:p>
    <w:p w14:paraId="4017AB0A" w14:textId="72414DF9" w:rsidR="00C64B57" w:rsidRPr="009A2CAE" w:rsidRDefault="002D70AC" w:rsidP="00C64B57">
      <w:pPr>
        <w:spacing w:after="160"/>
        <w:rPr>
          <w:rFonts w:ascii="Arial" w:eastAsia="Times New Roman" w:hAnsi="Arial" w:cs="DINOT-Light"/>
          <w:b/>
          <w:color w:val="000000"/>
          <w:sz w:val="18"/>
          <w:szCs w:val="18"/>
        </w:rPr>
      </w:pPr>
      <w:r w:rsidRPr="00735726">
        <w:rPr>
          <w:rFonts w:ascii="Arial" w:hAnsi="Arial" w:cs="Arial"/>
          <w:bCs/>
          <w:sz w:val="18"/>
          <w:szCs w:val="18"/>
        </w:rPr>
        <w:t>AMP8 represents the primary delivery mechanism for our business model, translating these foundations into measurable improvements in performance, resilience and environmental outcomes, while supporting sustainable returns over the regulatory period and beyond.</w:t>
      </w:r>
      <w:r w:rsidRPr="00735726">
        <w:rPr>
          <w:rFonts w:ascii="Arial" w:eastAsia="Times New Roman" w:hAnsi="Arial" w:cs="DINOT-Light"/>
          <w:b/>
          <w:color w:val="000000"/>
          <w:sz w:val="18"/>
          <w:szCs w:val="18"/>
        </w:rPr>
        <w:t xml:space="preserve"> </w:t>
      </w:r>
    </w:p>
    <w:p w14:paraId="6409C0EE" w14:textId="09453BE6" w:rsidR="00C64B57" w:rsidRPr="009A2CAE" w:rsidRDefault="00C64B57" w:rsidP="00C64B57">
      <w:pPr>
        <w:spacing w:after="160"/>
        <w:jc w:val="center"/>
        <w:rPr>
          <w:rFonts w:ascii="Arial" w:eastAsia="Times New Roman" w:hAnsi="Arial" w:cs="DINOT-Light"/>
          <w:b/>
          <w:color w:val="000000"/>
          <w:sz w:val="18"/>
          <w:szCs w:val="18"/>
        </w:rPr>
      </w:pPr>
      <w:r w:rsidRPr="00735726">
        <w:rPr>
          <w:rFonts w:ascii="Arial" w:eastAsia="Times New Roman" w:hAnsi="Arial" w:cs="DINOT-Light"/>
          <w:b/>
          <w:noProof/>
          <w:color w:val="000000"/>
          <w:sz w:val="18"/>
          <w:szCs w:val="18"/>
        </w:rPr>
        <w:drawing>
          <wp:inline distT="0" distB="0" distL="0" distR="0" wp14:anchorId="61CF2D4D" wp14:editId="1D88E73C">
            <wp:extent cx="3519577" cy="2862954"/>
            <wp:effectExtent l="0" t="0" r="5080" b="0"/>
            <wp:docPr id="1055513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534" b="10122"/>
                    <a:stretch>
                      <a:fillRect/>
                    </a:stretch>
                  </pic:blipFill>
                  <pic:spPr bwMode="auto">
                    <a:xfrm>
                      <a:off x="0" y="0"/>
                      <a:ext cx="3534710" cy="2875264"/>
                    </a:xfrm>
                    <a:prstGeom prst="rect">
                      <a:avLst/>
                    </a:prstGeom>
                    <a:noFill/>
                    <a:ln>
                      <a:noFill/>
                    </a:ln>
                    <a:extLst>
                      <a:ext uri="{53640926-AAD7-44D8-BBD7-CCE9431645EC}">
                        <a14:shadowObscured xmlns:a14="http://schemas.microsoft.com/office/drawing/2010/main"/>
                      </a:ext>
                    </a:extLst>
                  </pic:spPr>
                </pic:pic>
              </a:graphicData>
            </a:graphic>
          </wp:inline>
        </w:drawing>
      </w:r>
    </w:p>
    <w:p w14:paraId="227AF4D5" w14:textId="77777777" w:rsidR="00B929AA" w:rsidRPr="00735726" w:rsidRDefault="00B929AA" w:rsidP="00844EFD">
      <w:pPr>
        <w:spacing w:after="160"/>
        <w:rPr>
          <w:rFonts w:ascii="Arial" w:hAnsi="Arial" w:cs="Arial"/>
          <w:bCs/>
          <w:sz w:val="18"/>
          <w:szCs w:val="18"/>
        </w:rPr>
      </w:pPr>
      <w:r w:rsidRPr="00735726">
        <w:rPr>
          <w:rFonts w:ascii="Arial" w:hAnsi="Arial" w:cs="Arial"/>
          <w:bCs/>
          <w:sz w:val="18"/>
          <w:szCs w:val="18"/>
        </w:rPr>
        <w:t>Our four strategic priorities underpin and define everything we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1E40D1" w:rsidRPr="00735726" w14:paraId="6DB8769F" w14:textId="77777777" w:rsidTr="00FB179A">
        <w:tc>
          <w:tcPr>
            <w:tcW w:w="2254" w:type="dxa"/>
          </w:tcPr>
          <w:p w14:paraId="73B58719" w14:textId="522D60EF" w:rsidR="00B929AA" w:rsidRPr="009A2CAE" w:rsidRDefault="001E40D1" w:rsidP="001E40D1">
            <w:pPr>
              <w:pStyle w:val="NormalWeb"/>
              <w:rPr>
                <w:rFonts w:ascii="Arial" w:eastAsiaTheme="minorHAnsi" w:hAnsi="Arial" w:cs="Arial"/>
                <w:b/>
                <w:bCs/>
                <w:sz w:val="18"/>
                <w:szCs w:val="18"/>
              </w:rPr>
            </w:pPr>
            <w:r w:rsidRPr="00735726">
              <w:rPr>
                <w:noProof/>
              </w:rPr>
              <w:drawing>
                <wp:inline distT="0" distB="0" distL="0" distR="0" wp14:anchorId="0237B43D" wp14:editId="0ABAF7B8">
                  <wp:extent cx="676275" cy="676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9A2CAE">
              <w:rPr>
                <w:rFonts w:ascii="Arial" w:eastAsiaTheme="minorHAnsi" w:hAnsi="Arial" w:cs="Arial"/>
                <w:b/>
                <w:bCs/>
                <w:sz w:val="18"/>
                <w:szCs w:val="18"/>
              </w:rPr>
              <w:br/>
            </w:r>
          </w:p>
        </w:tc>
        <w:tc>
          <w:tcPr>
            <w:tcW w:w="2254" w:type="dxa"/>
          </w:tcPr>
          <w:p w14:paraId="7DDDDF3A" w14:textId="106BD9F7" w:rsidR="001E40D1" w:rsidRPr="009A2CAE" w:rsidRDefault="001E40D1" w:rsidP="001E40D1">
            <w:pPr>
              <w:autoSpaceDE w:val="0"/>
              <w:autoSpaceDN w:val="0"/>
              <w:adjustRightInd w:val="0"/>
              <w:spacing w:after="0"/>
              <w:rPr>
                <w:rFonts w:ascii="Arial" w:hAnsi="Arial" w:cs="DINOT-Light"/>
                <w:b/>
                <w:color w:val="000000"/>
                <w:sz w:val="18"/>
                <w:szCs w:val="18"/>
              </w:rPr>
            </w:pPr>
            <w:r w:rsidRPr="00735726">
              <w:rPr>
                <w:rFonts w:ascii="Arial" w:hAnsi="Arial" w:cs="DINOT-Light"/>
                <w:b/>
                <w:noProof/>
                <w:color w:val="000000"/>
                <w:sz w:val="18"/>
                <w:szCs w:val="18"/>
              </w:rPr>
              <w:drawing>
                <wp:inline distT="0" distB="0" distL="0" distR="0" wp14:anchorId="22BB133D" wp14:editId="4315CCEE">
                  <wp:extent cx="676275" cy="676275"/>
                  <wp:effectExtent l="0" t="0" r="9525" b="9525"/>
                  <wp:docPr id="1152121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160CB109" w14:textId="2B2E1A7E" w:rsidR="00B929AA" w:rsidRPr="009A2CAE" w:rsidRDefault="00B929AA" w:rsidP="00844EFD">
            <w:pPr>
              <w:autoSpaceDE w:val="0"/>
              <w:autoSpaceDN w:val="0"/>
              <w:adjustRightInd w:val="0"/>
              <w:spacing w:after="0"/>
              <w:rPr>
                <w:rFonts w:ascii="Arial" w:eastAsiaTheme="minorHAnsi" w:hAnsi="Arial" w:cs="Arial"/>
                <w:b/>
                <w:bCs/>
                <w:sz w:val="18"/>
                <w:szCs w:val="18"/>
              </w:rPr>
            </w:pPr>
          </w:p>
        </w:tc>
        <w:tc>
          <w:tcPr>
            <w:tcW w:w="2254" w:type="dxa"/>
          </w:tcPr>
          <w:p w14:paraId="7A53299C" w14:textId="287506DA" w:rsidR="001E40D1" w:rsidRPr="009A2CAE" w:rsidRDefault="001E40D1" w:rsidP="001E40D1">
            <w:pPr>
              <w:autoSpaceDE w:val="0"/>
              <w:autoSpaceDN w:val="0"/>
              <w:adjustRightInd w:val="0"/>
              <w:spacing w:after="0"/>
              <w:rPr>
                <w:rFonts w:ascii="Arial" w:hAnsi="Arial" w:cs="DINOT-Light"/>
                <w:b/>
                <w:color w:val="000000"/>
                <w:sz w:val="18"/>
                <w:szCs w:val="18"/>
              </w:rPr>
            </w:pPr>
            <w:r w:rsidRPr="00735726">
              <w:rPr>
                <w:rFonts w:ascii="Arial" w:hAnsi="Arial" w:cs="DINOT-Light"/>
                <w:b/>
                <w:noProof/>
                <w:color w:val="000000"/>
                <w:sz w:val="18"/>
                <w:szCs w:val="18"/>
              </w:rPr>
              <w:drawing>
                <wp:inline distT="0" distB="0" distL="0" distR="0" wp14:anchorId="5A1F3578" wp14:editId="56457E94">
                  <wp:extent cx="695325" cy="695325"/>
                  <wp:effectExtent l="0" t="0" r="9525" b="9525"/>
                  <wp:docPr id="625030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7FF06FEC" w14:textId="70CF41E1" w:rsidR="00B929AA" w:rsidRPr="009A2CAE" w:rsidRDefault="00B929AA" w:rsidP="00844EFD">
            <w:pPr>
              <w:autoSpaceDE w:val="0"/>
              <w:autoSpaceDN w:val="0"/>
              <w:adjustRightInd w:val="0"/>
              <w:spacing w:after="0"/>
              <w:rPr>
                <w:rFonts w:ascii="Arial" w:eastAsiaTheme="minorHAnsi" w:hAnsi="Arial" w:cs="Arial"/>
                <w:b/>
                <w:bCs/>
                <w:sz w:val="18"/>
                <w:szCs w:val="18"/>
              </w:rPr>
            </w:pPr>
          </w:p>
        </w:tc>
        <w:tc>
          <w:tcPr>
            <w:tcW w:w="2254" w:type="dxa"/>
          </w:tcPr>
          <w:p w14:paraId="65B09807" w14:textId="1CAE0120" w:rsidR="001E40D1" w:rsidRPr="009A2CAE" w:rsidRDefault="001E40D1" w:rsidP="001E40D1">
            <w:pPr>
              <w:autoSpaceDE w:val="0"/>
              <w:autoSpaceDN w:val="0"/>
              <w:adjustRightInd w:val="0"/>
              <w:spacing w:after="0"/>
              <w:rPr>
                <w:rFonts w:ascii="Arial" w:hAnsi="Arial" w:cs="DINOT-Light"/>
                <w:b/>
                <w:color w:val="000000"/>
                <w:sz w:val="18"/>
                <w:szCs w:val="18"/>
              </w:rPr>
            </w:pPr>
            <w:r w:rsidRPr="00735726">
              <w:rPr>
                <w:rFonts w:ascii="Arial" w:hAnsi="Arial" w:cs="DINOT-Light"/>
                <w:b/>
                <w:noProof/>
                <w:color w:val="000000"/>
                <w:sz w:val="18"/>
                <w:szCs w:val="18"/>
              </w:rPr>
              <w:drawing>
                <wp:inline distT="0" distB="0" distL="0" distR="0" wp14:anchorId="12586F40" wp14:editId="60EBEF3A">
                  <wp:extent cx="695325" cy="695325"/>
                  <wp:effectExtent l="0" t="0" r="9525" b="9525"/>
                  <wp:docPr id="689723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46029FC7" w14:textId="7C20D355" w:rsidR="00B929AA" w:rsidRPr="009A2CAE" w:rsidRDefault="00B929AA" w:rsidP="00844EFD">
            <w:pPr>
              <w:autoSpaceDE w:val="0"/>
              <w:autoSpaceDN w:val="0"/>
              <w:adjustRightInd w:val="0"/>
              <w:spacing w:after="0"/>
              <w:rPr>
                <w:rFonts w:ascii="Arial" w:eastAsiaTheme="minorHAnsi" w:hAnsi="Arial" w:cs="Arial"/>
                <w:b/>
                <w:bCs/>
                <w:sz w:val="18"/>
                <w:szCs w:val="18"/>
              </w:rPr>
            </w:pPr>
          </w:p>
        </w:tc>
      </w:tr>
      <w:tr w:rsidR="001E40D1" w:rsidRPr="00735726" w14:paraId="5C5E9288" w14:textId="77777777" w:rsidTr="00FB179A">
        <w:tc>
          <w:tcPr>
            <w:tcW w:w="2254" w:type="dxa"/>
          </w:tcPr>
          <w:p w14:paraId="58ABB017" w14:textId="2037465B" w:rsidR="00B929AA" w:rsidRPr="00735726" w:rsidRDefault="00B929AA" w:rsidP="00844EFD">
            <w:pPr>
              <w:pStyle w:val="NormalWeb"/>
              <w:spacing w:line="276" w:lineRule="auto"/>
              <w:rPr>
                <w:rFonts w:ascii="Arial" w:hAnsi="Arial" w:cs="Arial"/>
                <w:sz w:val="32"/>
                <w:szCs w:val="32"/>
              </w:rPr>
            </w:pPr>
            <w:r w:rsidRPr="00735726">
              <w:rPr>
                <w:rFonts w:ascii="Arial" w:eastAsiaTheme="minorHAnsi" w:hAnsi="Arial" w:cs="Arial"/>
                <w:b/>
                <w:bCs/>
                <w:sz w:val="18"/>
                <w:szCs w:val="18"/>
              </w:rPr>
              <w:t xml:space="preserve">Building water resources, improving water quality </w:t>
            </w:r>
          </w:p>
        </w:tc>
        <w:tc>
          <w:tcPr>
            <w:tcW w:w="2254" w:type="dxa"/>
          </w:tcPr>
          <w:p w14:paraId="4D8F45C9" w14:textId="32733775" w:rsidR="00B929AA" w:rsidRPr="00735726" w:rsidRDefault="00B929AA" w:rsidP="00844EFD">
            <w:pPr>
              <w:pStyle w:val="NormalWeb"/>
              <w:spacing w:line="276" w:lineRule="auto"/>
              <w:rPr>
                <w:rFonts w:ascii="Arial" w:hAnsi="Arial" w:cs="Arial"/>
                <w:sz w:val="32"/>
                <w:szCs w:val="32"/>
              </w:rPr>
            </w:pPr>
            <w:r w:rsidRPr="00735726">
              <w:rPr>
                <w:rFonts w:ascii="Arial" w:eastAsiaTheme="minorHAnsi" w:hAnsi="Arial" w:cs="Arial"/>
                <w:b/>
                <w:bCs/>
                <w:sz w:val="18"/>
                <w:szCs w:val="18"/>
              </w:rPr>
              <w:t>Tackling storm overflow and pollutions</w:t>
            </w:r>
          </w:p>
        </w:tc>
        <w:tc>
          <w:tcPr>
            <w:tcW w:w="2254" w:type="dxa"/>
          </w:tcPr>
          <w:p w14:paraId="0C750B49" w14:textId="645EEF70" w:rsidR="00B929AA" w:rsidRPr="00735726" w:rsidRDefault="008928E6" w:rsidP="00844EFD">
            <w:pPr>
              <w:pStyle w:val="NormalWeb"/>
              <w:spacing w:line="276" w:lineRule="auto"/>
              <w:rPr>
                <w:rFonts w:ascii="Arial" w:hAnsi="Arial" w:cs="Arial"/>
                <w:sz w:val="32"/>
                <w:szCs w:val="32"/>
              </w:rPr>
            </w:pPr>
            <w:r w:rsidRPr="00735726">
              <w:rPr>
                <w:rFonts w:ascii="Arial" w:eastAsiaTheme="minorHAnsi" w:hAnsi="Arial" w:cs="Arial"/>
                <w:b/>
                <w:bCs/>
                <w:sz w:val="18"/>
                <w:szCs w:val="18"/>
              </w:rPr>
              <w:t>Driving environmental gains and delivering Net Zero</w:t>
            </w:r>
          </w:p>
        </w:tc>
        <w:tc>
          <w:tcPr>
            <w:tcW w:w="2254" w:type="dxa"/>
          </w:tcPr>
          <w:p w14:paraId="013EAC24" w14:textId="1539C59E" w:rsidR="00B929AA" w:rsidRPr="00735726" w:rsidRDefault="008928E6" w:rsidP="00844EFD">
            <w:pPr>
              <w:pStyle w:val="NormalWeb"/>
              <w:spacing w:line="276" w:lineRule="auto"/>
              <w:rPr>
                <w:rFonts w:ascii="Arial" w:hAnsi="Arial" w:cs="Arial"/>
                <w:sz w:val="32"/>
                <w:szCs w:val="32"/>
              </w:rPr>
            </w:pPr>
            <w:r w:rsidRPr="00735726">
              <w:rPr>
                <w:rFonts w:ascii="Arial" w:eastAsiaTheme="minorHAnsi" w:hAnsi="Arial" w:cs="Arial"/>
                <w:b/>
                <w:bCs/>
                <w:sz w:val="18"/>
                <w:szCs w:val="18"/>
              </w:rPr>
              <w:t>Supporting affordability and delivering for customers</w:t>
            </w:r>
          </w:p>
        </w:tc>
      </w:tr>
    </w:tbl>
    <w:p w14:paraId="5CF96F54" w14:textId="2FDFB518" w:rsidR="002204A2" w:rsidRPr="00735726" w:rsidRDefault="001E40D1" w:rsidP="00844EFD">
      <w:pPr>
        <w:spacing w:after="160"/>
        <w:rPr>
          <w:rFonts w:ascii="Arial" w:hAnsi="Arial" w:cs="Arial"/>
          <w:bCs/>
          <w:sz w:val="18"/>
          <w:szCs w:val="18"/>
        </w:rPr>
      </w:pPr>
      <w:r w:rsidRPr="00735726">
        <w:rPr>
          <w:rFonts w:ascii="Arial" w:hAnsi="Arial" w:cs="Arial"/>
          <w:sz w:val="18"/>
          <w:szCs w:val="18"/>
        </w:rPr>
        <w:br/>
      </w:r>
      <w:r w:rsidR="001E267D" w:rsidRPr="00735726">
        <w:rPr>
          <w:rFonts w:ascii="Arial" w:eastAsia="Times New Roman" w:hAnsi="Arial" w:cs="DINOT-Light"/>
          <w:b/>
          <w:color w:val="000000"/>
          <w:sz w:val="18"/>
          <w:szCs w:val="18"/>
        </w:rPr>
        <w:t>VISION, PURPOSE AND VALUES</w:t>
      </w:r>
      <w:r w:rsidR="00D62E2B" w:rsidRPr="00735726">
        <w:rPr>
          <w:rFonts w:ascii="Arial" w:hAnsi="Arial" w:cs="Arial"/>
          <w:sz w:val="18"/>
          <w:szCs w:val="18"/>
        </w:rPr>
        <w:br/>
      </w:r>
      <w:r w:rsidR="002204A2" w:rsidRPr="00735726">
        <w:rPr>
          <w:rFonts w:ascii="Arial" w:hAnsi="Arial" w:cs="Arial"/>
          <w:sz w:val="18"/>
          <w:szCs w:val="18"/>
        </w:rPr>
        <w:t>Our business model is shaped by our purpose: Bringing water to life - supporting the lives of people and the places they love for generations to come</w:t>
      </w:r>
      <w:r w:rsidR="002204A2" w:rsidRPr="00735726">
        <w:rPr>
          <w:rFonts w:ascii="Arial" w:hAnsi="Arial" w:cs="Arial"/>
          <w:bCs/>
          <w:sz w:val="18"/>
          <w:szCs w:val="18"/>
        </w:rPr>
        <w:t xml:space="preserve">. As a purpose-led business, committed to the effective stewardship of the environment and our communities, we are shaped by our values and culture. We know that it’s not only what we do, but how we do it that is </w:t>
      </w:r>
      <w:proofErr w:type="gramStart"/>
      <w:r w:rsidR="002204A2" w:rsidRPr="00735726">
        <w:rPr>
          <w:rFonts w:ascii="Arial" w:hAnsi="Arial" w:cs="Arial"/>
          <w:bCs/>
          <w:sz w:val="18"/>
          <w:szCs w:val="18"/>
        </w:rPr>
        <w:t>really important</w:t>
      </w:r>
      <w:proofErr w:type="gramEnd"/>
      <w:r w:rsidR="002204A2" w:rsidRPr="00735726">
        <w:rPr>
          <w:rFonts w:ascii="Arial" w:hAnsi="Arial" w:cs="Arial"/>
          <w:bCs/>
          <w:sz w:val="18"/>
          <w:szCs w:val="18"/>
        </w:rPr>
        <w:t xml:space="preserve"> for our customers, colleagues, communities and the environment </w:t>
      </w:r>
      <w:r w:rsidR="0026561E" w:rsidRPr="00735726">
        <w:rPr>
          <w:rFonts w:ascii="Arial" w:hAnsi="Arial" w:cs="Arial"/>
          <w:sz w:val="18"/>
          <w:szCs w:val="18"/>
        </w:rPr>
        <w:t>-</w:t>
      </w:r>
      <w:r w:rsidR="002204A2" w:rsidRPr="00735726">
        <w:rPr>
          <w:rFonts w:ascii="Arial" w:hAnsi="Arial" w:cs="Arial"/>
          <w:bCs/>
          <w:sz w:val="18"/>
          <w:szCs w:val="18"/>
        </w:rPr>
        <w:t xml:space="preserve"> that’s why we’re focused on living our values, every day.</w:t>
      </w:r>
    </w:p>
    <w:p w14:paraId="7A3BB238" w14:textId="77777777" w:rsidR="00942195" w:rsidRPr="00735726" w:rsidRDefault="00942195">
      <w:pPr>
        <w:spacing w:after="160" w:line="259" w:lineRule="auto"/>
        <w:rPr>
          <w:rFonts w:ascii="Arial" w:hAnsi="Arial" w:cs="Arial"/>
          <w:bCs/>
          <w:sz w:val="18"/>
          <w:szCs w:val="18"/>
        </w:rPr>
      </w:pPr>
      <w:r w:rsidRPr="00735726">
        <w:rPr>
          <w:rFonts w:ascii="Arial" w:hAnsi="Arial" w:cs="Arial"/>
          <w:bCs/>
          <w:sz w:val="18"/>
          <w:szCs w:val="18"/>
        </w:rPr>
        <w:br w:type="page"/>
      </w:r>
    </w:p>
    <w:p w14:paraId="4E5FEF70" w14:textId="3529835C" w:rsidR="00B929AA" w:rsidRPr="00735726" w:rsidRDefault="00B929AA" w:rsidP="00844EFD">
      <w:pPr>
        <w:spacing w:after="160"/>
        <w:rPr>
          <w:rFonts w:ascii="Arial" w:hAnsi="Arial" w:cs="Arial"/>
          <w:bCs/>
          <w:sz w:val="18"/>
          <w:szCs w:val="18"/>
        </w:rPr>
      </w:pPr>
      <w:r w:rsidRPr="00735726">
        <w:rPr>
          <w:rFonts w:ascii="Arial" w:hAnsi="Arial" w:cs="Arial"/>
          <w:bCs/>
          <w:sz w:val="18"/>
          <w:szCs w:val="18"/>
        </w:rPr>
        <w:lastRenderedPageBreak/>
        <w:t>Underpinned by the values we live by</w:t>
      </w:r>
      <w:r w:rsidR="0026561E" w:rsidRPr="00735726">
        <w:rPr>
          <w:rFonts w:ascii="Arial" w:hAnsi="Arial" w:cs="Arial"/>
          <w:bCs/>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929AA" w:rsidRPr="00735726" w14:paraId="6977E087" w14:textId="77777777" w:rsidTr="00FB179A">
        <w:tc>
          <w:tcPr>
            <w:tcW w:w="3005" w:type="dxa"/>
          </w:tcPr>
          <w:p w14:paraId="51718DA7" w14:textId="77777777" w:rsidR="00B929AA" w:rsidRPr="00735726" w:rsidRDefault="00B929AA" w:rsidP="00844EFD">
            <w:pPr>
              <w:pStyle w:val="NormalWeb"/>
              <w:spacing w:line="276" w:lineRule="auto"/>
              <w:rPr>
                <w:rFonts w:ascii="Arial" w:hAnsi="Arial" w:cs="Arial"/>
                <w:sz w:val="18"/>
                <w:szCs w:val="18"/>
              </w:rPr>
            </w:pPr>
            <w:r w:rsidRPr="00735726">
              <w:rPr>
                <w:noProof/>
              </w:rPr>
              <w:drawing>
                <wp:inline distT="0" distB="0" distL="0" distR="0" wp14:anchorId="514CF118" wp14:editId="0FC9F7C5">
                  <wp:extent cx="773971" cy="476250"/>
                  <wp:effectExtent l="0" t="0" r="7620" b="0"/>
                  <wp:docPr id="1934679746" name="Picture 193467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4745" cy="482879"/>
                          </a:xfrm>
                          <a:prstGeom prst="rect">
                            <a:avLst/>
                          </a:prstGeom>
                          <a:noFill/>
                          <a:ln>
                            <a:noFill/>
                          </a:ln>
                        </pic:spPr>
                      </pic:pic>
                    </a:graphicData>
                  </a:graphic>
                </wp:inline>
              </w:drawing>
            </w:r>
          </w:p>
        </w:tc>
        <w:tc>
          <w:tcPr>
            <w:tcW w:w="3005" w:type="dxa"/>
          </w:tcPr>
          <w:p w14:paraId="0C542413" w14:textId="77777777" w:rsidR="00B929AA" w:rsidRPr="00735726" w:rsidRDefault="00B929AA" w:rsidP="00844EFD">
            <w:pPr>
              <w:pStyle w:val="NormalWeb"/>
              <w:spacing w:line="276" w:lineRule="auto"/>
              <w:rPr>
                <w:rFonts w:ascii="Arial" w:hAnsi="Arial" w:cs="Arial"/>
                <w:sz w:val="18"/>
                <w:szCs w:val="18"/>
              </w:rPr>
            </w:pPr>
            <w:r w:rsidRPr="00735726">
              <w:rPr>
                <w:noProof/>
              </w:rPr>
              <w:drawing>
                <wp:inline distT="0" distB="0" distL="0" distR="0" wp14:anchorId="5232F012" wp14:editId="0730C287">
                  <wp:extent cx="773970" cy="476250"/>
                  <wp:effectExtent l="0" t="0" r="7620" b="0"/>
                  <wp:docPr id="583945608" name="Picture 58394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2930" cy="481764"/>
                          </a:xfrm>
                          <a:prstGeom prst="rect">
                            <a:avLst/>
                          </a:prstGeom>
                          <a:noFill/>
                          <a:ln>
                            <a:noFill/>
                          </a:ln>
                        </pic:spPr>
                      </pic:pic>
                    </a:graphicData>
                  </a:graphic>
                </wp:inline>
              </w:drawing>
            </w:r>
          </w:p>
        </w:tc>
        <w:tc>
          <w:tcPr>
            <w:tcW w:w="3006" w:type="dxa"/>
          </w:tcPr>
          <w:p w14:paraId="12F8AFAB" w14:textId="77777777" w:rsidR="00B929AA" w:rsidRPr="00735726" w:rsidRDefault="00B929AA" w:rsidP="00844EFD">
            <w:pPr>
              <w:pStyle w:val="NormalWeb"/>
              <w:spacing w:line="276" w:lineRule="auto"/>
              <w:rPr>
                <w:rFonts w:ascii="Arial" w:hAnsi="Arial" w:cs="Arial"/>
                <w:sz w:val="18"/>
                <w:szCs w:val="18"/>
              </w:rPr>
            </w:pPr>
            <w:r w:rsidRPr="00735726">
              <w:rPr>
                <w:noProof/>
              </w:rPr>
              <w:drawing>
                <wp:inline distT="0" distB="0" distL="0" distR="0" wp14:anchorId="74A35C4D" wp14:editId="3A18FD12">
                  <wp:extent cx="1151218" cy="386715"/>
                  <wp:effectExtent l="0" t="0" r="0" b="0"/>
                  <wp:docPr id="1710046156" name="Picture 171004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155252" cy="388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29AA" w:rsidRPr="00735726" w14:paraId="725C12DF" w14:textId="77777777" w:rsidTr="00FB179A">
        <w:tc>
          <w:tcPr>
            <w:tcW w:w="3005" w:type="dxa"/>
          </w:tcPr>
          <w:p w14:paraId="36ED77BB" w14:textId="77777777" w:rsidR="00B929AA" w:rsidRPr="00735726" w:rsidRDefault="00B929AA" w:rsidP="00844EFD">
            <w:pPr>
              <w:autoSpaceDE w:val="0"/>
              <w:autoSpaceDN w:val="0"/>
              <w:adjustRightInd w:val="0"/>
              <w:spacing w:after="0"/>
              <w:rPr>
                <w:rFonts w:ascii="Arial" w:eastAsiaTheme="minorHAnsi" w:hAnsi="Arial" w:cs="Arial"/>
                <w:b/>
                <w:bCs/>
                <w:sz w:val="18"/>
                <w:szCs w:val="18"/>
                <w:u w:val="single"/>
              </w:rPr>
            </w:pPr>
            <w:r w:rsidRPr="00735726">
              <w:rPr>
                <w:rFonts w:ascii="Arial" w:hAnsi="Arial" w:cs="Arial"/>
                <w:b/>
                <w:bCs/>
                <w:sz w:val="18"/>
                <w:szCs w:val="18"/>
                <w:u w:val="single"/>
              </w:rPr>
              <w:t>Be you</w:t>
            </w:r>
          </w:p>
          <w:p w14:paraId="42A1E42A" w14:textId="769D774D" w:rsidR="00B929AA" w:rsidRPr="00735726" w:rsidRDefault="00B929AA" w:rsidP="005F13B9">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We want you to bring your best every day. Be open and inclusive, work together and win as one team. Let your passion inspire those around you. Be authentic, make your mark and</w:t>
            </w:r>
            <w:r w:rsidR="005F13B9" w:rsidRPr="00735726">
              <w:rPr>
                <w:rFonts w:ascii="Arial" w:eastAsiaTheme="minorHAnsi" w:hAnsi="Arial" w:cs="Arial"/>
                <w:sz w:val="18"/>
                <w:szCs w:val="18"/>
              </w:rPr>
              <w:t xml:space="preserve"> </w:t>
            </w:r>
            <w:r w:rsidRPr="00735726">
              <w:rPr>
                <w:rFonts w:ascii="Arial" w:eastAsiaTheme="minorHAnsi" w:hAnsi="Arial" w:cs="Arial"/>
                <w:sz w:val="18"/>
                <w:szCs w:val="18"/>
              </w:rPr>
              <w:t>be you.</w:t>
            </w:r>
          </w:p>
        </w:tc>
        <w:tc>
          <w:tcPr>
            <w:tcW w:w="3005" w:type="dxa"/>
          </w:tcPr>
          <w:p w14:paraId="57BAFBB8" w14:textId="77777777" w:rsidR="00B929AA" w:rsidRPr="00735726" w:rsidRDefault="00B929AA" w:rsidP="00844EFD">
            <w:pPr>
              <w:autoSpaceDE w:val="0"/>
              <w:autoSpaceDN w:val="0"/>
              <w:adjustRightInd w:val="0"/>
              <w:spacing w:after="0"/>
              <w:rPr>
                <w:rFonts w:ascii="Arial" w:eastAsiaTheme="minorHAnsi" w:hAnsi="Arial" w:cs="Arial"/>
                <w:b/>
                <w:bCs/>
                <w:sz w:val="18"/>
                <w:szCs w:val="18"/>
                <w:u w:val="single"/>
              </w:rPr>
            </w:pPr>
            <w:r w:rsidRPr="00735726">
              <w:rPr>
                <w:rFonts w:ascii="Arial" w:hAnsi="Arial" w:cs="Arial"/>
                <w:b/>
                <w:bCs/>
                <w:sz w:val="18"/>
                <w:szCs w:val="18"/>
                <w:u w:val="single"/>
              </w:rPr>
              <w:t>Be rock solid</w:t>
            </w:r>
          </w:p>
          <w:p w14:paraId="3B57A13A" w14:textId="6BB16232" w:rsidR="00B929AA" w:rsidRPr="00735726" w:rsidRDefault="00B929AA" w:rsidP="00844EFD">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 xml:space="preserve">We want you to be the one we all look up to. Be trusted. Act with integrity and make good on your promises. Build trust, one relationship at a time. </w:t>
            </w:r>
          </w:p>
        </w:tc>
        <w:tc>
          <w:tcPr>
            <w:tcW w:w="3006" w:type="dxa"/>
          </w:tcPr>
          <w:p w14:paraId="2BD110AD" w14:textId="77777777" w:rsidR="00B929AA" w:rsidRPr="00735726" w:rsidRDefault="00B929AA" w:rsidP="00844EFD">
            <w:pPr>
              <w:autoSpaceDE w:val="0"/>
              <w:autoSpaceDN w:val="0"/>
              <w:adjustRightInd w:val="0"/>
              <w:spacing w:after="0"/>
              <w:rPr>
                <w:rFonts w:ascii="Arial" w:eastAsiaTheme="minorHAnsi" w:hAnsi="Arial" w:cs="Arial"/>
                <w:b/>
                <w:bCs/>
                <w:sz w:val="18"/>
                <w:szCs w:val="18"/>
                <w:u w:val="single"/>
              </w:rPr>
            </w:pPr>
            <w:r w:rsidRPr="00735726">
              <w:rPr>
                <w:rFonts w:ascii="Arial" w:hAnsi="Arial" w:cs="Arial"/>
                <w:b/>
                <w:bCs/>
                <w:sz w:val="18"/>
                <w:szCs w:val="18"/>
                <w:u w:val="single"/>
              </w:rPr>
              <w:t>Be the future</w:t>
            </w:r>
          </w:p>
          <w:p w14:paraId="0E799830" w14:textId="7ED4B70B" w:rsidR="002204A2" w:rsidRPr="00735726" w:rsidRDefault="00B929AA" w:rsidP="00844EFD">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 xml:space="preserve">We encourage you to be curious and challenge convention. Share ideas with confidence and </w:t>
            </w:r>
            <w:proofErr w:type="gramStart"/>
            <w:r w:rsidRPr="00735726">
              <w:rPr>
                <w:rFonts w:ascii="Arial" w:eastAsiaTheme="minorHAnsi" w:hAnsi="Arial" w:cs="Arial"/>
                <w:sz w:val="18"/>
                <w:szCs w:val="18"/>
              </w:rPr>
              <w:t>purpose, and</w:t>
            </w:r>
            <w:proofErr w:type="gramEnd"/>
            <w:r w:rsidRPr="00735726">
              <w:rPr>
                <w:rFonts w:ascii="Arial" w:eastAsiaTheme="minorHAnsi" w:hAnsi="Arial" w:cs="Arial"/>
                <w:sz w:val="18"/>
                <w:szCs w:val="18"/>
              </w:rPr>
              <w:t xml:space="preserve"> help share our future. Embrace change. Drive progress. Own the challenge. </w:t>
            </w:r>
          </w:p>
          <w:p w14:paraId="69D02D05" w14:textId="5B884640" w:rsidR="00B929AA" w:rsidRPr="00735726" w:rsidRDefault="00B929AA" w:rsidP="00844EFD">
            <w:pPr>
              <w:autoSpaceDE w:val="0"/>
              <w:autoSpaceDN w:val="0"/>
              <w:adjustRightInd w:val="0"/>
              <w:spacing w:after="0"/>
              <w:rPr>
                <w:rFonts w:ascii="Arial" w:eastAsiaTheme="minorHAnsi" w:hAnsi="Arial" w:cs="Arial"/>
                <w:sz w:val="18"/>
                <w:szCs w:val="18"/>
              </w:rPr>
            </w:pPr>
          </w:p>
        </w:tc>
      </w:tr>
    </w:tbl>
    <w:p w14:paraId="05CCD4FE" w14:textId="77777777" w:rsidR="00AE5F81" w:rsidRPr="00735726" w:rsidRDefault="00AE5F81" w:rsidP="00844EFD">
      <w:pPr>
        <w:spacing w:after="160"/>
        <w:rPr>
          <w:rFonts w:ascii="Arial" w:hAnsi="Arial" w:cs="Arial"/>
          <w:sz w:val="18"/>
          <w:szCs w:val="18"/>
        </w:rPr>
      </w:pPr>
    </w:p>
    <w:p w14:paraId="24A8C8E2" w14:textId="6BA0759C" w:rsidR="002204A2" w:rsidRPr="00735726" w:rsidRDefault="002204A2" w:rsidP="00844EFD">
      <w:pPr>
        <w:spacing w:after="160"/>
        <w:rPr>
          <w:rFonts w:ascii="Arial" w:hAnsi="Arial" w:cs="Arial"/>
          <w:sz w:val="18"/>
          <w:szCs w:val="18"/>
        </w:rPr>
      </w:pPr>
      <w:r w:rsidRPr="00735726">
        <w:rPr>
          <w:rFonts w:ascii="Arial" w:hAnsi="Arial" w:cs="Arial"/>
          <w:sz w:val="18"/>
          <w:szCs w:val="18"/>
        </w:rPr>
        <w:t>We create value for our stakeholders:</w:t>
      </w:r>
    </w:p>
    <w:tbl>
      <w:tblPr>
        <w:tblStyle w:val="TableGrid"/>
        <w:tblW w:w="0" w:type="auto"/>
        <w:tblLook w:val="04A0" w:firstRow="1" w:lastRow="0" w:firstColumn="1" w:lastColumn="0" w:noHBand="0" w:noVBand="1"/>
      </w:tblPr>
      <w:tblGrid>
        <w:gridCol w:w="2263"/>
        <w:gridCol w:w="6753"/>
      </w:tblGrid>
      <w:tr w:rsidR="00C64B57" w:rsidRPr="00735726" w14:paraId="2881BAD0" w14:textId="77777777" w:rsidTr="00277639">
        <w:tc>
          <w:tcPr>
            <w:tcW w:w="2263" w:type="dxa"/>
          </w:tcPr>
          <w:p w14:paraId="4CC5C975" w14:textId="0F03F2D6" w:rsidR="00C64B57" w:rsidRPr="00735726" w:rsidRDefault="00C64B57" w:rsidP="00844EFD">
            <w:pPr>
              <w:spacing w:after="160"/>
              <w:rPr>
                <w:rFonts w:ascii="Arial" w:hAnsi="Arial" w:cs="Arial"/>
                <w:b/>
                <w:bCs/>
                <w:sz w:val="18"/>
                <w:szCs w:val="18"/>
              </w:rPr>
            </w:pPr>
            <w:r w:rsidRPr="00735726">
              <w:rPr>
                <w:rFonts w:ascii="Arial" w:hAnsi="Arial" w:cs="DINOT-Light"/>
                <w:b/>
                <w:color w:val="000000"/>
                <w:sz w:val="18"/>
                <w:szCs w:val="18"/>
              </w:rPr>
              <w:t>Customers</w:t>
            </w:r>
          </w:p>
          <w:p w14:paraId="2A8E1DBD" w14:textId="3AD292FA" w:rsidR="006824C0" w:rsidRPr="00735726" w:rsidRDefault="00C64B57" w:rsidP="00844EFD">
            <w:pPr>
              <w:spacing w:after="160"/>
              <w:rPr>
                <w:rFonts w:ascii="Arial" w:hAnsi="Arial" w:cs="DINOT-Light"/>
                <w:b/>
                <w:color w:val="000000"/>
                <w:sz w:val="18"/>
                <w:szCs w:val="18"/>
              </w:rPr>
            </w:pPr>
            <w:r w:rsidRPr="00735726">
              <w:rPr>
                <w:rFonts w:ascii="Arial" w:hAnsi="Arial" w:cs="Arial"/>
                <w:b/>
                <w:bCs/>
                <w:noProof/>
                <w:sz w:val="18"/>
                <w:szCs w:val="18"/>
              </w:rPr>
              <w:drawing>
                <wp:inline distT="0" distB="0" distL="0" distR="0" wp14:anchorId="2A791CA4" wp14:editId="58CF2345">
                  <wp:extent cx="594995" cy="594995"/>
                  <wp:effectExtent l="0" t="0" r="0" b="0"/>
                  <wp:docPr id="7480544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933" cy="603933"/>
                          </a:xfrm>
                          <a:prstGeom prst="rect">
                            <a:avLst/>
                          </a:prstGeom>
                          <a:noFill/>
                          <a:ln>
                            <a:noFill/>
                          </a:ln>
                        </pic:spPr>
                      </pic:pic>
                    </a:graphicData>
                  </a:graphic>
                </wp:inline>
              </w:drawing>
            </w:r>
            <w:r w:rsidRPr="00735726">
              <w:rPr>
                <w:rFonts w:ascii="Arial" w:hAnsi="Arial" w:cs="DINOT-Light"/>
                <w:b/>
                <w:color w:val="000000"/>
                <w:sz w:val="18"/>
                <w:szCs w:val="18"/>
              </w:rPr>
              <w:t xml:space="preserve"> </w:t>
            </w:r>
          </w:p>
          <w:p w14:paraId="743EC109" w14:textId="65B246CE" w:rsidR="00ED2AD7" w:rsidRPr="00735726" w:rsidRDefault="00ED2AD7" w:rsidP="00844EFD">
            <w:pPr>
              <w:spacing w:after="160"/>
              <w:rPr>
                <w:rFonts w:ascii="Arial" w:eastAsiaTheme="minorHAnsi" w:hAnsi="Arial" w:cs="Arial"/>
                <w:sz w:val="18"/>
                <w:szCs w:val="18"/>
              </w:rPr>
            </w:pPr>
          </w:p>
        </w:tc>
        <w:tc>
          <w:tcPr>
            <w:tcW w:w="6753" w:type="dxa"/>
          </w:tcPr>
          <w:p w14:paraId="616A7158" w14:textId="7D1E0B39" w:rsidR="006824C0" w:rsidRPr="00735726" w:rsidRDefault="006824C0" w:rsidP="00646F4F">
            <w:pPr>
              <w:pStyle w:val="ListParagraph"/>
              <w:numPr>
                <w:ilvl w:val="0"/>
                <w:numId w:val="63"/>
              </w:numPr>
              <w:spacing w:after="160"/>
              <w:ind w:left="343"/>
              <w:rPr>
                <w:rFonts w:ascii="Arial" w:hAnsi="Arial" w:cs="Arial"/>
                <w:sz w:val="18"/>
                <w:szCs w:val="18"/>
              </w:rPr>
            </w:pPr>
            <w:r w:rsidRPr="00735726">
              <w:rPr>
                <w:rFonts w:ascii="Arial" w:hAnsi="Arial" w:cs="Arial"/>
                <w:sz w:val="18"/>
                <w:szCs w:val="18"/>
              </w:rPr>
              <w:t>Delivering reliable services and resolving issues right first time to minimise complaints</w:t>
            </w:r>
          </w:p>
          <w:p w14:paraId="32E84A02" w14:textId="04A1747C" w:rsidR="006824C0" w:rsidRPr="00735726" w:rsidRDefault="006824C0" w:rsidP="00646F4F">
            <w:pPr>
              <w:pStyle w:val="ListParagraph"/>
              <w:numPr>
                <w:ilvl w:val="0"/>
                <w:numId w:val="63"/>
              </w:numPr>
              <w:spacing w:after="160"/>
              <w:ind w:left="343"/>
              <w:rPr>
                <w:rFonts w:ascii="Arial" w:hAnsi="Arial" w:cs="Arial"/>
                <w:sz w:val="18"/>
                <w:szCs w:val="18"/>
              </w:rPr>
            </w:pPr>
            <w:r w:rsidRPr="00735726">
              <w:rPr>
                <w:rFonts w:ascii="Arial" w:hAnsi="Arial" w:cs="Arial"/>
                <w:sz w:val="18"/>
                <w:szCs w:val="18"/>
              </w:rPr>
              <w:t>Providing clear, timely and accessible communication across all customer interactions</w:t>
            </w:r>
          </w:p>
          <w:p w14:paraId="0F5DB6AE" w14:textId="40FE6661" w:rsidR="006824C0" w:rsidRPr="00735726" w:rsidRDefault="006824C0" w:rsidP="00646F4F">
            <w:pPr>
              <w:pStyle w:val="ListParagraph"/>
              <w:numPr>
                <w:ilvl w:val="0"/>
                <w:numId w:val="63"/>
              </w:numPr>
              <w:spacing w:after="160"/>
              <w:ind w:left="343"/>
              <w:rPr>
                <w:rFonts w:ascii="Arial" w:hAnsi="Arial" w:cs="Arial"/>
                <w:sz w:val="18"/>
                <w:szCs w:val="18"/>
              </w:rPr>
            </w:pPr>
            <w:r w:rsidRPr="00735726">
              <w:rPr>
                <w:rFonts w:ascii="Arial" w:hAnsi="Arial" w:cs="Arial"/>
                <w:sz w:val="18"/>
                <w:szCs w:val="18"/>
              </w:rPr>
              <w:t>Responding quickly and effectively to unplanned interruptions and service failures</w:t>
            </w:r>
          </w:p>
          <w:p w14:paraId="6367E68D" w14:textId="7AAA6CF4" w:rsidR="006824C0" w:rsidRPr="00735726" w:rsidRDefault="006824C0" w:rsidP="00646F4F">
            <w:pPr>
              <w:pStyle w:val="ListParagraph"/>
              <w:numPr>
                <w:ilvl w:val="0"/>
                <w:numId w:val="63"/>
              </w:numPr>
              <w:spacing w:after="160"/>
              <w:ind w:left="343"/>
              <w:rPr>
                <w:rFonts w:ascii="Arial" w:hAnsi="Arial" w:cs="Arial"/>
                <w:sz w:val="18"/>
                <w:szCs w:val="18"/>
              </w:rPr>
            </w:pPr>
            <w:r w:rsidRPr="00735726">
              <w:rPr>
                <w:rFonts w:ascii="Arial" w:hAnsi="Arial" w:cs="Arial"/>
                <w:sz w:val="18"/>
                <w:szCs w:val="18"/>
              </w:rPr>
              <w:t>Using customer insight and feedback to drive continuous service improvement</w:t>
            </w:r>
          </w:p>
          <w:p w14:paraId="26807127" w14:textId="5F55621A" w:rsidR="006824C0" w:rsidRPr="00735726" w:rsidRDefault="006824C0" w:rsidP="00646F4F">
            <w:pPr>
              <w:pStyle w:val="ListParagraph"/>
              <w:numPr>
                <w:ilvl w:val="0"/>
                <w:numId w:val="63"/>
              </w:numPr>
              <w:spacing w:after="160"/>
              <w:ind w:left="343"/>
              <w:rPr>
                <w:rFonts w:ascii="Arial" w:eastAsiaTheme="minorHAnsi" w:hAnsi="Arial" w:cs="Arial"/>
                <w:sz w:val="18"/>
                <w:szCs w:val="18"/>
              </w:rPr>
            </w:pPr>
            <w:r w:rsidRPr="00735726">
              <w:rPr>
                <w:rFonts w:ascii="Arial" w:hAnsi="Arial" w:cs="Arial"/>
                <w:sz w:val="18"/>
                <w:szCs w:val="18"/>
              </w:rPr>
              <w:t xml:space="preserve">Supporting customers in vulnerable circumstances through </w:t>
            </w:r>
            <w:r w:rsidRPr="00735726">
              <w:rPr>
                <w:rFonts w:ascii="Arial" w:eastAsiaTheme="minorHAnsi" w:hAnsi="Arial" w:cs="Arial"/>
                <w:sz w:val="18"/>
                <w:szCs w:val="18"/>
              </w:rPr>
              <w:t>proactive and tailored engagement</w:t>
            </w:r>
          </w:p>
        </w:tc>
      </w:tr>
      <w:tr w:rsidR="00C64B57" w:rsidRPr="00735726" w14:paraId="4BE3FB49" w14:textId="77777777" w:rsidTr="00277639">
        <w:tc>
          <w:tcPr>
            <w:tcW w:w="2263" w:type="dxa"/>
          </w:tcPr>
          <w:p w14:paraId="19E6B8CB" w14:textId="2AA595AF" w:rsidR="006824C0" w:rsidRPr="00735726" w:rsidRDefault="006824C0" w:rsidP="00844EFD">
            <w:pPr>
              <w:spacing w:after="160"/>
              <w:rPr>
                <w:rFonts w:ascii="Arial" w:hAnsi="Arial" w:cs="DINOT-Light"/>
                <w:b/>
                <w:color w:val="000000"/>
                <w:sz w:val="18"/>
                <w:szCs w:val="18"/>
              </w:rPr>
            </w:pPr>
            <w:r w:rsidRPr="00735726">
              <w:rPr>
                <w:rFonts w:ascii="Arial" w:hAnsi="Arial" w:cs="DINOT-Light"/>
                <w:b/>
                <w:color w:val="000000"/>
                <w:sz w:val="18"/>
                <w:szCs w:val="18"/>
              </w:rPr>
              <w:t>Suppliers</w:t>
            </w:r>
          </w:p>
          <w:p w14:paraId="43D45582" w14:textId="68047B6E" w:rsidR="00C64B57" w:rsidRPr="00735726" w:rsidRDefault="00C64B57" w:rsidP="00C64B57">
            <w:pPr>
              <w:spacing w:after="160"/>
              <w:rPr>
                <w:rFonts w:ascii="Arial" w:hAnsi="Arial" w:cs="DINOT-Light"/>
                <w:b/>
                <w:color w:val="000000"/>
                <w:sz w:val="18"/>
                <w:szCs w:val="18"/>
              </w:rPr>
            </w:pPr>
            <w:r w:rsidRPr="00735726">
              <w:rPr>
                <w:rFonts w:ascii="Arial" w:hAnsi="Arial" w:cs="DINOT-Light"/>
                <w:b/>
                <w:noProof/>
                <w:color w:val="000000"/>
                <w:sz w:val="18"/>
                <w:szCs w:val="18"/>
              </w:rPr>
              <w:drawing>
                <wp:inline distT="0" distB="0" distL="0" distR="0" wp14:anchorId="1F6A15D5" wp14:editId="446459A0">
                  <wp:extent cx="577970" cy="577970"/>
                  <wp:effectExtent l="0" t="0" r="0" b="0"/>
                  <wp:docPr id="2071771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430" cy="585430"/>
                          </a:xfrm>
                          <a:prstGeom prst="rect">
                            <a:avLst/>
                          </a:prstGeom>
                          <a:noFill/>
                          <a:ln>
                            <a:noFill/>
                          </a:ln>
                        </pic:spPr>
                      </pic:pic>
                    </a:graphicData>
                  </a:graphic>
                </wp:inline>
              </w:drawing>
            </w:r>
          </w:p>
          <w:p w14:paraId="13E888A5" w14:textId="035348D9" w:rsidR="00ED2AD7" w:rsidRPr="00735726" w:rsidRDefault="00ED2AD7" w:rsidP="00844EFD">
            <w:pPr>
              <w:spacing w:after="160"/>
              <w:rPr>
                <w:rFonts w:ascii="Arial" w:eastAsiaTheme="minorHAnsi" w:hAnsi="Arial" w:cs="Arial"/>
                <w:sz w:val="18"/>
                <w:szCs w:val="18"/>
              </w:rPr>
            </w:pPr>
          </w:p>
        </w:tc>
        <w:tc>
          <w:tcPr>
            <w:tcW w:w="6753" w:type="dxa"/>
          </w:tcPr>
          <w:p w14:paraId="60C7591E" w14:textId="77777777" w:rsidR="006824C0" w:rsidRPr="00735726" w:rsidRDefault="006824C0" w:rsidP="00646F4F">
            <w:pPr>
              <w:pStyle w:val="ListParagraph"/>
              <w:numPr>
                <w:ilvl w:val="0"/>
                <w:numId w:val="64"/>
              </w:numPr>
              <w:spacing w:after="160"/>
              <w:ind w:left="343"/>
              <w:rPr>
                <w:rFonts w:ascii="Arial" w:hAnsi="Arial" w:cs="Arial"/>
                <w:sz w:val="18"/>
                <w:szCs w:val="18"/>
              </w:rPr>
            </w:pPr>
            <w:r w:rsidRPr="00735726">
              <w:rPr>
                <w:rFonts w:ascii="Arial" w:hAnsi="Arial" w:cs="Arial"/>
                <w:sz w:val="18"/>
                <w:szCs w:val="18"/>
              </w:rPr>
              <w:t>Acting fairly and transparently, in line with the Prompt Payment Code</w:t>
            </w:r>
          </w:p>
          <w:p w14:paraId="60DCA470" w14:textId="16EA98DD" w:rsidR="006824C0" w:rsidRPr="00735726" w:rsidRDefault="006824C0" w:rsidP="00646F4F">
            <w:pPr>
              <w:pStyle w:val="ListParagraph"/>
              <w:numPr>
                <w:ilvl w:val="0"/>
                <w:numId w:val="64"/>
              </w:numPr>
              <w:spacing w:after="160"/>
              <w:ind w:left="343"/>
              <w:rPr>
                <w:rFonts w:ascii="Arial" w:hAnsi="Arial" w:cs="Arial"/>
                <w:sz w:val="18"/>
                <w:szCs w:val="18"/>
              </w:rPr>
            </w:pPr>
            <w:r w:rsidRPr="00735726">
              <w:rPr>
                <w:rFonts w:ascii="Arial" w:hAnsi="Arial" w:cs="Arial"/>
                <w:sz w:val="18"/>
                <w:szCs w:val="18"/>
              </w:rPr>
              <w:t>Working collaboratively with supply chain partners to deliver outcomes</w:t>
            </w:r>
          </w:p>
          <w:p w14:paraId="1C9F0017" w14:textId="77777777" w:rsidR="006824C0" w:rsidRPr="00735726" w:rsidRDefault="006824C0" w:rsidP="00646F4F">
            <w:pPr>
              <w:pStyle w:val="ListParagraph"/>
              <w:numPr>
                <w:ilvl w:val="0"/>
                <w:numId w:val="64"/>
              </w:numPr>
              <w:spacing w:after="160"/>
              <w:ind w:left="343"/>
              <w:rPr>
                <w:rFonts w:ascii="Arial" w:hAnsi="Arial" w:cs="Arial"/>
                <w:sz w:val="18"/>
                <w:szCs w:val="18"/>
              </w:rPr>
            </w:pPr>
            <w:r w:rsidRPr="00735726">
              <w:rPr>
                <w:rFonts w:ascii="Arial" w:hAnsi="Arial" w:cs="Arial"/>
                <w:sz w:val="18"/>
                <w:szCs w:val="18"/>
              </w:rPr>
              <w:t>Supporting SMEs, innovation and skills development</w:t>
            </w:r>
          </w:p>
          <w:p w14:paraId="1C52E198" w14:textId="77777777" w:rsidR="006824C0" w:rsidRPr="00735726" w:rsidRDefault="006824C0" w:rsidP="00646F4F">
            <w:pPr>
              <w:pStyle w:val="ListParagraph"/>
              <w:numPr>
                <w:ilvl w:val="0"/>
                <w:numId w:val="64"/>
              </w:numPr>
              <w:spacing w:after="160"/>
              <w:ind w:left="343"/>
              <w:rPr>
                <w:rFonts w:ascii="Arial" w:hAnsi="Arial" w:cs="Arial"/>
                <w:sz w:val="18"/>
                <w:szCs w:val="18"/>
              </w:rPr>
            </w:pPr>
            <w:r w:rsidRPr="00735726">
              <w:rPr>
                <w:rFonts w:ascii="Arial" w:hAnsi="Arial" w:cs="Arial"/>
                <w:sz w:val="18"/>
                <w:szCs w:val="18"/>
              </w:rPr>
              <w:t>Maintaining high standards of safety, ethics and sustainability</w:t>
            </w:r>
          </w:p>
          <w:p w14:paraId="15846942" w14:textId="77777777" w:rsidR="006824C0" w:rsidRPr="00735726" w:rsidRDefault="006824C0" w:rsidP="00646F4F">
            <w:pPr>
              <w:pStyle w:val="ListParagraph"/>
              <w:numPr>
                <w:ilvl w:val="0"/>
                <w:numId w:val="64"/>
              </w:numPr>
              <w:spacing w:after="160"/>
              <w:ind w:left="343"/>
              <w:rPr>
                <w:rFonts w:ascii="Arial" w:hAnsi="Arial" w:cs="Arial"/>
                <w:sz w:val="18"/>
                <w:szCs w:val="18"/>
              </w:rPr>
            </w:pPr>
            <w:r w:rsidRPr="00735726">
              <w:rPr>
                <w:rFonts w:ascii="Arial" w:hAnsi="Arial" w:cs="Arial"/>
                <w:sz w:val="18"/>
                <w:szCs w:val="18"/>
              </w:rPr>
              <w:t>Resilient and responsible supply chains</w:t>
            </w:r>
          </w:p>
          <w:p w14:paraId="5CDBF01C" w14:textId="77777777" w:rsidR="006824C0" w:rsidRPr="00735726" w:rsidRDefault="006824C0" w:rsidP="00646F4F">
            <w:pPr>
              <w:pStyle w:val="ListParagraph"/>
              <w:numPr>
                <w:ilvl w:val="0"/>
                <w:numId w:val="64"/>
              </w:numPr>
              <w:spacing w:after="160"/>
              <w:ind w:left="343"/>
              <w:rPr>
                <w:rFonts w:ascii="Arial" w:hAnsi="Arial" w:cs="Arial"/>
                <w:sz w:val="18"/>
                <w:szCs w:val="18"/>
              </w:rPr>
            </w:pPr>
            <w:r w:rsidRPr="00735726">
              <w:rPr>
                <w:rFonts w:ascii="Arial" w:hAnsi="Arial" w:cs="Arial"/>
                <w:sz w:val="18"/>
                <w:szCs w:val="18"/>
              </w:rPr>
              <w:t>Innovation that improves outcomes for customers and the environment</w:t>
            </w:r>
          </w:p>
          <w:p w14:paraId="5ACED591" w14:textId="02C8651E" w:rsidR="006824C0" w:rsidRPr="00735726" w:rsidRDefault="006824C0" w:rsidP="00646F4F">
            <w:pPr>
              <w:pStyle w:val="ListParagraph"/>
              <w:numPr>
                <w:ilvl w:val="0"/>
                <w:numId w:val="64"/>
              </w:numPr>
              <w:spacing w:after="160"/>
              <w:ind w:left="343"/>
              <w:rPr>
                <w:rFonts w:ascii="Arial" w:eastAsiaTheme="minorHAnsi" w:hAnsi="Arial" w:cs="Arial"/>
                <w:sz w:val="18"/>
                <w:szCs w:val="18"/>
              </w:rPr>
            </w:pPr>
            <w:r w:rsidRPr="00735726">
              <w:rPr>
                <w:rFonts w:ascii="Arial" w:eastAsiaTheme="minorHAnsi" w:hAnsi="Arial" w:cs="Arial"/>
                <w:sz w:val="18"/>
                <w:szCs w:val="18"/>
              </w:rPr>
              <w:t>Shared value creation throughout AMP delivery</w:t>
            </w:r>
          </w:p>
        </w:tc>
      </w:tr>
      <w:tr w:rsidR="00C64B57" w:rsidRPr="00735726" w14:paraId="733046CA" w14:textId="77777777" w:rsidTr="00277639">
        <w:tc>
          <w:tcPr>
            <w:tcW w:w="2263" w:type="dxa"/>
            <w:tcBorders>
              <w:bottom w:val="single" w:sz="4" w:space="0" w:color="auto"/>
            </w:tcBorders>
          </w:tcPr>
          <w:p w14:paraId="2107A653" w14:textId="369714EB" w:rsidR="006824C0" w:rsidRPr="00735726" w:rsidRDefault="006824C0" w:rsidP="00844EFD">
            <w:pPr>
              <w:spacing w:after="160"/>
              <w:rPr>
                <w:rFonts w:ascii="Arial" w:hAnsi="Arial" w:cs="DINOT-Light"/>
                <w:b/>
                <w:color w:val="000000"/>
                <w:sz w:val="18"/>
                <w:szCs w:val="18"/>
              </w:rPr>
            </w:pPr>
            <w:r w:rsidRPr="00735726">
              <w:rPr>
                <w:rFonts w:ascii="Arial" w:hAnsi="Arial" w:cs="DINOT-Light"/>
                <w:b/>
                <w:color w:val="000000"/>
                <w:sz w:val="18"/>
                <w:szCs w:val="18"/>
              </w:rPr>
              <w:t>Communities</w:t>
            </w:r>
          </w:p>
          <w:p w14:paraId="5E9A6079" w14:textId="286A49B7" w:rsidR="00C64B57" w:rsidRPr="00735726" w:rsidRDefault="00C64B57" w:rsidP="00C64B57">
            <w:pPr>
              <w:spacing w:after="160"/>
              <w:rPr>
                <w:rFonts w:ascii="Arial" w:hAnsi="Arial" w:cs="DINOT-Light"/>
                <w:b/>
                <w:color w:val="000000"/>
                <w:sz w:val="18"/>
                <w:szCs w:val="18"/>
              </w:rPr>
            </w:pPr>
            <w:r w:rsidRPr="00735726">
              <w:rPr>
                <w:rFonts w:ascii="Arial" w:hAnsi="Arial" w:cs="DINOT-Light"/>
                <w:b/>
                <w:noProof/>
                <w:color w:val="000000"/>
                <w:sz w:val="18"/>
                <w:szCs w:val="18"/>
              </w:rPr>
              <w:drawing>
                <wp:inline distT="0" distB="0" distL="0" distR="0" wp14:anchorId="14496452" wp14:editId="1D1EDF2C">
                  <wp:extent cx="577850" cy="577850"/>
                  <wp:effectExtent l="0" t="0" r="0" b="0"/>
                  <wp:docPr id="20387599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736" cy="582736"/>
                          </a:xfrm>
                          <a:prstGeom prst="rect">
                            <a:avLst/>
                          </a:prstGeom>
                          <a:noFill/>
                          <a:ln>
                            <a:noFill/>
                          </a:ln>
                        </pic:spPr>
                      </pic:pic>
                    </a:graphicData>
                  </a:graphic>
                </wp:inline>
              </w:drawing>
            </w:r>
          </w:p>
          <w:p w14:paraId="042BF0AC" w14:textId="2D1E518C" w:rsidR="00ED2AD7" w:rsidRPr="00735726" w:rsidRDefault="00ED2AD7" w:rsidP="00844EFD">
            <w:pPr>
              <w:spacing w:after="160"/>
              <w:rPr>
                <w:rFonts w:ascii="Arial" w:eastAsiaTheme="minorHAnsi" w:hAnsi="Arial" w:cs="Arial"/>
                <w:sz w:val="18"/>
                <w:szCs w:val="18"/>
              </w:rPr>
            </w:pPr>
          </w:p>
        </w:tc>
        <w:tc>
          <w:tcPr>
            <w:tcW w:w="6753" w:type="dxa"/>
            <w:tcBorders>
              <w:bottom w:val="single" w:sz="4" w:space="0" w:color="auto"/>
            </w:tcBorders>
          </w:tcPr>
          <w:p w14:paraId="3CC32AA6" w14:textId="77777777" w:rsidR="006824C0" w:rsidRPr="00735726" w:rsidRDefault="006824C0" w:rsidP="00646F4F">
            <w:pPr>
              <w:pStyle w:val="ListParagraph"/>
              <w:numPr>
                <w:ilvl w:val="0"/>
                <w:numId w:val="65"/>
              </w:numPr>
              <w:spacing w:after="160"/>
              <w:ind w:left="343"/>
              <w:rPr>
                <w:rFonts w:ascii="Arial" w:hAnsi="Arial" w:cs="Arial"/>
                <w:sz w:val="18"/>
                <w:szCs w:val="18"/>
              </w:rPr>
            </w:pPr>
            <w:r w:rsidRPr="00735726">
              <w:rPr>
                <w:rFonts w:ascii="Arial" w:hAnsi="Arial" w:cs="Arial"/>
                <w:sz w:val="18"/>
                <w:szCs w:val="18"/>
              </w:rPr>
              <w:t>Supporting local jobs, skills and regional supply chains</w:t>
            </w:r>
          </w:p>
          <w:p w14:paraId="1EACAFA8" w14:textId="7702AD66" w:rsidR="006824C0" w:rsidRPr="00735726" w:rsidRDefault="006824C0" w:rsidP="00646F4F">
            <w:pPr>
              <w:pStyle w:val="ListParagraph"/>
              <w:numPr>
                <w:ilvl w:val="0"/>
                <w:numId w:val="65"/>
              </w:numPr>
              <w:spacing w:after="160"/>
              <w:ind w:left="343"/>
              <w:rPr>
                <w:rFonts w:ascii="Arial" w:hAnsi="Arial" w:cs="Arial"/>
                <w:sz w:val="18"/>
                <w:szCs w:val="18"/>
              </w:rPr>
            </w:pPr>
            <w:r w:rsidRPr="00735726">
              <w:rPr>
                <w:rFonts w:ascii="Arial" w:hAnsi="Arial" w:cs="Arial"/>
                <w:sz w:val="18"/>
                <w:szCs w:val="18"/>
              </w:rPr>
              <w:t>Investing in community and educational programmes</w:t>
            </w:r>
          </w:p>
          <w:p w14:paraId="5A9999F2" w14:textId="77777777" w:rsidR="006824C0" w:rsidRPr="00735726" w:rsidRDefault="006824C0" w:rsidP="00646F4F">
            <w:pPr>
              <w:pStyle w:val="ListParagraph"/>
              <w:numPr>
                <w:ilvl w:val="0"/>
                <w:numId w:val="65"/>
              </w:numPr>
              <w:spacing w:after="160"/>
              <w:ind w:left="343"/>
              <w:rPr>
                <w:rFonts w:ascii="Arial" w:hAnsi="Arial" w:cs="Arial"/>
                <w:sz w:val="18"/>
                <w:szCs w:val="18"/>
              </w:rPr>
            </w:pPr>
            <w:r w:rsidRPr="00735726">
              <w:rPr>
                <w:rFonts w:ascii="Arial" w:hAnsi="Arial" w:cs="Arial"/>
                <w:sz w:val="18"/>
                <w:szCs w:val="18"/>
              </w:rPr>
              <w:t>Building partnerships with local authorities, charities and environmental groups</w:t>
            </w:r>
          </w:p>
          <w:p w14:paraId="51524739" w14:textId="77777777" w:rsidR="006824C0" w:rsidRPr="00735726" w:rsidRDefault="006824C0" w:rsidP="00646F4F">
            <w:pPr>
              <w:pStyle w:val="ListParagraph"/>
              <w:numPr>
                <w:ilvl w:val="0"/>
                <w:numId w:val="65"/>
              </w:numPr>
              <w:spacing w:after="160"/>
              <w:ind w:left="343"/>
              <w:rPr>
                <w:rFonts w:ascii="Arial" w:hAnsi="Arial" w:cs="Arial"/>
                <w:sz w:val="18"/>
                <w:szCs w:val="18"/>
              </w:rPr>
            </w:pPr>
            <w:r w:rsidRPr="00735726">
              <w:rPr>
                <w:rFonts w:ascii="Arial" w:hAnsi="Arial" w:cs="Arial"/>
                <w:sz w:val="18"/>
                <w:szCs w:val="18"/>
              </w:rPr>
              <w:t>Enhancing access to land, nature and wellbeing benefits</w:t>
            </w:r>
          </w:p>
          <w:p w14:paraId="0957DDB0" w14:textId="77777777" w:rsidR="006824C0" w:rsidRPr="00735726" w:rsidRDefault="006824C0" w:rsidP="00646F4F">
            <w:pPr>
              <w:pStyle w:val="ListParagraph"/>
              <w:numPr>
                <w:ilvl w:val="0"/>
                <w:numId w:val="65"/>
              </w:numPr>
              <w:spacing w:after="160"/>
              <w:ind w:left="343"/>
              <w:rPr>
                <w:rFonts w:ascii="Arial" w:hAnsi="Arial" w:cs="Arial"/>
                <w:sz w:val="18"/>
                <w:szCs w:val="18"/>
              </w:rPr>
            </w:pPr>
            <w:r w:rsidRPr="00735726">
              <w:rPr>
                <w:rFonts w:ascii="Arial" w:hAnsi="Arial" w:cs="Arial"/>
                <w:sz w:val="18"/>
                <w:szCs w:val="18"/>
              </w:rPr>
              <w:t>Stronger local economies and communities</w:t>
            </w:r>
          </w:p>
          <w:p w14:paraId="5A03C170" w14:textId="77777777" w:rsidR="006824C0" w:rsidRPr="00735726" w:rsidRDefault="006824C0" w:rsidP="00646F4F">
            <w:pPr>
              <w:pStyle w:val="ListParagraph"/>
              <w:numPr>
                <w:ilvl w:val="0"/>
                <w:numId w:val="65"/>
              </w:numPr>
              <w:spacing w:after="160"/>
              <w:ind w:left="343"/>
              <w:rPr>
                <w:rFonts w:ascii="Arial" w:hAnsi="Arial" w:cs="Arial"/>
                <w:sz w:val="18"/>
                <w:szCs w:val="18"/>
              </w:rPr>
            </w:pPr>
            <w:r w:rsidRPr="00735726">
              <w:rPr>
                <w:rFonts w:ascii="Arial" w:hAnsi="Arial" w:cs="Arial"/>
                <w:sz w:val="18"/>
                <w:szCs w:val="18"/>
              </w:rPr>
              <w:t>Long-term social value delivered alongside infrastructure investment</w:t>
            </w:r>
          </w:p>
          <w:p w14:paraId="24BC9F19" w14:textId="4DBF1FF0" w:rsidR="006824C0" w:rsidRPr="00735726" w:rsidRDefault="006824C0" w:rsidP="00646F4F">
            <w:pPr>
              <w:pStyle w:val="ListParagraph"/>
              <w:numPr>
                <w:ilvl w:val="0"/>
                <w:numId w:val="65"/>
              </w:numPr>
              <w:spacing w:after="160"/>
              <w:ind w:left="343"/>
              <w:rPr>
                <w:rFonts w:ascii="Arial" w:eastAsiaTheme="minorHAnsi" w:hAnsi="Arial" w:cs="Arial"/>
                <w:sz w:val="18"/>
                <w:szCs w:val="18"/>
              </w:rPr>
            </w:pPr>
            <w:r w:rsidRPr="00735726">
              <w:rPr>
                <w:rFonts w:ascii="Arial" w:eastAsiaTheme="minorHAnsi" w:hAnsi="Arial" w:cs="Arial"/>
                <w:sz w:val="18"/>
                <w:szCs w:val="18"/>
              </w:rPr>
              <w:t>Trusted relationships across our regions</w:t>
            </w:r>
          </w:p>
        </w:tc>
      </w:tr>
      <w:tr w:rsidR="00C64B57" w:rsidRPr="00735726" w14:paraId="0F630E08" w14:textId="77777777" w:rsidTr="00277639">
        <w:tc>
          <w:tcPr>
            <w:tcW w:w="2263" w:type="dxa"/>
            <w:tcBorders>
              <w:bottom w:val="single" w:sz="4" w:space="0" w:color="auto"/>
            </w:tcBorders>
          </w:tcPr>
          <w:p w14:paraId="0DE847AE" w14:textId="5D0A3F41" w:rsidR="006824C0" w:rsidRPr="00735726" w:rsidRDefault="006824C0" w:rsidP="00844EFD">
            <w:pPr>
              <w:spacing w:after="160"/>
              <w:rPr>
                <w:rFonts w:ascii="Arial" w:hAnsi="Arial" w:cs="DINOT-Light"/>
                <w:b/>
                <w:color w:val="000000"/>
                <w:sz w:val="18"/>
                <w:szCs w:val="18"/>
              </w:rPr>
            </w:pPr>
            <w:r w:rsidRPr="00735726">
              <w:rPr>
                <w:rFonts w:ascii="Arial" w:hAnsi="Arial" w:cs="DINOT-Light"/>
                <w:b/>
                <w:color w:val="000000"/>
                <w:sz w:val="18"/>
                <w:szCs w:val="18"/>
              </w:rPr>
              <w:t>People</w:t>
            </w:r>
          </w:p>
          <w:p w14:paraId="4546DD7B" w14:textId="435F3F50" w:rsidR="00C64B57" w:rsidRPr="00735726" w:rsidRDefault="00C64B57" w:rsidP="00C64B57">
            <w:pPr>
              <w:spacing w:after="160"/>
              <w:rPr>
                <w:rFonts w:ascii="Arial" w:hAnsi="Arial" w:cs="DINOT-Light"/>
                <w:b/>
                <w:color w:val="000000"/>
                <w:sz w:val="18"/>
                <w:szCs w:val="18"/>
              </w:rPr>
            </w:pPr>
            <w:r w:rsidRPr="00735726">
              <w:rPr>
                <w:rFonts w:ascii="Arial" w:hAnsi="Arial" w:cs="DINOT-Light"/>
                <w:b/>
                <w:noProof/>
                <w:color w:val="000000"/>
                <w:sz w:val="18"/>
                <w:szCs w:val="18"/>
              </w:rPr>
              <w:drawing>
                <wp:inline distT="0" distB="0" distL="0" distR="0" wp14:anchorId="4E2A3BD9" wp14:editId="64F16E3C">
                  <wp:extent cx="577850" cy="577850"/>
                  <wp:effectExtent l="0" t="0" r="0" b="0"/>
                  <wp:docPr id="795836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944" cy="582944"/>
                          </a:xfrm>
                          <a:prstGeom prst="rect">
                            <a:avLst/>
                          </a:prstGeom>
                          <a:noFill/>
                          <a:ln>
                            <a:noFill/>
                          </a:ln>
                        </pic:spPr>
                      </pic:pic>
                    </a:graphicData>
                  </a:graphic>
                </wp:inline>
              </w:drawing>
            </w:r>
          </w:p>
          <w:p w14:paraId="1E18A2E1" w14:textId="7F2B41D9" w:rsidR="00ED2AD7" w:rsidRPr="00735726" w:rsidRDefault="00ED2AD7" w:rsidP="00844EFD">
            <w:pPr>
              <w:spacing w:after="160"/>
              <w:rPr>
                <w:rFonts w:ascii="Arial" w:eastAsiaTheme="minorHAnsi" w:hAnsi="Arial" w:cs="Arial"/>
                <w:sz w:val="18"/>
                <w:szCs w:val="18"/>
              </w:rPr>
            </w:pPr>
          </w:p>
        </w:tc>
        <w:tc>
          <w:tcPr>
            <w:tcW w:w="6753" w:type="dxa"/>
            <w:tcBorders>
              <w:bottom w:val="single" w:sz="4" w:space="0" w:color="auto"/>
            </w:tcBorders>
          </w:tcPr>
          <w:p w14:paraId="3695C087" w14:textId="77777777" w:rsidR="006824C0" w:rsidRPr="00735726" w:rsidRDefault="006824C0" w:rsidP="00646F4F">
            <w:pPr>
              <w:pStyle w:val="ListParagraph"/>
              <w:numPr>
                <w:ilvl w:val="0"/>
                <w:numId w:val="66"/>
              </w:numPr>
              <w:spacing w:after="160"/>
              <w:ind w:left="343"/>
              <w:rPr>
                <w:rFonts w:ascii="Arial" w:hAnsi="Arial" w:cs="Arial"/>
                <w:sz w:val="18"/>
                <w:szCs w:val="18"/>
              </w:rPr>
            </w:pPr>
            <w:r w:rsidRPr="00735726">
              <w:rPr>
                <w:rFonts w:ascii="Arial" w:hAnsi="Arial" w:cs="Arial"/>
                <w:sz w:val="18"/>
                <w:szCs w:val="18"/>
              </w:rPr>
              <w:t>Maintaining a strong focus on health, safety and wellbeing</w:t>
            </w:r>
          </w:p>
          <w:p w14:paraId="4D4D850D" w14:textId="77777777" w:rsidR="004331A4" w:rsidRPr="00735726" w:rsidRDefault="006824C0" w:rsidP="00646F4F">
            <w:pPr>
              <w:pStyle w:val="ListParagraph"/>
              <w:numPr>
                <w:ilvl w:val="0"/>
                <w:numId w:val="66"/>
              </w:numPr>
              <w:spacing w:after="160"/>
              <w:ind w:left="343"/>
              <w:rPr>
                <w:rFonts w:ascii="Arial" w:hAnsi="Arial" w:cs="Arial"/>
                <w:sz w:val="18"/>
                <w:szCs w:val="18"/>
              </w:rPr>
            </w:pPr>
            <w:r w:rsidRPr="00735726">
              <w:rPr>
                <w:rFonts w:ascii="Arial" w:hAnsi="Arial" w:cs="Arial"/>
                <w:sz w:val="18"/>
                <w:szCs w:val="18"/>
              </w:rPr>
              <w:t>Developing skills and capability for a future ready water industry</w:t>
            </w:r>
          </w:p>
          <w:p w14:paraId="3A6F1B79" w14:textId="77777777" w:rsidR="004331A4" w:rsidRPr="00735726" w:rsidRDefault="006824C0" w:rsidP="00646F4F">
            <w:pPr>
              <w:pStyle w:val="ListParagraph"/>
              <w:numPr>
                <w:ilvl w:val="0"/>
                <w:numId w:val="66"/>
              </w:numPr>
              <w:spacing w:after="160"/>
              <w:ind w:left="343"/>
              <w:rPr>
                <w:rFonts w:ascii="Arial" w:hAnsi="Arial" w:cs="Arial"/>
                <w:sz w:val="18"/>
                <w:szCs w:val="18"/>
              </w:rPr>
            </w:pPr>
            <w:r w:rsidRPr="00735726">
              <w:rPr>
                <w:rFonts w:ascii="Arial" w:hAnsi="Arial" w:cs="Arial"/>
                <w:sz w:val="18"/>
                <w:szCs w:val="18"/>
              </w:rPr>
              <w:t>Promoting inclusive, diverse and high performing teams</w:t>
            </w:r>
          </w:p>
          <w:p w14:paraId="5BA0B1F0" w14:textId="77777777" w:rsidR="004331A4" w:rsidRPr="00735726" w:rsidRDefault="006824C0" w:rsidP="00646F4F">
            <w:pPr>
              <w:pStyle w:val="ListParagraph"/>
              <w:numPr>
                <w:ilvl w:val="0"/>
                <w:numId w:val="66"/>
              </w:numPr>
              <w:spacing w:after="160"/>
              <w:ind w:left="343"/>
              <w:rPr>
                <w:rFonts w:ascii="Arial" w:hAnsi="Arial" w:cs="Arial"/>
                <w:sz w:val="18"/>
                <w:szCs w:val="18"/>
              </w:rPr>
            </w:pPr>
            <w:r w:rsidRPr="00735726">
              <w:rPr>
                <w:rFonts w:ascii="Arial" w:hAnsi="Arial" w:cs="Arial"/>
                <w:sz w:val="18"/>
                <w:szCs w:val="18"/>
              </w:rPr>
              <w:t>Encouraging open dialogue, engagement and accountability</w:t>
            </w:r>
          </w:p>
          <w:p w14:paraId="7A6A8608" w14:textId="77777777" w:rsidR="004331A4" w:rsidRPr="00735726" w:rsidRDefault="006824C0" w:rsidP="00646F4F">
            <w:pPr>
              <w:pStyle w:val="ListParagraph"/>
              <w:numPr>
                <w:ilvl w:val="0"/>
                <w:numId w:val="66"/>
              </w:numPr>
              <w:spacing w:after="160"/>
              <w:ind w:left="343"/>
              <w:rPr>
                <w:rFonts w:ascii="Arial" w:hAnsi="Arial" w:cs="Arial"/>
                <w:sz w:val="18"/>
                <w:szCs w:val="18"/>
              </w:rPr>
            </w:pPr>
            <w:r w:rsidRPr="00735726">
              <w:rPr>
                <w:rFonts w:ascii="Arial" w:hAnsi="Arial" w:cs="Arial"/>
                <w:sz w:val="18"/>
                <w:szCs w:val="18"/>
              </w:rPr>
              <w:t>A safe, supportive working environment</w:t>
            </w:r>
          </w:p>
          <w:p w14:paraId="5ACD7982" w14:textId="72246CB0" w:rsidR="006824C0" w:rsidRPr="00735726" w:rsidRDefault="006824C0" w:rsidP="00646F4F">
            <w:pPr>
              <w:pStyle w:val="ListParagraph"/>
              <w:numPr>
                <w:ilvl w:val="0"/>
                <w:numId w:val="66"/>
              </w:numPr>
              <w:spacing w:after="160"/>
              <w:ind w:left="343"/>
              <w:rPr>
                <w:rFonts w:ascii="Arial" w:hAnsi="Arial" w:cs="Arial"/>
                <w:sz w:val="18"/>
                <w:szCs w:val="18"/>
              </w:rPr>
            </w:pPr>
            <w:r w:rsidRPr="00735726">
              <w:rPr>
                <w:rFonts w:ascii="Arial" w:hAnsi="Arial" w:cs="Arial"/>
                <w:sz w:val="18"/>
                <w:szCs w:val="18"/>
              </w:rPr>
              <w:t>High levels of colleague engagement and capability</w:t>
            </w:r>
          </w:p>
          <w:p w14:paraId="322D5001" w14:textId="4887B378" w:rsidR="006824C0" w:rsidRPr="00735726" w:rsidRDefault="006824C0" w:rsidP="00646F4F">
            <w:pPr>
              <w:pStyle w:val="ListParagraph"/>
              <w:numPr>
                <w:ilvl w:val="0"/>
                <w:numId w:val="66"/>
              </w:numPr>
              <w:spacing w:after="160"/>
              <w:ind w:left="343"/>
              <w:rPr>
                <w:rFonts w:ascii="Arial" w:eastAsiaTheme="minorHAnsi" w:hAnsi="Arial" w:cs="Arial"/>
                <w:sz w:val="18"/>
                <w:szCs w:val="18"/>
              </w:rPr>
            </w:pPr>
            <w:r w:rsidRPr="00735726">
              <w:rPr>
                <w:rFonts w:ascii="Arial" w:eastAsiaTheme="minorHAnsi" w:hAnsi="Arial" w:cs="Arial"/>
                <w:sz w:val="18"/>
                <w:szCs w:val="18"/>
              </w:rPr>
              <w:t>A skilled workforce equipped to deliver long-term resilience</w:t>
            </w:r>
          </w:p>
        </w:tc>
      </w:tr>
      <w:tr w:rsidR="00AE5F81" w:rsidRPr="00735726" w14:paraId="7949DC2D" w14:textId="77777777" w:rsidTr="00277639">
        <w:tc>
          <w:tcPr>
            <w:tcW w:w="2263" w:type="dxa"/>
            <w:tcBorders>
              <w:top w:val="single" w:sz="4" w:space="0" w:color="auto"/>
              <w:left w:val="nil"/>
              <w:bottom w:val="nil"/>
              <w:right w:val="nil"/>
            </w:tcBorders>
          </w:tcPr>
          <w:p w14:paraId="5388F2AD" w14:textId="77777777" w:rsidR="00AE5F81" w:rsidRPr="00735726" w:rsidRDefault="00AE5F81" w:rsidP="00844EFD">
            <w:pPr>
              <w:spacing w:after="160"/>
              <w:rPr>
                <w:rFonts w:ascii="Arial" w:hAnsi="Arial" w:cs="DINOT-Light"/>
                <w:b/>
                <w:color w:val="000000"/>
                <w:sz w:val="18"/>
                <w:szCs w:val="18"/>
              </w:rPr>
            </w:pPr>
          </w:p>
        </w:tc>
        <w:tc>
          <w:tcPr>
            <w:tcW w:w="6753" w:type="dxa"/>
            <w:tcBorders>
              <w:top w:val="single" w:sz="4" w:space="0" w:color="auto"/>
              <w:left w:val="nil"/>
              <w:bottom w:val="nil"/>
              <w:right w:val="nil"/>
            </w:tcBorders>
          </w:tcPr>
          <w:p w14:paraId="47D2B3D5" w14:textId="77777777" w:rsidR="00AE5F81" w:rsidRPr="00735726" w:rsidRDefault="00AE5F81" w:rsidP="00277639">
            <w:pPr>
              <w:pStyle w:val="ListParagraph"/>
              <w:spacing w:after="160"/>
              <w:ind w:left="343"/>
              <w:rPr>
                <w:rFonts w:ascii="Arial" w:hAnsi="Arial" w:cs="Arial"/>
                <w:sz w:val="18"/>
                <w:szCs w:val="18"/>
              </w:rPr>
            </w:pPr>
          </w:p>
        </w:tc>
      </w:tr>
      <w:tr w:rsidR="00AE5F81" w:rsidRPr="00735726" w14:paraId="4A9FAEBB" w14:textId="77777777" w:rsidTr="00277639">
        <w:tc>
          <w:tcPr>
            <w:tcW w:w="2263" w:type="dxa"/>
            <w:tcBorders>
              <w:top w:val="nil"/>
              <w:left w:val="nil"/>
              <w:bottom w:val="nil"/>
              <w:right w:val="nil"/>
            </w:tcBorders>
          </w:tcPr>
          <w:p w14:paraId="3E9BD768" w14:textId="77777777" w:rsidR="00AE5F81" w:rsidRPr="00735726" w:rsidRDefault="00AE5F81" w:rsidP="00844EFD">
            <w:pPr>
              <w:spacing w:after="160"/>
              <w:rPr>
                <w:rFonts w:ascii="Arial" w:hAnsi="Arial" w:cs="DINOT-Light"/>
                <w:b/>
                <w:color w:val="000000"/>
                <w:sz w:val="18"/>
                <w:szCs w:val="18"/>
              </w:rPr>
            </w:pPr>
          </w:p>
        </w:tc>
        <w:tc>
          <w:tcPr>
            <w:tcW w:w="6753" w:type="dxa"/>
            <w:tcBorders>
              <w:top w:val="nil"/>
              <w:left w:val="nil"/>
              <w:bottom w:val="nil"/>
              <w:right w:val="nil"/>
            </w:tcBorders>
          </w:tcPr>
          <w:p w14:paraId="7BA3812E" w14:textId="77777777" w:rsidR="00AE5F81" w:rsidRPr="00735726" w:rsidRDefault="00AE5F81" w:rsidP="00AE5F81">
            <w:pPr>
              <w:pStyle w:val="ListParagraph"/>
              <w:spacing w:after="160"/>
              <w:ind w:left="343"/>
              <w:rPr>
                <w:rFonts w:ascii="Arial" w:hAnsi="Arial" w:cs="Arial"/>
                <w:sz w:val="18"/>
                <w:szCs w:val="18"/>
              </w:rPr>
            </w:pPr>
          </w:p>
        </w:tc>
      </w:tr>
      <w:tr w:rsidR="00AE5F81" w:rsidRPr="00735726" w14:paraId="38296504" w14:textId="77777777" w:rsidTr="00277639">
        <w:tc>
          <w:tcPr>
            <w:tcW w:w="2263" w:type="dxa"/>
            <w:tcBorders>
              <w:top w:val="nil"/>
              <w:left w:val="nil"/>
              <w:bottom w:val="nil"/>
              <w:right w:val="nil"/>
            </w:tcBorders>
          </w:tcPr>
          <w:p w14:paraId="56D9106F" w14:textId="77777777" w:rsidR="00AE5F81" w:rsidRPr="00735726" w:rsidRDefault="00AE5F81" w:rsidP="00844EFD">
            <w:pPr>
              <w:spacing w:after="160"/>
              <w:rPr>
                <w:rFonts w:ascii="Arial" w:hAnsi="Arial" w:cs="DINOT-Light"/>
                <w:b/>
                <w:color w:val="000000"/>
                <w:sz w:val="18"/>
                <w:szCs w:val="18"/>
              </w:rPr>
            </w:pPr>
          </w:p>
        </w:tc>
        <w:tc>
          <w:tcPr>
            <w:tcW w:w="6753" w:type="dxa"/>
            <w:tcBorders>
              <w:top w:val="nil"/>
              <w:left w:val="nil"/>
              <w:bottom w:val="nil"/>
              <w:right w:val="nil"/>
            </w:tcBorders>
          </w:tcPr>
          <w:p w14:paraId="605857B3" w14:textId="77777777" w:rsidR="00AE5F81" w:rsidRPr="00735726" w:rsidRDefault="00AE5F81" w:rsidP="00277639">
            <w:pPr>
              <w:pStyle w:val="ListParagraph"/>
              <w:spacing w:after="160"/>
              <w:ind w:left="343"/>
              <w:rPr>
                <w:rFonts w:ascii="Arial" w:hAnsi="Arial" w:cs="Arial"/>
                <w:sz w:val="18"/>
                <w:szCs w:val="18"/>
              </w:rPr>
            </w:pPr>
          </w:p>
        </w:tc>
      </w:tr>
      <w:tr w:rsidR="00C64B57" w:rsidRPr="00735726" w14:paraId="72FC16BC" w14:textId="77777777" w:rsidTr="00277639">
        <w:tc>
          <w:tcPr>
            <w:tcW w:w="2263" w:type="dxa"/>
            <w:tcBorders>
              <w:top w:val="single" w:sz="4" w:space="0" w:color="auto"/>
            </w:tcBorders>
          </w:tcPr>
          <w:p w14:paraId="07AE8DCB" w14:textId="253E93D4" w:rsidR="00AE5F81" w:rsidRPr="00735726" w:rsidRDefault="006824C0" w:rsidP="00844EFD">
            <w:pPr>
              <w:spacing w:after="160"/>
              <w:rPr>
                <w:rFonts w:ascii="Arial" w:hAnsi="Arial" w:cs="DINOT-Light"/>
                <w:b/>
                <w:color w:val="000000"/>
                <w:sz w:val="18"/>
                <w:szCs w:val="18"/>
              </w:rPr>
            </w:pPr>
            <w:r w:rsidRPr="00735726">
              <w:rPr>
                <w:rFonts w:ascii="Arial" w:hAnsi="Arial" w:cs="DINOT-Light"/>
                <w:b/>
                <w:color w:val="000000"/>
                <w:sz w:val="18"/>
                <w:szCs w:val="18"/>
              </w:rPr>
              <w:lastRenderedPageBreak/>
              <w:t>Regulators and policy makers</w:t>
            </w:r>
          </w:p>
          <w:p w14:paraId="01C085BC" w14:textId="0CFC3326" w:rsidR="00C64B57" w:rsidRPr="00735726" w:rsidRDefault="00C64B57" w:rsidP="00C64B57">
            <w:pPr>
              <w:spacing w:after="160"/>
              <w:rPr>
                <w:rFonts w:ascii="Arial" w:hAnsi="Arial" w:cs="DINOT-Light"/>
                <w:b/>
                <w:color w:val="000000"/>
                <w:sz w:val="18"/>
                <w:szCs w:val="18"/>
              </w:rPr>
            </w:pPr>
            <w:r w:rsidRPr="00735726">
              <w:rPr>
                <w:rFonts w:ascii="Arial" w:hAnsi="Arial" w:cs="DINOT-Light"/>
                <w:b/>
                <w:noProof/>
                <w:color w:val="000000"/>
                <w:sz w:val="18"/>
                <w:szCs w:val="18"/>
              </w:rPr>
              <w:drawing>
                <wp:inline distT="0" distB="0" distL="0" distR="0" wp14:anchorId="212EC657" wp14:editId="54D405DA">
                  <wp:extent cx="586597" cy="586597"/>
                  <wp:effectExtent l="0" t="0" r="4445" b="4445"/>
                  <wp:docPr id="3631160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147" cy="592147"/>
                          </a:xfrm>
                          <a:prstGeom prst="rect">
                            <a:avLst/>
                          </a:prstGeom>
                          <a:noFill/>
                          <a:ln>
                            <a:noFill/>
                          </a:ln>
                        </pic:spPr>
                      </pic:pic>
                    </a:graphicData>
                  </a:graphic>
                </wp:inline>
              </w:drawing>
            </w:r>
            <w:r w:rsidRPr="00735726">
              <w:rPr>
                <w:sz w:val="24"/>
                <w:szCs w:val="24"/>
                <w:lang w:eastAsia="en-GB"/>
              </w:rPr>
              <w:t xml:space="preserve"> </w:t>
            </w:r>
            <w:r w:rsidRPr="00735726">
              <w:rPr>
                <w:rFonts w:ascii="Arial" w:hAnsi="Arial" w:cs="DINOT-Light"/>
                <w:b/>
                <w:noProof/>
                <w:color w:val="000000"/>
                <w:sz w:val="18"/>
                <w:szCs w:val="18"/>
              </w:rPr>
              <w:drawing>
                <wp:inline distT="0" distB="0" distL="0" distR="0" wp14:anchorId="2430DDFA" wp14:editId="54642BF0">
                  <wp:extent cx="595223" cy="595223"/>
                  <wp:effectExtent l="0" t="0" r="0" b="0"/>
                  <wp:docPr id="18378860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949" cy="604949"/>
                          </a:xfrm>
                          <a:prstGeom prst="rect">
                            <a:avLst/>
                          </a:prstGeom>
                          <a:noFill/>
                          <a:ln>
                            <a:noFill/>
                          </a:ln>
                        </pic:spPr>
                      </pic:pic>
                    </a:graphicData>
                  </a:graphic>
                </wp:inline>
              </w:drawing>
            </w:r>
          </w:p>
          <w:p w14:paraId="661E1050" w14:textId="398A1872" w:rsidR="00ED2AD7" w:rsidRPr="00735726" w:rsidRDefault="00ED2AD7" w:rsidP="00844EFD">
            <w:pPr>
              <w:spacing w:after="160"/>
              <w:rPr>
                <w:rFonts w:ascii="Arial" w:eastAsiaTheme="minorHAnsi" w:hAnsi="Arial" w:cs="Arial"/>
                <w:sz w:val="18"/>
                <w:szCs w:val="18"/>
              </w:rPr>
            </w:pPr>
          </w:p>
        </w:tc>
        <w:tc>
          <w:tcPr>
            <w:tcW w:w="6753" w:type="dxa"/>
            <w:tcBorders>
              <w:top w:val="single" w:sz="4" w:space="0" w:color="auto"/>
            </w:tcBorders>
          </w:tcPr>
          <w:p w14:paraId="5A36CD49" w14:textId="77777777" w:rsidR="004331A4" w:rsidRPr="00735726" w:rsidRDefault="004331A4" w:rsidP="00646F4F">
            <w:pPr>
              <w:pStyle w:val="ListParagraph"/>
              <w:numPr>
                <w:ilvl w:val="0"/>
                <w:numId w:val="67"/>
              </w:numPr>
              <w:spacing w:after="160"/>
              <w:ind w:left="343"/>
              <w:rPr>
                <w:rFonts w:ascii="Arial" w:hAnsi="Arial" w:cs="Arial"/>
                <w:sz w:val="18"/>
                <w:szCs w:val="18"/>
              </w:rPr>
            </w:pPr>
            <w:r w:rsidRPr="00735726">
              <w:rPr>
                <w:rFonts w:ascii="Arial" w:hAnsi="Arial" w:cs="Arial"/>
                <w:sz w:val="18"/>
                <w:szCs w:val="18"/>
              </w:rPr>
              <w:t>Delivering against PR24 commitments and statutory obligations</w:t>
            </w:r>
          </w:p>
          <w:p w14:paraId="5773B369" w14:textId="77777777" w:rsidR="004331A4" w:rsidRPr="00735726" w:rsidRDefault="004331A4" w:rsidP="00646F4F">
            <w:pPr>
              <w:pStyle w:val="ListParagraph"/>
              <w:numPr>
                <w:ilvl w:val="0"/>
                <w:numId w:val="67"/>
              </w:numPr>
              <w:spacing w:after="160"/>
              <w:ind w:left="343"/>
              <w:rPr>
                <w:rFonts w:ascii="Arial" w:hAnsi="Arial" w:cs="Arial"/>
                <w:sz w:val="18"/>
                <w:szCs w:val="18"/>
              </w:rPr>
            </w:pPr>
            <w:r w:rsidRPr="00735726">
              <w:rPr>
                <w:rFonts w:ascii="Arial" w:hAnsi="Arial" w:cs="Arial"/>
                <w:sz w:val="18"/>
                <w:szCs w:val="18"/>
              </w:rPr>
              <w:t>Maintaining open, proactive and evidence-based regulatory engagement</w:t>
            </w:r>
          </w:p>
          <w:p w14:paraId="58567A79" w14:textId="77777777" w:rsidR="004331A4" w:rsidRPr="00735726" w:rsidRDefault="004331A4" w:rsidP="00646F4F">
            <w:pPr>
              <w:pStyle w:val="ListParagraph"/>
              <w:numPr>
                <w:ilvl w:val="0"/>
                <w:numId w:val="67"/>
              </w:numPr>
              <w:spacing w:after="160"/>
              <w:ind w:left="343"/>
              <w:rPr>
                <w:rFonts w:ascii="Arial" w:hAnsi="Arial" w:cs="Arial"/>
                <w:sz w:val="18"/>
                <w:szCs w:val="18"/>
              </w:rPr>
            </w:pPr>
            <w:r w:rsidRPr="00735726">
              <w:rPr>
                <w:rFonts w:ascii="Arial" w:hAnsi="Arial" w:cs="Arial"/>
                <w:sz w:val="18"/>
                <w:szCs w:val="18"/>
              </w:rPr>
              <w:t>Providing timely, accurate and transparent reporting</w:t>
            </w:r>
          </w:p>
          <w:p w14:paraId="44DC758E" w14:textId="77777777" w:rsidR="004331A4" w:rsidRPr="00735726" w:rsidRDefault="004331A4" w:rsidP="00646F4F">
            <w:pPr>
              <w:pStyle w:val="ListParagraph"/>
              <w:numPr>
                <w:ilvl w:val="0"/>
                <w:numId w:val="67"/>
              </w:numPr>
              <w:spacing w:after="160"/>
              <w:ind w:left="343"/>
              <w:rPr>
                <w:rFonts w:ascii="Arial" w:hAnsi="Arial" w:cs="Arial"/>
                <w:sz w:val="18"/>
                <w:szCs w:val="18"/>
              </w:rPr>
            </w:pPr>
            <w:r w:rsidRPr="00735726">
              <w:rPr>
                <w:rFonts w:ascii="Arial" w:hAnsi="Arial" w:cs="Arial"/>
                <w:sz w:val="18"/>
                <w:szCs w:val="18"/>
              </w:rPr>
              <w:t>Supporting government objectives on affordability, resilience, public health and the environment</w:t>
            </w:r>
          </w:p>
          <w:p w14:paraId="2A64AAE0" w14:textId="27774F09" w:rsidR="006824C0" w:rsidRPr="00735726" w:rsidRDefault="004331A4" w:rsidP="00646F4F">
            <w:pPr>
              <w:pStyle w:val="ListParagraph"/>
              <w:numPr>
                <w:ilvl w:val="0"/>
                <w:numId w:val="67"/>
              </w:numPr>
              <w:spacing w:after="160"/>
              <w:ind w:left="343"/>
              <w:rPr>
                <w:rFonts w:ascii="Arial" w:eastAsiaTheme="minorHAnsi" w:hAnsi="Arial" w:cs="Arial"/>
                <w:sz w:val="18"/>
                <w:szCs w:val="18"/>
              </w:rPr>
            </w:pPr>
            <w:r w:rsidRPr="00735726">
              <w:rPr>
                <w:rFonts w:ascii="Arial" w:hAnsi="Arial" w:cs="Arial"/>
                <w:sz w:val="18"/>
                <w:szCs w:val="18"/>
              </w:rPr>
              <w:t xml:space="preserve">Informing policy development through operational insight and </w:t>
            </w:r>
            <w:r w:rsidRPr="00735726">
              <w:rPr>
                <w:rFonts w:ascii="Arial" w:eastAsiaTheme="minorHAnsi" w:hAnsi="Arial" w:cs="Arial"/>
                <w:sz w:val="18"/>
                <w:szCs w:val="18"/>
              </w:rPr>
              <w:t>innovation and the environment</w:t>
            </w:r>
          </w:p>
        </w:tc>
      </w:tr>
    </w:tbl>
    <w:p w14:paraId="7C695E51" w14:textId="77777777" w:rsidR="000B72C7" w:rsidRPr="00735726" w:rsidRDefault="000B72C7" w:rsidP="00844EFD">
      <w:pPr>
        <w:spacing w:after="160"/>
        <w:rPr>
          <w:rFonts w:ascii="Arial" w:hAnsi="Arial" w:cs="Arial"/>
          <w:sz w:val="18"/>
          <w:szCs w:val="18"/>
        </w:rPr>
      </w:pPr>
    </w:p>
    <w:p w14:paraId="7A28857A" w14:textId="2C7437A9" w:rsidR="000B72C7" w:rsidRPr="00735726" w:rsidRDefault="000B72C7" w:rsidP="00844EFD">
      <w:pPr>
        <w:spacing w:after="160"/>
        <w:rPr>
          <w:rFonts w:ascii="Arial" w:hAnsi="Arial" w:cs="Arial"/>
          <w:sz w:val="18"/>
          <w:szCs w:val="18"/>
        </w:rPr>
      </w:pPr>
      <w:r w:rsidRPr="00735726">
        <w:rPr>
          <w:rFonts w:ascii="Arial" w:eastAsia="Times New Roman" w:hAnsi="Arial" w:cs="DINOT-Light"/>
          <w:b/>
          <w:color w:val="000000"/>
          <w:sz w:val="18"/>
          <w:szCs w:val="18"/>
        </w:rPr>
        <w:t>PROVIDING HIGH-QUALITY DRINKING WATER AND EFFECTIVE WASTEWATER SERVICES</w:t>
      </w:r>
    </w:p>
    <w:p w14:paraId="70E87C3B" w14:textId="32AEDC56" w:rsidR="000B72C7" w:rsidRPr="00735726" w:rsidRDefault="000B72C7" w:rsidP="00844EFD">
      <w:pPr>
        <w:spacing w:after="160"/>
        <w:rPr>
          <w:rFonts w:ascii="Arial" w:hAnsi="Arial" w:cs="Arial"/>
          <w:sz w:val="18"/>
          <w:szCs w:val="18"/>
        </w:rPr>
      </w:pPr>
      <w:r w:rsidRPr="00735726">
        <w:rPr>
          <w:rFonts w:ascii="Arial" w:eastAsia="Times New Roman" w:hAnsi="Arial" w:cs="DINOT-Light"/>
          <w:b/>
          <w:color w:val="000000"/>
          <w:sz w:val="18"/>
          <w:szCs w:val="18"/>
        </w:rPr>
        <w:t>WHAT WE DO</w:t>
      </w:r>
      <w:r w:rsidR="00D62E2B" w:rsidRPr="00735726">
        <w:rPr>
          <w:rFonts w:ascii="Arial" w:hAnsi="Arial" w:cs="Arial"/>
          <w:sz w:val="18"/>
          <w:szCs w:val="18"/>
        </w:rPr>
        <w:br/>
      </w:r>
      <w:r w:rsidRPr="00735726">
        <w:rPr>
          <w:rFonts w:ascii="Arial" w:hAnsi="Arial" w:cs="Arial"/>
          <w:sz w:val="18"/>
          <w:szCs w:val="18"/>
        </w:rPr>
        <w:t xml:space="preserve">We manage the full water cycle </w:t>
      </w:r>
      <w:r w:rsidR="009C69C9" w:rsidRPr="00735726">
        <w:rPr>
          <w:rFonts w:ascii="Arial" w:hAnsi="Arial" w:cs="Arial"/>
          <w:sz w:val="18"/>
          <w:szCs w:val="18"/>
        </w:rPr>
        <w:t>-</w:t>
      </w:r>
      <w:r w:rsidRPr="00735726">
        <w:rPr>
          <w:rFonts w:ascii="Arial" w:hAnsi="Arial" w:cs="Arial"/>
          <w:sz w:val="18"/>
          <w:szCs w:val="18"/>
        </w:rPr>
        <w:t xml:space="preserve"> from raw water collection and treatment through to wastewater treatment and recycling </w:t>
      </w:r>
      <w:r w:rsidR="009C69C9" w:rsidRPr="00735726">
        <w:rPr>
          <w:rFonts w:ascii="Arial" w:hAnsi="Arial" w:cs="Arial"/>
          <w:sz w:val="18"/>
          <w:szCs w:val="18"/>
        </w:rPr>
        <w:t xml:space="preserve">- </w:t>
      </w:r>
      <w:r w:rsidRPr="00735726">
        <w:rPr>
          <w:rFonts w:ascii="Arial" w:hAnsi="Arial" w:cs="Arial"/>
          <w:sz w:val="18"/>
          <w:szCs w:val="18"/>
        </w:rPr>
        <w:t>ensuring reliable services, environmental protection and long-term resilience.</w:t>
      </w:r>
    </w:p>
    <w:p w14:paraId="34F07653" w14:textId="77777777" w:rsidR="000B72C7" w:rsidRPr="00735726" w:rsidRDefault="000B72C7" w:rsidP="00844EFD">
      <w:pPr>
        <w:spacing w:after="160"/>
        <w:rPr>
          <w:rFonts w:ascii="Arial" w:hAnsi="Arial" w:cs="Arial"/>
          <w:sz w:val="18"/>
          <w:szCs w:val="18"/>
        </w:rPr>
      </w:pPr>
      <w:r w:rsidRPr="00735726">
        <w:rPr>
          <w:rFonts w:ascii="Arial" w:hAnsi="Arial" w:cs="Arial"/>
          <w:sz w:val="18"/>
          <w:szCs w:val="18"/>
        </w:rPr>
        <w:t>Our activities are integrated across regions and services to maximise efficiency, protect the environment and deliver better outcomes for customers.</w:t>
      </w:r>
    </w:p>
    <w:p w14:paraId="22E24150" w14:textId="19072FA7" w:rsidR="009A4CFF" w:rsidRPr="00735726" w:rsidRDefault="009A4CFF" w:rsidP="00646F4F">
      <w:pPr>
        <w:pStyle w:val="ListParagraph"/>
        <w:numPr>
          <w:ilvl w:val="0"/>
          <w:numId w:val="68"/>
        </w:numPr>
        <w:spacing w:after="160"/>
        <w:rPr>
          <w:rFonts w:ascii="Arial" w:hAnsi="Arial" w:cs="Arial"/>
          <w:b/>
          <w:bCs/>
          <w:sz w:val="18"/>
          <w:szCs w:val="18"/>
        </w:rPr>
      </w:pPr>
      <w:r w:rsidRPr="00735726">
        <w:rPr>
          <w:rFonts w:ascii="Arial" w:hAnsi="Arial" w:cs="Arial"/>
          <w:b/>
          <w:bCs/>
          <w:sz w:val="18"/>
          <w:szCs w:val="18"/>
        </w:rPr>
        <w:t xml:space="preserve">Upstream Catchments - </w:t>
      </w:r>
      <w:r w:rsidRPr="00735726">
        <w:rPr>
          <w:rFonts w:ascii="Arial" w:hAnsi="Arial" w:cs="Arial"/>
          <w:sz w:val="18"/>
          <w:szCs w:val="18"/>
        </w:rPr>
        <w:t>We actively manage upstream catchments to protect water quality at source. This includes land stewardship, partnership working with landowners, and nature</w:t>
      </w:r>
      <w:r w:rsidRPr="00735726">
        <w:rPr>
          <w:rFonts w:ascii="Cambria Math" w:hAnsi="Cambria Math" w:cs="Cambria Math"/>
          <w:sz w:val="18"/>
          <w:szCs w:val="18"/>
        </w:rPr>
        <w:t>‑</w:t>
      </w:r>
      <w:r w:rsidRPr="00735726">
        <w:rPr>
          <w:rFonts w:ascii="Arial" w:hAnsi="Arial" w:cs="Arial"/>
          <w:sz w:val="18"/>
          <w:szCs w:val="18"/>
        </w:rPr>
        <w:t>based solutions that reduce pollution, improve biodiversity, and enhance long-term resilience of water resources and quality.</w:t>
      </w:r>
    </w:p>
    <w:p w14:paraId="740B8813" w14:textId="7947A45C" w:rsidR="009A4CFF" w:rsidRPr="00735726" w:rsidRDefault="009A4CFF" w:rsidP="00646F4F">
      <w:pPr>
        <w:pStyle w:val="ListParagraph"/>
        <w:numPr>
          <w:ilvl w:val="0"/>
          <w:numId w:val="68"/>
        </w:numPr>
        <w:autoSpaceDE w:val="0"/>
        <w:autoSpaceDN w:val="0"/>
        <w:adjustRightInd w:val="0"/>
        <w:spacing w:after="0"/>
        <w:rPr>
          <w:rFonts w:ascii="Arial" w:hAnsi="Arial" w:cs="Arial"/>
          <w:sz w:val="18"/>
          <w:szCs w:val="18"/>
        </w:rPr>
      </w:pPr>
      <w:r w:rsidRPr="00735726">
        <w:rPr>
          <w:rFonts w:ascii="Arial" w:hAnsi="Arial" w:cs="Arial"/>
          <w:b/>
          <w:bCs/>
          <w:sz w:val="18"/>
          <w:szCs w:val="18"/>
        </w:rPr>
        <w:t xml:space="preserve">Raw water reservoirs/water resources </w:t>
      </w:r>
      <w:r w:rsidR="0026561E" w:rsidRPr="00735726">
        <w:rPr>
          <w:rFonts w:ascii="Arial" w:hAnsi="Arial" w:cs="Arial"/>
          <w:b/>
          <w:bCs/>
          <w:sz w:val="18"/>
          <w:szCs w:val="18"/>
        </w:rPr>
        <w:t>-</w:t>
      </w:r>
      <w:r w:rsidRPr="00735726">
        <w:rPr>
          <w:rFonts w:ascii="Arial" w:hAnsi="Arial" w:cs="Arial"/>
          <w:sz w:val="18"/>
          <w:szCs w:val="18"/>
        </w:rPr>
        <w:t xml:space="preserve"> We ensure a resilient and sufficient supply of raw water through the operation of reservoirs, abstraction points, and water resource systems. Careful balancing of river flows, reservoir storage, and abstraction supports environmental protection while maintaining reliable supplies for customers and future growth.</w:t>
      </w:r>
    </w:p>
    <w:p w14:paraId="13C2DF20" w14:textId="77777777" w:rsidR="009E2281" w:rsidRPr="00735726" w:rsidRDefault="009A4CFF" w:rsidP="00646F4F">
      <w:pPr>
        <w:pStyle w:val="ListParagraph"/>
        <w:numPr>
          <w:ilvl w:val="0"/>
          <w:numId w:val="68"/>
        </w:numPr>
        <w:autoSpaceDE w:val="0"/>
        <w:autoSpaceDN w:val="0"/>
        <w:adjustRightInd w:val="0"/>
        <w:spacing w:after="0"/>
        <w:rPr>
          <w:rFonts w:ascii="Arial" w:hAnsi="Arial" w:cs="Arial"/>
          <w:sz w:val="18"/>
          <w:szCs w:val="18"/>
        </w:rPr>
      </w:pPr>
      <w:r w:rsidRPr="00735726">
        <w:rPr>
          <w:rFonts w:ascii="Arial" w:hAnsi="Arial" w:cs="Arial"/>
          <w:b/>
          <w:bCs/>
          <w:sz w:val="18"/>
          <w:szCs w:val="18"/>
        </w:rPr>
        <w:t xml:space="preserve">Water treatment works - </w:t>
      </w:r>
      <w:r w:rsidRPr="00735726">
        <w:rPr>
          <w:rFonts w:ascii="Arial" w:hAnsi="Arial" w:cs="Arial"/>
          <w:sz w:val="18"/>
          <w:szCs w:val="18"/>
        </w:rPr>
        <w:t>Raw water is treated at our water treatment works to meet stringent drinking water quality standards. Using advanced treatment processes and continuous monitoring, we ensure water is clean, safe, and reliable before entering the distribution network.</w:t>
      </w:r>
    </w:p>
    <w:p w14:paraId="134B0D53" w14:textId="6CEED8CE" w:rsidR="009A4CFF" w:rsidRPr="00735726" w:rsidRDefault="009E2281" w:rsidP="00646F4F">
      <w:pPr>
        <w:pStyle w:val="ListParagraph"/>
        <w:numPr>
          <w:ilvl w:val="0"/>
          <w:numId w:val="68"/>
        </w:numPr>
        <w:autoSpaceDE w:val="0"/>
        <w:autoSpaceDN w:val="0"/>
        <w:adjustRightInd w:val="0"/>
        <w:spacing w:after="0"/>
        <w:rPr>
          <w:rFonts w:ascii="Arial" w:hAnsi="Arial" w:cs="Arial"/>
          <w:sz w:val="18"/>
          <w:szCs w:val="18"/>
        </w:rPr>
      </w:pPr>
      <w:r w:rsidRPr="00735726">
        <w:rPr>
          <w:rFonts w:ascii="Arial" w:hAnsi="Arial" w:cs="Arial"/>
          <w:b/>
          <w:bCs/>
          <w:sz w:val="18"/>
          <w:szCs w:val="18"/>
        </w:rPr>
        <w:t xml:space="preserve">Drinking water mains network to homes and businesses - </w:t>
      </w:r>
      <w:r w:rsidRPr="00735726">
        <w:rPr>
          <w:rFonts w:ascii="Arial" w:hAnsi="Arial" w:cs="Arial"/>
          <w:sz w:val="18"/>
          <w:szCs w:val="18"/>
        </w:rPr>
        <w:t>We operate and maintain extensive drinking water mains networks that deliver potable water to homes.</w:t>
      </w:r>
    </w:p>
    <w:p w14:paraId="44643688" w14:textId="53A33F06" w:rsidR="005B3CE2" w:rsidRPr="00735726" w:rsidRDefault="009E2281" w:rsidP="00646F4F">
      <w:pPr>
        <w:pStyle w:val="ListParagraph"/>
        <w:numPr>
          <w:ilvl w:val="0"/>
          <w:numId w:val="68"/>
        </w:numPr>
        <w:autoSpaceDE w:val="0"/>
        <w:autoSpaceDN w:val="0"/>
        <w:adjustRightInd w:val="0"/>
        <w:spacing w:after="0"/>
        <w:rPr>
          <w:rFonts w:ascii="Arial" w:hAnsi="Arial" w:cs="Arial"/>
          <w:sz w:val="18"/>
          <w:szCs w:val="18"/>
        </w:rPr>
      </w:pPr>
      <w:r w:rsidRPr="00735726">
        <w:rPr>
          <w:rFonts w:ascii="Arial" w:hAnsi="Arial" w:cs="Arial"/>
          <w:b/>
          <w:bCs/>
          <w:sz w:val="18"/>
          <w:szCs w:val="18"/>
        </w:rPr>
        <w:t xml:space="preserve">Customer services </w:t>
      </w:r>
      <w:r w:rsidR="0026561E" w:rsidRPr="00735726">
        <w:rPr>
          <w:rFonts w:ascii="Arial" w:hAnsi="Arial" w:cs="Arial"/>
          <w:b/>
          <w:bCs/>
          <w:sz w:val="18"/>
          <w:szCs w:val="18"/>
        </w:rPr>
        <w:t>-</w:t>
      </w:r>
      <w:r w:rsidRPr="00735726">
        <w:rPr>
          <w:rFonts w:ascii="Arial" w:hAnsi="Arial" w:cs="Arial"/>
          <w:sz w:val="18"/>
          <w:szCs w:val="18"/>
        </w:rPr>
        <w:t xml:space="preserve"> </w:t>
      </w:r>
      <w:r w:rsidR="005B3CE2" w:rsidRPr="00735726">
        <w:rPr>
          <w:rFonts w:ascii="Arial" w:hAnsi="Arial" w:cs="Arial"/>
          <w:sz w:val="18"/>
          <w:szCs w:val="18"/>
        </w:rPr>
        <w:t>billing and help provided f</w:t>
      </w:r>
      <w:r w:rsidR="00B1686C" w:rsidRPr="00735726">
        <w:rPr>
          <w:rFonts w:ascii="Arial" w:hAnsi="Arial" w:cs="Arial"/>
          <w:sz w:val="18"/>
          <w:szCs w:val="18"/>
        </w:rPr>
        <w:t>ro</w:t>
      </w:r>
      <w:r w:rsidR="005B3CE2" w:rsidRPr="00735726">
        <w:rPr>
          <w:rFonts w:ascii="Arial" w:hAnsi="Arial" w:cs="Arial"/>
          <w:sz w:val="18"/>
          <w:szCs w:val="18"/>
        </w:rPr>
        <w:t>m our call centres.</w:t>
      </w:r>
    </w:p>
    <w:p w14:paraId="201EB0F9" w14:textId="6343C053" w:rsidR="005B3CE2" w:rsidRPr="00735726" w:rsidRDefault="005B3CE2" w:rsidP="00646F4F">
      <w:pPr>
        <w:pStyle w:val="ListParagraph"/>
        <w:numPr>
          <w:ilvl w:val="0"/>
          <w:numId w:val="68"/>
        </w:numPr>
        <w:autoSpaceDE w:val="0"/>
        <w:autoSpaceDN w:val="0"/>
        <w:adjustRightInd w:val="0"/>
        <w:spacing w:after="0"/>
        <w:rPr>
          <w:rFonts w:ascii="Arial" w:hAnsi="Arial" w:cs="Arial"/>
          <w:sz w:val="18"/>
          <w:szCs w:val="18"/>
        </w:rPr>
      </w:pPr>
      <w:r w:rsidRPr="00735726">
        <w:rPr>
          <w:rFonts w:ascii="Arial" w:hAnsi="Arial" w:cs="Arial"/>
          <w:b/>
          <w:bCs/>
          <w:sz w:val="18"/>
          <w:szCs w:val="18"/>
        </w:rPr>
        <w:t xml:space="preserve">Wastewater mains network and surface water catchment </w:t>
      </w:r>
      <w:r w:rsidR="0026561E" w:rsidRPr="00735726">
        <w:rPr>
          <w:rFonts w:ascii="Arial" w:hAnsi="Arial" w:cs="Arial"/>
          <w:b/>
          <w:bCs/>
          <w:sz w:val="18"/>
          <w:szCs w:val="18"/>
        </w:rPr>
        <w:t>-</w:t>
      </w:r>
      <w:r w:rsidRPr="00735726">
        <w:rPr>
          <w:rFonts w:ascii="Arial" w:hAnsi="Arial" w:cs="Arial"/>
          <w:sz w:val="18"/>
          <w:szCs w:val="18"/>
        </w:rPr>
        <w:t xml:space="preserve"> Our wastewater collection systems safely transport sewage and surface water away from customers’ properties.</w:t>
      </w:r>
    </w:p>
    <w:p w14:paraId="57FBCD18" w14:textId="77777777" w:rsidR="005B3CE2" w:rsidRPr="00735726" w:rsidRDefault="005B3CE2" w:rsidP="00646F4F">
      <w:pPr>
        <w:pStyle w:val="ListParagraph"/>
        <w:numPr>
          <w:ilvl w:val="0"/>
          <w:numId w:val="68"/>
        </w:numPr>
        <w:autoSpaceDE w:val="0"/>
        <w:autoSpaceDN w:val="0"/>
        <w:adjustRightInd w:val="0"/>
        <w:spacing w:after="0"/>
        <w:rPr>
          <w:rFonts w:ascii="Arial" w:hAnsi="Arial" w:cs="Arial"/>
          <w:sz w:val="18"/>
          <w:szCs w:val="18"/>
        </w:rPr>
      </w:pPr>
      <w:r w:rsidRPr="00735726">
        <w:rPr>
          <w:rFonts w:ascii="Arial" w:hAnsi="Arial" w:cs="Arial"/>
          <w:b/>
          <w:bCs/>
          <w:sz w:val="18"/>
          <w:szCs w:val="18"/>
        </w:rPr>
        <w:t>Wastewater treatment works -</w:t>
      </w:r>
      <w:r w:rsidRPr="00735726">
        <w:rPr>
          <w:rFonts w:ascii="Arial" w:hAnsi="Arial" w:cs="Arial"/>
          <w:sz w:val="18"/>
          <w:szCs w:val="18"/>
        </w:rPr>
        <w:t xml:space="preserve"> Wastewater from households is treated to high regulatory standards before being safely returned to the environment. Our treatment works play a critical role in protecting public health, environmental quality, and regulatory compliance.</w:t>
      </w:r>
    </w:p>
    <w:p w14:paraId="5A562851" w14:textId="3936141C" w:rsidR="005B3CE2" w:rsidRPr="00735726" w:rsidRDefault="005B3CE2" w:rsidP="00646F4F">
      <w:pPr>
        <w:pStyle w:val="ListParagraph"/>
        <w:numPr>
          <w:ilvl w:val="0"/>
          <w:numId w:val="68"/>
        </w:numPr>
        <w:autoSpaceDE w:val="0"/>
        <w:autoSpaceDN w:val="0"/>
        <w:adjustRightInd w:val="0"/>
        <w:spacing w:after="0"/>
        <w:rPr>
          <w:rFonts w:ascii="Arial" w:hAnsi="Arial" w:cs="Arial"/>
          <w:sz w:val="18"/>
          <w:szCs w:val="18"/>
        </w:rPr>
      </w:pPr>
      <w:r w:rsidRPr="00735726">
        <w:rPr>
          <w:rFonts w:ascii="Arial" w:hAnsi="Arial" w:cs="Arial"/>
          <w:b/>
          <w:bCs/>
          <w:sz w:val="18"/>
          <w:szCs w:val="18"/>
        </w:rPr>
        <w:t xml:space="preserve">Recycling waste into bio-resources </w:t>
      </w:r>
      <w:r w:rsidR="0026561E" w:rsidRPr="00735726">
        <w:rPr>
          <w:rFonts w:ascii="Arial" w:hAnsi="Arial" w:cs="Arial"/>
          <w:b/>
          <w:bCs/>
          <w:sz w:val="18"/>
          <w:szCs w:val="18"/>
        </w:rPr>
        <w:t>-</w:t>
      </w:r>
      <w:r w:rsidRPr="00735726">
        <w:rPr>
          <w:rFonts w:ascii="Arial" w:hAnsi="Arial" w:cs="Arial"/>
          <w:b/>
          <w:bCs/>
          <w:sz w:val="18"/>
          <w:szCs w:val="18"/>
        </w:rPr>
        <w:t xml:space="preserve"> </w:t>
      </w:r>
      <w:r w:rsidRPr="00735726">
        <w:rPr>
          <w:rFonts w:ascii="Arial" w:hAnsi="Arial" w:cs="Arial"/>
          <w:sz w:val="18"/>
          <w:szCs w:val="18"/>
        </w:rPr>
        <w:t>by recovering bio</w:t>
      </w:r>
      <w:r w:rsidRPr="00735726">
        <w:rPr>
          <w:rFonts w:ascii="Cambria Math" w:hAnsi="Cambria Math" w:cs="Cambria Math"/>
          <w:sz w:val="18"/>
          <w:szCs w:val="18"/>
        </w:rPr>
        <w:t>‑</w:t>
      </w:r>
      <w:r w:rsidRPr="00735726">
        <w:rPr>
          <w:rFonts w:ascii="Arial" w:hAnsi="Arial" w:cs="Arial"/>
          <w:sz w:val="18"/>
          <w:szCs w:val="18"/>
        </w:rPr>
        <w:t>resources such as sludge during wastewater treatment, we convert waste into valuable products. These processes support a circular economy through the production of biosolids for agriculture and feedstocks for renewable energy generation.</w:t>
      </w:r>
    </w:p>
    <w:p w14:paraId="18CEB4EE" w14:textId="77777777" w:rsidR="005B3CE2" w:rsidRPr="00735726" w:rsidRDefault="005B3CE2" w:rsidP="00844EFD">
      <w:pPr>
        <w:spacing w:after="160"/>
        <w:rPr>
          <w:rFonts w:ascii="Arial" w:hAnsi="Arial" w:cs="Arial"/>
          <w:sz w:val="18"/>
          <w:szCs w:val="18"/>
        </w:rPr>
      </w:pPr>
    </w:p>
    <w:p w14:paraId="7033EB29" w14:textId="2E0C96BF" w:rsidR="005B3CE2" w:rsidRPr="009A2CAE" w:rsidRDefault="005B3CE2" w:rsidP="00844EFD">
      <w:pPr>
        <w:spacing w:after="160"/>
        <w:rPr>
          <w:rFonts w:ascii="Arial" w:hAnsi="Arial" w:cs="Arial"/>
          <w:sz w:val="32"/>
          <w:szCs w:val="32"/>
        </w:rPr>
      </w:pPr>
      <w:r w:rsidRPr="009A2CAE">
        <w:rPr>
          <w:rFonts w:ascii="Arial" w:hAnsi="Arial" w:cs="Arial"/>
          <w:sz w:val="32"/>
          <w:szCs w:val="32"/>
        </w:rPr>
        <w:br w:type="page"/>
      </w:r>
    </w:p>
    <w:p w14:paraId="0D95C533" w14:textId="4579C706" w:rsidR="00314E67" w:rsidRPr="00735726" w:rsidRDefault="009E061D" w:rsidP="00844EFD">
      <w:pPr>
        <w:autoSpaceDE w:val="0"/>
        <w:autoSpaceDN w:val="0"/>
        <w:adjustRightInd w:val="0"/>
        <w:spacing w:after="0"/>
        <w:rPr>
          <w:rFonts w:ascii="Arial" w:hAnsi="Arial" w:cs="Arial"/>
          <w:sz w:val="32"/>
          <w:szCs w:val="32"/>
        </w:rPr>
      </w:pPr>
      <w:r w:rsidRPr="00735726">
        <w:rPr>
          <w:rFonts w:ascii="Arial" w:hAnsi="Arial" w:cs="Arial"/>
          <w:sz w:val="32"/>
          <w:szCs w:val="32"/>
        </w:rPr>
        <w:lastRenderedPageBreak/>
        <w:t xml:space="preserve">OUR </w:t>
      </w:r>
      <w:r w:rsidR="00314E67" w:rsidRPr="00735726">
        <w:rPr>
          <w:rFonts w:ascii="Arial" w:hAnsi="Arial" w:cs="Arial"/>
          <w:sz w:val="32"/>
          <w:szCs w:val="32"/>
        </w:rPr>
        <w:t>PLANS TO 2030</w:t>
      </w:r>
    </w:p>
    <w:p w14:paraId="66065CA5" w14:textId="0FDB552F" w:rsidR="00314E67" w:rsidRPr="00735726" w:rsidRDefault="00314E67" w:rsidP="00844EFD">
      <w:pPr>
        <w:autoSpaceDE w:val="0"/>
        <w:autoSpaceDN w:val="0"/>
        <w:adjustRightInd w:val="0"/>
        <w:spacing w:after="0"/>
        <w:rPr>
          <w:rFonts w:ascii="Arial" w:hAnsi="Arial" w:cs="Arial"/>
          <w:sz w:val="18"/>
          <w:szCs w:val="18"/>
        </w:rPr>
      </w:pPr>
      <w:r w:rsidRPr="00735726">
        <w:rPr>
          <w:rFonts w:ascii="Arial" w:hAnsi="Arial" w:cs="Arial"/>
          <w:sz w:val="18"/>
          <w:szCs w:val="18"/>
        </w:rPr>
        <w:t>Our strategic priorities ensure we remain focused on delivering on our plans to 2030.</w:t>
      </w:r>
    </w:p>
    <w:p w14:paraId="0D21A420" w14:textId="77777777" w:rsidR="00314E67" w:rsidRPr="00735726" w:rsidRDefault="00314E67" w:rsidP="00844EFD">
      <w:pPr>
        <w:autoSpaceDE w:val="0"/>
        <w:autoSpaceDN w:val="0"/>
        <w:adjustRightInd w:val="0"/>
        <w:spacing w:after="0"/>
        <w:rPr>
          <w:rFonts w:ascii="Arial" w:hAnsi="Arial" w:cs="Arial"/>
          <w:sz w:val="18"/>
          <w:szCs w:val="18"/>
        </w:rPr>
      </w:pPr>
    </w:p>
    <w:p w14:paraId="4EDD1B15" w14:textId="3623A3E1" w:rsidR="002D7282" w:rsidRPr="00735726" w:rsidRDefault="002D7282" w:rsidP="00844EFD">
      <w:pPr>
        <w:spacing w:after="160"/>
        <w:rPr>
          <w:rFonts w:ascii="Arial" w:hAnsi="Arial" w:cs="Arial"/>
          <w:sz w:val="18"/>
          <w:szCs w:val="18"/>
        </w:rPr>
      </w:pPr>
      <w:r w:rsidRPr="00735726">
        <w:rPr>
          <w:rFonts w:ascii="Arial" w:eastAsia="Times New Roman" w:hAnsi="Arial" w:cs="DINOT-Light"/>
          <w:b/>
          <w:color w:val="000000"/>
          <w:sz w:val="18"/>
          <w:szCs w:val="18"/>
        </w:rPr>
        <w:t>AMP8: AMBITIOUS PLANS, DELIVERING AT SCALE</w:t>
      </w:r>
      <w:r w:rsidR="00D62E2B" w:rsidRPr="00735726">
        <w:rPr>
          <w:rFonts w:ascii="Arial" w:hAnsi="Arial" w:cs="Arial"/>
          <w:sz w:val="18"/>
          <w:szCs w:val="18"/>
        </w:rPr>
        <w:br/>
      </w:r>
      <w:r w:rsidRPr="00735726">
        <w:rPr>
          <w:rFonts w:ascii="Arial" w:hAnsi="Arial" w:cs="Arial"/>
          <w:sz w:val="18"/>
          <w:szCs w:val="18"/>
        </w:rPr>
        <w:t xml:space="preserve">Our plans to 2030 represent the most ambitious in </w:t>
      </w:r>
      <w:proofErr w:type="gramStart"/>
      <w:r w:rsidR="00C118B0" w:rsidRPr="00735726">
        <w:rPr>
          <w:rFonts w:ascii="Arial" w:hAnsi="Arial" w:cs="Arial"/>
          <w:sz w:val="18"/>
          <w:szCs w:val="18"/>
        </w:rPr>
        <w:t>South West</w:t>
      </w:r>
      <w:proofErr w:type="gramEnd"/>
      <w:r w:rsidR="00C118B0" w:rsidRPr="00735726">
        <w:rPr>
          <w:rFonts w:ascii="Arial" w:hAnsi="Arial" w:cs="Arial"/>
          <w:sz w:val="18"/>
          <w:szCs w:val="18"/>
        </w:rPr>
        <w:t xml:space="preserve"> Water’s</w:t>
      </w:r>
      <w:r w:rsidRPr="00735726">
        <w:rPr>
          <w:rFonts w:ascii="Arial" w:hAnsi="Arial" w:cs="Arial"/>
          <w:sz w:val="18"/>
          <w:szCs w:val="18"/>
        </w:rPr>
        <w:t xml:space="preserve"> history, focused on delivering for our customers and communities. These plans will allow us to deliver on our 2030 targets; and start delivering on our long-term strategy, supporting people and the places they love for generations to come through high-quality water and a thriving environment across our regions.</w:t>
      </w:r>
    </w:p>
    <w:p w14:paraId="4CADD68F" w14:textId="621F7B51" w:rsidR="002D7282" w:rsidRPr="00735726" w:rsidRDefault="002D7282" w:rsidP="00844EFD">
      <w:pPr>
        <w:spacing w:after="160"/>
        <w:rPr>
          <w:rFonts w:ascii="Arial" w:hAnsi="Arial" w:cs="Arial"/>
          <w:sz w:val="18"/>
          <w:szCs w:val="18"/>
        </w:rPr>
      </w:pPr>
      <w:r w:rsidRPr="00735726">
        <w:rPr>
          <w:rFonts w:ascii="Arial" w:hAnsi="Arial" w:cs="Arial"/>
          <w:sz w:val="18"/>
          <w:szCs w:val="18"/>
        </w:rPr>
        <w:t>To support the delivery of our ambitions, we have reshaped the organisation around our four strategic priorities, strengthened governance and oversight through our review and reporting processes, and increased frontline capability. These changes will enable us to drive improvements in operational performance, whilst providing a robust platform for sustained delivery through the remainder of AMP8.</w:t>
      </w:r>
    </w:p>
    <w:p w14:paraId="49254243" w14:textId="1220FD53" w:rsidR="002D7282" w:rsidRPr="00735726" w:rsidRDefault="002D7282" w:rsidP="00844EFD">
      <w:pPr>
        <w:spacing w:after="160"/>
        <w:rPr>
          <w:rFonts w:ascii="Arial" w:hAnsi="Arial" w:cs="Arial"/>
          <w:sz w:val="18"/>
          <w:szCs w:val="18"/>
        </w:rPr>
      </w:pPr>
      <w:r w:rsidRPr="00735726">
        <w:rPr>
          <w:rFonts w:ascii="Arial" w:hAnsi="Arial" w:cs="Arial"/>
          <w:sz w:val="18"/>
          <w:szCs w:val="18"/>
        </w:rPr>
        <w:t>Whilst AMP8 represents our largest ever capital programme, capital deployment is critical, to deliver efficiently and to focus on those areas and issues that matter most to our customers</w:t>
      </w:r>
      <w:r w:rsidR="00C118B0" w:rsidRPr="00735726">
        <w:rPr>
          <w:rFonts w:ascii="Arial" w:hAnsi="Arial" w:cs="Arial"/>
          <w:sz w:val="18"/>
          <w:szCs w:val="18"/>
        </w:rPr>
        <w:t xml:space="preserve"> and</w:t>
      </w:r>
      <w:r w:rsidRPr="00735726">
        <w:rPr>
          <w:rFonts w:ascii="Arial" w:hAnsi="Arial" w:cs="Arial"/>
          <w:sz w:val="18"/>
          <w:szCs w:val="18"/>
        </w:rPr>
        <w:t xml:space="preserve"> regulators: environmental improvement, resilient water supplies, affordability, service quality and long-term financial sustainability. Strong efficiency opportunities are emerging early with </w:t>
      </w:r>
      <w:proofErr w:type="spellStart"/>
      <w:r w:rsidRPr="00735726">
        <w:rPr>
          <w:rFonts w:ascii="Arial" w:hAnsi="Arial" w:cs="Arial"/>
          <w:sz w:val="18"/>
          <w:szCs w:val="18"/>
        </w:rPr>
        <w:t>Totex</w:t>
      </w:r>
      <w:proofErr w:type="spellEnd"/>
      <w:r w:rsidRPr="00735726">
        <w:rPr>
          <w:rFonts w:ascii="Arial" w:hAnsi="Arial" w:cs="Arial"/>
          <w:sz w:val="18"/>
          <w:szCs w:val="18"/>
        </w:rPr>
        <w:t xml:space="preserve"> outperformance being captured as we progress through design stages in our capital programme, reflecting disciplined execution, effective procurement and the benefits of our right-sized delivery model.</w:t>
      </w:r>
    </w:p>
    <w:p w14:paraId="38867F6E" w14:textId="1052C822" w:rsidR="002D7282" w:rsidRPr="00735726" w:rsidRDefault="002D7282" w:rsidP="00844EFD">
      <w:pPr>
        <w:spacing w:after="160"/>
        <w:rPr>
          <w:rFonts w:ascii="Arial" w:hAnsi="Arial" w:cs="Arial"/>
          <w:sz w:val="18"/>
          <w:szCs w:val="18"/>
        </w:rPr>
      </w:pPr>
      <w:r w:rsidRPr="00735726">
        <w:rPr>
          <w:rFonts w:ascii="Arial" w:eastAsia="Times New Roman" w:hAnsi="Arial" w:cs="DINOT-Light"/>
          <w:b/>
          <w:color w:val="000000"/>
          <w:sz w:val="18"/>
          <w:szCs w:val="18"/>
        </w:rPr>
        <w:t>DELIVERING FOR THE ENVIRONMENT</w:t>
      </w:r>
      <w:r w:rsidR="00D62E2B" w:rsidRPr="00735726">
        <w:rPr>
          <w:rFonts w:ascii="Arial" w:hAnsi="Arial" w:cs="Arial"/>
          <w:sz w:val="18"/>
          <w:szCs w:val="18"/>
        </w:rPr>
        <w:br/>
      </w:r>
      <w:r w:rsidRPr="00735726">
        <w:rPr>
          <w:rFonts w:ascii="Arial" w:hAnsi="Arial" w:cs="Arial"/>
          <w:sz w:val="18"/>
          <w:szCs w:val="18"/>
        </w:rPr>
        <w:t>We are passionate about protecting the environment on which we rely across all our regions. From our Upstream Thinking programme, which protects catchments and improves the quality of water in our rivers, to our Pollution Incident Reduction Plan, we constantly strive to do more and reduce both our own and others’ impact on the natural environment.</w:t>
      </w:r>
    </w:p>
    <w:p w14:paraId="14D2A6B2" w14:textId="4AFFF55A" w:rsidR="002D7282" w:rsidRPr="00735726" w:rsidRDefault="002D7282" w:rsidP="00844EFD">
      <w:pPr>
        <w:spacing w:after="160"/>
        <w:rPr>
          <w:rFonts w:ascii="Arial" w:hAnsi="Arial" w:cs="Arial"/>
          <w:sz w:val="18"/>
          <w:szCs w:val="18"/>
        </w:rPr>
      </w:pPr>
      <w:r w:rsidRPr="00735726">
        <w:rPr>
          <w:rFonts w:ascii="Arial" w:hAnsi="Arial" w:cs="Arial"/>
          <w:sz w:val="18"/>
          <w:szCs w:val="18"/>
        </w:rPr>
        <w:t>Environmental performance is therefore a central pillar of our plans to 2030, with investment targeted to continue improving the bathing waters of Devon and Cornwall. Our storm overflow investment programme, coupled with wastewater upgrades and expanded monitoring and network control, will deliver improved outcomes for the environment, focused on those areas our customers have told us are their priority. With 291 storm overflow schemes underway through our WINEP programme, as well as additional interventions to reduce average spill numbers and ensure wider improvements for the environment, we are seeing the benefit through lower repeat pollutions and reductions in storm overflow spills, despite continued above average rainfall and the impact of climate change.</w:t>
      </w:r>
    </w:p>
    <w:p w14:paraId="64253F80" w14:textId="4B3FF364" w:rsidR="002D7282" w:rsidRPr="00735726" w:rsidRDefault="002D7282" w:rsidP="00844EFD">
      <w:pPr>
        <w:spacing w:after="160"/>
        <w:rPr>
          <w:rFonts w:ascii="Arial" w:hAnsi="Arial" w:cs="Arial"/>
          <w:sz w:val="18"/>
          <w:szCs w:val="18"/>
        </w:rPr>
      </w:pPr>
      <w:r w:rsidRPr="00735726">
        <w:rPr>
          <w:rFonts w:ascii="Arial" w:hAnsi="Arial" w:cs="Arial"/>
          <w:sz w:val="18"/>
          <w:szCs w:val="18"/>
        </w:rPr>
        <w:t>Alongside infrastructure investment, nature-based solutions and catchment management play an important role in reducing environmental risk and improving raw water quality. We continue with our programme to reduce the levels of nutrients in our final effluent when returned to the environment improving water quality. A nature-based scheme which reduces phosphorus through a non</w:t>
      </w:r>
      <w:r w:rsidR="0026561E" w:rsidRPr="00735726">
        <w:rPr>
          <w:rFonts w:ascii="Arial" w:hAnsi="Arial" w:cs="Arial"/>
          <w:sz w:val="18"/>
          <w:szCs w:val="18"/>
        </w:rPr>
        <w:t>-</w:t>
      </w:r>
      <w:r w:rsidRPr="00735726">
        <w:rPr>
          <w:rFonts w:ascii="Arial" w:hAnsi="Arial" w:cs="Arial"/>
          <w:sz w:val="18"/>
          <w:szCs w:val="18"/>
        </w:rPr>
        <w:t xml:space="preserve">chemical solution at </w:t>
      </w:r>
      <w:proofErr w:type="spellStart"/>
      <w:r w:rsidRPr="00735726">
        <w:rPr>
          <w:rFonts w:ascii="Arial" w:hAnsi="Arial" w:cs="Arial"/>
          <w:sz w:val="18"/>
          <w:szCs w:val="18"/>
        </w:rPr>
        <w:t>Highampton</w:t>
      </w:r>
      <w:proofErr w:type="spellEnd"/>
      <w:r w:rsidRPr="00735726">
        <w:rPr>
          <w:rFonts w:ascii="Arial" w:hAnsi="Arial" w:cs="Arial"/>
          <w:sz w:val="18"/>
          <w:szCs w:val="18"/>
        </w:rPr>
        <w:t xml:space="preserve"> is one of </w:t>
      </w:r>
      <w:r w:rsidR="00D627AA" w:rsidRPr="00735726">
        <w:rPr>
          <w:rFonts w:ascii="Arial" w:hAnsi="Arial" w:cs="Arial"/>
          <w:sz w:val="18"/>
          <w:szCs w:val="18"/>
        </w:rPr>
        <w:t>34</w:t>
      </w:r>
      <w:r w:rsidRPr="00735726">
        <w:rPr>
          <w:rFonts w:ascii="Arial" w:hAnsi="Arial" w:cs="Arial"/>
          <w:sz w:val="18"/>
          <w:szCs w:val="18"/>
        </w:rPr>
        <w:t xml:space="preserve"> planned in this regulatory period.</w:t>
      </w:r>
    </w:p>
    <w:p w14:paraId="65BC634F" w14:textId="77777777" w:rsidR="002D7282" w:rsidRPr="00735726" w:rsidRDefault="002D7282" w:rsidP="00844EFD">
      <w:pPr>
        <w:spacing w:after="160"/>
        <w:rPr>
          <w:rFonts w:ascii="Arial" w:hAnsi="Arial" w:cs="Arial"/>
          <w:sz w:val="18"/>
          <w:szCs w:val="18"/>
        </w:rPr>
      </w:pPr>
      <w:r w:rsidRPr="00735726">
        <w:rPr>
          <w:rFonts w:ascii="Arial" w:hAnsi="Arial" w:cs="Arial"/>
          <w:sz w:val="18"/>
          <w:szCs w:val="18"/>
        </w:rPr>
        <w:t>Catchment programmes now operate across 95% of our catchments, embedding cost-effective solutions that support biodiversity, climate resilience and regulatory compliance. This integrated approach strengthens environmental outcomes whilst improving the sustainability of operations over the long-term.</w:t>
      </w:r>
    </w:p>
    <w:p w14:paraId="2717B2BC" w14:textId="52D46836" w:rsidR="00D35D97" w:rsidRPr="00735726" w:rsidRDefault="002D7282" w:rsidP="00844EFD">
      <w:pPr>
        <w:spacing w:after="160"/>
        <w:rPr>
          <w:rFonts w:ascii="Arial" w:hAnsi="Arial" w:cs="Arial"/>
          <w:sz w:val="18"/>
          <w:szCs w:val="18"/>
        </w:rPr>
      </w:pPr>
      <w:r w:rsidRPr="00735726">
        <w:rPr>
          <w:rFonts w:ascii="Arial" w:eastAsia="Times New Roman" w:hAnsi="Arial" w:cs="DINOT-Light"/>
          <w:b/>
          <w:color w:val="000000"/>
          <w:sz w:val="18"/>
          <w:szCs w:val="18"/>
        </w:rPr>
        <w:t>DELIVERING CLEAN, RELIABLE DRINKING WATER TO ALL</w:t>
      </w:r>
      <w:r w:rsidR="00D62E2B" w:rsidRPr="00735726">
        <w:rPr>
          <w:rFonts w:ascii="Arial" w:hAnsi="Arial" w:cs="Arial"/>
          <w:sz w:val="18"/>
          <w:szCs w:val="18"/>
        </w:rPr>
        <w:br/>
      </w:r>
      <w:r w:rsidRPr="00735726">
        <w:rPr>
          <w:rFonts w:ascii="Arial" w:hAnsi="Arial" w:cs="Arial"/>
          <w:sz w:val="18"/>
          <w:szCs w:val="18"/>
        </w:rPr>
        <w:t xml:space="preserve">Customers consistently rate the provision of clean, safe drinking water as their number one priority. Our plans therefore focus on continuing to strengthen the resilience of water supplies and resources. Investment is underway to continue to strengthen drinking water quality across all parts of our regions as well as ensuring reliability through major upgrades at key treatment works, continued lead pipe replacement and enhanced water quality assurance processes. Lessons learned from operational incidents are being embedded across the </w:t>
      </w:r>
      <w:r w:rsidR="00962000" w:rsidRPr="00735726">
        <w:rPr>
          <w:rFonts w:ascii="Arial" w:hAnsi="Arial" w:cs="Arial"/>
          <w:sz w:val="18"/>
          <w:szCs w:val="18"/>
        </w:rPr>
        <w:t>Company</w:t>
      </w:r>
      <w:r w:rsidRPr="00735726">
        <w:rPr>
          <w:rFonts w:ascii="Arial" w:hAnsi="Arial" w:cs="Arial"/>
          <w:sz w:val="18"/>
          <w:szCs w:val="18"/>
        </w:rPr>
        <w:t>, strengthening operational monitoring, risk management and customer communications.</w:t>
      </w:r>
    </w:p>
    <w:p w14:paraId="6A9EFC11" w14:textId="6AAE357C" w:rsidR="00D35D97" w:rsidRPr="00735726" w:rsidRDefault="00D35D97" w:rsidP="005053A5">
      <w:pPr>
        <w:spacing w:after="160"/>
        <w:rPr>
          <w:rFonts w:ascii="Arial" w:hAnsi="Arial" w:cs="Arial"/>
          <w:sz w:val="18"/>
          <w:szCs w:val="18"/>
        </w:rPr>
      </w:pPr>
      <w:r w:rsidRPr="00735726">
        <w:rPr>
          <w:rFonts w:ascii="Arial" w:hAnsi="Arial" w:cs="Arial"/>
          <w:sz w:val="18"/>
          <w:szCs w:val="18"/>
        </w:rPr>
        <w:t xml:space="preserve">Long-term water security is being reinforced through a balanced approach to supply and demand. Demand reduction initiatives are progressing; our smart metering programme is well underway, providing customers with more options around water tariffs, helping them understand how much water they use and how they can become more water efficient, whilst also helping identify leaks in their homes early </w:t>
      </w:r>
      <w:r w:rsidR="006C1BA9" w:rsidRPr="00735726">
        <w:rPr>
          <w:rFonts w:ascii="Arial" w:hAnsi="Arial" w:cs="Arial"/>
          <w:sz w:val="18"/>
          <w:szCs w:val="18"/>
        </w:rPr>
        <w:t xml:space="preserve">- </w:t>
      </w:r>
      <w:r w:rsidRPr="00735726">
        <w:rPr>
          <w:rFonts w:ascii="Arial" w:hAnsi="Arial" w:cs="Arial"/>
          <w:sz w:val="18"/>
          <w:szCs w:val="18"/>
        </w:rPr>
        <w:t>saving both water and money.</w:t>
      </w:r>
      <w:r w:rsidR="005053A5" w:rsidRPr="00735726">
        <w:rPr>
          <w:rFonts w:ascii="Calibre-Light" w:hAnsi="Calibre-Light" w:cs="Calibre-Light"/>
          <w:color w:val="414142"/>
          <w:sz w:val="16"/>
          <w:szCs w:val="16"/>
        </w:rPr>
        <w:t xml:space="preserve"> </w:t>
      </w:r>
      <w:r w:rsidR="005053A5" w:rsidRPr="00735726">
        <w:rPr>
          <w:rFonts w:ascii="Arial" w:hAnsi="Arial" w:cs="Arial"/>
          <w:sz w:val="18"/>
          <w:szCs w:val="18"/>
        </w:rPr>
        <w:t>We have also fixed more leaks than ever before and we are learning from the data and work we have done, to drive improved understanding and focus as we progress into the second year of delivery.</w:t>
      </w:r>
    </w:p>
    <w:p w14:paraId="4CC7172F" w14:textId="77777777" w:rsidR="00D35D97" w:rsidRPr="00735726" w:rsidRDefault="00D35D97" w:rsidP="00844EFD">
      <w:pPr>
        <w:spacing w:after="160"/>
        <w:rPr>
          <w:rFonts w:ascii="Arial" w:hAnsi="Arial" w:cs="Arial"/>
          <w:sz w:val="18"/>
          <w:szCs w:val="18"/>
        </w:rPr>
      </w:pPr>
      <w:r w:rsidRPr="00735726">
        <w:rPr>
          <w:rFonts w:ascii="Arial" w:hAnsi="Arial" w:cs="Arial"/>
          <w:sz w:val="18"/>
          <w:szCs w:val="18"/>
        </w:rPr>
        <w:lastRenderedPageBreak/>
        <w:t xml:space="preserve">We are also looking beyond 2030, to ensure we are planning for long-term supply needs; we continue to progress our Strategic Resource Options in partnership with Wessex Water, considering options from new reservoir capacity to water reuse schemes, and progress through regulatory gateways to meet the scrutiny and challenge that such significant schemes require. </w:t>
      </w:r>
    </w:p>
    <w:p w14:paraId="42EE20DB" w14:textId="77777777" w:rsidR="00D35D97" w:rsidRPr="00735726" w:rsidRDefault="00D35D97" w:rsidP="00844EFD">
      <w:pPr>
        <w:spacing w:after="160"/>
        <w:rPr>
          <w:rFonts w:ascii="Arial" w:hAnsi="Arial" w:cs="Arial"/>
          <w:sz w:val="18"/>
          <w:szCs w:val="18"/>
        </w:rPr>
      </w:pPr>
      <w:r w:rsidRPr="00735726">
        <w:rPr>
          <w:rFonts w:ascii="Arial" w:hAnsi="Arial" w:cs="Arial"/>
          <w:sz w:val="18"/>
          <w:szCs w:val="18"/>
        </w:rPr>
        <w:t>Together, these schemes will reduce the risk of exposure to climate change, population growth and extreme weather over the long term.</w:t>
      </w:r>
    </w:p>
    <w:p w14:paraId="1A86193D" w14:textId="39AED1BC" w:rsidR="00D35D97" w:rsidRPr="00735726" w:rsidRDefault="00D35D97" w:rsidP="00844EFD">
      <w:pPr>
        <w:spacing w:after="160"/>
        <w:rPr>
          <w:rFonts w:ascii="Arial" w:hAnsi="Arial" w:cs="Arial"/>
          <w:sz w:val="18"/>
          <w:szCs w:val="18"/>
        </w:rPr>
      </w:pPr>
      <w:r w:rsidRPr="00735726">
        <w:rPr>
          <w:rFonts w:ascii="Arial" w:eastAsia="Times New Roman" w:hAnsi="Arial" w:cs="DINOT-Light"/>
          <w:b/>
          <w:color w:val="000000"/>
          <w:sz w:val="18"/>
          <w:szCs w:val="18"/>
        </w:rPr>
        <w:t>DELIVERING FOR OUR CUSTOMERS</w:t>
      </w:r>
      <w:r w:rsidR="00D62E2B" w:rsidRPr="00735726">
        <w:rPr>
          <w:rFonts w:ascii="Arial" w:hAnsi="Arial" w:cs="Arial"/>
          <w:sz w:val="18"/>
          <w:szCs w:val="18"/>
        </w:rPr>
        <w:br/>
      </w:r>
      <w:r w:rsidRPr="00735726">
        <w:rPr>
          <w:rFonts w:ascii="Arial" w:hAnsi="Arial" w:cs="Arial"/>
          <w:sz w:val="18"/>
          <w:szCs w:val="18"/>
        </w:rPr>
        <w:t>Our plans were built on the priorities and feedback of our customers, whether in the Isles of Scilly, Plymouth</w:t>
      </w:r>
      <w:r w:rsidR="002C5649" w:rsidRPr="00735726">
        <w:rPr>
          <w:rFonts w:ascii="Arial" w:hAnsi="Arial" w:cs="Arial"/>
          <w:sz w:val="18"/>
          <w:szCs w:val="18"/>
        </w:rPr>
        <w:t xml:space="preserve"> or</w:t>
      </w:r>
      <w:r w:rsidRPr="00735726">
        <w:rPr>
          <w:rFonts w:ascii="Arial" w:hAnsi="Arial" w:cs="Arial"/>
          <w:sz w:val="18"/>
          <w:szCs w:val="18"/>
        </w:rPr>
        <w:t xml:space="preserve"> Bristol. We work hard to keep customers at the heart of our businesses, although recognise that with bill rises in 2025/26, this has been a difficult year for many. We increased bills after careful consideration, and having undertaken extensive customer research to ensure that the investment programme driving the increases was the one supported and prioritised by customers; we heard from them that they wanted improved services and did not want to defer the cost of these improvements for later generations to pay for.</w:t>
      </w:r>
    </w:p>
    <w:p w14:paraId="25225E36" w14:textId="6274E477" w:rsidR="00D35D97" w:rsidRPr="00735726" w:rsidRDefault="00D35D97" w:rsidP="00844EFD">
      <w:pPr>
        <w:spacing w:after="160"/>
        <w:rPr>
          <w:rFonts w:ascii="Arial" w:hAnsi="Arial" w:cs="Arial"/>
          <w:sz w:val="18"/>
          <w:szCs w:val="18"/>
        </w:rPr>
      </w:pPr>
      <w:r w:rsidRPr="00735726">
        <w:rPr>
          <w:rFonts w:ascii="Arial" w:hAnsi="Arial" w:cs="Arial"/>
          <w:sz w:val="18"/>
          <w:szCs w:val="18"/>
        </w:rPr>
        <w:t>We recognise that water is vital for life, and therefore for many, any</w:t>
      </w:r>
      <w:r w:rsidR="00F0517E" w:rsidRPr="00735726">
        <w:rPr>
          <w:rFonts w:ascii="Arial" w:hAnsi="Arial" w:cs="Arial"/>
          <w:sz w:val="18"/>
          <w:szCs w:val="18"/>
        </w:rPr>
        <w:t xml:space="preserve"> bill</w:t>
      </w:r>
      <w:r w:rsidRPr="00735726">
        <w:rPr>
          <w:rFonts w:ascii="Arial" w:hAnsi="Arial" w:cs="Arial"/>
          <w:sz w:val="18"/>
          <w:szCs w:val="18"/>
        </w:rPr>
        <w:t xml:space="preserve"> increase is unaffordable. Our customer teams have worked tirelessly to support customers, and we have increased customer support by </w:t>
      </w:r>
      <w:r w:rsidR="00B25619" w:rsidRPr="00735726">
        <w:rPr>
          <w:rFonts w:ascii="Arial" w:hAnsi="Arial" w:cs="Arial"/>
          <w:sz w:val="18"/>
          <w:szCs w:val="18"/>
        </w:rPr>
        <w:t>12%</w:t>
      </w:r>
      <w:r w:rsidRPr="00735726">
        <w:rPr>
          <w:rFonts w:ascii="Arial" w:hAnsi="Arial" w:cs="Arial"/>
          <w:sz w:val="18"/>
          <w:szCs w:val="18"/>
        </w:rPr>
        <w:t xml:space="preserve"> year-on-year and continue to do so, with support for customers who need it, identified proactively through our data-led modelling. </w:t>
      </w:r>
    </w:p>
    <w:p w14:paraId="4DDF35D7" w14:textId="77777777" w:rsidR="00D35D97" w:rsidRPr="00735726" w:rsidRDefault="00D35D97" w:rsidP="00844EFD">
      <w:pPr>
        <w:spacing w:after="160"/>
        <w:rPr>
          <w:rFonts w:ascii="Arial" w:hAnsi="Arial" w:cs="Arial"/>
          <w:sz w:val="18"/>
          <w:szCs w:val="18"/>
        </w:rPr>
      </w:pPr>
      <w:r w:rsidRPr="00735726">
        <w:rPr>
          <w:rFonts w:ascii="Arial" w:hAnsi="Arial" w:cs="Arial"/>
          <w:sz w:val="18"/>
          <w:szCs w:val="18"/>
        </w:rPr>
        <w:t xml:space="preserve">Notwithstanding the relentless focus of our colleagues, we have seen increased customer contact following the industry-wide bill rises, and recognise there is more to do to improve our services. We are investing heavily to improve our customer technology platforms, with upgraded telephony implemented in the year, and an end-to-end customer services platform anticipated to be in use during 2026/27. This will enhance customer experience, enable improved communications whilst </w:t>
      </w:r>
      <w:proofErr w:type="gramStart"/>
      <w:r w:rsidRPr="00735726">
        <w:rPr>
          <w:rFonts w:ascii="Arial" w:hAnsi="Arial" w:cs="Arial"/>
          <w:sz w:val="18"/>
          <w:szCs w:val="18"/>
        </w:rPr>
        <w:t>supporting</w:t>
      </w:r>
      <w:proofErr w:type="gramEnd"/>
      <w:r w:rsidRPr="00735726">
        <w:rPr>
          <w:rFonts w:ascii="Arial" w:hAnsi="Arial" w:cs="Arial"/>
          <w:sz w:val="18"/>
          <w:szCs w:val="18"/>
        </w:rPr>
        <w:t xml:space="preserve"> efficient delivery by enabling improved self-service, allowing customers to engage when they want. As we implement and embed these technologies, we anticipate further opportunities to enhance and improve our service, as well as further benefit from AI and other technological developments.</w:t>
      </w:r>
    </w:p>
    <w:p w14:paraId="6B6809F0" w14:textId="144F68CA" w:rsidR="00D35D97" w:rsidRPr="00735726" w:rsidRDefault="00D35D97" w:rsidP="00844EFD">
      <w:pPr>
        <w:spacing w:after="160"/>
        <w:rPr>
          <w:rFonts w:ascii="Arial" w:hAnsi="Arial" w:cs="Arial"/>
          <w:sz w:val="18"/>
          <w:szCs w:val="18"/>
        </w:rPr>
      </w:pPr>
      <w:r w:rsidRPr="00735726">
        <w:rPr>
          <w:rFonts w:ascii="Arial" w:eastAsia="Times New Roman" w:hAnsi="Arial" w:cs="DINOT-Light"/>
          <w:b/>
          <w:color w:val="000000"/>
          <w:sz w:val="18"/>
          <w:szCs w:val="18"/>
        </w:rPr>
        <w:t>DELIVERING THROUGH OUR PEOPLE AND OUR SUPPLY CHAIN</w:t>
      </w:r>
      <w:r w:rsidR="00D62E2B" w:rsidRPr="00735726">
        <w:rPr>
          <w:rFonts w:ascii="Arial" w:hAnsi="Arial" w:cs="Arial"/>
          <w:sz w:val="18"/>
          <w:szCs w:val="18"/>
        </w:rPr>
        <w:br/>
      </w:r>
      <w:r w:rsidRPr="00735726">
        <w:rPr>
          <w:rFonts w:ascii="Arial" w:hAnsi="Arial" w:cs="Arial"/>
          <w:sz w:val="18"/>
          <w:szCs w:val="18"/>
        </w:rPr>
        <w:t>Our people are a critical enabler of our delivery and long-term performance. With c.</w:t>
      </w:r>
      <w:r w:rsidR="00283FBB" w:rsidRPr="00735726">
        <w:rPr>
          <w:rFonts w:ascii="Arial" w:hAnsi="Arial" w:cs="Arial"/>
          <w:sz w:val="18"/>
          <w:szCs w:val="18"/>
        </w:rPr>
        <w:t>2,700</w:t>
      </w:r>
      <w:r w:rsidRPr="00735726">
        <w:rPr>
          <w:rFonts w:ascii="Arial" w:hAnsi="Arial" w:cs="Arial"/>
          <w:sz w:val="18"/>
          <w:szCs w:val="18"/>
        </w:rPr>
        <w:t xml:space="preserve"> colleagues across the </w:t>
      </w:r>
      <w:r w:rsidR="002C5649" w:rsidRPr="00735726">
        <w:rPr>
          <w:rFonts w:ascii="Arial" w:hAnsi="Arial" w:cs="Arial"/>
          <w:sz w:val="18"/>
          <w:szCs w:val="18"/>
        </w:rPr>
        <w:t>Company</w:t>
      </w:r>
      <w:r w:rsidRPr="00735726">
        <w:rPr>
          <w:rFonts w:ascii="Arial" w:hAnsi="Arial" w:cs="Arial"/>
          <w:sz w:val="18"/>
          <w:szCs w:val="18"/>
        </w:rPr>
        <w:t xml:space="preserve">, increased investment in frontline roles, and alignment of our organisation structure with our delivery priorities, we have been strengthening our operational capability and execution. We continue to focus on ensuring a strong executive team, effective delivery across all areas of our plans, and a focus on clear accountability and a refreshed leadership team. </w:t>
      </w:r>
    </w:p>
    <w:p w14:paraId="02C0DB73" w14:textId="55245A2B" w:rsidR="00D35D97" w:rsidRPr="00735726" w:rsidRDefault="00D35D97" w:rsidP="00844EFD">
      <w:pPr>
        <w:spacing w:after="160"/>
        <w:rPr>
          <w:rFonts w:ascii="Arial" w:hAnsi="Arial" w:cs="Arial"/>
          <w:sz w:val="18"/>
          <w:szCs w:val="18"/>
        </w:rPr>
      </w:pPr>
      <w:r w:rsidRPr="00735726">
        <w:rPr>
          <w:rFonts w:ascii="Arial" w:hAnsi="Arial" w:cs="Arial"/>
          <w:sz w:val="18"/>
          <w:szCs w:val="18"/>
        </w:rPr>
        <w:t xml:space="preserve">Our capital programme requires careful capital allocation and a structured approach to delivery, to ensure that investment converts into effective, compliant assets and measurable outcomes. Our in-house Engineering team is working collaboratively with </w:t>
      </w:r>
      <w:proofErr w:type="gramStart"/>
      <w:r w:rsidRPr="00735726">
        <w:rPr>
          <w:rFonts w:ascii="Arial" w:hAnsi="Arial" w:cs="Arial"/>
          <w:sz w:val="18"/>
          <w:szCs w:val="18"/>
        </w:rPr>
        <w:t>our</w:t>
      </w:r>
      <w:proofErr w:type="gramEnd"/>
      <w:r w:rsidRPr="00735726">
        <w:rPr>
          <w:rFonts w:ascii="Arial" w:hAnsi="Arial" w:cs="Arial"/>
          <w:sz w:val="18"/>
          <w:szCs w:val="18"/>
        </w:rPr>
        <w:t xml:space="preserve"> amplify delivery alliance to progress delivery in line with a clear set of </w:t>
      </w:r>
      <w:proofErr w:type="gramStart"/>
      <w:r w:rsidRPr="00735726">
        <w:rPr>
          <w:rFonts w:ascii="Arial" w:hAnsi="Arial" w:cs="Arial"/>
          <w:sz w:val="18"/>
          <w:szCs w:val="18"/>
        </w:rPr>
        <w:t>principles;</w:t>
      </w:r>
      <w:proofErr w:type="gramEnd"/>
      <w:r w:rsidRPr="00735726">
        <w:rPr>
          <w:rFonts w:ascii="Arial" w:hAnsi="Arial" w:cs="Arial"/>
          <w:sz w:val="18"/>
          <w:szCs w:val="18"/>
        </w:rPr>
        <w:t xml:space="preserve"> sequencing for outcomes, mobilising at scale and efficient delivery.</w:t>
      </w:r>
    </w:p>
    <w:p w14:paraId="785743BE" w14:textId="79565B26" w:rsidR="00D35D97" w:rsidRPr="00735726" w:rsidRDefault="00D35D97" w:rsidP="00844EFD">
      <w:pPr>
        <w:spacing w:after="160"/>
        <w:rPr>
          <w:rFonts w:ascii="Arial" w:hAnsi="Arial" w:cs="Arial"/>
          <w:sz w:val="18"/>
          <w:szCs w:val="18"/>
        </w:rPr>
      </w:pPr>
      <w:r w:rsidRPr="00735726">
        <w:rPr>
          <w:rFonts w:ascii="Arial" w:hAnsi="Arial" w:cs="Arial"/>
          <w:sz w:val="18"/>
          <w:szCs w:val="18"/>
        </w:rPr>
        <w:t>We have rephased the five-year programme through a carefully governed approach to mobilisation, prioritising safety, design maturity and a focus on control of cost and schedule ahead of construction ramp-up. Ensuring we get design right up-front, will ensure our outcomes meet the needs and provide the best outcomes for customers and the environment.</w:t>
      </w:r>
    </w:p>
    <w:p w14:paraId="3470374C" w14:textId="77777777" w:rsidR="00D35D97" w:rsidRPr="00735726" w:rsidRDefault="00D35D97" w:rsidP="00844EFD">
      <w:pPr>
        <w:spacing w:after="160"/>
        <w:rPr>
          <w:rFonts w:ascii="Arial" w:hAnsi="Arial" w:cs="Arial"/>
          <w:sz w:val="18"/>
          <w:szCs w:val="18"/>
        </w:rPr>
      </w:pPr>
      <w:r w:rsidRPr="00735726">
        <w:rPr>
          <w:rFonts w:ascii="Arial" w:hAnsi="Arial" w:cs="Arial"/>
          <w:sz w:val="18"/>
          <w:szCs w:val="18"/>
        </w:rPr>
        <w:t>Our approach also ensures standardisation across the programme, early contactor involvement and robust value management to maintain pace whilst meeting high standards of safety, environmental compliance and quality, reducing execution risk across the programme.</w:t>
      </w:r>
    </w:p>
    <w:p w14:paraId="1F939E7C" w14:textId="57588F50" w:rsidR="00D35D97" w:rsidRPr="00735726" w:rsidRDefault="00D35D97" w:rsidP="00844EFD">
      <w:pPr>
        <w:spacing w:after="160"/>
        <w:rPr>
          <w:rFonts w:ascii="Arial" w:hAnsi="Arial" w:cs="Arial"/>
          <w:sz w:val="18"/>
          <w:szCs w:val="18"/>
        </w:rPr>
      </w:pPr>
      <w:r w:rsidRPr="00735726">
        <w:rPr>
          <w:rFonts w:ascii="Arial" w:eastAsia="Times New Roman" w:hAnsi="Arial" w:cs="DINOT-Light"/>
          <w:b/>
          <w:color w:val="000000"/>
          <w:sz w:val="18"/>
          <w:szCs w:val="18"/>
        </w:rPr>
        <w:t>FINANCIAL DISCIPLINE AND DELIVERY CONFIDENCE</w:t>
      </w:r>
      <w:r w:rsidR="00D62E2B" w:rsidRPr="00735726">
        <w:rPr>
          <w:rFonts w:ascii="Arial" w:hAnsi="Arial" w:cs="Arial"/>
          <w:sz w:val="18"/>
          <w:szCs w:val="18"/>
        </w:rPr>
        <w:br/>
      </w:r>
      <w:r w:rsidRPr="00735726">
        <w:rPr>
          <w:rFonts w:ascii="Arial" w:hAnsi="Arial" w:cs="Arial"/>
          <w:sz w:val="18"/>
          <w:szCs w:val="18"/>
        </w:rPr>
        <w:t>Financial discipline and delivery confidence for AMP8 is underpinned by a resilient financial position and disciplined capital management. We have strengthened liquidity and ensured capacity to fund record levels of investment while maintaining balance sheet strength and sustainable returns.</w:t>
      </w:r>
    </w:p>
    <w:p w14:paraId="5FD83F1E" w14:textId="3846C28B" w:rsidR="00C118B0" w:rsidRPr="00735726" w:rsidRDefault="00D35D97" w:rsidP="00844EFD">
      <w:pPr>
        <w:spacing w:after="160"/>
        <w:rPr>
          <w:rFonts w:ascii="Arial" w:hAnsi="Arial" w:cs="Arial"/>
          <w:sz w:val="18"/>
          <w:szCs w:val="18"/>
        </w:rPr>
      </w:pPr>
      <w:r w:rsidRPr="00735726">
        <w:rPr>
          <w:rFonts w:ascii="Arial" w:hAnsi="Arial" w:cs="Arial"/>
          <w:sz w:val="18"/>
          <w:szCs w:val="18"/>
        </w:rPr>
        <w:t xml:space="preserve">Tariff profiling and strong cost control support stable cash flows and allow for funding to be raised across the period. Investment in people, delivery capability and supply chain partnerships remains central to execution. Through structured mobilisation, disciplined sequencing and a continued focus on efficiency, we are maintaining a clear line of sight from investment to outcomes. This approach ensures AMP8 is delivered responsibly, at scale </w:t>
      </w:r>
      <w:r w:rsidRPr="00735726">
        <w:rPr>
          <w:rFonts w:ascii="Arial" w:hAnsi="Arial" w:cs="Arial"/>
          <w:sz w:val="18"/>
          <w:szCs w:val="18"/>
        </w:rPr>
        <w:lastRenderedPageBreak/>
        <w:t xml:space="preserve">and at pace </w:t>
      </w:r>
      <w:r w:rsidR="009C69C9" w:rsidRPr="00735726">
        <w:rPr>
          <w:rFonts w:ascii="Arial" w:hAnsi="Arial" w:cs="Arial"/>
          <w:sz w:val="18"/>
          <w:szCs w:val="18"/>
        </w:rPr>
        <w:t xml:space="preserve">- </w:t>
      </w:r>
      <w:r w:rsidRPr="00735726">
        <w:rPr>
          <w:rFonts w:ascii="Arial" w:hAnsi="Arial" w:cs="Arial"/>
          <w:sz w:val="18"/>
          <w:szCs w:val="18"/>
        </w:rPr>
        <w:t>strengthening resilience, improving environmental performance and creating long-term value for customers</w:t>
      </w:r>
      <w:r w:rsidR="002C5649" w:rsidRPr="00735726">
        <w:rPr>
          <w:rFonts w:ascii="Arial" w:hAnsi="Arial" w:cs="Arial"/>
          <w:sz w:val="18"/>
          <w:szCs w:val="18"/>
        </w:rPr>
        <w:t xml:space="preserve"> and</w:t>
      </w:r>
      <w:r w:rsidRPr="00735726">
        <w:rPr>
          <w:rFonts w:ascii="Arial" w:hAnsi="Arial" w:cs="Arial"/>
          <w:sz w:val="18"/>
          <w:szCs w:val="18"/>
        </w:rPr>
        <w:t xml:space="preserve"> communities.</w:t>
      </w:r>
    </w:p>
    <w:p w14:paraId="3870D7EB" w14:textId="77777777" w:rsidR="00C118B0" w:rsidRPr="00735726" w:rsidRDefault="00C118B0" w:rsidP="00844EFD">
      <w:pPr>
        <w:spacing w:after="160"/>
        <w:rPr>
          <w:rFonts w:ascii="Arial" w:hAnsi="Arial" w:cs="Arial"/>
          <w:sz w:val="18"/>
          <w:szCs w:val="18"/>
        </w:rPr>
      </w:pPr>
      <w:r w:rsidRPr="00735726">
        <w:rPr>
          <w:rFonts w:ascii="Arial" w:hAnsi="Arial" w:cs="Arial"/>
          <w:sz w:val="18"/>
          <w:szCs w:val="18"/>
        </w:rPr>
        <w:t>Delivering on our promises to customers:</w:t>
      </w:r>
    </w:p>
    <w:tbl>
      <w:tblPr>
        <w:tblStyle w:val="TableGrid"/>
        <w:tblW w:w="0" w:type="auto"/>
        <w:tblLook w:val="04A0" w:firstRow="1" w:lastRow="0" w:firstColumn="1" w:lastColumn="0" w:noHBand="0" w:noVBand="1"/>
      </w:tblPr>
      <w:tblGrid>
        <w:gridCol w:w="4508"/>
        <w:gridCol w:w="4508"/>
      </w:tblGrid>
      <w:tr w:rsidR="00C118B0" w:rsidRPr="00735726" w14:paraId="12944C23" w14:textId="77777777" w:rsidTr="00C118B0">
        <w:tc>
          <w:tcPr>
            <w:tcW w:w="4508" w:type="dxa"/>
            <w:shd w:val="clear" w:color="auto" w:fill="002060"/>
          </w:tcPr>
          <w:p w14:paraId="5DFA2B1D" w14:textId="0B82E204" w:rsidR="00C118B0" w:rsidRPr="00735726" w:rsidRDefault="00C118B0" w:rsidP="00844EFD">
            <w:pPr>
              <w:spacing w:after="160"/>
              <w:rPr>
                <w:rFonts w:ascii="Arial" w:hAnsi="Arial" w:cs="Arial"/>
                <w:b/>
                <w:bCs/>
                <w:sz w:val="18"/>
                <w:szCs w:val="18"/>
              </w:rPr>
            </w:pPr>
            <w:r w:rsidRPr="00735726">
              <w:rPr>
                <w:rFonts w:ascii="Arial" w:eastAsiaTheme="minorHAnsi" w:hAnsi="Arial" w:cs="Arial"/>
                <w:b/>
                <w:bCs/>
                <w:sz w:val="18"/>
                <w:szCs w:val="18"/>
              </w:rPr>
              <w:t>Customers said</w:t>
            </w:r>
          </w:p>
        </w:tc>
        <w:tc>
          <w:tcPr>
            <w:tcW w:w="4508" w:type="dxa"/>
            <w:shd w:val="clear" w:color="auto" w:fill="002060"/>
          </w:tcPr>
          <w:p w14:paraId="6154F051" w14:textId="18B1814C" w:rsidR="00C118B0" w:rsidRPr="00735726" w:rsidRDefault="00C118B0" w:rsidP="00844EFD">
            <w:pPr>
              <w:spacing w:after="160"/>
              <w:rPr>
                <w:rFonts w:ascii="Arial" w:hAnsi="Arial" w:cs="Arial"/>
                <w:b/>
                <w:bCs/>
                <w:sz w:val="18"/>
                <w:szCs w:val="18"/>
              </w:rPr>
            </w:pPr>
            <w:r w:rsidRPr="00735726">
              <w:rPr>
                <w:rFonts w:ascii="Arial" w:hAnsi="Arial" w:cs="Arial"/>
                <w:b/>
                <w:bCs/>
                <w:sz w:val="18"/>
                <w:szCs w:val="18"/>
              </w:rPr>
              <w:t>We did</w:t>
            </w:r>
          </w:p>
        </w:tc>
      </w:tr>
      <w:tr w:rsidR="00C118B0" w:rsidRPr="00735726" w14:paraId="444C5178" w14:textId="77777777" w:rsidTr="00C118B0">
        <w:tc>
          <w:tcPr>
            <w:tcW w:w="4508" w:type="dxa"/>
          </w:tcPr>
          <w:p w14:paraId="5E39A617" w14:textId="391977A6" w:rsidR="00C118B0" w:rsidRPr="00735726" w:rsidRDefault="00C118B0" w:rsidP="00844EFD">
            <w:pPr>
              <w:spacing w:after="160"/>
              <w:rPr>
                <w:rFonts w:ascii="Arial" w:hAnsi="Arial" w:cs="Arial"/>
                <w:b/>
                <w:bCs/>
                <w:sz w:val="18"/>
                <w:szCs w:val="18"/>
              </w:rPr>
            </w:pPr>
            <w:r w:rsidRPr="00735726">
              <w:rPr>
                <w:rFonts w:ascii="Arial" w:hAnsi="Arial" w:cs="Arial"/>
                <w:b/>
                <w:bCs/>
                <w:sz w:val="18"/>
                <w:szCs w:val="18"/>
              </w:rPr>
              <w:t>Protect rivers and beaches</w:t>
            </w:r>
          </w:p>
        </w:tc>
        <w:tc>
          <w:tcPr>
            <w:tcW w:w="4508" w:type="dxa"/>
          </w:tcPr>
          <w:p w14:paraId="64A5B637" w14:textId="1D922439" w:rsidR="00C118B0" w:rsidRPr="00735726" w:rsidRDefault="00C118B0" w:rsidP="00844EFD">
            <w:pPr>
              <w:spacing w:after="160"/>
              <w:rPr>
                <w:rFonts w:ascii="Arial" w:hAnsi="Arial" w:cs="Arial"/>
                <w:sz w:val="18"/>
                <w:szCs w:val="18"/>
              </w:rPr>
            </w:pPr>
            <w:r w:rsidRPr="00735726">
              <w:rPr>
                <w:rFonts w:ascii="Arial" w:hAnsi="Arial" w:cs="Arial"/>
                <w:sz w:val="18"/>
                <w:szCs w:val="18"/>
              </w:rPr>
              <w:t>Reduced spills and pollution through sustained investment in networks, treatment works and catchment solutions.</w:t>
            </w:r>
          </w:p>
        </w:tc>
      </w:tr>
      <w:tr w:rsidR="00C118B0" w:rsidRPr="00735726" w14:paraId="2ACBF386" w14:textId="77777777" w:rsidTr="00C118B0">
        <w:tc>
          <w:tcPr>
            <w:tcW w:w="4508" w:type="dxa"/>
          </w:tcPr>
          <w:p w14:paraId="3EDE3B3D" w14:textId="748242EF" w:rsidR="00C118B0" w:rsidRPr="00735726" w:rsidRDefault="00C118B0" w:rsidP="00844EFD">
            <w:pPr>
              <w:spacing w:after="160"/>
              <w:rPr>
                <w:rFonts w:ascii="Arial" w:hAnsi="Arial" w:cs="Arial"/>
                <w:b/>
                <w:bCs/>
                <w:sz w:val="18"/>
                <w:szCs w:val="18"/>
              </w:rPr>
            </w:pPr>
            <w:r w:rsidRPr="00735726">
              <w:rPr>
                <w:rFonts w:ascii="Arial" w:hAnsi="Arial" w:cs="Arial"/>
                <w:b/>
                <w:bCs/>
                <w:sz w:val="18"/>
                <w:szCs w:val="18"/>
              </w:rPr>
              <w:t>Safe and reliable water</w:t>
            </w:r>
          </w:p>
        </w:tc>
        <w:tc>
          <w:tcPr>
            <w:tcW w:w="4508" w:type="dxa"/>
          </w:tcPr>
          <w:p w14:paraId="6E937A69" w14:textId="45E95738" w:rsidR="00C118B0" w:rsidRPr="00735726" w:rsidRDefault="00C118B0" w:rsidP="00844EFD">
            <w:pPr>
              <w:spacing w:after="160"/>
              <w:rPr>
                <w:rFonts w:ascii="Arial" w:hAnsi="Arial" w:cs="Arial"/>
                <w:sz w:val="18"/>
                <w:szCs w:val="18"/>
              </w:rPr>
            </w:pPr>
            <w:r w:rsidRPr="00735726">
              <w:rPr>
                <w:rFonts w:ascii="Arial" w:hAnsi="Arial" w:cs="Arial"/>
                <w:sz w:val="18"/>
                <w:szCs w:val="18"/>
              </w:rPr>
              <w:t>Continued investment in treatment works and resilience to deliver high</w:t>
            </w:r>
            <w:r w:rsidRPr="00735726">
              <w:rPr>
                <w:rFonts w:ascii="Cambria Math" w:hAnsi="Cambria Math" w:cs="Cambria Math"/>
                <w:sz w:val="18"/>
                <w:szCs w:val="18"/>
              </w:rPr>
              <w:t>‑</w:t>
            </w:r>
            <w:r w:rsidRPr="00735726">
              <w:rPr>
                <w:rFonts w:ascii="Arial" w:hAnsi="Arial" w:cs="Arial"/>
                <w:sz w:val="18"/>
                <w:szCs w:val="18"/>
              </w:rPr>
              <w:t>quality, dependable drinking water.</w:t>
            </w:r>
          </w:p>
        </w:tc>
      </w:tr>
      <w:tr w:rsidR="00C118B0" w:rsidRPr="00735726" w14:paraId="68484CA3" w14:textId="77777777" w:rsidTr="00C118B0">
        <w:tc>
          <w:tcPr>
            <w:tcW w:w="4508" w:type="dxa"/>
          </w:tcPr>
          <w:p w14:paraId="6D4A2C60" w14:textId="21F2FBCF" w:rsidR="00C118B0" w:rsidRPr="00735726" w:rsidRDefault="00C118B0" w:rsidP="00844EFD">
            <w:pPr>
              <w:spacing w:after="160"/>
              <w:rPr>
                <w:rFonts w:ascii="Arial" w:hAnsi="Arial" w:cs="Arial"/>
                <w:b/>
                <w:bCs/>
                <w:sz w:val="18"/>
                <w:szCs w:val="18"/>
              </w:rPr>
            </w:pPr>
            <w:r w:rsidRPr="00735726">
              <w:rPr>
                <w:rFonts w:ascii="Arial" w:hAnsi="Arial" w:cs="Arial"/>
                <w:b/>
                <w:bCs/>
                <w:sz w:val="18"/>
                <w:szCs w:val="18"/>
              </w:rPr>
              <w:t>Bill affordability</w:t>
            </w:r>
          </w:p>
        </w:tc>
        <w:tc>
          <w:tcPr>
            <w:tcW w:w="4508" w:type="dxa"/>
          </w:tcPr>
          <w:p w14:paraId="519550C4" w14:textId="47065917" w:rsidR="00C118B0" w:rsidRPr="00735726" w:rsidRDefault="00C118B0" w:rsidP="00844EFD">
            <w:pPr>
              <w:spacing w:after="160"/>
              <w:rPr>
                <w:rFonts w:ascii="Arial" w:hAnsi="Arial" w:cs="Arial"/>
                <w:sz w:val="18"/>
                <w:szCs w:val="18"/>
              </w:rPr>
            </w:pPr>
            <w:r w:rsidRPr="00735726">
              <w:rPr>
                <w:rFonts w:ascii="Arial" w:hAnsi="Arial" w:cs="Arial"/>
                <w:sz w:val="18"/>
                <w:szCs w:val="18"/>
              </w:rPr>
              <w:t xml:space="preserve">Record affordability support provided to over </w:t>
            </w:r>
            <w:r w:rsidR="00D627AA" w:rsidRPr="00735726">
              <w:rPr>
                <w:rFonts w:ascii="Arial" w:hAnsi="Arial" w:cs="Arial"/>
                <w:sz w:val="18"/>
                <w:szCs w:val="18"/>
              </w:rPr>
              <w:t>c.</w:t>
            </w:r>
            <w:r w:rsidRPr="00735726">
              <w:rPr>
                <w:rFonts w:ascii="Arial" w:hAnsi="Arial" w:cs="Arial"/>
                <w:sz w:val="18"/>
                <w:szCs w:val="18"/>
              </w:rPr>
              <w:t>16</w:t>
            </w:r>
            <w:r w:rsidR="00D627AA" w:rsidRPr="00735726">
              <w:rPr>
                <w:rFonts w:ascii="Arial" w:hAnsi="Arial" w:cs="Arial"/>
                <w:sz w:val="18"/>
                <w:szCs w:val="18"/>
              </w:rPr>
              <w:t>9</w:t>
            </w:r>
            <w:r w:rsidRPr="00735726">
              <w:rPr>
                <w:rFonts w:ascii="Arial" w:hAnsi="Arial" w:cs="Arial"/>
                <w:sz w:val="18"/>
                <w:szCs w:val="18"/>
              </w:rPr>
              <w:t>,000</w:t>
            </w:r>
            <w:r w:rsidR="00D627AA" w:rsidRPr="00735726">
              <w:rPr>
                <w:rStyle w:val="FootnoteReference"/>
                <w:rFonts w:ascii="Arial" w:hAnsi="Arial" w:cs="Arial"/>
                <w:sz w:val="18"/>
                <w:szCs w:val="18"/>
              </w:rPr>
              <w:footnoteReference w:id="5"/>
            </w:r>
            <w:r w:rsidRPr="00735726">
              <w:rPr>
                <w:rFonts w:ascii="Arial" w:hAnsi="Arial" w:cs="Arial"/>
                <w:sz w:val="18"/>
                <w:szCs w:val="18"/>
              </w:rPr>
              <w:t xml:space="preserve"> customers through targeted tariffs and debt support.</w:t>
            </w:r>
          </w:p>
        </w:tc>
      </w:tr>
      <w:tr w:rsidR="00C118B0" w:rsidRPr="00735726" w14:paraId="2F074A8D" w14:textId="77777777" w:rsidTr="00C118B0">
        <w:tc>
          <w:tcPr>
            <w:tcW w:w="4508" w:type="dxa"/>
          </w:tcPr>
          <w:p w14:paraId="38B0F676" w14:textId="2945161D" w:rsidR="00C118B0" w:rsidRPr="00735726" w:rsidRDefault="00C118B0" w:rsidP="00844EFD">
            <w:pPr>
              <w:spacing w:after="160"/>
              <w:rPr>
                <w:rFonts w:ascii="Arial" w:hAnsi="Arial" w:cs="Arial"/>
                <w:b/>
                <w:bCs/>
                <w:sz w:val="18"/>
                <w:szCs w:val="18"/>
              </w:rPr>
            </w:pPr>
            <w:r w:rsidRPr="00735726">
              <w:rPr>
                <w:rFonts w:ascii="Arial" w:hAnsi="Arial" w:cs="Arial"/>
                <w:b/>
                <w:bCs/>
                <w:sz w:val="18"/>
                <w:szCs w:val="18"/>
              </w:rPr>
              <w:t>Easy to contact</w:t>
            </w:r>
          </w:p>
        </w:tc>
        <w:tc>
          <w:tcPr>
            <w:tcW w:w="4508" w:type="dxa"/>
          </w:tcPr>
          <w:p w14:paraId="77EBE042" w14:textId="2BC63B28" w:rsidR="00C118B0" w:rsidRPr="00735726" w:rsidRDefault="00C118B0" w:rsidP="00844EFD">
            <w:pPr>
              <w:tabs>
                <w:tab w:val="left" w:pos="1050"/>
              </w:tabs>
              <w:spacing w:after="160"/>
              <w:rPr>
                <w:rFonts w:ascii="Arial" w:hAnsi="Arial" w:cs="Arial"/>
                <w:sz w:val="18"/>
                <w:szCs w:val="18"/>
              </w:rPr>
            </w:pPr>
            <w:r w:rsidRPr="00735726">
              <w:rPr>
                <w:rFonts w:ascii="Arial" w:hAnsi="Arial" w:cs="Arial"/>
                <w:sz w:val="18"/>
                <w:szCs w:val="18"/>
              </w:rPr>
              <w:t>More frontline colleagues and improved digital services, delivering faster responses and better outcomes.</w:t>
            </w:r>
          </w:p>
        </w:tc>
      </w:tr>
      <w:tr w:rsidR="00C118B0" w:rsidRPr="00735726" w14:paraId="60D621BB" w14:textId="77777777" w:rsidTr="00C118B0">
        <w:tc>
          <w:tcPr>
            <w:tcW w:w="4508" w:type="dxa"/>
          </w:tcPr>
          <w:p w14:paraId="45C3BF64" w14:textId="375F03CE" w:rsidR="00C118B0" w:rsidRPr="00735726" w:rsidRDefault="00C118B0" w:rsidP="00844EFD">
            <w:pPr>
              <w:spacing w:after="160"/>
              <w:rPr>
                <w:rFonts w:ascii="Arial" w:hAnsi="Arial" w:cs="Arial"/>
                <w:b/>
                <w:bCs/>
                <w:sz w:val="18"/>
                <w:szCs w:val="18"/>
              </w:rPr>
            </w:pPr>
            <w:r w:rsidRPr="00735726">
              <w:rPr>
                <w:rFonts w:ascii="Arial" w:hAnsi="Arial" w:cs="Arial"/>
                <w:b/>
                <w:bCs/>
                <w:sz w:val="18"/>
                <w:szCs w:val="18"/>
              </w:rPr>
              <w:t>Climate-ready future</w:t>
            </w:r>
          </w:p>
        </w:tc>
        <w:tc>
          <w:tcPr>
            <w:tcW w:w="4508" w:type="dxa"/>
          </w:tcPr>
          <w:p w14:paraId="019233B4" w14:textId="0A1CD90D" w:rsidR="00C118B0" w:rsidRPr="00735726" w:rsidRDefault="00C118B0" w:rsidP="00844EFD">
            <w:pPr>
              <w:spacing w:after="160"/>
              <w:rPr>
                <w:rFonts w:ascii="Arial" w:hAnsi="Arial" w:cs="Arial"/>
                <w:sz w:val="18"/>
                <w:szCs w:val="18"/>
              </w:rPr>
            </w:pPr>
            <w:r w:rsidRPr="00735726">
              <w:rPr>
                <w:rFonts w:ascii="Arial" w:hAnsi="Arial" w:cs="Arial"/>
                <w:sz w:val="18"/>
                <w:szCs w:val="18"/>
              </w:rPr>
              <w:t>Significant investment in resilience, leakage reduction, and low</w:t>
            </w:r>
            <w:r w:rsidRPr="00735726">
              <w:rPr>
                <w:rFonts w:ascii="Cambria Math" w:hAnsi="Cambria Math" w:cs="Cambria Math"/>
                <w:sz w:val="18"/>
                <w:szCs w:val="18"/>
              </w:rPr>
              <w:t>‑</w:t>
            </w:r>
            <w:r w:rsidRPr="00735726">
              <w:rPr>
                <w:rFonts w:ascii="Arial" w:hAnsi="Arial" w:cs="Arial"/>
                <w:sz w:val="18"/>
                <w:szCs w:val="18"/>
              </w:rPr>
              <w:t>carbon solutions to future-proof services.</w:t>
            </w:r>
          </w:p>
        </w:tc>
      </w:tr>
      <w:tr w:rsidR="00C118B0" w:rsidRPr="00735726" w14:paraId="46927F8A" w14:textId="77777777" w:rsidTr="00C118B0">
        <w:tc>
          <w:tcPr>
            <w:tcW w:w="4508" w:type="dxa"/>
          </w:tcPr>
          <w:p w14:paraId="6795C1F7" w14:textId="59EF9D2B" w:rsidR="00C118B0" w:rsidRPr="00735726" w:rsidRDefault="00C118B0" w:rsidP="00844EFD">
            <w:pPr>
              <w:spacing w:after="160"/>
              <w:rPr>
                <w:rFonts w:ascii="Arial" w:hAnsi="Arial" w:cs="Arial"/>
                <w:b/>
                <w:bCs/>
                <w:sz w:val="18"/>
                <w:szCs w:val="18"/>
              </w:rPr>
            </w:pPr>
            <w:r w:rsidRPr="00735726">
              <w:rPr>
                <w:rFonts w:ascii="Arial" w:hAnsi="Arial" w:cs="Arial"/>
                <w:b/>
                <w:bCs/>
                <w:sz w:val="18"/>
                <w:szCs w:val="18"/>
              </w:rPr>
              <w:t>Customer voice</w:t>
            </w:r>
          </w:p>
        </w:tc>
        <w:tc>
          <w:tcPr>
            <w:tcW w:w="4508" w:type="dxa"/>
          </w:tcPr>
          <w:p w14:paraId="773EFD90" w14:textId="6E6999CA" w:rsidR="00C118B0" w:rsidRPr="00735726" w:rsidRDefault="00C118B0" w:rsidP="00844EFD">
            <w:pPr>
              <w:spacing w:after="160"/>
              <w:rPr>
                <w:rFonts w:ascii="Arial" w:hAnsi="Arial" w:cs="Arial"/>
                <w:sz w:val="18"/>
                <w:szCs w:val="18"/>
              </w:rPr>
            </w:pPr>
            <w:r w:rsidRPr="00735726">
              <w:rPr>
                <w:rFonts w:ascii="Arial" w:hAnsi="Arial" w:cs="Arial"/>
                <w:sz w:val="18"/>
                <w:szCs w:val="18"/>
              </w:rPr>
              <w:t xml:space="preserve">Customer panels and </w:t>
            </w:r>
            <w:proofErr w:type="spellStart"/>
            <w:r w:rsidRPr="00735726">
              <w:rPr>
                <w:rFonts w:ascii="Arial" w:hAnsi="Arial" w:cs="Arial"/>
                <w:sz w:val="18"/>
                <w:szCs w:val="18"/>
              </w:rPr>
              <w:t>WaterShare</w:t>
            </w:r>
            <w:proofErr w:type="spellEnd"/>
            <w:r w:rsidRPr="00735726">
              <w:rPr>
                <w:rFonts w:ascii="Arial" w:hAnsi="Arial" w:cs="Arial"/>
                <w:sz w:val="18"/>
                <w:szCs w:val="18"/>
              </w:rPr>
              <w:t>+ insights shaping investment priorities and service improvements.</w:t>
            </w:r>
          </w:p>
        </w:tc>
      </w:tr>
    </w:tbl>
    <w:p w14:paraId="70D972F9" w14:textId="77777777" w:rsidR="002C5649" w:rsidRPr="00735726" w:rsidRDefault="002C5649" w:rsidP="00844EFD">
      <w:pPr>
        <w:spacing w:after="160"/>
        <w:rPr>
          <w:rFonts w:ascii="Arial" w:hAnsi="Arial" w:cs="Arial"/>
          <w:sz w:val="18"/>
          <w:szCs w:val="18"/>
        </w:rPr>
      </w:pPr>
    </w:p>
    <w:p w14:paraId="57F6B568" w14:textId="77777777" w:rsidR="00196479" w:rsidRPr="00735726" w:rsidRDefault="00196479">
      <w:pPr>
        <w:spacing w:after="160" w:line="259" w:lineRule="auto"/>
        <w:rPr>
          <w:rFonts w:ascii="Arial" w:eastAsia="Times New Roman" w:hAnsi="Arial" w:cs="DINOT-Light"/>
          <w:b/>
          <w:color w:val="000000"/>
          <w:sz w:val="18"/>
          <w:szCs w:val="18"/>
        </w:rPr>
      </w:pPr>
      <w:r w:rsidRPr="00735726">
        <w:rPr>
          <w:rFonts w:ascii="Arial" w:eastAsia="Times New Roman" w:hAnsi="Arial" w:cs="DINOT-Light"/>
          <w:b/>
          <w:color w:val="000000"/>
          <w:sz w:val="18"/>
          <w:szCs w:val="18"/>
        </w:rPr>
        <w:br w:type="page"/>
      </w:r>
    </w:p>
    <w:p w14:paraId="38E16A5C" w14:textId="7B7EC495" w:rsidR="002C5649" w:rsidRPr="00735726" w:rsidRDefault="002C5649" w:rsidP="00844EFD">
      <w:pPr>
        <w:spacing w:after="160"/>
        <w:rPr>
          <w:rFonts w:ascii="Arial" w:eastAsia="Times New Roman" w:hAnsi="Arial" w:cs="DINOT-Light"/>
          <w:bCs/>
          <w:color w:val="000000"/>
          <w:sz w:val="18"/>
          <w:szCs w:val="18"/>
        </w:rPr>
      </w:pPr>
      <w:r w:rsidRPr="00735726">
        <w:rPr>
          <w:rFonts w:ascii="Arial" w:eastAsia="Times New Roman" w:hAnsi="Arial" w:cs="DINOT-Light"/>
          <w:b/>
          <w:color w:val="000000"/>
          <w:sz w:val="18"/>
          <w:szCs w:val="18"/>
        </w:rPr>
        <w:lastRenderedPageBreak/>
        <w:t>OUR 2030 PLAN: OUTCOMES THAT DRIVE VALUE</w:t>
      </w:r>
      <w:r w:rsidR="00D62E2B" w:rsidRPr="00735726">
        <w:rPr>
          <w:rFonts w:ascii="Arial" w:eastAsia="Times New Roman" w:hAnsi="Arial" w:cs="DINOT-Light"/>
          <w:bCs/>
          <w:color w:val="000000"/>
          <w:sz w:val="18"/>
          <w:szCs w:val="18"/>
        </w:rPr>
        <w:br/>
      </w:r>
      <w:r w:rsidRPr="00735726">
        <w:rPr>
          <w:rFonts w:ascii="Arial" w:eastAsia="Times New Roman" w:hAnsi="Arial" w:cs="DINOT-Light"/>
          <w:bCs/>
          <w:color w:val="000000"/>
          <w:sz w:val="18"/>
          <w:szCs w:val="18"/>
        </w:rPr>
        <w:t>Our 2030 plan defines the long-term outcomes we expect AMP8 to deliver. These outcomes address the most material risks and opportunities facing the business and are closely aligned with regulatory expectations, ESG priorities and long-term financial sustainability. We have focused on delivery, building on our track record of efficiency and performance improvement.</w:t>
      </w:r>
    </w:p>
    <w:p w14:paraId="307ED853" w14:textId="3D6B2DB8" w:rsidR="00590218" w:rsidRPr="00735726" w:rsidRDefault="002C5649" w:rsidP="00844EFD">
      <w:pPr>
        <w:spacing w:after="160"/>
        <w:rPr>
          <w:rFonts w:ascii="Arial" w:eastAsia="Times New Roman" w:hAnsi="Arial" w:cs="DINOT-Light"/>
          <w:b/>
          <w:color w:val="000000"/>
          <w:sz w:val="18"/>
          <w:szCs w:val="18"/>
        </w:rPr>
      </w:pPr>
      <w:r w:rsidRPr="00735726">
        <w:rPr>
          <w:rFonts w:ascii="Arial" w:eastAsia="Times New Roman" w:hAnsi="Arial" w:cs="DINOT-Light"/>
          <w:bCs/>
          <w:color w:val="000000"/>
          <w:sz w:val="18"/>
          <w:szCs w:val="18"/>
        </w:rPr>
        <w:t>These outcomes shape every element of our AMP8 programme and provide a clear framework for measuring progress alongside an extensive enhancement programme, focused on tackling the biggest issues head on, delivering for our customers, based on the priorities they have shared.</w:t>
      </w:r>
      <w:r w:rsidRPr="00735726">
        <w:rPr>
          <w:rFonts w:ascii="Arial" w:eastAsia="Times New Roman" w:hAnsi="Arial" w:cs="DINOT-Light"/>
          <w:b/>
          <w:color w:val="000000"/>
          <w:sz w:val="18"/>
          <w:szCs w:val="18"/>
        </w:rPr>
        <w:t xml:space="preserve"> </w:t>
      </w:r>
      <w:r w:rsidR="00AA0F6B" w:rsidRPr="00735726">
        <w:rPr>
          <w:rFonts w:ascii="Arial" w:eastAsia="Times New Roman" w:hAnsi="Arial" w:cs="DINOT-Light"/>
          <w:b/>
          <w:color w:val="000000"/>
          <w:sz w:val="18"/>
          <w:szCs w:val="18"/>
        </w:rPr>
        <w:br/>
      </w:r>
    </w:p>
    <w:p w14:paraId="10FDF05A" w14:textId="588E452A" w:rsidR="00590218" w:rsidRPr="00735726" w:rsidRDefault="00590218" w:rsidP="00844EFD">
      <w:pPr>
        <w:spacing w:after="160"/>
        <w:rPr>
          <w:rFonts w:ascii="Arial" w:eastAsia="Times New Roman" w:hAnsi="Arial" w:cs="DINOT-Light"/>
          <w:b/>
          <w:color w:val="000000"/>
          <w:sz w:val="18"/>
          <w:szCs w:val="18"/>
        </w:rPr>
      </w:pPr>
    </w:p>
    <w:tbl>
      <w:tblPr>
        <w:tblStyle w:val="TableGrid"/>
        <w:tblW w:w="9015" w:type="dxa"/>
        <w:tblLook w:val="04A0" w:firstRow="1" w:lastRow="0" w:firstColumn="1" w:lastColumn="0" w:noHBand="0" w:noVBand="1"/>
      </w:tblPr>
      <w:tblGrid>
        <w:gridCol w:w="1696"/>
        <w:gridCol w:w="1910"/>
        <w:gridCol w:w="1803"/>
        <w:gridCol w:w="1803"/>
        <w:gridCol w:w="1803"/>
      </w:tblGrid>
      <w:tr w:rsidR="008928E6" w:rsidRPr="00735726" w14:paraId="7771928A" w14:textId="77777777" w:rsidTr="00E577A5">
        <w:tc>
          <w:tcPr>
            <w:tcW w:w="1696" w:type="dxa"/>
            <w:tcBorders>
              <w:top w:val="nil"/>
              <w:left w:val="nil"/>
              <w:bottom w:val="single" w:sz="4" w:space="0" w:color="auto"/>
              <w:right w:val="nil"/>
            </w:tcBorders>
          </w:tcPr>
          <w:p w14:paraId="3ED8EA83" w14:textId="2174D4E3" w:rsidR="00590218" w:rsidRPr="00735726" w:rsidRDefault="00590218" w:rsidP="00844EFD">
            <w:pPr>
              <w:spacing w:after="160"/>
              <w:rPr>
                <w:rFonts w:ascii="Arial" w:hAnsi="Arial" w:cs="Arial"/>
                <w:sz w:val="18"/>
                <w:szCs w:val="18"/>
              </w:rPr>
            </w:pPr>
          </w:p>
        </w:tc>
        <w:tc>
          <w:tcPr>
            <w:tcW w:w="1910" w:type="dxa"/>
            <w:tcBorders>
              <w:top w:val="nil"/>
              <w:left w:val="nil"/>
              <w:bottom w:val="single" w:sz="4" w:space="0" w:color="auto"/>
              <w:right w:val="nil"/>
            </w:tcBorders>
          </w:tcPr>
          <w:p w14:paraId="1388E25C" w14:textId="75BBE680" w:rsidR="00590218" w:rsidRPr="00735726" w:rsidRDefault="00356AB1" w:rsidP="00844EFD">
            <w:pPr>
              <w:spacing w:after="160"/>
              <w:rPr>
                <w:rFonts w:ascii="Arial" w:hAnsi="Arial" w:cs="Arial"/>
                <w:sz w:val="18"/>
                <w:szCs w:val="18"/>
              </w:rPr>
            </w:pPr>
            <w:r w:rsidRPr="00735726">
              <w:rPr>
                <w:noProof/>
              </w:rPr>
              <w:drawing>
                <wp:inline distT="0" distB="0" distL="0" distR="0" wp14:anchorId="4486A360" wp14:editId="7C3682D9">
                  <wp:extent cx="676275" cy="676275"/>
                  <wp:effectExtent l="0" t="0" r="9525" b="9525"/>
                  <wp:docPr id="941423715" name="Picture 94142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803" w:type="dxa"/>
            <w:tcBorders>
              <w:top w:val="nil"/>
              <w:left w:val="nil"/>
              <w:bottom w:val="single" w:sz="4" w:space="0" w:color="auto"/>
              <w:right w:val="nil"/>
            </w:tcBorders>
          </w:tcPr>
          <w:p w14:paraId="05608FA2" w14:textId="2D112320" w:rsidR="00590218" w:rsidRPr="00735726" w:rsidRDefault="00356AB1" w:rsidP="00844EFD">
            <w:pPr>
              <w:spacing w:after="160"/>
              <w:rPr>
                <w:rFonts w:ascii="Arial" w:hAnsi="Arial" w:cs="Arial"/>
                <w:sz w:val="18"/>
                <w:szCs w:val="18"/>
              </w:rPr>
            </w:pPr>
            <w:r w:rsidRPr="00735726">
              <w:rPr>
                <w:rFonts w:ascii="Arial" w:hAnsi="Arial" w:cs="DINOT-Light"/>
                <w:b/>
                <w:noProof/>
                <w:color w:val="000000"/>
                <w:sz w:val="18"/>
                <w:szCs w:val="18"/>
              </w:rPr>
              <w:drawing>
                <wp:inline distT="0" distB="0" distL="0" distR="0" wp14:anchorId="057D3AE6" wp14:editId="6EEEF9A4">
                  <wp:extent cx="676275" cy="676275"/>
                  <wp:effectExtent l="0" t="0" r="9525" b="9525"/>
                  <wp:docPr id="1829797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803" w:type="dxa"/>
            <w:tcBorders>
              <w:top w:val="nil"/>
              <w:left w:val="nil"/>
              <w:bottom w:val="single" w:sz="4" w:space="0" w:color="auto"/>
              <w:right w:val="nil"/>
            </w:tcBorders>
          </w:tcPr>
          <w:p w14:paraId="6472F3C5" w14:textId="4994CDA5" w:rsidR="00590218" w:rsidRPr="00735726" w:rsidRDefault="00C20EB1" w:rsidP="00844EFD">
            <w:pPr>
              <w:spacing w:after="160"/>
              <w:rPr>
                <w:rFonts w:ascii="Arial" w:hAnsi="Arial" w:cs="Arial"/>
                <w:sz w:val="18"/>
                <w:szCs w:val="18"/>
              </w:rPr>
            </w:pPr>
            <w:r w:rsidRPr="00735726">
              <w:rPr>
                <w:rFonts w:ascii="Arial" w:hAnsi="Arial" w:cs="DINOT-Light"/>
                <w:b/>
                <w:noProof/>
                <w:color w:val="000000"/>
                <w:sz w:val="18"/>
                <w:szCs w:val="18"/>
              </w:rPr>
              <w:drawing>
                <wp:inline distT="0" distB="0" distL="0" distR="0" wp14:anchorId="6CA20403" wp14:editId="1E80D576">
                  <wp:extent cx="695325" cy="695325"/>
                  <wp:effectExtent l="0" t="0" r="9525" b="9525"/>
                  <wp:docPr id="1469370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1803" w:type="dxa"/>
            <w:tcBorders>
              <w:top w:val="nil"/>
              <w:left w:val="nil"/>
              <w:bottom w:val="single" w:sz="4" w:space="0" w:color="auto"/>
              <w:right w:val="nil"/>
            </w:tcBorders>
          </w:tcPr>
          <w:p w14:paraId="28FEB611" w14:textId="128F3E4F" w:rsidR="00590218" w:rsidRPr="00735726" w:rsidRDefault="00C20EB1" w:rsidP="00844EFD">
            <w:pPr>
              <w:spacing w:after="160"/>
              <w:rPr>
                <w:rFonts w:ascii="Arial" w:hAnsi="Arial" w:cs="Arial"/>
                <w:sz w:val="18"/>
                <w:szCs w:val="18"/>
              </w:rPr>
            </w:pPr>
            <w:r w:rsidRPr="00735726">
              <w:rPr>
                <w:rFonts w:ascii="Arial" w:hAnsi="Arial" w:cs="DINOT-Light"/>
                <w:b/>
                <w:noProof/>
                <w:color w:val="000000"/>
                <w:sz w:val="18"/>
                <w:szCs w:val="18"/>
              </w:rPr>
              <w:drawing>
                <wp:inline distT="0" distB="0" distL="0" distR="0" wp14:anchorId="1C5618CB" wp14:editId="2E01F126">
                  <wp:extent cx="695325" cy="695325"/>
                  <wp:effectExtent l="0" t="0" r="9525" b="9525"/>
                  <wp:docPr id="1626460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004B6CB0" w:rsidRPr="00735726" w14:paraId="1EE076AD" w14:textId="77777777" w:rsidTr="00E577A5">
        <w:tc>
          <w:tcPr>
            <w:tcW w:w="1696" w:type="dxa"/>
            <w:tcBorders>
              <w:top w:val="single" w:sz="4" w:space="0" w:color="auto"/>
            </w:tcBorders>
            <w:shd w:val="clear" w:color="auto" w:fill="002060"/>
          </w:tcPr>
          <w:p w14:paraId="5B0FACDF" w14:textId="1A17CF33" w:rsidR="004B6CB0" w:rsidRPr="00735726" w:rsidRDefault="004B6CB0" w:rsidP="004B6CB0">
            <w:pPr>
              <w:spacing w:after="160"/>
              <w:rPr>
                <w:rFonts w:ascii="Arial" w:hAnsi="Arial" w:cs="Arial"/>
                <w:b/>
                <w:bCs/>
                <w:sz w:val="18"/>
                <w:szCs w:val="18"/>
              </w:rPr>
            </w:pPr>
            <w:r w:rsidRPr="00735726">
              <w:rPr>
                <w:rFonts w:ascii="Arial" w:eastAsiaTheme="minorHAnsi" w:hAnsi="Arial" w:cs="Arial"/>
                <w:b/>
                <w:bCs/>
                <w:sz w:val="18"/>
                <w:szCs w:val="18"/>
              </w:rPr>
              <w:t>Strategic priorities</w:t>
            </w:r>
          </w:p>
        </w:tc>
        <w:tc>
          <w:tcPr>
            <w:tcW w:w="1910" w:type="dxa"/>
            <w:tcBorders>
              <w:top w:val="single" w:sz="4" w:space="0" w:color="auto"/>
            </w:tcBorders>
            <w:shd w:val="clear" w:color="auto" w:fill="002060"/>
          </w:tcPr>
          <w:p w14:paraId="3DB46FAE" w14:textId="076DD266" w:rsidR="004B6CB0" w:rsidRPr="00735726" w:rsidRDefault="004B6CB0" w:rsidP="004B6CB0">
            <w:pPr>
              <w:spacing w:after="160"/>
              <w:rPr>
                <w:rFonts w:ascii="Arial" w:hAnsi="Arial" w:cs="Arial"/>
                <w:sz w:val="18"/>
                <w:szCs w:val="18"/>
              </w:rPr>
            </w:pPr>
            <w:r w:rsidRPr="00735726">
              <w:rPr>
                <w:rFonts w:ascii="Arial" w:eastAsiaTheme="minorHAnsi" w:hAnsi="Arial" w:cs="Arial"/>
                <w:b/>
                <w:bCs/>
                <w:sz w:val="18"/>
                <w:szCs w:val="18"/>
              </w:rPr>
              <w:t xml:space="preserve">Building water resources, improving water quality </w:t>
            </w:r>
          </w:p>
        </w:tc>
        <w:tc>
          <w:tcPr>
            <w:tcW w:w="1803" w:type="dxa"/>
            <w:tcBorders>
              <w:top w:val="single" w:sz="4" w:space="0" w:color="auto"/>
            </w:tcBorders>
            <w:shd w:val="clear" w:color="auto" w:fill="002060"/>
          </w:tcPr>
          <w:p w14:paraId="4E2D3602" w14:textId="1B2D4A34" w:rsidR="004B6CB0" w:rsidRPr="00735726" w:rsidRDefault="004B6CB0" w:rsidP="004B6CB0">
            <w:pPr>
              <w:spacing w:after="160"/>
              <w:rPr>
                <w:rFonts w:ascii="Arial" w:hAnsi="Arial" w:cs="Arial"/>
                <w:sz w:val="18"/>
                <w:szCs w:val="18"/>
              </w:rPr>
            </w:pPr>
            <w:r w:rsidRPr="00735726">
              <w:rPr>
                <w:rFonts w:ascii="Arial" w:eastAsiaTheme="minorHAnsi" w:hAnsi="Arial" w:cs="Arial"/>
                <w:b/>
                <w:bCs/>
                <w:sz w:val="18"/>
                <w:szCs w:val="18"/>
              </w:rPr>
              <w:t>Tackling storm overflow and pollutions</w:t>
            </w:r>
          </w:p>
        </w:tc>
        <w:tc>
          <w:tcPr>
            <w:tcW w:w="1803" w:type="dxa"/>
            <w:tcBorders>
              <w:top w:val="single" w:sz="4" w:space="0" w:color="auto"/>
            </w:tcBorders>
            <w:shd w:val="clear" w:color="auto" w:fill="002060"/>
          </w:tcPr>
          <w:p w14:paraId="377DD5BA" w14:textId="699D5913" w:rsidR="004B6CB0" w:rsidRPr="00735726" w:rsidRDefault="004B6CB0" w:rsidP="004B6CB0">
            <w:pPr>
              <w:spacing w:after="160"/>
              <w:rPr>
                <w:rFonts w:ascii="Arial" w:hAnsi="Arial" w:cs="Arial"/>
                <w:sz w:val="18"/>
                <w:szCs w:val="18"/>
              </w:rPr>
            </w:pPr>
            <w:r w:rsidRPr="00735726">
              <w:rPr>
                <w:rFonts w:ascii="Arial" w:eastAsiaTheme="minorHAnsi" w:hAnsi="Arial" w:cs="Arial"/>
                <w:b/>
                <w:bCs/>
                <w:sz w:val="18"/>
                <w:szCs w:val="18"/>
              </w:rPr>
              <w:t>Driving environmental gains and delivering Net Zero</w:t>
            </w:r>
          </w:p>
        </w:tc>
        <w:tc>
          <w:tcPr>
            <w:tcW w:w="1803" w:type="dxa"/>
            <w:tcBorders>
              <w:top w:val="single" w:sz="4" w:space="0" w:color="auto"/>
            </w:tcBorders>
            <w:shd w:val="clear" w:color="auto" w:fill="002060"/>
          </w:tcPr>
          <w:p w14:paraId="717D02BB" w14:textId="4CB335E2" w:rsidR="004B6CB0" w:rsidRPr="00735726" w:rsidRDefault="00C20EB1" w:rsidP="00C20EB1">
            <w:pPr>
              <w:spacing w:after="160"/>
              <w:rPr>
                <w:rFonts w:ascii="Arial" w:hAnsi="Arial" w:cs="Arial"/>
                <w:sz w:val="18"/>
                <w:szCs w:val="18"/>
              </w:rPr>
            </w:pPr>
            <w:r w:rsidRPr="00735726">
              <w:rPr>
                <w:rFonts w:ascii="Arial" w:hAnsi="Arial" w:cs="Arial"/>
                <w:b/>
                <w:bCs/>
                <w:sz w:val="18"/>
                <w:szCs w:val="18"/>
              </w:rPr>
              <w:t xml:space="preserve">Supporting affordability, delivering </w:t>
            </w:r>
            <w:r w:rsidRPr="00735726">
              <w:rPr>
                <w:rFonts w:ascii="Arial" w:eastAsiaTheme="minorHAnsi" w:hAnsi="Arial" w:cs="Arial"/>
                <w:b/>
                <w:bCs/>
                <w:sz w:val="18"/>
                <w:szCs w:val="18"/>
              </w:rPr>
              <w:t>for customers</w:t>
            </w:r>
          </w:p>
        </w:tc>
      </w:tr>
      <w:tr w:rsidR="00C20EB1" w:rsidRPr="00735726" w14:paraId="15B33220" w14:textId="77777777" w:rsidTr="009F19D7">
        <w:tc>
          <w:tcPr>
            <w:tcW w:w="1696" w:type="dxa"/>
          </w:tcPr>
          <w:p w14:paraId="243596D4" w14:textId="063E13C0" w:rsidR="00C20EB1" w:rsidRPr="00735726" w:rsidRDefault="00C20EB1" w:rsidP="00C20EB1">
            <w:pPr>
              <w:spacing w:after="160"/>
              <w:rPr>
                <w:rFonts w:ascii="Arial" w:hAnsi="Arial" w:cs="Arial"/>
                <w:b/>
                <w:bCs/>
                <w:sz w:val="18"/>
                <w:szCs w:val="18"/>
              </w:rPr>
            </w:pPr>
            <w:r w:rsidRPr="00735726">
              <w:rPr>
                <w:rFonts w:ascii="Arial" w:hAnsi="Arial" w:cs="Arial"/>
                <w:b/>
                <w:bCs/>
                <w:sz w:val="18"/>
                <w:szCs w:val="18"/>
              </w:rPr>
              <w:t>Planned investments over AMP8</w:t>
            </w:r>
          </w:p>
        </w:tc>
        <w:tc>
          <w:tcPr>
            <w:tcW w:w="1910" w:type="dxa"/>
          </w:tcPr>
          <w:p w14:paraId="3236FBC9" w14:textId="742E3811" w:rsidR="00C20EB1" w:rsidRPr="00735726" w:rsidRDefault="00C20EB1" w:rsidP="00C20EB1">
            <w:pPr>
              <w:spacing w:after="160"/>
              <w:rPr>
                <w:rFonts w:ascii="Arial" w:hAnsi="Arial" w:cs="Arial"/>
                <w:sz w:val="18"/>
                <w:szCs w:val="18"/>
              </w:rPr>
            </w:pPr>
            <w:r w:rsidRPr="00735726">
              <w:rPr>
                <w:rFonts w:ascii="Arial" w:hAnsi="Arial" w:cs="Arial"/>
                <w:sz w:val="18"/>
                <w:szCs w:val="18"/>
              </w:rPr>
              <w:t>We are investing in new treatment works and reservoirs, and addressing lead pipe issues to ensure a clean and reliable water for all</w:t>
            </w:r>
          </w:p>
          <w:p w14:paraId="2F8A1263" w14:textId="77777777" w:rsidR="00C20EB1" w:rsidRPr="00735726" w:rsidRDefault="00C20EB1" w:rsidP="00C20EB1">
            <w:pPr>
              <w:pStyle w:val="ListParagraph"/>
              <w:numPr>
                <w:ilvl w:val="0"/>
                <w:numId w:val="69"/>
              </w:numPr>
              <w:spacing w:after="160"/>
              <w:ind w:left="186" w:hanging="186"/>
              <w:rPr>
                <w:rFonts w:ascii="Arial" w:hAnsi="Arial" w:cs="Arial"/>
                <w:sz w:val="18"/>
                <w:szCs w:val="18"/>
              </w:rPr>
            </w:pPr>
            <w:r w:rsidRPr="00735726">
              <w:rPr>
                <w:rFonts w:ascii="Arial" w:hAnsi="Arial" w:cs="Arial"/>
                <w:sz w:val="18"/>
                <w:szCs w:val="18"/>
              </w:rPr>
              <w:t>Upgrading one-third of the water treatment works</w:t>
            </w:r>
          </w:p>
          <w:p w14:paraId="664602BA" w14:textId="0DA228F0" w:rsidR="00C20EB1" w:rsidRPr="00735726" w:rsidRDefault="00C20EB1" w:rsidP="00C20EB1">
            <w:pPr>
              <w:pStyle w:val="ListParagraph"/>
              <w:numPr>
                <w:ilvl w:val="0"/>
                <w:numId w:val="69"/>
              </w:numPr>
              <w:spacing w:after="160"/>
              <w:ind w:left="186" w:hanging="186"/>
              <w:rPr>
                <w:rFonts w:ascii="Arial" w:hAnsi="Arial" w:cs="Arial"/>
                <w:sz w:val="18"/>
                <w:szCs w:val="18"/>
              </w:rPr>
            </w:pPr>
            <w:r w:rsidRPr="00735726">
              <w:rPr>
                <w:rFonts w:ascii="Arial" w:hAnsi="Arial" w:cs="Arial"/>
                <w:sz w:val="18"/>
                <w:szCs w:val="18"/>
              </w:rPr>
              <w:t xml:space="preserve">Reducing leakage to less than 10% on our networks </w:t>
            </w:r>
            <w:r w:rsidR="006C1BA9" w:rsidRPr="00735726">
              <w:rPr>
                <w:rFonts w:ascii="Arial" w:hAnsi="Arial" w:cs="Arial"/>
                <w:sz w:val="18"/>
                <w:szCs w:val="18"/>
              </w:rPr>
              <w:t xml:space="preserve">- </w:t>
            </w:r>
            <w:r w:rsidRPr="00735726">
              <w:rPr>
                <w:rFonts w:ascii="Arial" w:hAnsi="Arial" w:cs="Arial"/>
                <w:sz w:val="18"/>
                <w:szCs w:val="18"/>
              </w:rPr>
              <w:t xml:space="preserve">with a 19% reduction 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region, and 14% reduction in the Bristol region</w:t>
            </w:r>
          </w:p>
          <w:p w14:paraId="0310C3CE" w14:textId="222C27E7" w:rsidR="00C20EB1" w:rsidRPr="00735726" w:rsidRDefault="00C20EB1" w:rsidP="00C20EB1">
            <w:pPr>
              <w:pStyle w:val="ListParagraph"/>
              <w:numPr>
                <w:ilvl w:val="0"/>
                <w:numId w:val="69"/>
              </w:numPr>
              <w:spacing w:after="160"/>
              <w:ind w:left="186" w:hanging="186"/>
              <w:rPr>
                <w:rFonts w:ascii="Arial" w:hAnsi="Arial" w:cs="Arial"/>
                <w:sz w:val="18"/>
                <w:szCs w:val="18"/>
              </w:rPr>
            </w:pPr>
            <w:r w:rsidRPr="00735726">
              <w:rPr>
                <w:rFonts w:ascii="Arial" w:hAnsi="Arial" w:cs="Arial"/>
                <w:sz w:val="18"/>
                <w:szCs w:val="18"/>
              </w:rPr>
              <w:t>Lead pipes replacement for 40,000 customers</w:t>
            </w:r>
          </w:p>
          <w:p w14:paraId="384E4181" w14:textId="5F1522E4" w:rsidR="00C20EB1" w:rsidRPr="00735726" w:rsidRDefault="00C20EB1" w:rsidP="00C20EB1">
            <w:pPr>
              <w:pStyle w:val="ListParagraph"/>
              <w:numPr>
                <w:ilvl w:val="0"/>
                <w:numId w:val="69"/>
              </w:numPr>
              <w:spacing w:after="160"/>
              <w:ind w:left="186" w:hanging="186"/>
              <w:rPr>
                <w:rFonts w:ascii="Arial" w:hAnsi="Arial" w:cs="Arial"/>
                <w:sz w:val="18"/>
                <w:szCs w:val="18"/>
              </w:rPr>
            </w:pPr>
            <w:r w:rsidRPr="00735726">
              <w:rPr>
                <w:rFonts w:ascii="Arial" w:hAnsi="Arial" w:cs="Arial"/>
                <w:sz w:val="18"/>
                <w:szCs w:val="18"/>
              </w:rPr>
              <w:t>Renewing or replacing c.</w:t>
            </w:r>
            <w:r w:rsidR="00A939D9" w:rsidRPr="00735726">
              <w:rPr>
                <w:rFonts w:ascii="Arial" w:hAnsi="Arial" w:cs="Arial"/>
                <w:sz w:val="18"/>
                <w:szCs w:val="18"/>
              </w:rPr>
              <w:t>400km</w:t>
            </w:r>
            <w:r w:rsidRPr="00735726">
              <w:rPr>
                <w:rFonts w:ascii="Arial" w:hAnsi="Arial" w:cs="Arial"/>
                <w:sz w:val="18"/>
                <w:szCs w:val="18"/>
              </w:rPr>
              <w:t xml:space="preserve"> of water mains</w:t>
            </w:r>
          </w:p>
          <w:p w14:paraId="5D851479" w14:textId="3CEB5E39" w:rsidR="00C20EB1" w:rsidRPr="00735726" w:rsidRDefault="00C20EB1" w:rsidP="00C20EB1">
            <w:pPr>
              <w:pStyle w:val="ListParagraph"/>
              <w:numPr>
                <w:ilvl w:val="0"/>
                <w:numId w:val="69"/>
              </w:numPr>
              <w:spacing w:after="160"/>
              <w:ind w:left="186" w:hanging="186"/>
              <w:rPr>
                <w:rFonts w:ascii="Arial" w:hAnsi="Arial" w:cs="Arial"/>
                <w:sz w:val="18"/>
                <w:szCs w:val="18"/>
              </w:rPr>
            </w:pPr>
            <w:r w:rsidRPr="00735726">
              <w:rPr>
                <w:rFonts w:ascii="Arial" w:hAnsi="Arial" w:cs="Arial"/>
                <w:sz w:val="18"/>
                <w:szCs w:val="18"/>
              </w:rPr>
              <w:t>Creating a water grid to improve connectivity of our strategic reservoirs</w:t>
            </w:r>
          </w:p>
          <w:p w14:paraId="6FFA1903" w14:textId="588A15DC" w:rsidR="00C20EB1" w:rsidRPr="00735726" w:rsidRDefault="00C20EB1" w:rsidP="00C20EB1">
            <w:pPr>
              <w:pStyle w:val="ListParagraph"/>
              <w:numPr>
                <w:ilvl w:val="0"/>
                <w:numId w:val="69"/>
              </w:numPr>
              <w:spacing w:after="160"/>
              <w:ind w:left="186" w:hanging="186"/>
              <w:rPr>
                <w:rFonts w:ascii="Arial" w:hAnsi="Arial" w:cs="Arial"/>
                <w:sz w:val="18"/>
                <w:szCs w:val="18"/>
              </w:rPr>
            </w:pPr>
            <w:r w:rsidRPr="00735726">
              <w:rPr>
                <w:rFonts w:ascii="Arial" w:hAnsi="Arial" w:cs="Arial"/>
                <w:sz w:val="18"/>
                <w:szCs w:val="18"/>
              </w:rPr>
              <w:t xml:space="preserve">Investing in large reservoirs, starting with Cheddar 2 in Bristol, a </w:t>
            </w:r>
            <w:r w:rsidRPr="00735726">
              <w:rPr>
                <w:rFonts w:ascii="Arial" w:hAnsi="Arial" w:cs="Arial"/>
                <w:sz w:val="18"/>
                <w:szCs w:val="18"/>
              </w:rPr>
              <w:lastRenderedPageBreak/>
              <w:t>significant project spanning several AMPs</w:t>
            </w:r>
          </w:p>
        </w:tc>
        <w:tc>
          <w:tcPr>
            <w:tcW w:w="1803" w:type="dxa"/>
          </w:tcPr>
          <w:p w14:paraId="6204DE00" w14:textId="4BF7957A" w:rsidR="00C20EB1" w:rsidRPr="00735726" w:rsidRDefault="00C20EB1" w:rsidP="00C20EB1">
            <w:pPr>
              <w:spacing w:after="160"/>
              <w:rPr>
                <w:rFonts w:ascii="Arial" w:hAnsi="Arial" w:cs="Arial"/>
                <w:sz w:val="18"/>
                <w:szCs w:val="18"/>
              </w:rPr>
            </w:pPr>
            <w:r w:rsidRPr="00735726">
              <w:rPr>
                <w:rFonts w:ascii="Arial" w:hAnsi="Arial" w:cs="Arial"/>
                <w:sz w:val="18"/>
                <w:szCs w:val="18"/>
              </w:rPr>
              <w:lastRenderedPageBreak/>
              <w:t>We are investing to address storm overflows at bathing and shellfish waters by 2030</w:t>
            </w:r>
          </w:p>
          <w:p w14:paraId="0900E448" w14:textId="21093BE2" w:rsidR="00C20EB1" w:rsidRPr="00735726" w:rsidRDefault="00C20EB1" w:rsidP="00C20EB1">
            <w:pPr>
              <w:pStyle w:val="ListParagraph"/>
              <w:numPr>
                <w:ilvl w:val="0"/>
                <w:numId w:val="70"/>
              </w:numPr>
              <w:spacing w:after="160"/>
              <w:ind w:left="244" w:hanging="244"/>
              <w:rPr>
                <w:rFonts w:ascii="Arial" w:hAnsi="Arial" w:cs="Arial"/>
                <w:sz w:val="18"/>
                <w:szCs w:val="18"/>
              </w:rPr>
            </w:pPr>
            <w:r w:rsidRPr="00735726">
              <w:rPr>
                <w:rFonts w:ascii="Arial" w:hAnsi="Arial" w:cs="Arial"/>
                <w:sz w:val="18"/>
                <w:szCs w:val="18"/>
              </w:rPr>
              <w:t xml:space="preserve">291 overflow improvements </w:t>
            </w:r>
            <w:r w:rsidR="006C1BA9" w:rsidRPr="00735726">
              <w:rPr>
                <w:rFonts w:ascii="Arial" w:hAnsi="Arial" w:cs="Arial"/>
                <w:sz w:val="18"/>
                <w:szCs w:val="18"/>
              </w:rPr>
              <w:t xml:space="preserve">- </w:t>
            </w:r>
            <w:r w:rsidRPr="00735726">
              <w:rPr>
                <w:rFonts w:ascii="Arial" w:hAnsi="Arial" w:cs="Arial"/>
                <w:sz w:val="18"/>
                <w:szCs w:val="18"/>
              </w:rPr>
              <w:t>100% of storm overflows at bathing waters addressed</w:t>
            </w:r>
          </w:p>
          <w:p w14:paraId="025D20E9" w14:textId="15AB0CA2" w:rsidR="00C20EB1" w:rsidRPr="00735726" w:rsidRDefault="00C20EB1" w:rsidP="00C20EB1">
            <w:pPr>
              <w:pStyle w:val="ListParagraph"/>
              <w:numPr>
                <w:ilvl w:val="0"/>
                <w:numId w:val="70"/>
              </w:numPr>
              <w:spacing w:after="160"/>
              <w:ind w:left="244" w:hanging="244"/>
              <w:rPr>
                <w:rFonts w:ascii="Arial" w:hAnsi="Arial" w:cs="Arial"/>
                <w:sz w:val="18"/>
                <w:szCs w:val="18"/>
              </w:rPr>
            </w:pPr>
            <w:r w:rsidRPr="00735726">
              <w:rPr>
                <w:rFonts w:ascii="Arial" w:hAnsi="Arial" w:cs="Arial"/>
                <w:sz w:val="18"/>
                <w:szCs w:val="18"/>
              </w:rPr>
              <w:t>Removing rainwater draining into our sewerage network by a volume equivalent to over 350 hectares</w:t>
            </w:r>
          </w:p>
          <w:p w14:paraId="47E9B00A" w14:textId="760CDEFC" w:rsidR="00C20EB1" w:rsidRPr="00735726" w:rsidRDefault="00C20EB1" w:rsidP="00C20EB1">
            <w:pPr>
              <w:pStyle w:val="ListParagraph"/>
              <w:numPr>
                <w:ilvl w:val="0"/>
                <w:numId w:val="70"/>
              </w:numPr>
              <w:spacing w:after="160"/>
              <w:ind w:left="244" w:hanging="244"/>
              <w:rPr>
                <w:rFonts w:ascii="Arial" w:hAnsi="Arial" w:cs="Arial"/>
                <w:sz w:val="18"/>
                <w:szCs w:val="18"/>
              </w:rPr>
            </w:pPr>
            <w:r w:rsidRPr="00735726">
              <w:rPr>
                <w:rFonts w:ascii="Arial" w:hAnsi="Arial" w:cs="Arial"/>
                <w:sz w:val="18"/>
                <w:szCs w:val="18"/>
              </w:rPr>
              <w:t>Adding over 250,000m</w:t>
            </w:r>
            <w:r w:rsidRPr="00735726">
              <w:rPr>
                <w:rFonts w:ascii="Arial" w:hAnsi="Arial" w:cs="Arial"/>
                <w:sz w:val="18"/>
                <w:szCs w:val="18"/>
                <w:vertAlign w:val="superscript"/>
              </w:rPr>
              <w:t>3</w:t>
            </w:r>
            <w:r w:rsidRPr="00735726">
              <w:rPr>
                <w:rFonts w:ascii="Arial" w:hAnsi="Arial" w:cs="Arial"/>
                <w:sz w:val="18"/>
                <w:szCs w:val="18"/>
              </w:rPr>
              <w:t xml:space="preserve"> of storage in the network and at treatment sites to reduce overflows by 62% from 2023/24 levels</w:t>
            </w:r>
          </w:p>
          <w:p w14:paraId="5CC01D99" w14:textId="51E3D1C7" w:rsidR="00C20EB1" w:rsidRPr="00735726" w:rsidRDefault="00C20EB1" w:rsidP="00C20EB1">
            <w:pPr>
              <w:pStyle w:val="ListParagraph"/>
              <w:numPr>
                <w:ilvl w:val="0"/>
                <w:numId w:val="70"/>
              </w:numPr>
              <w:spacing w:after="160"/>
              <w:ind w:left="244" w:hanging="244"/>
              <w:rPr>
                <w:rFonts w:ascii="Arial" w:hAnsi="Arial" w:cs="Arial"/>
                <w:sz w:val="18"/>
                <w:szCs w:val="18"/>
              </w:rPr>
            </w:pPr>
            <w:r w:rsidRPr="00735726">
              <w:rPr>
                <w:rFonts w:ascii="Arial" w:hAnsi="Arial" w:cs="Arial"/>
                <w:sz w:val="18"/>
                <w:szCs w:val="18"/>
              </w:rPr>
              <w:t>Taking a ‘Green First’ principle for tackling storm overflows</w:t>
            </w:r>
          </w:p>
          <w:p w14:paraId="689E8751" w14:textId="08DC4AC5" w:rsidR="00C20EB1" w:rsidRPr="00735726" w:rsidRDefault="00C20EB1" w:rsidP="00C20EB1">
            <w:pPr>
              <w:pStyle w:val="ListParagraph"/>
              <w:numPr>
                <w:ilvl w:val="0"/>
                <w:numId w:val="70"/>
              </w:numPr>
              <w:spacing w:after="160"/>
              <w:ind w:left="244" w:hanging="244"/>
              <w:rPr>
                <w:rFonts w:ascii="Arial" w:hAnsi="Arial" w:cs="Arial"/>
                <w:sz w:val="18"/>
                <w:szCs w:val="18"/>
              </w:rPr>
            </w:pPr>
            <w:r w:rsidRPr="00735726">
              <w:rPr>
                <w:rFonts w:ascii="Arial" w:hAnsi="Arial" w:cs="Arial"/>
                <w:sz w:val="18"/>
                <w:szCs w:val="18"/>
              </w:rPr>
              <w:lastRenderedPageBreak/>
              <w:t>Reducing pollution levels and upgrading over 200km of our sewer network</w:t>
            </w:r>
          </w:p>
        </w:tc>
        <w:tc>
          <w:tcPr>
            <w:tcW w:w="1803" w:type="dxa"/>
          </w:tcPr>
          <w:p w14:paraId="1D17329A" w14:textId="77777777" w:rsidR="00C20EB1" w:rsidRPr="00735726" w:rsidRDefault="00C20EB1" w:rsidP="00C20EB1">
            <w:pPr>
              <w:spacing w:after="160"/>
              <w:rPr>
                <w:rFonts w:ascii="Arial" w:hAnsi="Arial" w:cs="Arial"/>
                <w:sz w:val="18"/>
                <w:szCs w:val="18"/>
              </w:rPr>
            </w:pPr>
            <w:r w:rsidRPr="00735726">
              <w:rPr>
                <w:rFonts w:ascii="Arial" w:hAnsi="Arial" w:cs="Arial"/>
                <w:sz w:val="18"/>
                <w:szCs w:val="18"/>
              </w:rPr>
              <w:lastRenderedPageBreak/>
              <w:t>We are committed to reaching Net Zero, investing in climate resilience and adaptation, and strengthening our environmental efforts</w:t>
            </w:r>
          </w:p>
          <w:p w14:paraId="1DFD07E7" w14:textId="77777777"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Planting a further 300,000 trees to boost nature recovery</w:t>
            </w:r>
          </w:p>
          <w:p w14:paraId="0F24E71D" w14:textId="77777777"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Recycling more waste and generating energy to power 20,000 homes</w:t>
            </w:r>
          </w:p>
          <w:p w14:paraId="15C2EDDF" w14:textId="77777777"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Expand our award-winning Upstream Thinking catchment management programme to 145,000 hectares by 2030</w:t>
            </w:r>
          </w:p>
          <w:p w14:paraId="24BA18C0" w14:textId="7A4B0585"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 xml:space="preserve">10% reduction in the amount of phosphorous entering rivers </w:t>
            </w:r>
            <w:r w:rsidR="006C1BA9" w:rsidRPr="00735726">
              <w:rPr>
                <w:rFonts w:ascii="Arial" w:hAnsi="Arial" w:cs="Arial"/>
                <w:sz w:val="18"/>
                <w:szCs w:val="18"/>
              </w:rPr>
              <w:t xml:space="preserve">- </w:t>
            </w:r>
            <w:r w:rsidRPr="00735726">
              <w:rPr>
                <w:rFonts w:ascii="Arial" w:hAnsi="Arial" w:cs="Arial"/>
                <w:sz w:val="18"/>
                <w:szCs w:val="18"/>
              </w:rPr>
              <w:t>improving water quality</w:t>
            </w:r>
          </w:p>
        </w:tc>
        <w:tc>
          <w:tcPr>
            <w:tcW w:w="1803" w:type="dxa"/>
          </w:tcPr>
          <w:p w14:paraId="047A0694" w14:textId="2B1FB6E7" w:rsidR="00C20EB1" w:rsidRPr="00735726" w:rsidRDefault="00C20EB1" w:rsidP="00C20EB1">
            <w:pPr>
              <w:spacing w:after="160"/>
              <w:rPr>
                <w:rFonts w:ascii="Arial" w:hAnsi="Arial" w:cs="Arial"/>
                <w:sz w:val="18"/>
                <w:szCs w:val="18"/>
              </w:rPr>
            </w:pPr>
            <w:r w:rsidRPr="00735726">
              <w:rPr>
                <w:rFonts w:ascii="Arial" w:hAnsi="Arial" w:cs="Arial"/>
                <w:sz w:val="18"/>
                <w:szCs w:val="18"/>
              </w:rPr>
              <w:t xml:space="preserve">Despite doubling our investment programme in AMP8, we are committed </w:t>
            </w:r>
            <w:proofErr w:type="gramStart"/>
            <w:r w:rsidRPr="00735726">
              <w:rPr>
                <w:rFonts w:ascii="Arial" w:hAnsi="Arial" w:cs="Arial"/>
                <w:sz w:val="18"/>
                <w:szCs w:val="18"/>
              </w:rPr>
              <w:t>to  keeping</w:t>
            </w:r>
            <w:proofErr w:type="gramEnd"/>
            <w:r w:rsidRPr="00735726">
              <w:rPr>
                <w:rFonts w:ascii="Arial" w:hAnsi="Arial" w:cs="Arial"/>
                <w:sz w:val="18"/>
                <w:szCs w:val="18"/>
              </w:rPr>
              <w:t xml:space="preserve"> bills as low as possible and supporting people with the cost of living</w:t>
            </w:r>
          </w:p>
          <w:p w14:paraId="381412D1" w14:textId="065487F3"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 xml:space="preserve">Extended our </w:t>
            </w:r>
            <w:proofErr w:type="gramStart"/>
            <w:r w:rsidRPr="00735726">
              <w:rPr>
                <w:rFonts w:ascii="Arial" w:hAnsi="Arial" w:cs="Arial"/>
                <w:sz w:val="18"/>
                <w:szCs w:val="18"/>
              </w:rPr>
              <w:t>zero water</w:t>
            </w:r>
            <w:proofErr w:type="gramEnd"/>
            <w:r w:rsidRPr="00735726">
              <w:rPr>
                <w:rFonts w:ascii="Arial" w:hAnsi="Arial" w:cs="Arial"/>
                <w:sz w:val="18"/>
                <w:szCs w:val="18"/>
              </w:rPr>
              <w:t xml:space="preserve"> poverty pledge to 2030</w:t>
            </w:r>
          </w:p>
          <w:p w14:paraId="4F9E3222" w14:textId="273A3B6D"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Ensure fair charging for our customers</w:t>
            </w:r>
          </w:p>
          <w:p w14:paraId="2E925A0F" w14:textId="7AB891DC"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 xml:space="preserve">SMART metering installations for one-third of our customer base </w:t>
            </w:r>
            <w:r w:rsidR="006C1BA9" w:rsidRPr="00735726">
              <w:rPr>
                <w:rFonts w:ascii="Arial" w:hAnsi="Arial" w:cs="Arial"/>
                <w:sz w:val="18"/>
                <w:szCs w:val="18"/>
              </w:rPr>
              <w:t xml:space="preserve">- </w:t>
            </w:r>
            <w:r w:rsidRPr="00735726">
              <w:rPr>
                <w:rFonts w:ascii="Arial" w:hAnsi="Arial" w:cs="Arial"/>
                <w:sz w:val="18"/>
                <w:szCs w:val="18"/>
              </w:rPr>
              <w:t>helping them to use 5% less water</w:t>
            </w:r>
          </w:p>
          <w:p w14:paraId="6D970294" w14:textId="15C08BE0"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 xml:space="preserve">Largest ever package of support to help those struggling to pay </w:t>
            </w:r>
            <w:r w:rsidR="006C1BA9" w:rsidRPr="00735726">
              <w:rPr>
                <w:rFonts w:ascii="Arial" w:hAnsi="Arial" w:cs="Arial"/>
                <w:sz w:val="18"/>
                <w:szCs w:val="18"/>
              </w:rPr>
              <w:t xml:space="preserve">- </w:t>
            </w:r>
            <w:r w:rsidRPr="00735726">
              <w:rPr>
                <w:rFonts w:ascii="Arial" w:hAnsi="Arial" w:cs="Arial"/>
                <w:sz w:val="18"/>
                <w:szCs w:val="18"/>
              </w:rPr>
              <w:t>doubling to £200 million</w:t>
            </w:r>
          </w:p>
          <w:p w14:paraId="536E51A7" w14:textId="77777777"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 xml:space="preserve">Expanding </w:t>
            </w:r>
            <w:proofErr w:type="spellStart"/>
            <w:r w:rsidRPr="00735726">
              <w:rPr>
                <w:rFonts w:ascii="Arial" w:hAnsi="Arial" w:cs="Arial"/>
                <w:sz w:val="18"/>
                <w:szCs w:val="18"/>
              </w:rPr>
              <w:t>WaterShare</w:t>
            </w:r>
            <w:proofErr w:type="spellEnd"/>
            <w:r w:rsidRPr="00735726">
              <w:rPr>
                <w:rFonts w:ascii="Arial" w:hAnsi="Arial" w:cs="Arial"/>
                <w:sz w:val="18"/>
                <w:szCs w:val="18"/>
              </w:rPr>
              <w:t xml:space="preserve">+ </w:t>
            </w:r>
            <w:r w:rsidRPr="00735726">
              <w:rPr>
                <w:rFonts w:ascii="Arial" w:hAnsi="Arial" w:cs="Arial"/>
                <w:sz w:val="18"/>
                <w:szCs w:val="18"/>
              </w:rPr>
              <w:lastRenderedPageBreak/>
              <w:t>through a third issuance</w:t>
            </w:r>
          </w:p>
          <w:p w14:paraId="12544DED" w14:textId="16C2DA08" w:rsidR="00C20EB1" w:rsidRPr="00735726" w:rsidRDefault="00C20EB1" w:rsidP="00C20EB1">
            <w:pPr>
              <w:pStyle w:val="ListParagraph"/>
              <w:numPr>
                <w:ilvl w:val="0"/>
                <w:numId w:val="71"/>
              </w:numPr>
              <w:spacing w:after="160"/>
              <w:ind w:left="293" w:hanging="283"/>
              <w:rPr>
                <w:rFonts w:ascii="Arial" w:hAnsi="Arial" w:cs="Arial"/>
                <w:sz w:val="18"/>
                <w:szCs w:val="18"/>
              </w:rPr>
            </w:pPr>
            <w:r w:rsidRPr="00735726">
              <w:rPr>
                <w:rFonts w:ascii="Arial" w:hAnsi="Arial" w:cs="Arial"/>
                <w:sz w:val="18"/>
                <w:szCs w:val="18"/>
              </w:rPr>
              <w:t xml:space="preserve">Improved digital and self-service offerings for customers </w:t>
            </w:r>
            <w:r w:rsidR="006C1BA9" w:rsidRPr="00735726">
              <w:rPr>
                <w:rFonts w:ascii="Arial" w:hAnsi="Arial" w:cs="Arial"/>
                <w:sz w:val="18"/>
                <w:szCs w:val="18"/>
              </w:rPr>
              <w:t xml:space="preserve">- </w:t>
            </w:r>
            <w:r w:rsidRPr="00735726">
              <w:rPr>
                <w:rFonts w:ascii="Arial" w:hAnsi="Arial" w:cs="Arial"/>
                <w:sz w:val="18"/>
                <w:szCs w:val="18"/>
              </w:rPr>
              <w:t>opening our data to communities</w:t>
            </w:r>
          </w:p>
        </w:tc>
      </w:tr>
      <w:tr w:rsidR="00C20EB1" w:rsidRPr="00735726" w14:paraId="2D8119C2" w14:textId="77777777" w:rsidTr="00E577A5">
        <w:tc>
          <w:tcPr>
            <w:tcW w:w="1696" w:type="dxa"/>
          </w:tcPr>
          <w:p w14:paraId="1696AAC1" w14:textId="59B05CAC" w:rsidR="00C20EB1" w:rsidRPr="00735726" w:rsidRDefault="00C20EB1" w:rsidP="00C20EB1">
            <w:pPr>
              <w:spacing w:after="160"/>
              <w:rPr>
                <w:rFonts w:ascii="Arial" w:hAnsi="Arial" w:cs="Arial"/>
                <w:b/>
                <w:bCs/>
                <w:sz w:val="18"/>
                <w:szCs w:val="18"/>
              </w:rPr>
            </w:pPr>
            <w:r w:rsidRPr="00735726">
              <w:rPr>
                <w:rFonts w:ascii="Arial" w:hAnsi="Arial" w:cs="Arial"/>
                <w:b/>
                <w:bCs/>
                <w:sz w:val="18"/>
                <w:szCs w:val="18"/>
              </w:rPr>
              <w:lastRenderedPageBreak/>
              <w:t>Our operational KPIs</w:t>
            </w:r>
          </w:p>
        </w:tc>
        <w:tc>
          <w:tcPr>
            <w:tcW w:w="1910" w:type="dxa"/>
            <w:tcBorders>
              <w:bottom w:val="single" w:sz="4" w:space="0" w:color="auto"/>
            </w:tcBorders>
          </w:tcPr>
          <w:p w14:paraId="747A3703" w14:textId="77777777" w:rsidR="00C20EB1" w:rsidRPr="00735726" w:rsidRDefault="00C20EB1" w:rsidP="00C20EB1">
            <w:pPr>
              <w:pStyle w:val="ListParagraph"/>
              <w:numPr>
                <w:ilvl w:val="0"/>
                <w:numId w:val="73"/>
              </w:numPr>
              <w:spacing w:after="160"/>
              <w:ind w:left="178" w:hanging="142"/>
              <w:rPr>
                <w:rFonts w:ascii="Arial" w:hAnsi="Arial" w:cs="Arial"/>
                <w:sz w:val="18"/>
                <w:szCs w:val="18"/>
              </w:rPr>
            </w:pPr>
            <w:r w:rsidRPr="00735726">
              <w:rPr>
                <w:rFonts w:ascii="Arial" w:hAnsi="Arial" w:cs="Arial"/>
                <w:sz w:val="18"/>
                <w:szCs w:val="18"/>
              </w:rPr>
              <w:t>Water quality (CRI score)</w:t>
            </w:r>
          </w:p>
          <w:p w14:paraId="32DE4958" w14:textId="77777777" w:rsidR="00C20EB1" w:rsidRPr="00735726" w:rsidRDefault="00C20EB1" w:rsidP="00C20EB1">
            <w:pPr>
              <w:pStyle w:val="ListParagraph"/>
              <w:numPr>
                <w:ilvl w:val="0"/>
                <w:numId w:val="73"/>
              </w:numPr>
              <w:spacing w:after="160"/>
              <w:ind w:left="178" w:hanging="142"/>
              <w:rPr>
                <w:rFonts w:ascii="Arial" w:hAnsi="Arial" w:cs="Arial"/>
                <w:sz w:val="18"/>
                <w:szCs w:val="18"/>
              </w:rPr>
            </w:pPr>
            <w:r w:rsidRPr="00735726">
              <w:rPr>
                <w:rFonts w:ascii="Arial" w:hAnsi="Arial" w:cs="Arial"/>
                <w:sz w:val="18"/>
                <w:szCs w:val="18"/>
              </w:rPr>
              <w:t>Supply interruptions</w:t>
            </w:r>
          </w:p>
          <w:p w14:paraId="22490C3C" w14:textId="77777777" w:rsidR="00C20EB1" w:rsidRPr="00735726" w:rsidRDefault="00C20EB1" w:rsidP="00C20EB1">
            <w:pPr>
              <w:pStyle w:val="ListParagraph"/>
              <w:numPr>
                <w:ilvl w:val="0"/>
                <w:numId w:val="73"/>
              </w:numPr>
              <w:spacing w:after="160"/>
              <w:ind w:left="178" w:hanging="142"/>
              <w:rPr>
                <w:rFonts w:ascii="Arial" w:hAnsi="Arial" w:cs="Arial"/>
                <w:sz w:val="18"/>
                <w:szCs w:val="18"/>
              </w:rPr>
            </w:pPr>
            <w:r w:rsidRPr="00735726">
              <w:rPr>
                <w:rFonts w:ascii="Arial" w:hAnsi="Arial" w:cs="Arial"/>
                <w:sz w:val="18"/>
                <w:szCs w:val="18"/>
              </w:rPr>
              <w:t>Taste, smell and colour</w:t>
            </w:r>
          </w:p>
          <w:p w14:paraId="6AD1DD74" w14:textId="77777777" w:rsidR="00C20EB1" w:rsidRPr="00735726" w:rsidRDefault="00C20EB1" w:rsidP="00C20EB1">
            <w:pPr>
              <w:pStyle w:val="ListParagraph"/>
              <w:numPr>
                <w:ilvl w:val="0"/>
                <w:numId w:val="73"/>
              </w:numPr>
              <w:spacing w:after="160"/>
              <w:ind w:left="178" w:hanging="142"/>
              <w:rPr>
                <w:rFonts w:ascii="Arial" w:hAnsi="Arial" w:cs="Arial"/>
                <w:sz w:val="18"/>
                <w:szCs w:val="18"/>
              </w:rPr>
            </w:pPr>
            <w:r w:rsidRPr="00735726">
              <w:rPr>
                <w:rFonts w:ascii="Arial" w:hAnsi="Arial" w:cs="Arial"/>
                <w:sz w:val="18"/>
                <w:szCs w:val="18"/>
              </w:rPr>
              <w:t>Leakage</w:t>
            </w:r>
          </w:p>
          <w:p w14:paraId="3DEC092A" w14:textId="77777777" w:rsidR="00C20EB1" w:rsidRPr="00735726" w:rsidRDefault="00C20EB1" w:rsidP="00C20EB1">
            <w:pPr>
              <w:pStyle w:val="ListParagraph"/>
              <w:numPr>
                <w:ilvl w:val="0"/>
                <w:numId w:val="73"/>
              </w:numPr>
              <w:spacing w:after="160"/>
              <w:ind w:left="178" w:hanging="142"/>
              <w:rPr>
                <w:rFonts w:ascii="Arial" w:hAnsi="Arial" w:cs="Arial"/>
                <w:sz w:val="18"/>
                <w:szCs w:val="18"/>
              </w:rPr>
            </w:pPr>
            <w:r w:rsidRPr="00735726">
              <w:rPr>
                <w:rFonts w:ascii="Arial" w:hAnsi="Arial" w:cs="Arial"/>
                <w:sz w:val="18"/>
                <w:szCs w:val="18"/>
              </w:rPr>
              <w:t>Unplanned outages</w:t>
            </w:r>
          </w:p>
          <w:p w14:paraId="39E5718A" w14:textId="67C9A5D7" w:rsidR="00C20EB1" w:rsidRPr="00735726" w:rsidRDefault="00C20EB1" w:rsidP="00C20EB1">
            <w:pPr>
              <w:pStyle w:val="ListParagraph"/>
              <w:numPr>
                <w:ilvl w:val="0"/>
                <w:numId w:val="73"/>
              </w:numPr>
              <w:spacing w:after="160"/>
              <w:ind w:left="178" w:hanging="142"/>
              <w:rPr>
                <w:rFonts w:ascii="Arial" w:hAnsi="Arial" w:cs="Arial"/>
                <w:sz w:val="18"/>
                <w:szCs w:val="18"/>
              </w:rPr>
            </w:pPr>
            <w:r w:rsidRPr="00735726">
              <w:rPr>
                <w:rFonts w:ascii="Arial" w:hAnsi="Arial" w:cs="Arial"/>
                <w:sz w:val="18"/>
                <w:szCs w:val="18"/>
              </w:rPr>
              <w:t>Mains repairs</w:t>
            </w:r>
          </w:p>
        </w:tc>
        <w:tc>
          <w:tcPr>
            <w:tcW w:w="1803" w:type="dxa"/>
            <w:tcBorders>
              <w:bottom w:val="single" w:sz="4" w:space="0" w:color="auto"/>
            </w:tcBorders>
          </w:tcPr>
          <w:p w14:paraId="298B984D" w14:textId="77777777" w:rsidR="00C20EB1" w:rsidRPr="00735726" w:rsidRDefault="00C20EB1" w:rsidP="00C20EB1">
            <w:pPr>
              <w:pStyle w:val="ListParagraph"/>
              <w:numPr>
                <w:ilvl w:val="0"/>
                <w:numId w:val="72"/>
              </w:numPr>
              <w:spacing w:after="160"/>
              <w:ind w:left="286" w:hanging="286"/>
              <w:rPr>
                <w:rFonts w:ascii="Arial" w:hAnsi="Arial" w:cs="Arial"/>
                <w:sz w:val="18"/>
                <w:szCs w:val="18"/>
              </w:rPr>
            </w:pPr>
            <w:r w:rsidRPr="00735726">
              <w:rPr>
                <w:rFonts w:ascii="Arial" w:hAnsi="Arial" w:cs="Arial"/>
                <w:sz w:val="18"/>
                <w:szCs w:val="18"/>
              </w:rPr>
              <w:t>Pollution incidents</w:t>
            </w:r>
          </w:p>
          <w:p w14:paraId="58566FC3" w14:textId="77777777" w:rsidR="00C20EB1" w:rsidRPr="00735726" w:rsidRDefault="00C20EB1" w:rsidP="00C20EB1">
            <w:pPr>
              <w:pStyle w:val="ListParagraph"/>
              <w:numPr>
                <w:ilvl w:val="0"/>
                <w:numId w:val="72"/>
              </w:numPr>
              <w:spacing w:after="160"/>
              <w:ind w:left="286" w:hanging="286"/>
              <w:rPr>
                <w:rFonts w:ascii="Arial" w:hAnsi="Arial" w:cs="Arial"/>
                <w:sz w:val="18"/>
                <w:szCs w:val="18"/>
              </w:rPr>
            </w:pPr>
            <w:r w:rsidRPr="00735726">
              <w:rPr>
                <w:rFonts w:ascii="Arial" w:hAnsi="Arial" w:cs="Arial"/>
                <w:sz w:val="18"/>
                <w:szCs w:val="18"/>
              </w:rPr>
              <w:t>Numeric compliance</w:t>
            </w:r>
          </w:p>
          <w:p w14:paraId="674F7620" w14:textId="77777777" w:rsidR="00C20EB1" w:rsidRPr="00735726" w:rsidRDefault="00C20EB1" w:rsidP="00C20EB1">
            <w:pPr>
              <w:pStyle w:val="ListParagraph"/>
              <w:numPr>
                <w:ilvl w:val="0"/>
                <w:numId w:val="72"/>
              </w:numPr>
              <w:spacing w:after="160"/>
              <w:ind w:left="286" w:hanging="286"/>
              <w:rPr>
                <w:rFonts w:ascii="Arial" w:hAnsi="Arial" w:cs="Arial"/>
                <w:sz w:val="18"/>
                <w:szCs w:val="18"/>
              </w:rPr>
            </w:pPr>
            <w:r w:rsidRPr="00735726">
              <w:rPr>
                <w:rFonts w:ascii="Arial" w:hAnsi="Arial" w:cs="Arial"/>
                <w:sz w:val="18"/>
                <w:szCs w:val="18"/>
              </w:rPr>
              <w:t>Internal sewer flooding</w:t>
            </w:r>
          </w:p>
          <w:p w14:paraId="7E95FE8A" w14:textId="77777777" w:rsidR="00C20EB1" w:rsidRPr="00735726" w:rsidRDefault="00C20EB1" w:rsidP="00C20EB1">
            <w:pPr>
              <w:pStyle w:val="ListParagraph"/>
              <w:numPr>
                <w:ilvl w:val="0"/>
                <w:numId w:val="72"/>
              </w:numPr>
              <w:spacing w:after="160"/>
              <w:ind w:left="286" w:hanging="286"/>
              <w:rPr>
                <w:rFonts w:ascii="Arial" w:hAnsi="Arial" w:cs="Arial"/>
                <w:sz w:val="18"/>
                <w:szCs w:val="18"/>
              </w:rPr>
            </w:pPr>
            <w:r w:rsidRPr="00735726">
              <w:rPr>
                <w:rFonts w:ascii="Arial" w:hAnsi="Arial" w:cs="Arial"/>
                <w:sz w:val="18"/>
                <w:szCs w:val="18"/>
              </w:rPr>
              <w:t>Sewer collapses</w:t>
            </w:r>
          </w:p>
          <w:p w14:paraId="38CDA0DD" w14:textId="77777777" w:rsidR="00C20EB1" w:rsidRPr="00735726" w:rsidRDefault="00C20EB1" w:rsidP="00C20EB1">
            <w:pPr>
              <w:pStyle w:val="ListParagraph"/>
              <w:numPr>
                <w:ilvl w:val="0"/>
                <w:numId w:val="72"/>
              </w:numPr>
              <w:spacing w:after="160"/>
              <w:ind w:left="286" w:hanging="286"/>
              <w:rPr>
                <w:rFonts w:ascii="Arial" w:hAnsi="Arial" w:cs="Arial"/>
                <w:sz w:val="18"/>
                <w:szCs w:val="18"/>
              </w:rPr>
            </w:pPr>
            <w:r w:rsidRPr="00735726">
              <w:rPr>
                <w:rFonts w:ascii="Arial" w:hAnsi="Arial" w:cs="Arial"/>
                <w:sz w:val="18"/>
                <w:szCs w:val="18"/>
              </w:rPr>
              <w:t>External sewer flooding</w:t>
            </w:r>
          </w:p>
          <w:p w14:paraId="6B223197" w14:textId="77777777" w:rsidR="00C20EB1" w:rsidRPr="00735726" w:rsidRDefault="00C20EB1" w:rsidP="00C20EB1">
            <w:pPr>
              <w:pStyle w:val="ListParagraph"/>
              <w:numPr>
                <w:ilvl w:val="0"/>
                <w:numId w:val="72"/>
              </w:numPr>
              <w:spacing w:after="160"/>
              <w:ind w:left="286" w:hanging="286"/>
              <w:rPr>
                <w:rFonts w:ascii="Arial" w:hAnsi="Arial" w:cs="Arial"/>
                <w:sz w:val="18"/>
                <w:szCs w:val="18"/>
              </w:rPr>
            </w:pPr>
            <w:r w:rsidRPr="00735726">
              <w:rPr>
                <w:rFonts w:ascii="Arial" w:hAnsi="Arial" w:cs="Arial"/>
                <w:sz w:val="18"/>
                <w:szCs w:val="18"/>
              </w:rPr>
              <w:t>Sewer blockages</w:t>
            </w:r>
          </w:p>
          <w:p w14:paraId="53EFDE35" w14:textId="77777777" w:rsidR="00C20EB1" w:rsidRPr="00735726" w:rsidRDefault="00C20EB1" w:rsidP="00C20EB1">
            <w:pPr>
              <w:pStyle w:val="ListParagraph"/>
              <w:numPr>
                <w:ilvl w:val="0"/>
                <w:numId w:val="72"/>
              </w:numPr>
              <w:spacing w:after="160"/>
              <w:ind w:left="286" w:hanging="286"/>
              <w:rPr>
                <w:rFonts w:ascii="Arial" w:hAnsi="Arial" w:cs="Arial"/>
                <w:sz w:val="18"/>
                <w:szCs w:val="18"/>
              </w:rPr>
            </w:pPr>
            <w:r w:rsidRPr="00735726">
              <w:rPr>
                <w:rFonts w:ascii="Arial" w:hAnsi="Arial" w:cs="Arial"/>
                <w:sz w:val="18"/>
                <w:szCs w:val="18"/>
              </w:rPr>
              <w:t>Average spills</w:t>
            </w:r>
          </w:p>
          <w:p w14:paraId="7A8FC4CA" w14:textId="77777777" w:rsidR="00C20EB1" w:rsidRPr="00735726" w:rsidRDefault="00C20EB1" w:rsidP="00C20EB1">
            <w:pPr>
              <w:pStyle w:val="ListParagraph"/>
              <w:numPr>
                <w:ilvl w:val="0"/>
                <w:numId w:val="72"/>
              </w:numPr>
              <w:spacing w:after="160"/>
              <w:ind w:left="286" w:hanging="286"/>
              <w:rPr>
                <w:rFonts w:ascii="Arial" w:hAnsi="Arial" w:cs="Arial"/>
                <w:sz w:val="18"/>
                <w:szCs w:val="18"/>
              </w:rPr>
            </w:pPr>
            <w:r w:rsidRPr="00735726">
              <w:rPr>
                <w:rFonts w:ascii="Arial" w:hAnsi="Arial" w:cs="Arial"/>
                <w:sz w:val="18"/>
                <w:szCs w:val="18"/>
              </w:rPr>
              <w:t>Bathing waters</w:t>
            </w:r>
          </w:p>
          <w:p w14:paraId="32417F65" w14:textId="22E306FC" w:rsidR="00C20EB1" w:rsidRPr="00735726" w:rsidRDefault="00C20EB1" w:rsidP="00C20EB1">
            <w:pPr>
              <w:pStyle w:val="ListParagraph"/>
              <w:numPr>
                <w:ilvl w:val="0"/>
                <w:numId w:val="72"/>
              </w:numPr>
              <w:spacing w:after="160"/>
              <w:ind w:left="286" w:hanging="286"/>
              <w:rPr>
                <w:rFonts w:ascii="Arial" w:hAnsi="Arial" w:cs="Arial"/>
                <w:sz w:val="18"/>
                <w:szCs w:val="18"/>
              </w:rPr>
            </w:pPr>
            <w:r w:rsidRPr="00735726">
              <w:rPr>
                <w:rFonts w:ascii="Arial" w:hAnsi="Arial" w:cs="Arial"/>
                <w:sz w:val="18"/>
                <w:szCs w:val="18"/>
              </w:rPr>
              <w:t>EPA</w:t>
            </w:r>
          </w:p>
        </w:tc>
        <w:tc>
          <w:tcPr>
            <w:tcW w:w="1803" w:type="dxa"/>
            <w:tcBorders>
              <w:bottom w:val="single" w:sz="4" w:space="0" w:color="auto"/>
            </w:tcBorders>
          </w:tcPr>
          <w:p w14:paraId="0AD0CC68" w14:textId="77777777" w:rsidR="00C20EB1" w:rsidRPr="00735726" w:rsidRDefault="00C20EB1" w:rsidP="00C20EB1">
            <w:pPr>
              <w:pStyle w:val="ListParagraph"/>
              <w:numPr>
                <w:ilvl w:val="0"/>
                <w:numId w:val="72"/>
              </w:numPr>
              <w:spacing w:after="160"/>
              <w:ind w:left="287" w:hanging="283"/>
              <w:rPr>
                <w:rFonts w:ascii="Arial" w:hAnsi="Arial" w:cs="Arial"/>
                <w:sz w:val="18"/>
                <w:szCs w:val="18"/>
              </w:rPr>
            </w:pPr>
            <w:r w:rsidRPr="00735726">
              <w:rPr>
                <w:rFonts w:ascii="Arial" w:hAnsi="Arial" w:cs="Arial"/>
                <w:sz w:val="18"/>
                <w:szCs w:val="18"/>
              </w:rPr>
              <w:t>Catchment management</w:t>
            </w:r>
          </w:p>
          <w:p w14:paraId="073E64E3" w14:textId="77777777" w:rsidR="00C20EB1" w:rsidRPr="00735726" w:rsidRDefault="00C20EB1" w:rsidP="00C20EB1">
            <w:pPr>
              <w:pStyle w:val="ListParagraph"/>
              <w:numPr>
                <w:ilvl w:val="0"/>
                <w:numId w:val="72"/>
              </w:numPr>
              <w:spacing w:after="160"/>
              <w:ind w:left="287" w:hanging="283"/>
              <w:rPr>
                <w:rFonts w:ascii="Arial" w:hAnsi="Arial" w:cs="Arial"/>
                <w:sz w:val="18"/>
                <w:szCs w:val="18"/>
              </w:rPr>
            </w:pPr>
            <w:r w:rsidRPr="00735726">
              <w:rPr>
                <w:rFonts w:ascii="Arial" w:hAnsi="Arial" w:cs="Arial"/>
                <w:sz w:val="18"/>
                <w:szCs w:val="18"/>
              </w:rPr>
              <w:t>Scope 1 and 2 GHG reduction</w:t>
            </w:r>
          </w:p>
          <w:p w14:paraId="15C10B61" w14:textId="7FB1074B" w:rsidR="00C20EB1" w:rsidRPr="00735726" w:rsidRDefault="00C20EB1" w:rsidP="00C20EB1">
            <w:pPr>
              <w:pStyle w:val="ListParagraph"/>
              <w:numPr>
                <w:ilvl w:val="0"/>
                <w:numId w:val="72"/>
              </w:numPr>
              <w:spacing w:after="160"/>
              <w:ind w:left="287" w:hanging="283"/>
              <w:rPr>
                <w:rFonts w:ascii="Arial" w:hAnsi="Arial" w:cs="Arial"/>
                <w:sz w:val="18"/>
                <w:szCs w:val="18"/>
              </w:rPr>
            </w:pPr>
            <w:r w:rsidRPr="00735726">
              <w:rPr>
                <w:rFonts w:ascii="Arial" w:hAnsi="Arial" w:cs="Arial"/>
                <w:sz w:val="18"/>
                <w:szCs w:val="18"/>
              </w:rPr>
              <w:t xml:space="preserve">Biodiversity units </w:t>
            </w:r>
          </w:p>
        </w:tc>
        <w:tc>
          <w:tcPr>
            <w:tcW w:w="1803" w:type="dxa"/>
            <w:tcBorders>
              <w:bottom w:val="single" w:sz="4" w:space="0" w:color="auto"/>
            </w:tcBorders>
          </w:tcPr>
          <w:p w14:paraId="0AACCB18" w14:textId="77777777" w:rsidR="00A129CC" w:rsidRPr="00735726" w:rsidRDefault="00A129CC" w:rsidP="00C20EB1">
            <w:pPr>
              <w:pStyle w:val="ListParagraph"/>
              <w:numPr>
                <w:ilvl w:val="0"/>
                <w:numId w:val="72"/>
              </w:numPr>
              <w:spacing w:after="160"/>
              <w:ind w:left="287" w:hanging="283"/>
              <w:rPr>
                <w:rFonts w:ascii="Arial" w:hAnsi="Arial" w:cs="Arial"/>
                <w:sz w:val="18"/>
                <w:szCs w:val="18"/>
              </w:rPr>
            </w:pPr>
            <w:r w:rsidRPr="00735726">
              <w:rPr>
                <w:rFonts w:ascii="Arial" w:hAnsi="Arial" w:cs="Arial"/>
                <w:sz w:val="18"/>
                <w:szCs w:val="18"/>
              </w:rPr>
              <w:t>PSR volumes</w:t>
            </w:r>
          </w:p>
          <w:p w14:paraId="16CC6C12" w14:textId="7C84B8A7" w:rsidR="00C20EB1" w:rsidRPr="00735726" w:rsidRDefault="00C20EB1" w:rsidP="00C20EB1">
            <w:pPr>
              <w:pStyle w:val="ListParagraph"/>
              <w:numPr>
                <w:ilvl w:val="0"/>
                <w:numId w:val="72"/>
              </w:numPr>
              <w:spacing w:after="160"/>
              <w:ind w:left="287" w:hanging="283"/>
              <w:rPr>
                <w:rFonts w:ascii="Arial" w:hAnsi="Arial" w:cs="Arial"/>
                <w:sz w:val="18"/>
                <w:szCs w:val="18"/>
              </w:rPr>
            </w:pPr>
            <w:r w:rsidRPr="00735726">
              <w:rPr>
                <w:rFonts w:ascii="Arial" w:hAnsi="Arial" w:cs="Arial"/>
                <w:sz w:val="18"/>
                <w:szCs w:val="18"/>
              </w:rPr>
              <w:t>Number of customers on social tariffs</w:t>
            </w:r>
          </w:p>
          <w:p w14:paraId="1DC7337C" w14:textId="132F8414" w:rsidR="00C20EB1" w:rsidRPr="00735726" w:rsidRDefault="00C20EB1" w:rsidP="00C20EB1">
            <w:pPr>
              <w:pStyle w:val="ListParagraph"/>
              <w:numPr>
                <w:ilvl w:val="0"/>
                <w:numId w:val="72"/>
              </w:numPr>
              <w:spacing w:after="160"/>
              <w:ind w:left="287" w:hanging="283"/>
              <w:rPr>
                <w:rFonts w:ascii="Arial" w:hAnsi="Arial" w:cs="Arial"/>
                <w:sz w:val="18"/>
                <w:szCs w:val="18"/>
              </w:rPr>
            </w:pPr>
            <w:r w:rsidRPr="00735726">
              <w:rPr>
                <w:rFonts w:ascii="Arial" w:hAnsi="Arial" w:cs="Arial"/>
                <w:sz w:val="18"/>
                <w:szCs w:val="18"/>
              </w:rPr>
              <w:t>Customer measure of experience (C-</w:t>
            </w:r>
            <w:proofErr w:type="spellStart"/>
            <w:r w:rsidRPr="00735726">
              <w:rPr>
                <w:rFonts w:ascii="Arial" w:hAnsi="Arial" w:cs="Arial"/>
                <w:sz w:val="18"/>
                <w:szCs w:val="18"/>
              </w:rPr>
              <w:t>MeX</w:t>
            </w:r>
            <w:proofErr w:type="spellEnd"/>
            <w:r w:rsidRPr="00735726">
              <w:rPr>
                <w:rFonts w:ascii="Arial" w:hAnsi="Arial" w:cs="Arial"/>
                <w:sz w:val="18"/>
                <w:szCs w:val="18"/>
              </w:rPr>
              <w:t>)</w:t>
            </w:r>
          </w:p>
          <w:p w14:paraId="29DE38DE" w14:textId="20EABD72" w:rsidR="00C20EB1" w:rsidRPr="00735726" w:rsidRDefault="00C20EB1" w:rsidP="00C20EB1">
            <w:pPr>
              <w:spacing w:after="160"/>
              <w:ind w:left="4"/>
              <w:rPr>
                <w:rFonts w:ascii="Arial" w:hAnsi="Arial" w:cs="Arial"/>
                <w:sz w:val="18"/>
                <w:szCs w:val="18"/>
              </w:rPr>
            </w:pPr>
          </w:p>
        </w:tc>
      </w:tr>
      <w:tr w:rsidR="00C20EB1" w:rsidRPr="00735726" w14:paraId="087A68F0" w14:textId="77777777" w:rsidTr="00E577A5">
        <w:tc>
          <w:tcPr>
            <w:tcW w:w="1696" w:type="dxa"/>
            <w:vMerge w:val="restart"/>
            <w:tcBorders>
              <w:right w:val="single" w:sz="4" w:space="0" w:color="auto"/>
            </w:tcBorders>
          </w:tcPr>
          <w:p w14:paraId="4CC602F7" w14:textId="4021228F" w:rsidR="00C20EB1" w:rsidRPr="00735726" w:rsidRDefault="00C20EB1" w:rsidP="00C20EB1">
            <w:pPr>
              <w:spacing w:after="160"/>
              <w:rPr>
                <w:rFonts w:ascii="Arial" w:hAnsi="Arial" w:cs="Arial"/>
                <w:b/>
                <w:bCs/>
                <w:sz w:val="18"/>
                <w:szCs w:val="18"/>
              </w:rPr>
            </w:pPr>
            <w:r w:rsidRPr="00735726">
              <w:rPr>
                <w:rFonts w:ascii="Arial" w:hAnsi="Arial" w:cs="Arial"/>
                <w:b/>
                <w:bCs/>
                <w:sz w:val="18"/>
                <w:szCs w:val="18"/>
              </w:rPr>
              <w:t>2030 outcomes</w:t>
            </w:r>
          </w:p>
        </w:tc>
        <w:tc>
          <w:tcPr>
            <w:tcW w:w="1910" w:type="dxa"/>
            <w:tcBorders>
              <w:top w:val="single" w:sz="4" w:space="0" w:color="auto"/>
              <w:left w:val="single" w:sz="4" w:space="0" w:color="auto"/>
              <w:bottom w:val="nil"/>
              <w:right w:val="nil"/>
            </w:tcBorders>
          </w:tcPr>
          <w:p w14:paraId="097CD2B7" w14:textId="623C332E" w:rsidR="00C20EB1" w:rsidRPr="00735726" w:rsidRDefault="00C20EB1" w:rsidP="00C20EB1">
            <w:pPr>
              <w:spacing w:after="160"/>
              <w:rPr>
                <w:rFonts w:ascii="Arial" w:hAnsi="Arial" w:cs="Arial"/>
                <w:sz w:val="18"/>
                <w:szCs w:val="18"/>
              </w:rPr>
            </w:pPr>
            <w:r w:rsidRPr="00735726">
              <w:rPr>
                <w:rFonts w:ascii="Arial" w:hAnsi="Arial" w:cs="Arial"/>
                <w:sz w:val="18"/>
                <w:szCs w:val="18"/>
              </w:rPr>
              <w:t>Strengthening resilience</w:t>
            </w:r>
          </w:p>
        </w:tc>
        <w:tc>
          <w:tcPr>
            <w:tcW w:w="1803" w:type="dxa"/>
            <w:tcBorders>
              <w:top w:val="single" w:sz="4" w:space="0" w:color="auto"/>
              <w:left w:val="nil"/>
              <w:bottom w:val="nil"/>
              <w:right w:val="nil"/>
            </w:tcBorders>
          </w:tcPr>
          <w:p w14:paraId="14AC7679" w14:textId="0A80D913" w:rsidR="00C20EB1" w:rsidRPr="00735726" w:rsidRDefault="00C20EB1" w:rsidP="00C20EB1">
            <w:pPr>
              <w:spacing w:after="160"/>
              <w:rPr>
                <w:rFonts w:ascii="Arial" w:hAnsi="Arial" w:cs="Arial"/>
                <w:sz w:val="18"/>
                <w:szCs w:val="18"/>
              </w:rPr>
            </w:pPr>
            <w:r w:rsidRPr="00735726">
              <w:rPr>
                <w:rFonts w:ascii="Arial" w:hAnsi="Arial" w:cs="Arial"/>
                <w:sz w:val="18"/>
                <w:szCs w:val="18"/>
              </w:rPr>
              <w:t>Strengthening resilience</w:t>
            </w:r>
          </w:p>
        </w:tc>
        <w:tc>
          <w:tcPr>
            <w:tcW w:w="1803" w:type="dxa"/>
            <w:tcBorders>
              <w:top w:val="single" w:sz="4" w:space="0" w:color="auto"/>
              <w:left w:val="nil"/>
              <w:bottom w:val="nil"/>
              <w:right w:val="nil"/>
            </w:tcBorders>
          </w:tcPr>
          <w:p w14:paraId="3749B814" w14:textId="3024DDF5" w:rsidR="00C20EB1" w:rsidRPr="00735726" w:rsidRDefault="00C20EB1" w:rsidP="00C20EB1">
            <w:pPr>
              <w:spacing w:after="160"/>
              <w:rPr>
                <w:rFonts w:ascii="Arial" w:hAnsi="Arial" w:cs="Arial"/>
                <w:sz w:val="18"/>
                <w:szCs w:val="18"/>
              </w:rPr>
            </w:pPr>
            <w:r w:rsidRPr="00735726">
              <w:rPr>
                <w:rFonts w:ascii="Arial" w:hAnsi="Arial" w:cs="Arial"/>
                <w:sz w:val="18"/>
                <w:szCs w:val="18"/>
              </w:rPr>
              <w:t>Protecting the environment</w:t>
            </w:r>
          </w:p>
        </w:tc>
        <w:tc>
          <w:tcPr>
            <w:tcW w:w="1803" w:type="dxa"/>
            <w:tcBorders>
              <w:top w:val="single" w:sz="4" w:space="0" w:color="auto"/>
              <w:left w:val="nil"/>
              <w:bottom w:val="nil"/>
              <w:right w:val="single" w:sz="4" w:space="0" w:color="auto"/>
            </w:tcBorders>
          </w:tcPr>
          <w:p w14:paraId="2227B2FB" w14:textId="4938741D" w:rsidR="00C20EB1" w:rsidRPr="00735726" w:rsidRDefault="00C20EB1" w:rsidP="00C20EB1">
            <w:pPr>
              <w:spacing w:after="160"/>
              <w:rPr>
                <w:rFonts w:ascii="Arial" w:hAnsi="Arial" w:cs="Arial"/>
                <w:sz w:val="18"/>
                <w:szCs w:val="18"/>
              </w:rPr>
            </w:pPr>
            <w:r w:rsidRPr="00735726">
              <w:rPr>
                <w:rFonts w:ascii="Arial" w:hAnsi="Arial" w:cs="Arial"/>
                <w:sz w:val="18"/>
                <w:szCs w:val="18"/>
              </w:rPr>
              <w:t>Delivering for customers</w:t>
            </w:r>
          </w:p>
        </w:tc>
      </w:tr>
      <w:tr w:rsidR="00C20EB1" w:rsidRPr="00735726" w14:paraId="1579740A" w14:textId="77777777" w:rsidTr="00E577A5">
        <w:tc>
          <w:tcPr>
            <w:tcW w:w="1696" w:type="dxa"/>
            <w:vMerge/>
          </w:tcPr>
          <w:p w14:paraId="5B187C8D" w14:textId="77777777" w:rsidR="00C20EB1" w:rsidRPr="00735726" w:rsidRDefault="00C20EB1" w:rsidP="00C20EB1">
            <w:pPr>
              <w:spacing w:after="160"/>
              <w:rPr>
                <w:rFonts w:ascii="Arial" w:hAnsi="Arial" w:cs="Arial"/>
                <w:sz w:val="18"/>
                <w:szCs w:val="18"/>
              </w:rPr>
            </w:pPr>
          </w:p>
        </w:tc>
        <w:tc>
          <w:tcPr>
            <w:tcW w:w="7319" w:type="dxa"/>
            <w:gridSpan w:val="4"/>
            <w:tcBorders>
              <w:top w:val="nil"/>
            </w:tcBorders>
          </w:tcPr>
          <w:p w14:paraId="6F8147A9" w14:textId="0F5324F6" w:rsidR="00C20EB1" w:rsidRPr="00735726" w:rsidRDefault="00C20EB1" w:rsidP="00C20EB1">
            <w:pPr>
              <w:spacing w:after="160"/>
              <w:rPr>
                <w:rFonts w:ascii="Arial" w:hAnsi="Arial" w:cs="Arial"/>
                <w:sz w:val="18"/>
                <w:szCs w:val="18"/>
              </w:rPr>
            </w:pPr>
            <w:r w:rsidRPr="00735726">
              <w:rPr>
                <w:rFonts w:ascii="Arial" w:hAnsi="Arial" w:cs="Arial"/>
                <w:sz w:val="18"/>
                <w:szCs w:val="18"/>
              </w:rPr>
              <w:t>Looking ahead to 2030, we are focused on addressing the most pressing challenges facing our regions, supported by a commitment to sustainable returns and building trust through transparency and responsible operations. These outcomes align with Ofwat’s expectations, our ESG priorities and the long</w:t>
            </w:r>
            <w:r w:rsidRPr="00735726">
              <w:rPr>
                <w:rFonts w:ascii="Cambria Math" w:hAnsi="Cambria Math" w:cs="Cambria Math"/>
                <w:sz w:val="18"/>
                <w:szCs w:val="18"/>
              </w:rPr>
              <w:t>‑</w:t>
            </w:r>
            <w:r w:rsidRPr="00735726">
              <w:rPr>
                <w:rFonts w:ascii="Arial" w:hAnsi="Arial" w:cs="Arial"/>
                <w:sz w:val="18"/>
                <w:szCs w:val="18"/>
              </w:rPr>
              <w:t>term financial sustainability of the business.</w:t>
            </w:r>
          </w:p>
        </w:tc>
      </w:tr>
    </w:tbl>
    <w:p w14:paraId="303309E5" w14:textId="0D3DA55F" w:rsidR="00314E67" w:rsidRPr="00735726" w:rsidRDefault="00314E67" w:rsidP="00844EFD">
      <w:pPr>
        <w:spacing w:after="160"/>
        <w:rPr>
          <w:rFonts w:ascii="Arial" w:hAnsi="Arial" w:cs="Arial"/>
          <w:sz w:val="18"/>
          <w:szCs w:val="18"/>
        </w:rPr>
      </w:pPr>
      <w:r w:rsidRPr="00735726">
        <w:rPr>
          <w:rFonts w:ascii="Arial" w:hAnsi="Arial" w:cs="Arial"/>
          <w:sz w:val="18"/>
          <w:szCs w:val="18"/>
        </w:rPr>
        <w:br w:type="page"/>
      </w:r>
    </w:p>
    <w:p w14:paraId="65BDE698" w14:textId="77777777" w:rsidR="00984750" w:rsidRPr="00735726" w:rsidRDefault="00984750" w:rsidP="00844EFD">
      <w:pPr>
        <w:spacing w:after="160"/>
        <w:rPr>
          <w:rFonts w:ascii="Arial" w:hAnsi="Arial" w:cs="Arial"/>
          <w:sz w:val="32"/>
          <w:szCs w:val="32"/>
        </w:rPr>
      </w:pPr>
      <w:r w:rsidRPr="00735726">
        <w:rPr>
          <w:rFonts w:ascii="Arial" w:hAnsi="Arial" w:cs="Arial"/>
          <w:sz w:val="32"/>
          <w:szCs w:val="32"/>
        </w:rPr>
        <w:lastRenderedPageBreak/>
        <w:t>OUR PEOPLE AND CULTURE</w:t>
      </w:r>
    </w:p>
    <w:p w14:paraId="5C59A875" w14:textId="614F62B5" w:rsidR="00984750" w:rsidRPr="00735726" w:rsidRDefault="00984750" w:rsidP="00844EFD">
      <w:pPr>
        <w:spacing w:after="160"/>
        <w:rPr>
          <w:rFonts w:ascii="Arial" w:hAnsi="Arial" w:cs="Arial"/>
          <w:sz w:val="18"/>
          <w:szCs w:val="18"/>
        </w:rPr>
      </w:pPr>
      <w:r w:rsidRPr="00735726">
        <w:rPr>
          <w:rFonts w:ascii="Arial" w:hAnsi="Arial" w:cs="Arial"/>
          <w:sz w:val="18"/>
          <w:szCs w:val="18"/>
        </w:rPr>
        <w:t>Our people are at the heart of the value we create. In a year where public and regulatory scrutiny of the water sector has intensified, our colleagues have played a critical role in maintaining essential services and delivering improvements for the customers and communities who rely on us.</w:t>
      </w:r>
    </w:p>
    <w:p w14:paraId="70DF4246" w14:textId="4573B94A" w:rsidR="002E4815" w:rsidRPr="00735726" w:rsidRDefault="00984750" w:rsidP="00844EFD">
      <w:pPr>
        <w:spacing w:after="160"/>
        <w:rPr>
          <w:rFonts w:ascii="Arial" w:hAnsi="Arial" w:cs="Arial"/>
          <w:sz w:val="18"/>
          <w:szCs w:val="18"/>
        </w:rPr>
      </w:pPr>
      <w:r w:rsidRPr="00735726">
        <w:rPr>
          <w:rFonts w:ascii="Arial" w:hAnsi="Arial" w:cs="Arial"/>
          <w:sz w:val="18"/>
          <w:szCs w:val="18"/>
        </w:rPr>
        <w:t xml:space="preserve">With </w:t>
      </w:r>
      <w:r w:rsidR="00CC2323" w:rsidRPr="00735726">
        <w:rPr>
          <w:rFonts w:ascii="Arial" w:hAnsi="Arial" w:cs="Arial"/>
          <w:sz w:val="18"/>
          <w:szCs w:val="18"/>
        </w:rPr>
        <w:t>c.</w:t>
      </w:r>
      <w:r w:rsidR="00283FBB" w:rsidRPr="00735726">
        <w:rPr>
          <w:rFonts w:ascii="Arial" w:hAnsi="Arial" w:cs="Arial"/>
          <w:sz w:val="18"/>
          <w:szCs w:val="18"/>
        </w:rPr>
        <w:t>2,700</w:t>
      </w:r>
      <w:r w:rsidRPr="00735726">
        <w:rPr>
          <w:rFonts w:ascii="Arial" w:hAnsi="Arial" w:cs="Arial"/>
          <w:sz w:val="18"/>
          <w:szCs w:val="18"/>
        </w:rPr>
        <w:t xml:space="preserve"> colleagues across our </w:t>
      </w:r>
      <w:r w:rsidR="006C11B6" w:rsidRPr="00735726">
        <w:rPr>
          <w:rFonts w:ascii="Arial" w:hAnsi="Arial" w:cs="Arial"/>
          <w:sz w:val="18"/>
          <w:szCs w:val="18"/>
        </w:rPr>
        <w:t>Company</w:t>
      </w:r>
      <w:r w:rsidRPr="00735726">
        <w:rPr>
          <w:rFonts w:ascii="Arial" w:hAnsi="Arial" w:cs="Arial"/>
          <w:sz w:val="18"/>
          <w:szCs w:val="18"/>
        </w:rPr>
        <w:t xml:space="preserve">, we understand the scale of our responsibility both as a major employer and as a provider of essential public services. </w:t>
      </w:r>
    </w:p>
    <w:p w14:paraId="65D4E707" w14:textId="1FEAA5A5" w:rsidR="002E4815" w:rsidRPr="00735726" w:rsidRDefault="00984750" w:rsidP="00844EFD">
      <w:pPr>
        <w:spacing w:after="160"/>
        <w:rPr>
          <w:rFonts w:ascii="Arial" w:hAnsi="Arial" w:cs="Arial"/>
          <w:sz w:val="18"/>
          <w:szCs w:val="18"/>
        </w:rPr>
      </w:pPr>
      <w:r w:rsidRPr="00735726">
        <w:rPr>
          <w:rFonts w:ascii="Arial" w:hAnsi="Arial" w:cs="Arial"/>
          <w:sz w:val="18"/>
          <w:szCs w:val="18"/>
        </w:rPr>
        <w:t>Our priority is to create a working environment that is safe, inclusive and future-focused - one that develops skills, supports wellbeing and reflects the values we expect of an organisation delivering essential services.</w:t>
      </w:r>
      <w:r w:rsidR="002E4815" w:rsidRPr="00735726">
        <w:rPr>
          <w:rFonts w:ascii="Arial" w:hAnsi="Arial" w:cs="Arial"/>
          <w:sz w:val="18"/>
          <w:szCs w:val="18"/>
        </w:rPr>
        <w:t xml:space="preserve"> </w:t>
      </w:r>
      <w:r w:rsidRPr="00735726">
        <w:rPr>
          <w:rFonts w:ascii="Arial" w:hAnsi="Arial" w:cs="Arial"/>
          <w:sz w:val="18"/>
          <w:szCs w:val="18"/>
        </w:rPr>
        <w:t xml:space="preserve">This year we strengthened colleague engagement, built capability across our teams and reshaped the </w:t>
      </w:r>
      <w:r w:rsidR="006C11B6" w:rsidRPr="00735726">
        <w:rPr>
          <w:rFonts w:ascii="Arial" w:hAnsi="Arial" w:cs="Arial"/>
          <w:sz w:val="18"/>
          <w:szCs w:val="18"/>
        </w:rPr>
        <w:t>Company</w:t>
      </w:r>
      <w:r w:rsidRPr="00735726">
        <w:rPr>
          <w:rFonts w:ascii="Arial" w:hAnsi="Arial" w:cs="Arial"/>
          <w:sz w:val="18"/>
          <w:szCs w:val="18"/>
        </w:rPr>
        <w:t xml:space="preserve"> to ensure we are better aligned and prepared to deliver the outcomes our communities depend on, now and in</w:t>
      </w:r>
      <w:r w:rsidR="002E4815" w:rsidRPr="00735726">
        <w:rPr>
          <w:rFonts w:ascii="Arial" w:hAnsi="Arial" w:cs="Arial"/>
          <w:sz w:val="18"/>
          <w:szCs w:val="18"/>
        </w:rPr>
        <w:t xml:space="preserve"> </w:t>
      </w:r>
      <w:r w:rsidRPr="00735726">
        <w:rPr>
          <w:rFonts w:ascii="Arial" w:hAnsi="Arial" w:cs="Arial"/>
          <w:sz w:val="18"/>
          <w:szCs w:val="18"/>
        </w:rPr>
        <w:t>the future.</w:t>
      </w:r>
    </w:p>
    <w:p w14:paraId="7B988E41" w14:textId="15289BEF" w:rsidR="002E4815" w:rsidRPr="00735726" w:rsidRDefault="002E4815" w:rsidP="00844EFD">
      <w:pPr>
        <w:spacing w:after="160"/>
        <w:rPr>
          <w:rFonts w:ascii="Arial" w:hAnsi="Arial" w:cs="Arial"/>
          <w:sz w:val="18"/>
          <w:szCs w:val="18"/>
        </w:rPr>
      </w:pPr>
      <w:r w:rsidRPr="00735726">
        <w:rPr>
          <w:rFonts w:ascii="Arial" w:eastAsia="Times New Roman" w:hAnsi="Arial" w:cs="DINOT-Light"/>
          <w:b/>
          <w:color w:val="000000"/>
          <w:sz w:val="18"/>
          <w:szCs w:val="18"/>
        </w:rPr>
        <w:t>PREPARED TO DELIVER</w:t>
      </w:r>
      <w:r w:rsidR="00D62E2B" w:rsidRPr="00735726">
        <w:rPr>
          <w:rFonts w:ascii="Arial" w:hAnsi="Arial" w:cs="Arial"/>
          <w:sz w:val="18"/>
          <w:szCs w:val="18"/>
        </w:rPr>
        <w:br/>
      </w:r>
      <w:r w:rsidRPr="00735726">
        <w:rPr>
          <w:rFonts w:ascii="Arial" w:hAnsi="Arial" w:cs="Arial"/>
          <w:sz w:val="18"/>
          <w:szCs w:val="18"/>
        </w:rPr>
        <w:t xml:space="preserve">This year we have continued to shape the </w:t>
      </w:r>
      <w:proofErr w:type="gramStart"/>
      <w:r w:rsidR="006C11B6" w:rsidRPr="00735726">
        <w:rPr>
          <w:rFonts w:ascii="Arial" w:hAnsi="Arial" w:cs="Arial"/>
          <w:sz w:val="18"/>
          <w:szCs w:val="18"/>
        </w:rPr>
        <w:t>Company</w:t>
      </w:r>
      <w:proofErr w:type="gramEnd"/>
      <w:r w:rsidRPr="00735726">
        <w:rPr>
          <w:rFonts w:ascii="Arial" w:hAnsi="Arial" w:cs="Arial"/>
          <w:sz w:val="18"/>
          <w:szCs w:val="18"/>
        </w:rPr>
        <w:t xml:space="preserve"> so we are set up to deliver with greater clarity, capability and operational focus. We have aligned our structures, strengthened frontline teams and made progress in ensuring we operate as one integrated organisation. These changes mean we are better positioned to meet </w:t>
      </w:r>
      <w:r w:rsidR="006C11B6" w:rsidRPr="00735726">
        <w:rPr>
          <w:rFonts w:ascii="Arial" w:hAnsi="Arial" w:cs="Arial"/>
          <w:sz w:val="18"/>
          <w:szCs w:val="18"/>
        </w:rPr>
        <w:t>the</w:t>
      </w:r>
      <w:r w:rsidRPr="00735726">
        <w:rPr>
          <w:rFonts w:ascii="Arial" w:hAnsi="Arial" w:cs="Arial"/>
          <w:sz w:val="18"/>
          <w:szCs w:val="18"/>
        </w:rPr>
        <w:t xml:space="preserve"> delivery challenges in AMP8 and beyond and respond confidently to heightened scrutiny across the water sector. We welcomed our new Chief Executive Officer on </w:t>
      </w:r>
      <w:r w:rsidR="00A774C5" w:rsidRPr="00735726">
        <w:rPr>
          <w:rFonts w:ascii="Arial" w:hAnsi="Arial" w:cs="Arial"/>
          <w:sz w:val="18"/>
          <w:szCs w:val="18"/>
        </w:rPr>
        <w:t>19 May</w:t>
      </w:r>
      <w:r w:rsidRPr="00735726">
        <w:rPr>
          <w:rFonts w:ascii="Arial" w:hAnsi="Arial" w:cs="Arial"/>
          <w:sz w:val="18"/>
          <w:szCs w:val="18"/>
        </w:rPr>
        <w:t xml:space="preserve"> 2026, through a series of in-person meet and greets across the </w:t>
      </w:r>
      <w:r w:rsidR="006C11B6" w:rsidRPr="00735726">
        <w:rPr>
          <w:rFonts w:ascii="Arial" w:hAnsi="Arial" w:cs="Arial"/>
          <w:sz w:val="18"/>
          <w:szCs w:val="18"/>
        </w:rPr>
        <w:t>Company</w:t>
      </w:r>
      <w:r w:rsidRPr="00735726">
        <w:rPr>
          <w:rFonts w:ascii="Arial" w:hAnsi="Arial" w:cs="Arial"/>
          <w:sz w:val="18"/>
          <w:szCs w:val="18"/>
        </w:rPr>
        <w:t xml:space="preserve">. Keith has held open forums </w:t>
      </w:r>
      <w:proofErr w:type="gramStart"/>
      <w:r w:rsidRPr="00735726">
        <w:rPr>
          <w:rFonts w:ascii="Arial" w:hAnsi="Arial" w:cs="Arial"/>
          <w:sz w:val="18"/>
          <w:szCs w:val="18"/>
        </w:rPr>
        <w:t>in order to</w:t>
      </w:r>
      <w:proofErr w:type="gramEnd"/>
      <w:r w:rsidRPr="00735726">
        <w:rPr>
          <w:rFonts w:ascii="Arial" w:hAnsi="Arial" w:cs="Arial"/>
          <w:sz w:val="18"/>
          <w:szCs w:val="18"/>
        </w:rPr>
        <w:t xml:space="preserve"> share the next phase of our transformation, and to encourage transparency with colleagues.</w:t>
      </w:r>
    </w:p>
    <w:p w14:paraId="539ED839" w14:textId="65E81AE0" w:rsidR="002E4815" w:rsidRPr="00735726" w:rsidRDefault="002E4815" w:rsidP="00844EFD">
      <w:pPr>
        <w:spacing w:after="160"/>
        <w:rPr>
          <w:rFonts w:ascii="Arial" w:hAnsi="Arial" w:cs="Arial"/>
          <w:sz w:val="18"/>
          <w:szCs w:val="18"/>
        </w:rPr>
      </w:pPr>
      <w:r w:rsidRPr="00735726">
        <w:rPr>
          <w:rFonts w:ascii="Arial" w:eastAsia="Times New Roman" w:hAnsi="Arial" w:cs="DINOT-Light"/>
          <w:b/>
          <w:color w:val="000000"/>
          <w:sz w:val="18"/>
          <w:szCs w:val="18"/>
        </w:rPr>
        <w:t>OUR VALUES AND CULTURE</w:t>
      </w:r>
      <w:r w:rsidR="00D62E2B" w:rsidRPr="00735726">
        <w:rPr>
          <w:rFonts w:ascii="Arial" w:hAnsi="Arial" w:cs="Arial"/>
          <w:sz w:val="18"/>
          <w:szCs w:val="18"/>
        </w:rPr>
        <w:br/>
      </w:r>
      <w:r w:rsidRPr="00735726">
        <w:rPr>
          <w:rFonts w:ascii="Arial" w:hAnsi="Arial" w:cs="Arial"/>
          <w:sz w:val="18"/>
          <w:szCs w:val="18"/>
        </w:rPr>
        <w:t xml:space="preserve">Our culture remains the foundation of how we work and how we deliver for our customers and communities. </w:t>
      </w:r>
      <w:r w:rsidR="006C11B6" w:rsidRPr="00735726">
        <w:rPr>
          <w:rFonts w:ascii="Arial" w:hAnsi="Arial" w:cs="Arial"/>
          <w:sz w:val="18"/>
          <w:szCs w:val="18"/>
        </w:rPr>
        <w:t>T</w:t>
      </w:r>
      <w:r w:rsidRPr="00735726">
        <w:rPr>
          <w:rFonts w:ascii="Arial" w:hAnsi="Arial" w:cs="Arial"/>
          <w:sz w:val="18"/>
          <w:szCs w:val="18"/>
        </w:rPr>
        <w:t xml:space="preserve">his year we continued to embed our values </w:t>
      </w:r>
      <w:r w:rsidR="00FD5151" w:rsidRPr="00735726">
        <w:rPr>
          <w:rFonts w:ascii="Arial" w:hAnsi="Arial" w:cs="Arial"/>
          <w:sz w:val="18"/>
          <w:szCs w:val="18"/>
        </w:rPr>
        <w:t>‘</w:t>
      </w:r>
      <w:r w:rsidRPr="00735726">
        <w:rPr>
          <w:rFonts w:ascii="Arial" w:hAnsi="Arial" w:cs="Arial"/>
          <w:sz w:val="18"/>
          <w:szCs w:val="18"/>
        </w:rPr>
        <w:t>Be You</w:t>
      </w:r>
      <w:r w:rsidR="00FD5151" w:rsidRPr="00735726">
        <w:rPr>
          <w:rFonts w:ascii="Arial" w:hAnsi="Arial" w:cs="Arial"/>
          <w:sz w:val="18"/>
          <w:szCs w:val="18"/>
        </w:rPr>
        <w:t>’</w:t>
      </w:r>
      <w:r w:rsidRPr="00735726">
        <w:rPr>
          <w:rFonts w:ascii="Arial" w:hAnsi="Arial" w:cs="Arial"/>
          <w:sz w:val="18"/>
          <w:szCs w:val="18"/>
        </w:rPr>
        <w:t xml:space="preserve">, </w:t>
      </w:r>
      <w:r w:rsidR="00FD5151" w:rsidRPr="00735726">
        <w:rPr>
          <w:rFonts w:ascii="Arial" w:hAnsi="Arial" w:cs="Arial"/>
          <w:sz w:val="18"/>
          <w:szCs w:val="18"/>
        </w:rPr>
        <w:t>‘</w:t>
      </w:r>
      <w:r w:rsidRPr="00735726">
        <w:rPr>
          <w:rFonts w:ascii="Arial" w:hAnsi="Arial" w:cs="Arial"/>
          <w:sz w:val="18"/>
          <w:szCs w:val="18"/>
        </w:rPr>
        <w:t>Be Rock Solid</w:t>
      </w:r>
      <w:r w:rsidR="00FD5151" w:rsidRPr="00735726">
        <w:rPr>
          <w:rFonts w:ascii="Arial" w:hAnsi="Arial" w:cs="Arial"/>
          <w:sz w:val="18"/>
          <w:szCs w:val="18"/>
        </w:rPr>
        <w:t>’</w:t>
      </w:r>
      <w:r w:rsidRPr="00735726">
        <w:rPr>
          <w:rFonts w:ascii="Arial" w:hAnsi="Arial" w:cs="Arial"/>
          <w:sz w:val="18"/>
          <w:szCs w:val="18"/>
        </w:rPr>
        <w:t xml:space="preserve"> and </w:t>
      </w:r>
      <w:r w:rsidR="00FD5151" w:rsidRPr="00735726">
        <w:rPr>
          <w:rFonts w:ascii="Arial" w:hAnsi="Arial" w:cs="Arial"/>
          <w:sz w:val="18"/>
          <w:szCs w:val="18"/>
        </w:rPr>
        <w:t>‘</w:t>
      </w:r>
      <w:r w:rsidRPr="00735726">
        <w:rPr>
          <w:rFonts w:ascii="Arial" w:hAnsi="Arial" w:cs="Arial"/>
          <w:sz w:val="18"/>
          <w:szCs w:val="18"/>
        </w:rPr>
        <w:t xml:space="preserve">Be </w:t>
      </w:r>
      <w:r w:rsidR="00D65D8A" w:rsidRPr="00735726">
        <w:rPr>
          <w:rFonts w:ascii="Arial" w:hAnsi="Arial" w:cs="Arial"/>
          <w:sz w:val="18"/>
          <w:szCs w:val="18"/>
        </w:rPr>
        <w:t>the</w:t>
      </w:r>
      <w:r w:rsidRPr="00735726">
        <w:rPr>
          <w:rFonts w:ascii="Arial" w:hAnsi="Arial" w:cs="Arial"/>
          <w:sz w:val="18"/>
          <w:szCs w:val="18"/>
        </w:rPr>
        <w:t xml:space="preserve"> Future</w:t>
      </w:r>
      <w:r w:rsidR="00FD5151" w:rsidRPr="00735726">
        <w:rPr>
          <w:rFonts w:ascii="Arial" w:hAnsi="Arial" w:cs="Arial"/>
          <w:sz w:val="18"/>
          <w:szCs w:val="18"/>
        </w:rPr>
        <w:t>’</w:t>
      </w:r>
      <w:r w:rsidRPr="00735726">
        <w:rPr>
          <w:rFonts w:ascii="Arial" w:hAnsi="Arial" w:cs="Arial"/>
          <w:sz w:val="18"/>
          <w:szCs w:val="18"/>
        </w:rPr>
        <w:t xml:space="preserve">, ensuring they guide the decisions we make, the standards we set and the behaviours we expect every day. Our values are now firmly part of the colleague experience - </w:t>
      </w:r>
      <w:proofErr w:type="gramStart"/>
      <w:r w:rsidRPr="00735726">
        <w:rPr>
          <w:rFonts w:ascii="Arial" w:hAnsi="Arial" w:cs="Arial"/>
          <w:sz w:val="18"/>
          <w:szCs w:val="18"/>
        </w:rPr>
        <w:t>from onboarding and training,</w:t>
      </w:r>
      <w:proofErr w:type="gramEnd"/>
      <w:r w:rsidRPr="00735726">
        <w:rPr>
          <w:rFonts w:ascii="Arial" w:hAnsi="Arial" w:cs="Arial"/>
          <w:sz w:val="18"/>
          <w:szCs w:val="18"/>
        </w:rPr>
        <w:t xml:space="preserve"> to recognition and leadership development. In the spirit of ‘Be You’ we continued to reinforce our values through our engagement programmes </w:t>
      </w:r>
      <w:r w:rsidR="006C1BA9" w:rsidRPr="00735726">
        <w:rPr>
          <w:rFonts w:ascii="Arial" w:hAnsi="Arial" w:cs="Arial"/>
          <w:sz w:val="18"/>
          <w:szCs w:val="18"/>
        </w:rPr>
        <w:t xml:space="preserve">- </w:t>
      </w:r>
      <w:r w:rsidRPr="00735726">
        <w:rPr>
          <w:rFonts w:ascii="Arial" w:hAnsi="Arial" w:cs="Arial"/>
          <w:sz w:val="18"/>
          <w:szCs w:val="18"/>
        </w:rPr>
        <w:t>including colleague listening through our Employee Network Groups, and our ‘You Rock’ Awards, which celebrate those who live our values in action. These initiatives have helped colleagues feel more connected to our purpose and to each other, strengthening a sense of shared ownership and pride.</w:t>
      </w:r>
    </w:p>
    <w:p w14:paraId="5B89BC17" w14:textId="77777777" w:rsidR="002E4815" w:rsidRPr="00735726" w:rsidRDefault="002E4815" w:rsidP="00844EFD">
      <w:pPr>
        <w:spacing w:after="160"/>
        <w:rPr>
          <w:rFonts w:ascii="Arial" w:hAnsi="Arial" w:cs="Arial"/>
          <w:sz w:val="18"/>
          <w:szCs w:val="18"/>
        </w:rPr>
      </w:pPr>
      <w:r w:rsidRPr="00735726">
        <w:rPr>
          <w:rFonts w:ascii="Arial" w:hAnsi="Arial" w:cs="Arial"/>
          <w:sz w:val="18"/>
          <w:szCs w:val="18"/>
        </w:rPr>
        <w:t xml:space="preserve">A key focus has been strengthening leadership at every level. We know that leaders have a defining influence on culture, and this year we have continued to develop the skills, confidence and capability our leaders need to set clear expectations, support their teams and role model our values. This includes equipping leaders to have open, constructive conversations, build trust, and create an environment where colleagues feel heard, respected and empowered to perform at their best. </w:t>
      </w:r>
    </w:p>
    <w:p w14:paraId="6C5E7EE8" w14:textId="741FC6A8" w:rsidR="002D7282" w:rsidRPr="00735726" w:rsidRDefault="002E4815" w:rsidP="00844EFD">
      <w:pPr>
        <w:spacing w:after="160"/>
        <w:rPr>
          <w:rFonts w:ascii="Arial" w:hAnsi="Arial" w:cs="Arial"/>
          <w:sz w:val="18"/>
          <w:szCs w:val="18"/>
        </w:rPr>
      </w:pPr>
      <w:r w:rsidRPr="00735726">
        <w:rPr>
          <w:rFonts w:ascii="Arial" w:hAnsi="Arial" w:cs="Arial"/>
          <w:sz w:val="18"/>
          <w:szCs w:val="18"/>
        </w:rPr>
        <w:t>We remain focused on building a workplace where people feel supported, safe and motivated, and where our values translate into high-quality service and responsible decision-making. This work will continue to evolve as we welcome new leadership and move into the next phase of our transformation.</w:t>
      </w:r>
    </w:p>
    <w:p w14:paraId="36FD86AD" w14:textId="6E13A673" w:rsidR="002E4815" w:rsidRPr="00735726" w:rsidRDefault="002E4815" w:rsidP="00844EFD">
      <w:pPr>
        <w:spacing w:after="160"/>
        <w:rPr>
          <w:rFonts w:ascii="Arial" w:hAnsi="Arial" w:cs="Arial"/>
          <w:sz w:val="18"/>
          <w:szCs w:val="18"/>
        </w:rPr>
      </w:pPr>
      <w:r w:rsidRPr="00735726">
        <w:rPr>
          <w:rFonts w:ascii="Arial" w:eastAsia="Times New Roman" w:hAnsi="Arial" w:cs="DINOT-Light"/>
          <w:b/>
          <w:color w:val="000000"/>
          <w:sz w:val="18"/>
          <w:szCs w:val="18"/>
        </w:rPr>
        <w:t>LEARNING AND DEVELOPMENT</w:t>
      </w:r>
      <w:r w:rsidR="00D62E2B" w:rsidRPr="00735726">
        <w:rPr>
          <w:rFonts w:ascii="Arial" w:hAnsi="Arial" w:cs="Arial"/>
          <w:sz w:val="18"/>
          <w:szCs w:val="18"/>
        </w:rPr>
        <w:br/>
      </w:r>
      <w:r w:rsidRPr="00735726">
        <w:rPr>
          <w:rFonts w:ascii="Arial" w:hAnsi="Arial" w:cs="Arial"/>
          <w:sz w:val="18"/>
          <w:szCs w:val="18"/>
        </w:rPr>
        <w:t>Building the capability of our people remains essential to delivering high-quality services and strengthening our long-term organisational resilience. From leadership to managers to colleagues, we invest in development at every level, ensuring they have the skills, confidence and support they need to succeed in a period of heightened expectations and operational focus.</w:t>
      </w:r>
    </w:p>
    <w:p w14:paraId="0771878F" w14:textId="02E57980" w:rsidR="002E4815" w:rsidRPr="00735726" w:rsidRDefault="002E4815" w:rsidP="00844EFD">
      <w:pPr>
        <w:spacing w:after="160"/>
        <w:rPr>
          <w:rFonts w:ascii="Arial" w:hAnsi="Arial" w:cs="Arial"/>
          <w:sz w:val="18"/>
          <w:szCs w:val="18"/>
        </w:rPr>
      </w:pPr>
      <w:r w:rsidRPr="00735726">
        <w:rPr>
          <w:rFonts w:ascii="Arial" w:hAnsi="Arial" w:cs="Arial"/>
          <w:i/>
          <w:iCs/>
          <w:sz w:val="18"/>
          <w:szCs w:val="18"/>
        </w:rPr>
        <w:t>LEADERSHIP DEVELOPMENT</w:t>
      </w:r>
      <w:r w:rsidR="00D62E2B" w:rsidRPr="00735726">
        <w:rPr>
          <w:rFonts w:ascii="Arial" w:hAnsi="Arial" w:cs="Arial"/>
          <w:sz w:val="18"/>
          <w:szCs w:val="18"/>
        </w:rPr>
        <w:br/>
      </w:r>
      <w:r w:rsidRPr="00735726">
        <w:rPr>
          <w:rFonts w:ascii="Arial" w:hAnsi="Arial" w:cs="Arial"/>
          <w:sz w:val="18"/>
          <w:szCs w:val="18"/>
        </w:rPr>
        <w:t xml:space="preserve">A key part of this has been investing in our leaders through a bespoke leadership development programme designed for the needs of our </w:t>
      </w:r>
      <w:r w:rsidR="00C618DC" w:rsidRPr="00735726">
        <w:rPr>
          <w:rFonts w:ascii="Arial" w:hAnsi="Arial" w:cs="Arial"/>
          <w:sz w:val="18"/>
          <w:szCs w:val="18"/>
        </w:rPr>
        <w:t>Company</w:t>
      </w:r>
      <w:r w:rsidRPr="00735726">
        <w:rPr>
          <w:rFonts w:ascii="Arial" w:hAnsi="Arial" w:cs="Arial"/>
          <w:sz w:val="18"/>
          <w:szCs w:val="18"/>
        </w:rPr>
        <w:t xml:space="preserve"> - ‘Leading for the Future’. This programme focuses on equipping leaders to role model our values, enable high performance, support colleague wellbeing and lead through change. By strengthening leadership capability, we are ensuring our people have the clarity, support and direction required to deliver for customers and communities.</w:t>
      </w:r>
    </w:p>
    <w:p w14:paraId="4B279BB8" w14:textId="3872D062" w:rsidR="002E4815" w:rsidRPr="00735726" w:rsidRDefault="002E4815" w:rsidP="00844EFD">
      <w:pPr>
        <w:spacing w:after="160"/>
        <w:rPr>
          <w:rFonts w:ascii="Arial" w:hAnsi="Arial" w:cs="Arial"/>
          <w:sz w:val="18"/>
          <w:szCs w:val="18"/>
        </w:rPr>
      </w:pPr>
      <w:r w:rsidRPr="00735726">
        <w:rPr>
          <w:rFonts w:ascii="Arial" w:hAnsi="Arial" w:cs="Arial"/>
          <w:i/>
          <w:iCs/>
          <w:sz w:val="18"/>
          <w:szCs w:val="18"/>
        </w:rPr>
        <w:t>EMPOWERED TO ACT</w:t>
      </w:r>
      <w:r w:rsidR="00D62E2B" w:rsidRPr="00735726">
        <w:rPr>
          <w:rFonts w:ascii="Arial" w:hAnsi="Arial" w:cs="Arial"/>
          <w:sz w:val="18"/>
          <w:szCs w:val="18"/>
        </w:rPr>
        <w:br/>
      </w:r>
      <w:r w:rsidRPr="00735726">
        <w:rPr>
          <w:rFonts w:ascii="Arial" w:hAnsi="Arial" w:cs="Arial"/>
          <w:sz w:val="18"/>
          <w:szCs w:val="18"/>
        </w:rPr>
        <w:t xml:space="preserve">All of our managers attend an ‘Empowered to Act’ programme, designed to equip managers with the knowledge and practical tools to confidently manage employee relations decisions, actions and processes within their teams, supporting consistent, fair and effective people management across the </w:t>
      </w:r>
      <w:r w:rsidR="00C618DC" w:rsidRPr="00735726">
        <w:rPr>
          <w:rFonts w:ascii="Arial" w:hAnsi="Arial" w:cs="Arial"/>
          <w:sz w:val="18"/>
          <w:szCs w:val="18"/>
        </w:rPr>
        <w:t>Company</w:t>
      </w:r>
      <w:r w:rsidRPr="00735726">
        <w:rPr>
          <w:rFonts w:ascii="Arial" w:hAnsi="Arial" w:cs="Arial"/>
          <w:sz w:val="18"/>
          <w:szCs w:val="18"/>
        </w:rPr>
        <w:t>.</w:t>
      </w:r>
    </w:p>
    <w:p w14:paraId="0DBCF0EB" w14:textId="27B111E1" w:rsidR="002E4815" w:rsidRPr="00735726" w:rsidRDefault="002E4815" w:rsidP="00844EFD">
      <w:pPr>
        <w:spacing w:after="160"/>
        <w:rPr>
          <w:rFonts w:ascii="Arial" w:hAnsi="Arial" w:cs="Arial"/>
          <w:sz w:val="18"/>
          <w:szCs w:val="18"/>
        </w:rPr>
      </w:pPr>
      <w:r w:rsidRPr="00735726">
        <w:rPr>
          <w:rFonts w:ascii="Arial" w:hAnsi="Arial" w:cs="Arial"/>
          <w:i/>
          <w:iCs/>
          <w:sz w:val="18"/>
          <w:szCs w:val="18"/>
        </w:rPr>
        <w:lastRenderedPageBreak/>
        <w:t>H2GROW</w:t>
      </w:r>
      <w:r w:rsidR="00D62E2B" w:rsidRPr="00735726">
        <w:rPr>
          <w:rFonts w:ascii="Arial" w:hAnsi="Arial" w:cs="Arial"/>
          <w:sz w:val="18"/>
          <w:szCs w:val="18"/>
        </w:rPr>
        <w:br/>
      </w:r>
      <w:r w:rsidRPr="00735726">
        <w:rPr>
          <w:rFonts w:ascii="Arial" w:hAnsi="Arial" w:cs="Arial"/>
          <w:sz w:val="18"/>
          <w:szCs w:val="18"/>
        </w:rPr>
        <w:t xml:space="preserve">We also recently launched our new </w:t>
      </w:r>
      <w:r w:rsidR="00C618DC" w:rsidRPr="00735726">
        <w:rPr>
          <w:rFonts w:ascii="Arial" w:hAnsi="Arial" w:cs="Arial"/>
          <w:sz w:val="18"/>
          <w:szCs w:val="18"/>
        </w:rPr>
        <w:t>Company</w:t>
      </w:r>
      <w:r w:rsidRPr="00735726">
        <w:rPr>
          <w:rFonts w:ascii="Arial" w:hAnsi="Arial" w:cs="Arial"/>
          <w:sz w:val="18"/>
          <w:szCs w:val="18"/>
        </w:rPr>
        <w:t xml:space="preserve"> wide Learning Experience Platform (LXP), H2Grow, giving colleagues access to a modern, personalised and comprehensive learning environment. The platform brings together technical training, professional development, compliance learning and skills content in one place, making learning more accessible and more aligned to the needs of our organisation.</w:t>
      </w:r>
    </w:p>
    <w:p w14:paraId="11FC4654" w14:textId="095D1F18" w:rsidR="002E4815" w:rsidRPr="009A2CAE" w:rsidRDefault="002E4815" w:rsidP="00844EFD">
      <w:pPr>
        <w:spacing w:after="160"/>
        <w:rPr>
          <w:rFonts w:ascii="Arial" w:hAnsi="Arial" w:cs="Arial"/>
          <w:sz w:val="18"/>
          <w:szCs w:val="18"/>
        </w:rPr>
      </w:pPr>
      <w:r w:rsidRPr="00735726">
        <w:rPr>
          <w:rFonts w:ascii="Arial" w:hAnsi="Arial" w:cs="Arial"/>
          <w:i/>
          <w:iCs/>
          <w:sz w:val="18"/>
          <w:szCs w:val="18"/>
        </w:rPr>
        <w:t>EARLY CAREERS</w:t>
      </w:r>
      <w:r w:rsidR="00D62E2B" w:rsidRPr="00735726">
        <w:rPr>
          <w:rFonts w:ascii="Arial" w:hAnsi="Arial" w:cs="Arial"/>
          <w:sz w:val="18"/>
          <w:szCs w:val="18"/>
        </w:rPr>
        <w:br/>
      </w:r>
      <w:r w:rsidRPr="00735726">
        <w:rPr>
          <w:rFonts w:ascii="Arial" w:hAnsi="Arial" w:cs="Arial"/>
          <w:sz w:val="18"/>
          <w:szCs w:val="18"/>
        </w:rPr>
        <w:t xml:space="preserve">Our commitment to developing future talent remains strong. </w:t>
      </w:r>
      <w:r w:rsidR="00C618DC" w:rsidRPr="00735726">
        <w:rPr>
          <w:rFonts w:ascii="Arial" w:hAnsi="Arial" w:cs="Arial"/>
          <w:sz w:val="18"/>
          <w:szCs w:val="18"/>
        </w:rPr>
        <w:t>Our parent Company, Pennon Group plc</w:t>
      </w:r>
      <w:r w:rsidRPr="00735726">
        <w:rPr>
          <w:rFonts w:ascii="Arial" w:hAnsi="Arial" w:cs="Arial"/>
          <w:sz w:val="18"/>
          <w:szCs w:val="18"/>
        </w:rPr>
        <w:t xml:space="preserve"> continue</w:t>
      </w:r>
      <w:r w:rsidR="00C618DC" w:rsidRPr="00735726">
        <w:rPr>
          <w:rFonts w:ascii="Arial" w:hAnsi="Arial" w:cs="Arial"/>
          <w:sz w:val="18"/>
          <w:szCs w:val="18"/>
        </w:rPr>
        <w:t>s</w:t>
      </w:r>
      <w:r w:rsidRPr="00735726">
        <w:rPr>
          <w:rFonts w:ascii="Arial" w:hAnsi="Arial" w:cs="Arial"/>
          <w:sz w:val="18"/>
          <w:szCs w:val="18"/>
        </w:rPr>
        <w:t xml:space="preserve"> to be active members of the 5% Club, reinforcing our ambition to ensure that at least 5% of our workforce consists of apprentices, graduates and trainees. Since 2021, we have onboarded 105 graduates, and this financial year alone we have welcomed </w:t>
      </w:r>
      <w:r w:rsidR="00674C2C" w:rsidRPr="00735726">
        <w:rPr>
          <w:rFonts w:ascii="Arial" w:hAnsi="Arial" w:cs="Arial"/>
          <w:sz w:val="18"/>
          <w:szCs w:val="18"/>
        </w:rPr>
        <w:t>58</w:t>
      </w:r>
      <w:r w:rsidRPr="00735726">
        <w:rPr>
          <w:rFonts w:ascii="Arial" w:hAnsi="Arial" w:cs="Arial"/>
          <w:sz w:val="18"/>
          <w:szCs w:val="18"/>
        </w:rPr>
        <w:t xml:space="preserve"> apprentices into the business. Our graduate and apprenticeship programmes remain a key part of our talent pipeline, supporting skills development in priority areas.</w:t>
      </w:r>
    </w:p>
    <w:p w14:paraId="7001260D" w14:textId="7A53BDC5" w:rsidR="002E4815" w:rsidRPr="00735726" w:rsidRDefault="002E4815" w:rsidP="00844EFD">
      <w:pPr>
        <w:spacing w:after="160"/>
        <w:rPr>
          <w:rFonts w:ascii="Arial" w:hAnsi="Arial" w:cs="Arial"/>
          <w:sz w:val="18"/>
          <w:szCs w:val="18"/>
        </w:rPr>
      </w:pPr>
      <w:r w:rsidRPr="00735726">
        <w:rPr>
          <w:rFonts w:ascii="Arial" w:hAnsi="Arial" w:cs="Arial"/>
          <w:sz w:val="18"/>
          <w:szCs w:val="18"/>
        </w:rPr>
        <w:t xml:space="preserve">Through these initiatives, we are building a learning-led, future focused organisation - one equipped with the right skills, leadership and talent to deliver consistently, adapt to changing expectations and support the long-term success of the </w:t>
      </w:r>
      <w:r w:rsidR="00C618DC" w:rsidRPr="00735726">
        <w:rPr>
          <w:rFonts w:ascii="Arial" w:hAnsi="Arial" w:cs="Arial"/>
          <w:sz w:val="18"/>
          <w:szCs w:val="18"/>
        </w:rPr>
        <w:t>Company</w:t>
      </w:r>
      <w:r w:rsidRPr="00735726">
        <w:rPr>
          <w:rFonts w:ascii="Arial" w:hAnsi="Arial" w:cs="Arial"/>
          <w:sz w:val="18"/>
          <w:szCs w:val="18"/>
        </w:rPr>
        <w:t>.</w:t>
      </w:r>
    </w:p>
    <w:p w14:paraId="1DB7359F" w14:textId="547E94BD" w:rsidR="002E4815" w:rsidRPr="00735726" w:rsidRDefault="002E4815" w:rsidP="00844EFD">
      <w:pPr>
        <w:spacing w:after="160"/>
        <w:rPr>
          <w:rFonts w:ascii="Arial" w:hAnsi="Arial" w:cs="Arial"/>
          <w:sz w:val="18"/>
          <w:szCs w:val="18"/>
        </w:rPr>
      </w:pPr>
      <w:r w:rsidRPr="00735726">
        <w:rPr>
          <w:rFonts w:ascii="Arial" w:eastAsia="Times New Roman" w:hAnsi="Arial" w:cs="DINOT-Light"/>
          <w:b/>
          <w:color w:val="000000"/>
          <w:sz w:val="18"/>
          <w:szCs w:val="18"/>
        </w:rPr>
        <w:t>RECRUITMENT AND ATTRACTING TALENT</w:t>
      </w:r>
      <w:r w:rsidR="00D62E2B" w:rsidRPr="00735726">
        <w:rPr>
          <w:rFonts w:ascii="Arial" w:hAnsi="Arial" w:cs="Arial"/>
          <w:sz w:val="18"/>
          <w:szCs w:val="18"/>
        </w:rPr>
        <w:br/>
      </w:r>
      <w:r w:rsidRPr="00735726">
        <w:rPr>
          <w:rFonts w:ascii="Arial" w:hAnsi="Arial" w:cs="Arial"/>
          <w:sz w:val="18"/>
          <w:szCs w:val="18"/>
        </w:rPr>
        <w:t xml:space="preserve">This year we modernised and strengthened our recruitment capability by implementing </w:t>
      </w:r>
      <w:proofErr w:type="spellStart"/>
      <w:r w:rsidRPr="00735726">
        <w:rPr>
          <w:rFonts w:ascii="Arial" w:hAnsi="Arial" w:cs="Arial"/>
          <w:sz w:val="18"/>
          <w:szCs w:val="18"/>
        </w:rPr>
        <w:t>Teamtailor</w:t>
      </w:r>
      <w:proofErr w:type="spellEnd"/>
      <w:r w:rsidRPr="00735726">
        <w:rPr>
          <w:rFonts w:ascii="Arial" w:hAnsi="Arial" w:cs="Arial"/>
          <w:sz w:val="18"/>
          <w:szCs w:val="18"/>
        </w:rPr>
        <w:t xml:space="preserve">, our new </w:t>
      </w:r>
      <w:r w:rsidR="00C618DC" w:rsidRPr="00735726">
        <w:rPr>
          <w:rFonts w:ascii="Arial" w:hAnsi="Arial" w:cs="Arial"/>
          <w:sz w:val="18"/>
          <w:szCs w:val="18"/>
        </w:rPr>
        <w:t>Company</w:t>
      </w:r>
      <w:r w:rsidRPr="00735726">
        <w:rPr>
          <w:rFonts w:ascii="Arial" w:hAnsi="Arial" w:cs="Arial"/>
          <w:sz w:val="18"/>
          <w:szCs w:val="18"/>
        </w:rPr>
        <w:t xml:space="preserve"> wide applicant tracking system. This marks a significant step forward in transforming recruitment and how we attract top talent from across the market. </w:t>
      </w:r>
    </w:p>
    <w:p w14:paraId="1427BB07" w14:textId="1840311C" w:rsidR="002E4815" w:rsidRPr="00735726" w:rsidRDefault="002E4815" w:rsidP="00844EFD">
      <w:pPr>
        <w:spacing w:after="160"/>
        <w:rPr>
          <w:rFonts w:ascii="Arial" w:hAnsi="Arial" w:cs="Arial"/>
          <w:sz w:val="18"/>
          <w:szCs w:val="18"/>
        </w:rPr>
      </w:pPr>
      <w:proofErr w:type="spellStart"/>
      <w:r w:rsidRPr="00735726">
        <w:rPr>
          <w:rFonts w:ascii="Arial" w:hAnsi="Arial" w:cs="Arial"/>
          <w:sz w:val="18"/>
          <w:szCs w:val="18"/>
        </w:rPr>
        <w:t>Teamtailor</w:t>
      </w:r>
      <w:proofErr w:type="spellEnd"/>
      <w:r w:rsidRPr="00735726">
        <w:rPr>
          <w:rFonts w:ascii="Arial" w:hAnsi="Arial" w:cs="Arial"/>
          <w:sz w:val="18"/>
          <w:szCs w:val="18"/>
        </w:rPr>
        <w:t xml:space="preserve"> is driving </w:t>
      </w:r>
      <w:r w:rsidR="00C618DC" w:rsidRPr="00735726">
        <w:rPr>
          <w:rFonts w:ascii="Arial" w:hAnsi="Arial" w:cs="Arial"/>
          <w:sz w:val="18"/>
          <w:szCs w:val="18"/>
        </w:rPr>
        <w:t xml:space="preserve">Company </w:t>
      </w:r>
      <w:r w:rsidRPr="00735726">
        <w:rPr>
          <w:rFonts w:ascii="Arial" w:hAnsi="Arial" w:cs="Arial"/>
          <w:sz w:val="18"/>
          <w:szCs w:val="18"/>
        </w:rPr>
        <w:t xml:space="preserve">integration, replacing legacy systems and a range of localised practices, giving the </w:t>
      </w:r>
      <w:r w:rsidR="00C618DC" w:rsidRPr="00735726">
        <w:rPr>
          <w:rFonts w:ascii="Arial" w:hAnsi="Arial" w:cs="Arial"/>
          <w:sz w:val="18"/>
          <w:szCs w:val="18"/>
        </w:rPr>
        <w:t xml:space="preserve">Company </w:t>
      </w:r>
      <w:r w:rsidRPr="00735726">
        <w:rPr>
          <w:rFonts w:ascii="Arial" w:hAnsi="Arial" w:cs="Arial"/>
          <w:sz w:val="18"/>
          <w:szCs w:val="18"/>
        </w:rPr>
        <w:t>one consistent way of managing our hiring activity. This consolidation has improved visibility, streamlined workflows, and created a more efficient and joined-up experience for candidates, hiring managers and our recruitment teams. It also allows us to make better use of data, enabling clearer insight into our workforce pipeline and supporting more informed and inclusive decision-making.</w:t>
      </w:r>
    </w:p>
    <w:p w14:paraId="7A04EEA3" w14:textId="2D64F91B" w:rsidR="002E4815" w:rsidRPr="00735726" w:rsidRDefault="002E4815" w:rsidP="00844EFD">
      <w:pPr>
        <w:spacing w:after="160"/>
        <w:rPr>
          <w:rFonts w:ascii="Arial" w:hAnsi="Arial" w:cs="Arial"/>
          <w:sz w:val="18"/>
          <w:szCs w:val="18"/>
        </w:rPr>
      </w:pPr>
      <w:r w:rsidRPr="00735726">
        <w:rPr>
          <w:rFonts w:ascii="Arial" w:hAnsi="Arial" w:cs="Arial"/>
          <w:sz w:val="18"/>
          <w:szCs w:val="18"/>
        </w:rPr>
        <w:t>We have refreshed our careers site with a focus on improving clarity, accessibility and representation so that our opportunities appeal to a broad and diverse pool of talent that reflects the communities we serve.</w:t>
      </w:r>
    </w:p>
    <w:p w14:paraId="1412D3A6" w14:textId="004BE80C" w:rsidR="002E4815" w:rsidRPr="00735726" w:rsidRDefault="002E4815" w:rsidP="00844EFD">
      <w:pPr>
        <w:spacing w:after="160"/>
        <w:rPr>
          <w:rFonts w:ascii="Arial" w:hAnsi="Arial" w:cs="Arial"/>
          <w:sz w:val="18"/>
          <w:szCs w:val="18"/>
        </w:rPr>
      </w:pPr>
      <w:r w:rsidRPr="00735726">
        <w:rPr>
          <w:rFonts w:ascii="Arial" w:hAnsi="Arial" w:cs="Arial"/>
          <w:sz w:val="18"/>
          <w:szCs w:val="18"/>
        </w:rPr>
        <w:t>We remain committed to partnerships and programmes that support fair access and broaden participation. This includes ongoing involvement in initiatives such as the Armed Forces Covenant and 10,000 Black Interns, as well as targeted support for early career talent joining us through our graduate and apprenticeship routes.</w:t>
      </w:r>
    </w:p>
    <w:p w14:paraId="729BBA23" w14:textId="2A432BF3" w:rsidR="002E4815" w:rsidRPr="009A2CAE" w:rsidRDefault="002E4815" w:rsidP="00844EFD">
      <w:pPr>
        <w:spacing w:after="160"/>
        <w:rPr>
          <w:rFonts w:ascii="Arial" w:hAnsi="Arial" w:cs="Arial"/>
          <w:sz w:val="18"/>
          <w:szCs w:val="18"/>
        </w:rPr>
      </w:pPr>
      <w:r w:rsidRPr="00735726">
        <w:rPr>
          <w:rFonts w:ascii="Arial" w:hAnsi="Arial" w:cs="Arial"/>
          <w:sz w:val="18"/>
          <w:szCs w:val="18"/>
        </w:rPr>
        <w:t>Our commitment to inclusive hiring continues to strengthen. We closely monitor application trends to identify areas for improvement and ensure our processes remain fair and accessible</w:t>
      </w:r>
    </w:p>
    <w:p w14:paraId="67151065" w14:textId="6FBB1506" w:rsidR="002E4815" w:rsidRPr="00735726" w:rsidRDefault="002E4815" w:rsidP="00844EFD">
      <w:pPr>
        <w:spacing w:after="160"/>
        <w:rPr>
          <w:rFonts w:ascii="Arial" w:hAnsi="Arial" w:cs="Arial"/>
          <w:sz w:val="18"/>
          <w:szCs w:val="18"/>
        </w:rPr>
      </w:pPr>
      <w:r w:rsidRPr="00735726">
        <w:rPr>
          <w:rFonts w:ascii="Arial" w:hAnsi="Arial" w:cs="Arial"/>
          <w:sz w:val="18"/>
          <w:szCs w:val="18"/>
        </w:rPr>
        <w:t xml:space="preserve">With </w:t>
      </w:r>
      <w:proofErr w:type="spellStart"/>
      <w:r w:rsidRPr="00735726">
        <w:rPr>
          <w:rFonts w:ascii="Arial" w:hAnsi="Arial" w:cs="Arial"/>
          <w:sz w:val="18"/>
          <w:szCs w:val="18"/>
        </w:rPr>
        <w:t>Teamtailor</w:t>
      </w:r>
      <w:proofErr w:type="spellEnd"/>
      <w:r w:rsidRPr="00735726">
        <w:rPr>
          <w:rFonts w:ascii="Arial" w:hAnsi="Arial" w:cs="Arial"/>
          <w:sz w:val="18"/>
          <w:szCs w:val="18"/>
        </w:rPr>
        <w:t xml:space="preserve"> now embedded, we are well positioned to continue enhancing visibility of opportunities, reduce unnecessary barriers for applicants, and deliver a recruitment experience that is modern, efficient and aligned to our values. This transformation supports our ambition to attract and retain the skills and talent we need to serve our customers, protect the environment and deliver sustainable, long-term growth.</w:t>
      </w:r>
    </w:p>
    <w:p w14:paraId="791FC5C7" w14:textId="171CF945" w:rsidR="004C1B3D" w:rsidRPr="00735726" w:rsidRDefault="004C1B3D" w:rsidP="00844EFD">
      <w:pPr>
        <w:spacing w:after="160"/>
        <w:rPr>
          <w:rFonts w:ascii="Arial" w:hAnsi="Arial" w:cs="Arial"/>
          <w:sz w:val="32"/>
          <w:szCs w:val="32"/>
        </w:rPr>
      </w:pPr>
      <w:r w:rsidRPr="00735726">
        <w:rPr>
          <w:rFonts w:ascii="Arial" w:eastAsia="Times New Roman" w:hAnsi="Arial" w:cs="DINOT-Light"/>
          <w:b/>
          <w:color w:val="000000"/>
          <w:sz w:val="18"/>
          <w:szCs w:val="18"/>
        </w:rPr>
        <w:t>EQUITY, DIVERSITY AND INCLUSION</w:t>
      </w:r>
      <w:r w:rsidR="00D62E2B" w:rsidRPr="00735726">
        <w:rPr>
          <w:rFonts w:ascii="Arial" w:hAnsi="Arial" w:cs="Arial"/>
          <w:sz w:val="18"/>
          <w:szCs w:val="18"/>
        </w:rPr>
        <w:br/>
      </w:r>
      <w:r w:rsidRPr="00735726">
        <w:rPr>
          <w:rFonts w:ascii="Arial" w:hAnsi="Arial" w:cs="Arial"/>
          <w:sz w:val="18"/>
          <w:szCs w:val="18"/>
        </w:rPr>
        <w:t>Creating a workplace where everyone feels valued, supported and able to contribute their best remains central to our culture and long-term success. This year we continued to strengthen our approach to Equity, Diversity and Inclusion (EDI), expanding colleague networks, improving governance and building the foundations for greater representation, inclusion and opportunity across the Company.</w:t>
      </w:r>
      <w:r w:rsidRPr="00735726">
        <w:rPr>
          <w:rFonts w:ascii="Arial" w:hAnsi="Arial" w:cs="Arial"/>
          <w:sz w:val="32"/>
          <w:szCs w:val="32"/>
        </w:rPr>
        <w:t xml:space="preserve"> </w:t>
      </w:r>
    </w:p>
    <w:p w14:paraId="26DDCD61" w14:textId="4D93810A" w:rsidR="004C1B3D" w:rsidRPr="00735726" w:rsidRDefault="004C1B3D" w:rsidP="00844EFD">
      <w:pPr>
        <w:spacing w:after="160"/>
        <w:rPr>
          <w:rFonts w:ascii="Arial" w:hAnsi="Arial" w:cs="Arial"/>
          <w:sz w:val="18"/>
          <w:szCs w:val="18"/>
        </w:rPr>
      </w:pPr>
      <w:r w:rsidRPr="00735726">
        <w:rPr>
          <w:rFonts w:ascii="Arial" w:hAnsi="Arial" w:cs="Arial"/>
          <w:i/>
          <w:iCs/>
          <w:sz w:val="18"/>
          <w:szCs w:val="18"/>
        </w:rPr>
        <w:t>LAUNCHING OUR FAMILY FRIENDLY POLICY</w:t>
      </w:r>
      <w:r w:rsidR="00D62E2B" w:rsidRPr="00735726">
        <w:rPr>
          <w:rFonts w:ascii="Arial" w:hAnsi="Arial" w:cs="Arial"/>
          <w:sz w:val="18"/>
          <w:szCs w:val="18"/>
        </w:rPr>
        <w:br/>
      </w:r>
      <w:r w:rsidRPr="00735726">
        <w:rPr>
          <w:rFonts w:ascii="Arial" w:hAnsi="Arial" w:cs="Arial"/>
          <w:sz w:val="18"/>
          <w:szCs w:val="18"/>
        </w:rPr>
        <w:t>As part of our focus on equity, diversity and inclusion, we have conducted a review across all our regions and business of our family friendly policies and relaunched a refreshed approach. Recognising that family life looks different for everyone, these policies are designed to support colleagues at important life moments, whether welcoming a child, growing a family through adoption or surrogacy, supporting a partner, or navigating fertility treatment or neonatal care.</w:t>
      </w:r>
    </w:p>
    <w:p w14:paraId="6D7D67B3" w14:textId="77777777" w:rsidR="004C1B3D" w:rsidRPr="00735726" w:rsidRDefault="004C1B3D" w:rsidP="00844EFD">
      <w:pPr>
        <w:spacing w:after="160"/>
        <w:rPr>
          <w:rFonts w:ascii="Arial" w:hAnsi="Arial" w:cs="Arial"/>
          <w:sz w:val="18"/>
          <w:szCs w:val="18"/>
        </w:rPr>
      </w:pPr>
      <w:r w:rsidRPr="00735726">
        <w:rPr>
          <w:rFonts w:ascii="Arial" w:hAnsi="Arial" w:cs="Arial"/>
          <w:sz w:val="18"/>
          <w:szCs w:val="18"/>
        </w:rPr>
        <w:t>Our updated Family Leave policy brings together Maternity Leave, Supporting Parent Leave, Adoption Leave, Shared Parental Leave, IVF and Assisted Conception Leave, and Neonatal Leave into a clear and consistent framework. It is designed to provide greater financial support, increase flexibility and choice for families, and ensure a fair and inclusive approach across the organisation.</w:t>
      </w:r>
    </w:p>
    <w:p w14:paraId="4929D24A" w14:textId="08A118C1" w:rsidR="004C1B3D" w:rsidRPr="00735726" w:rsidRDefault="004C1B3D" w:rsidP="00844EFD">
      <w:pPr>
        <w:spacing w:after="160"/>
        <w:rPr>
          <w:rFonts w:ascii="Arial" w:hAnsi="Arial" w:cs="Arial"/>
          <w:sz w:val="18"/>
          <w:szCs w:val="18"/>
        </w:rPr>
      </w:pPr>
      <w:r w:rsidRPr="00735726">
        <w:rPr>
          <w:rFonts w:ascii="Arial" w:hAnsi="Arial" w:cs="Arial"/>
          <w:sz w:val="18"/>
          <w:szCs w:val="18"/>
        </w:rPr>
        <w:lastRenderedPageBreak/>
        <w:t>We know that taking family leave is a significant moment, both personally and professionally. Our aim is to ensure that colleagues feel supported, informed and confident before, during and after their leave, reflecting our values and our commitment to supporting a modern, diverse workforce.</w:t>
      </w:r>
    </w:p>
    <w:p w14:paraId="58636B34" w14:textId="2ECA4695" w:rsidR="004C1B3D" w:rsidRPr="00735726" w:rsidRDefault="004C1B3D" w:rsidP="00844EFD">
      <w:pPr>
        <w:spacing w:after="160"/>
        <w:rPr>
          <w:rFonts w:ascii="Arial" w:hAnsi="Arial" w:cs="Arial"/>
          <w:sz w:val="18"/>
          <w:szCs w:val="18"/>
        </w:rPr>
      </w:pPr>
      <w:r w:rsidRPr="00735726">
        <w:rPr>
          <w:rFonts w:ascii="Arial" w:hAnsi="Arial" w:cs="Arial"/>
          <w:i/>
          <w:iCs/>
          <w:sz w:val="18"/>
          <w:szCs w:val="18"/>
        </w:rPr>
        <w:t>EXPANDING AND STRENGTHENING OUR EMPLOYEE RESOURCE GROUPS</w:t>
      </w:r>
      <w:r w:rsidR="00D62E2B" w:rsidRPr="00735726">
        <w:rPr>
          <w:rFonts w:ascii="Arial" w:hAnsi="Arial" w:cs="Arial"/>
          <w:sz w:val="18"/>
          <w:szCs w:val="18"/>
        </w:rPr>
        <w:br/>
      </w:r>
      <w:r w:rsidRPr="00735726">
        <w:rPr>
          <w:rFonts w:ascii="Arial" w:hAnsi="Arial" w:cs="Arial"/>
          <w:sz w:val="18"/>
          <w:szCs w:val="18"/>
        </w:rPr>
        <w:t xml:space="preserve">Our Employee Resource Groups (ERGs) play an essential role in creating safe spaces, strengthening community and ensuring colleague voice shapes our policies and decision-making. Over the past year we have expanded our networks, increased membership and strengthened executive sponsorship to ensure each group has a visible platform and clear influence across the organisation. </w:t>
      </w:r>
    </w:p>
    <w:p w14:paraId="0E0A46B1" w14:textId="11071954" w:rsidR="004C1B3D" w:rsidRPr="00735726" w:rsidRDefault="004C1B3D" w:rsidP="00844EFD">
      <w:pPr>
        <w:spacing w:after="160"/>
        <w:rPr>
          <w:rFonts w:ascii="Arial" w:hAnsi="Arial" w:cs="Arial"/>
          <w:sz w:val="18"/>
          <w:szCs w:val="18"/>
        </w:rPr>
      </w:pPr>
      <w:r w:rsidRPr="00735726">
        <w:rPr>
          <w:rFonts w:ascii="Arial" w:hAnsi="Arial" w:cs="Arial"/>
          <w:sz w:val="18"/>
          <w:szCs w:val="18"/>
        </w:rPr>
        <w:t>Key progress included:</w:t>
      </w:r>
    </w:p>
    <w:p w14:paraId="3B46A395" w14:textId="2553147C" w:rsidR="004C1B3D" w:rsidRPr="00735726" w:rsidRDefault="004C1B3D" w:rsidP="00646F4F">
      <w:pPr>
        <w:pStyle w:val="ListParagraph"/>
        <w:numPr>
          <w:ilvl w:val="0"/>
          <w:numId w:val="74"/>
        </w:numPr>
        <w:spacing w:after="160"/>
        <w:rPr>
          <w:rFonts w:ascii="Arial" w:hAnsi="Arial" w:cs="Arial"/>
          <w:sz w:val="18"/>
          <w:szCs w:val="18"/>
        </w:rPr>
      </w:pPr>
      <w:r w:rsidRPr="00735726">
        <w:rPr>
          <w:rFonts w:ascii="Arial" w:hAnsi="Arial" w:cs="Arial"/>
          <w:sz w:val="18"/>
          <w:szCs w:val="18"/>
        </w:rPr>
        <w:t>Growth in membership and wider colleague engagement</w:t>
      </w:r>
    </w:p>
    <w:p w14:paraId="1FFE5636" w14:textId="2BD62F36" w:rsidR="004C1B3D" w:rsidRPr="00735726" w:rsidRDefault="004C1B3D" w:rsidP="00646F4F">
      <w:pPr>
        <w:pStyle w:val="ListParagraph"/>
        <w:numPr>
          <w:ilvl w:val="0"/>
          <w:numId w:val="74"/>
        </w:numPr>
        <w:spacing w:after="160"/>
        <w:rPr>
          <w:rFonts w:ascii="Arial" w:hAnsi="Arial" w:cs="Arial"/>
          <w:sz w:val="18"/>
          <w:szCs w:val="18"/>
        </w:rPr>
      </w:pPr>
      <w:r w:rsidRPr="00735726">
        <w:rPr>
          <w:rFonts w:ascii="Arial" w:hAnsi="Arial" w:cs="Arial"/>
          <w:sz w:val="18"/>
          <w:szCs w:val="18"/>
        </w:rPr>
        <w:t>Executive sponsorship for every network</w:t>
      </w:r>
    </w:p>
    <w:p w14:paraId="7B3E093D" w14:textId="2AE7C7F8" w:rsidR="004C1B3D" w:rsidRPr="00735726" w:rsidRDefault="004C1B3D" w:rsidP="00646F4F">
      <w:pPr>
        <w:pStyle w:val="ListParagraph"/>
        <w:numPr>
          <w:ilvl w:val="0"/>
          <w:numId w:val="74"/>
        </w:numPr>
        <w:spacing w:after="160"/>
        <w:rPr>
          <w:rFonts w:ascii="Arial" w:hAnsi="Arial" w:cs="Arial"/>
          <w:sz w:val="18"/>
          <w:szCs w:val="18"/>
        </w:rPr>
      </w:pPr>
      <w:r w:rsidRPr="00735726">
        <w:rPr>
          <w:rFonts w:ascii="Arial" w:hAnsi="Arial" w:cs="Arial"/>
          <w:sz w:val="18"/>
          <w:szCs w:val="18"/>
        </w:rPr>
        <w:t>Annual plans agreed with each ERG</w:t>
      </w:r>
    </w:p>
    <w:p w14:paraId="03B53C81" w14:textId="6FDE8CD4" w:rsidR="004C1B3D" w:rsidRPr="00735726" w:rsidRDefault="004C1B3D" w:rsidP="00646F4F">
      <w:pPr>
        <w:pStyle w:val="ListParagraph"/>
        <w:numPr>
          <w:ilvl w:val="0"/>
          <w:numId w:val="74"/>
        </w:numPr>
        <w:spacing w:after="160"/>
        <w:rPr>
          <w:rFonts w:ascii="Arial" w:hAnsi="Arial" w:cs="Arial"/>
          <w:sz w:val="18"/>
          <w:szCs w:val="18"/>
        </w:rPr>
      </w:pPr>
      <w:r w:rsidRPr="00735726">
        <w:rPr>
          <w:rFonts w:ascii="Arial" w:hAnsi="Arial" w:cs="Arial"/>
          <w:sz w:val="18"/>
          <w:szCs w:val="18"/>
        </w:rPr>
        <w:t>Increased collaboration between networks to share learning and insight</w:t>
      </w:r>
    </w:p>
    <w:p w14:paraId="5ADEC979" w14:textId="33F71263" w:rsidR="004C1B3D" w:rsidRPr="00735726" w:rsidRDefault="004C1B3D" w:rsidP="00646F4F">
      <w:pPr>
        <w:pStyle w:val="ListParagraph"/>
        <w:numPr>
          <w:ilvl w:val="0"/>
          <w:numId w:val="74"/>
        </w:numPr>
        <w:spacing w:after="160"/>
        <w:rPr>
          <w:rFonts w:ascii="Arial" w:hAnsi="Arial" w:cs="Arial"/>
          <w:sz w:val="18"/>
          <w:szCs w:val="18"/>
        </w:rPr>
      </w:pPr>
      <w:r w:rsidRPr="00735726">
        <w:rPr>
          <w:rFonts w:ascii="Arial" w:hAnsi="Arial" w:cs="Arial"/>
          <w:sz w:val="18"/>
          <w:szCs w:val="18"/>
        </w:rPr>
        <w:t>Direct involvement in shaping policy</w:t>
      </w:r>
    </w:p>
    <w:p w14:paraId="3DD786FB" w14:textId="77777777" w:rsidR="00006E52" w:rsidRPr="00735726" w:rsidRDefault="004C1B3D" w:rsidP="00844EFD">
      <w:pPr>
        <w:spacing w:after="160"/>
        <w:rPr>
          <w:rFonts w:ascii="Arial" w:hAnsi="Arial" w:cs="Arial"/>
          <w:sz w:val="32"/>
          <w:szCs w:val="32"/>
        </w:rPr>
      </w:pPr>
      <w:r w:rsidRPr="00735726">
        <w:rPr>
          <w:rFonts w:ascii="Arial" w:hAnsi="Arial" w:cs="Arial"/>
          <w:sz w:val="18"/>
          <w:szCs w:val="18"/>
        </w:rPr>
        <w:t>Our ERGs are becoming an increasingly integral part of how we listen to our people, helping ensure lived experience continues to inform organisational priorities.</w:t>
      </w:r>
      <w:r w:rsidRPr="00735726">
        <w:rPr>
          <w:rFonts w:ascii="Arial" w:hAnsi="Arial" w:cs="Arial"/>
          <w:sz w:val="32"/>
          <w:szCs w:val="32"/>
        </w:rPr>
        <w:t xml:space="preserve"> </w:t>
      </w:r>
    </w:p>
    <w:p w14:paraId="5AE2433F" w14:textId="210295D3" w:rsidR="00006E52" w:rsidRPr="00735726" w:rsidRDefault="00006E52" w:rsidP="00844EFD">
      <w:pPr>
        <w:spacing w:after="160"/>
        <w:rPr>
          <w:rFonts w:ascii="Arial" w:hAnsi="Arial" w:cs="Arial"/>
          <w:sz w:val="18"/>
          <w:szCs w:val="18"/>
        </w:rPr>
      </w:pPr>
      <w:r w:rsidRPr="00735726">
        <w:rPr>
          <w:rFonts w:ascii="Arial" w:eastAsia="Times New Roman" w:hAnsi="Arial" w:cs="DINOT-Light"/>
          <w:b/>
          <w:color w:val="000000"/>
          <w:sz w:val="18"/>
          <w:szCs w:val="18"/>
        </w:rPr>
        <w:t>ESTABLISHING THE INCLUSION COUNCIL</w:t>
      </w:r>
      <w:r w:rsidR="00D62E2B" w:rsidRPr="00735726">
        <w:rPr>
          <w:rFonts w:ascii="Arial" w:hAnsi="Arial" w:cs="Arial"/>
          <w:sz w:val="18"/>
          <w:szCs w:val="18"/>
        </w:rPr>
        <w:br/>
      </w:r>
      <w:r w:rsidRPr="00735726">
        <w:rPr>
          <w:rFonts w:ascii="Arial" w:hAnsi="Arial" w:cs="Arial"/>
          <w:sz w:val="18"/>
          <w:szCs w:val="18"/>
        </w:rPr>
        <w:t>To strengthen alignment and accountability across the Company, this year we established the Inclusion Council. This brings together executive sponsors, ERG leads, inclusion specialists and representatives from across the Company.</w:t>
      </w:r>
    </w:p>
    <w:p w14:paraId="353AA4CC" w14:textId="77777777" w:rsidR="00006E52" w:rsidRPr="00735726" w:rsidRDefault="00006E52" w:rsidP="00844EFD">
      <w:pPr>
        <w:spacing w:after="160"/>
        <w:rPr>
          <w:rFonts w:ascii="Arial" w:hAnsi="Arial" w:cs="Arial"/>
          <w:sz w:val="18"/>
          <w:szCs w:val="18"/>
        </w:rPr>
      </w:pPr>
      <w:r w:rsidRPr="00735726">
        <w:rPr>
          <w:rFonts w:ascii="Arial" w:hAnsi="Arial" w:cs="Arial"/>
          <w:sz w:val="18"/>
          <w:szCs w:val="18"/>
        </w:rPr>
        <w:t>The Council focuses on:</w:t>
      </w:r>
    </w:p>
    <w:p w14:paraId="25D108F1" w14:textId="0154314D" w:rsidR="00006E52" w:rsidRPr="00735726" w:rsidRDefault="00006E52" w:rsidP="00646F4F">
      <w:pPr>
        <w:pStyle w:val="ListParagraph"/>
        <w:numPr>
          <w:ilvl w:val="0"/>
          <w:numId w:val="75"/>
        </w:numPr>
        <w:spacing w:after="160"/>
        <w:rPr>
          <w:rFonts w:ascii="Arial" w:hAnsi="Arial" w:cs="Arial"/>
          <w:sz w:val="18"/>
          <w:szCs w:val="18"/>
        </w:rPr>
      </w:pPr>
      <w:r w:rsidRPr="00735726">
        <w:rPr>
          <w:rFonts w:ascii="Arial" w:hAnsi="Arial" w:cs="Arial"/>
          <w:sz w:val="18"/>
          <w:szCs w:val="18"/>
        </w:rPr>
        <w:t>Aligning EDI activity across the Company</w:t>
      </w:r>
    </w:p>
    <w:p w14:paraId="5F50CF6E" w14:textId="4E169164" w:rsidR="00006E52" w:rsidRPr="00735726" w:rsidRDefault="00006E52" w:rsidP="00646F4F">
      <w:pPr>
        <w:pStyle w:val="ListParagraph"/>
        <w:numPr>
          <w:ilvl w:val="0"/>
          <w:numId w:val="75"/>
        </w:numPr>
        <w:spacing w:after="160"/>
        <w:rPr>
          <w:rFonts w:ascii="Arial" w:hAnsi="Arial" w:cs="Arial"/>
          <w:sz w:val="18"/>
          <w:szCs w:val="18"/>
        </w:rPr>
      </w:pPr>
      <w:r w:rsidRPr="00735726">
        <w:rPr>
          <w:rFonts w:ascii="Arial" w:hAnsi="Arial" w:cs="Arial"/>
          <w:sz w:val="18"/>
          <w:szCs w:val="18"/>
        </w:rPr>
        <w:t>Reviewing representation and workforce insight data</w:t>
      </w:r>
    </w:p>
    <w:p w14:paraId="3A328C8C" w14:textId="3D24D0EB" w:rsidR="00006E52" w:rsidRPr="00735726" w:rsidRDefault="00006E52" w:rsidP="00646F4F">
      <w:pPr>
        <w:pStyle w:val="ListParagraph"/>
        <w:numPr>
          <w:ilvl w:val="0"/>
          <w:numId w:val="75"/>
        </w:numPr>
        <w:spacing w:after="160"/>
        <w:rPr>
          <w:rFonts w:ascii="Arial" w:hAnsi="Arial" w:cs="Arial"/>
          <w:sz w:val="18"/>
          <w:szCs w:val="18"/>
        </w:rPr>
      </w:pPr>
      <w:r w:rsidRPr="00735726">
        <w:rPr>
          <w:rFonts w:ascii="Arial" w:hAnsi="Arial" w:cs="Arial"/>
          <w:sz w:val="18"/>
          <w:szCs w:val="18"/>
        </w:rPr>
        <w:t>Monitoring progress against our EDI commitments</w:t>
      </w:r>
    </w:p>
    <w:p w14:paraId="7234FD5C" w14:textId="1AC41686" w:rsidR="00006E52" w:rsidRPr="00735726" w:rsidRDefault="00006E52" w:rsidP="00646F4F">
      <w:pPr>
        <w:pStyle w:val="ListParagraph"/>
        <w:numPr>
          <w:ilvl w:val="0"/>
          <w:numId w:val="75"/>
        </w:numPr>
        <w:spacing w:after="160"/>
        <w:rPr>
          <w:rFonts w:ascii="Arial" w:hAnsi="Arial" w:cs="Arial"/>
          <w:sz w:val="18"/>
          <w:szCs w:val="18"/>
        </w:rPr>
      </w:pPr>
      <w:r w:rsidRPr="00735726">
        <w:rPr>
          <w:rFonts w:ascii="Arial" w:hAnsi="Arial" w:cs="Arial"/>
          <w:sz w:val="18"/>
          <w:szCs w:val="18"/>
        </w:rPr>
        <w:t>Providing structured challenge and strengthening governance</w:t>
      </w:r>
    </w:p>
    <w:p w14:paraId="7C2A89A8" w14:textId="679A8A87" w:rsidR="00006E52" w:rsidRPr="00735726" w:rsidRDefault="00006E52" w:rsidP="00646F4F">
      <w:pPr>
        <w:pStyle w:val="ListParagraph"/>
        <w:numPr>
          <w:ilvl w:val="0"/>
          <w:numId w:val="75"/>
        </w:numPr>
        <w:spacing w:after="160"/>
        <w:rPr>
          <w:rFonts w:ascii="Arial" w:hAnsi="Arial" w:cs="Arial"/>
          <w:sz w:val="18"/>
          <w:szCs w:val="18"/>
        </w:rPr>
      </w:pPr>
      <w:r w:rsidRPr="00735726">
        <w:rPr>
          <w:rFonts w:ascii="Arial" w:hAnsi="Arial" w:cs="Arial"/>
          <w:sz w:val="18"/>
          <w:szCs w:val="18"/>
        </w:rPr>
        <w:t>Ensuring inclusion is reflected in strategic workforce planning</w:t>
      </w:r>
    </w:p>
    <w:p w14:paraId="1057171E" w14:textId="77777777" w:rsidR="00D04B9F" w:rsidRPr="00735726" w:rsidRDefault="00006E52" w:rsidP="00844EFD">
      <w:pPr>
        <w:spacing w:after="160"/>
        <w:rPr>
          <w:rFonts w:ascii="Arial" w:hAnsi="Arial" w:cs="Arial"/>
          <w:sz w:val="18"/>
          <w:szCs w:val="18"/>
        </w:rPr>
      </w:pPr>
      <w:r w:rsidRPr="00735726">
        <w:rPr>
          <w:rFonts w:ascii="Arial" w:hAnsi="Arial" w:cs="Arial"/>
          <w:sz w:val="18"/>
          <w:szCs w:val="18"/>
        </w:rPr>
        <w:t>The Inclusion Council ensures EDI is embedded into</w:t>
      </w:r>
      <w:r w:rsidR="00D04B9F" w:rsidRPr="00735726">
        <w:rPr>
          <w:rFonts w:ascii="Arial" w:hAnsi="Arial" w:cs="Arial"/>
          <w:sz w:val="18"/>
          <w:szCs w:val="18"/>
        </w:rPr>
        <w:t xml:space="preserve"> </w:t>
      </w:r>
      <w:r w:rsidRPr="00735726">
        <w:rPr>
          <w:rFonts w:ascii="Arial" w:hAnsi="Arial" w:cs="Arial"/>
          <w:sz w:val="18"/>
          <w:szCs w:val="18"/>
        </w:rPr>
        <w:t>how we lead, plan and make decisions, not treated as a</w:t>
      </w:r>
      <w:r w:rsidR="00D04B9F" w:rsidRPr="00735726">
        <w:rPr>
          <w:rFonts w:ascii="Arial" w:hAnsi="Arial" w:cs="Arial"/>
          <w:sz w:val="18"/>
          <w:szCs w:val="18"/>
        </w:rPr>
        <w:t xml:space="preserve"> </w:t>
      </w:r>
      <w:r w:rsidRPr="00735726">
        <w:rPr>
          <w:rFonts w:ascii="Arial" w:hAnsi="Arial" w:cs="Arial"/>
          <w:sz w:val="18"/>
          <w:szCs w:val="18"/>
        </w:rPr>
        <w:t>standalone activity.</w:t>
      </w:r>
      <w:r w:rsidR="00D04B9F" w:rsidRPr="00735726">
        <w:rPr>
          <w:rFonts w:ascii="Arial" w:hAnsi="Arial" w:cs="Arial"/>
          <w:sz w:val="18"/>
          <w:szCs w:val="18"/>
        </w:rPr>
        <w:t xml:space="preserve"> </w:t>
      </w:r>
    </w:p>
    <w:p w14:paraId="0EEDD9B3" w14:textId="7B3A955E" w:rsidR="00D04B9F" w:rsidRPr="00735726" w:rsidRDefault="00D04B9F" w:rsidP="00844EFD">
      <w:pPr>
        <w:spacing w:after="160"/>
        <w:rPr>
          <w:rFonts w:ascii="Arial" w:hAnsi="Arial" w:cs="Arial"/>
          <w:sz w:val="18"/>
          <w:szCs w:val="18"/>
        </w:rPr>
      </w:pPr>
      <w:r w:rsidRPr="00735726">
        <w:rPr>
          <w:rFonts w:ascii="Arial" w:eastAsia="Times New Roman" w:hAnsi="Arial" w:cs="DINOT-Light"/>
          <w:b/>
          <w:color w:val="000000"/>
          <w:sz w:val="18"/>
          <w:szCs w:val="18"/>
        </w:rPr>
        <w:t>BROADENING ACCESS TO OPPORTUNITIES</w:t>
      </w:r>
      <w:r w:rsidR="00D62E2B" w:rsidRPr="00735726">
        <w:rPr>
          <w:rFonts w:ascii="Arial" w:hAnsi="Arial" w:cs="Arial"/>
          <w:sz w:val="18"/>
          <w:szCs w:val="18"/>
        </w:rPr>
        <w:br/>
      </w:r>
      <w:r w:rsidR="00006E52" w:rsidRPr="00735726">
        <w:rPr>
          <w:rFonts w:ascii="Arial" w:hAnsi="Arial" w:cs="Arial"/>
          <w:sz w:val="18"/>
          <w:szCs w:val="18"/>
        </w:rPr>
        <w:t>We continued our commitment to creating pathways for</w:t>
      </w:r>
      <w:r w:rsidRPr="00735726">
        <w:rPr>
          <w:rFonts w:ascii="Arial" w:hAnsi="Arial" w:cs="Arial"/>
          <w:sz w:val="18"/>
          <w:szCs w:val="18"/>
        </w:rPr>
        <w:t xml:space="preserve"> </w:t>
      </w:r>
      <w:r w:rsidR="00006E52" w:rsidRPr="00735726">
        <w:rPr>
          <w:rFonts w:ascii="Arial" w:hAnsi="Arial" w:cs="Arial"/>
          <w:sz w:val="18"/>
          <w:szCs w:val="18"/>
        </w:rPr>
        <w:t>underrepresented groups. This includes our participation</w:t>
      </w:r>
      <w:r w:rsidRPr="00735726">
        <w:rPr>
          <w:rFonts w:ascii="Arial" w:hAnsi="Arial" w:cs="Arial"/>
          <w:sz w:val="18"/>
          <w:szCs w:val="18"/>
        </w:rPr>
        <w:t xml:space="preserve"> </w:t>
      </w:r>
      <w:r w:rsidR="00006E52" w:rsidRPr="00735726">
        <w:rPr>
          <w:rFonts w:ascii="Arial" w:hAnsi="Arial" w:cs="Arial"/>
          <w:sz w:val="18"/>
          <w:szCs w:val="18"/>
        </w:rPr>
        <w:t>in the 10,000 Black Interns Programme, designed to</w:t>
      </w:r>
      <w:r w:rsidRPr="00735726">
        <w:rPr>
          <w:rFonts w:ascii="Arial" w:hAnsi="Arial" w:cs="Arial"/>
          <w:sz w:val="18"/>
          <w:szCs w:val="18"/>
        </w:rPr>
        <w:t xml:space="preserve"> </w:t>
      </w:r>
      <w:r w:rsidR="00006E52" w:rsidRPr="00735726">
        <w:rPr>
          <w:rFonts w:ascii="Arial" w:hAnsi="Arial" w:cs="Arial"/>
          <w:sz w:val="18"/>
          <w:szCs w:val="18"/>
        </w:rPr>
        <w:t>broaden access to professional experience for Black</w:t>
      </w:r>
      <w:r w:rsidRPr="00735726">
        <w:rPr>
          <w:rFonts w:ascii="Arial" w:hAnsi="Arial" w:cs="Arial"/>
          <w:sz w:val="18"/>
          <w:szCs w:val="18"/>
        </w:rPr>
        <w:t xml:space="preserve"> </w:t>
      </w:r>
      <w:r w:rsidR="00006E52" w:rsidRPr="00735726">
        <w:rPr>
          <w:rFonts w:ascii="Arial" w:hAnsi="Arial" w:cs="Arial"/>
          <w:sz w:val="18"/>
          <w:szCs w:val="18"/>
        </w:rPr>
        <w:t>undergraduates and postgraduates.</w:t>
      </w:r>
      <w:r w:rsidRPr="00735726">
        <w:rPr>
          <w:rFonts w:ascii="Arial" w:hAnsi="Arial" w:cs="Arial"/>
          <w:sz w:val="18"/>
          <w:szCs w:val="18"/>
        </w:rPr>
        <w:t xml:space="preserve"> </w:t>
      </w:r>
    </w:p>
    <w:p w14:paraId="100A4AF1" w14:textId="4A69CF68" w:rsidR="00006E52" w:rsidRPr="00735726" w:rsidRDefault="00D04B9F" w:rsidP="00844EFD">
      <w:pPr>
        <w:spacing w:after="160"/>
        <w:rPr>
          <w:rFonts w:ascii="Arial" w:hAnsi="Arial" w:cs="Arial"/>
          <w:sz w:val="18"/>
          <w:szCs w:val="18"/>
        </w:rPr>
      </w:pPr>
      <w:r w:rsidRPr="00735726">
        <w:rPr>
          <w:rFonts w:ascii="Arial" w:hAnsi="Arial" w:cs="Arial"/>
          <w:sz w:val="18"/>
          <w:szCs w:val="18"/>
        </w:rPr>
        <w:t xml:space="preserve">Our parent Company, Pennon Group plc </w:t>
      </w:r>
      <w:r w:rsidR="00006E52" w:rsidRPr="00735726">
        <w:rPr>
          <w:rFonts w:ascii="Arial" w:hAnsi="Arial" w:cs="Arial"/>
          <w:sz w:val="18"/>
          <w:szCs w:val="18"/>
        </w:rPr>
        <w:t>also continued working with Change the Race</w:t>
      </w:r>
      <w:r w:rsidRPr="00735726">
        <w:rPr>
          <w:rFonts w:ascii="Arial" w:hAnsi="Arial" w:cs="Arial"/>
          <w:sz w:val="18"/>
          <w:szCs w:val="18"/>
        </w:rPr>
        <w:t xml:space="preserve"> </w:t>
      </w:r>
      <w:r w:rsidR="00006E52" w:rsidRPr="00735726">
        <w:rPr>
          <w:rFonts w:ascii="Arial" w:hAnsi="Arial" w:cs="Arial"/>
          <w:sz w:val="18"/>
          <w:szCs w:val="18"/>
        </w:rPr>
        <w:t>Ratio, aligning our ambitions for diverse leadership with</w:t>
      </w:r>
      <w:r w:rsidRPr="00735726">
        <w:rPr>
          <w:rFonts w:ascii="Arial" w:hAnsi="Arial" w:cs="Arial"/>
          <w:sz w:val="18"/>
          <w:szCs w:val="18"/>
        </w:rPr>
        <w:t xml:space="preserve"> </w:t>
      </w:r>
      <w:r w:rsidR="00006E52" w:rsidRPr="00735726">
        <w:rPr>
          <w:rFonts w:ascii="Arial" w:hAnsi="Arial" w:cs="Arial"/>
          <w:sz w:val="18"/>
          <w:szCs w:val="18"/>
        </w:rPr>
        <w:t>nationally recognised standards and strengthening</w:t>
      </w:r>
      <w:r w:rsidRPr="00735726">
        <w:rPr>
          <w:rFonts w:ascii="Arial" w:hAnsi="Arial" w:cs="Arial"/>
          <w:sz w:val="18"/>
          <w:szCs w:val="18"/>
        </w:rPr>
        <w:t xml:space="preserve"> </w:t>
      </w:r>
      <w:r w:rsidR="00006E52" w:rsidRPr="00735726">
        <w:rPr>
          <w:rFonts w:ascii="Arial" w:hAnsi="Arial" w:cs="Arial"/>
          <w:sz w:val="18"/>
          <w:szCs w:val="18"/>
        </w:rPr>
        <w:t>transparency through annual benchmarking and data</w:t>
      </w:r>
      <w:r w:rsidRPr="00735726">
        <w:rPr>
          <w:rFonts w:ascii="Arial" w:hAnsi="Arial" w:cs="Arial"/>
          <w:sz w:val="18"/>
          <w:szCs w:val="18"/>
        </w:rPr>
        <w:t xml:space="preserve"> </w:t>
      </w:r>
      <w:r w:rsidR="00006E52" w:rsidRPr="00735726">
        <w:rPr>
          <w:rFonts w:ascii="Arial" w:hAnsi="Arial" w:cs="Arial"/>
          <w:sz w:val="18"/>
          <w:szCs w:val="18"/>
        </w:rPr>
        <w:t xml:space="preserve">disclosure. </w:t>
      </w:r>
    </w:p>
    <w:p w14:paraId="569CC24E" w14:textId="77777777" w:rsidR="00D04B9F" w:rsidRPr="00735726" w:rsidRDefault="00006E52" w:rsidP="00844EFD">
      <w:pPr>
        <w:spacing w:after="160"/>
        <w:rPr>
          <w:rFonts w:ascii="Arial" w:hAnsi="Arial" w:cs="Arial"/>
          <w:sz w:val="18"/>
          <w:szCs w:val="18"/>
        </w:rPr>
      </w:pPr>
      <w:r w:rsidRPr="00735726">
        <w:rPr>
          <w:rFonts w:ascii="Arial" w:hAnsi="Arial" w:cs="Arial"/>
          <w:sz w:val="18"/>
          <w:szCs w:val="18"/>
        </w:rPr>
        <w:t>In addition, we introduced a flexible bank holiday policy,</w:t>
      </w:r>
      <w:r w:rsidR="00D04B9F" w:rsidRPr="00735726">
        <w:rPr>
          <w:rFonts w:ascii="Arial" w:hAnsi="Arial" w:cs="Arial"/>
          <w:sz w:val="18"/>
          <w:szCs w:val="18"/>
        </w:rPr>
        <w:t xml:space="preserve"> </w:t>
      </w:r>
      <w:r w:rsidRPr="00735726">
        <w:rPr>
          <w:rFonts w:ascii="Arial" w:hAnsi="Arial" w:cs="Arial"/>
          <w:sz w:val="18"/>
          <w:szCs w:val="18"/>
        </w:rPr>
        <w:t>enabling colleagues to swap traditional bank holidays</w:t>
      </w:r>
      <w:r w:rsidR="00D04B9F" w:rsidRPr="00735726">
        <w:rPr>
          <w:rFonts w:ascii="Arial" w:hAnsi="Arial" w:cs="Arial"/>
          <w:sz w:val="18"/>
          <w:szCs w:val="18"/>
        </w:rPr>
        <w:t xml:space="preserve"> </w:t>
      </w:r>
      <w:r w:rsidRPr="00735726">
        <w:rPr>
          <w:rFonts w:ascii="Arial" w:hAnsi="Arial" w:cs="Arial"/>
          <w:sz w:val="18"/>
          <w:szCs w:val="18"/>
        </w:rPr>
        <w:t>for days that better reflect their cultural, religious or</w:t>
      </w:r>
      <w:r w:rsidR="00D04B9F" w:rsidRPr="00735726">
        <w:rPr>
          <w:rFonts w:ascii="Arial" w:hAnsi="Arial" w:cs="Arial"/>
          <w:sz w:val="18"/>
          <w:szCs w:val="18"/>
        </w:rPr>
        <w:t xml:space="preserve"> </w:t>
      </w:r>
      <w:r w:rsidRPr="00735726">
        <w:rPr>
          <w:rFonts w:ascii="Arial" w:hAnsi="Arial" w:cs="Arial"/>
          <w:sz w:val="18"/>
          <w:szCs w:val="18"/>
        </w:rPr>
        <w:t>personal significance - supporting greater inclusivity and</w:t>
      </w:r>
      <w:r w:rsidR="00D04B9F" w:rsidRPr="00735726">
        <w:rPr>
          <w:rFonts w:ascii="Arial" w:hAnsi="Arial" w:cs="Arial"/>
          <w:sz w:val="18"/>
          <w:szCs w:val="18"/>
        </w:rPr>
        <w:t xml:space="preserve"> </w:t>
      </w:r>
      <w:r w:rsidRPr="00735726">
        <w:rPr>
          <w:rFonts w:ascii="Arial" w:hAnsi="Arial" w:cs="Arial"/>
          <w:sz w:val="18"/>
          <w:szCs w:val="18"/>
        </w:rPr>
        <w:t>wellbeing.</w:t>
      </w:r>
      <w:r w:rsidR="00D04B9F" w:rsidRPr="00735726">
        <w:rPr>
          <w:rFonts w:ascii="Arial" w:hAnsi="Arial" w:cs="Arial"/>
          <w:sz w:val="18"/>
          <w:szCs w:val="18"/>
        </w:rPr>
        <w:t xml:space="preserve"> </w:t>
      </w:r>
    </w:p>
    <w:p w14:paraId="0622EDB9" w14:textId="2D23B1A2" w:rsidR="00006E52" w:rsidRPr="00735726" w:rsidRDefault="00006E52" w:rsidP="00844EFD">
      <w:pPr>
        <w:spacing w:after="160"/>
        <w:rPr>
          <w:rFonts w:ascii="Arial" w:hAnsi="Arial" w:cs="Arial"/>
          <w:sz w:val="18"/>
          <w:szCs w:val="18"/>
        </w:rPr>
      </w:pPr>
      <w:r w:rsidRPr="00735726">
        <w:rPr>
          <w:rFonts w:ascii="Arial" w:hAnsi="Arial" w:cs="Arial"/>
          <w:sz w:val="18"/>
          <w:szCs w:val="18"/>
        </w:rPr>
        <w:t>We are proud to support the registered charity, the</w:t>
      </w:r>
      <w:r w:rsidR="00D04B9F" w:rsidRPr="00735726">
        <w:rPr>
          <w:rFonts w:ascii="Arial" w:hAnsi="Arial" w:cs="Arial"/>
          <w:sz w:val="18"/>
          <w:szCs w:val="18"/>
        </w:rPr>
        <w:t xml:space="preserve"> </w:t>
      </w:r>
      <w:r w:rsidRPr="00735726">
        <w:rPr>
          <w:rFonts w:ascii="Arial" w:hAnsi="Arial" w:cs="Arial"/>
          <w:sz w:val="18"/>
          <w:szCs w:val="18"/>
        </w:rPr>
        <w:t>Social Mobility Business Partnership both at a local and</w:t>
      </w:r>
      <w:r w:rsidR="00D04B9F" w:rsidRPr="00735726">
        <w:rPr>
          <w:rFonts w:ascii="Arial" w:hAnsi="Arial" w:cs="Arial"/>
          <w:sz w:val="18"/>
          <w:szCs w:val="18"/>
        </w:rPr>
        <w:t xml:space="preserve"> </w:t>
      </w:r>
      <w:r w:rsidRPr="00735726">
        <w:rPr>
          <w:rFonts w:ascii="Arial" w:hAnsi="Arial" w:cs="Arial"/>
          <w:sz w:val="18"/>
          <w:szCs w:val="18"/>
        </w:rPr>
        <w:t>national level. We combine funding its national delivery</w:t>
      </w:r>
      <w:r w:rsidR="00D04B9F" w:rsidRPr="00735726">
        <w:rPr>
          <w:rFonts w:ascii="Arial" w:hAnsi="Arial" w:cs="Arial"/>
          <w:sz w:val="18"/>
          <w:szCs w:val="18"/>
        </w:rPr>
        <w:t xml:space="preserve"> </w:t>
      </w:r>
      <w:r w:rsidRPr="00735726">
        <w:rPr>
          <w:rFonts w:ascii="Arial" w:hAnsi="Arial" w:cs="Arial"/>
          <w:sz w:val="18"/>
          <w:szCs w:val="18"/>
        </w:rPr>
        <w:t>programme which enables over 1,000 students across</w:t>
      </w:r>
      <w:r w:rsidR="00D04B9F" w:rsidRPr="00735726">
        <w:rPr>
          <w:rFonts w:ascii="Arial" w:hAnsi="Arial" w:cs="Arial"/>
          <w:sz w:val="18"/>
          <w:szCs w:val="18"/>
        </w:rPr>
        <w:t xml:space="preserve"> </w:t>
      </w:r>
      <w:r w:rsidRPr="00735726">
        <w:rPr>
          <w:rFonts w:ascii="Arial" w:hAnsi="Arial" w:cs="Arial"/>
          <w:sz w:val="18"/>
          <w:szCs w:val="18"/>
        </w:rPr>
        <w:t>the UK to access over 3,500 days of work experience, to</w:t>
      </w:r>
      <w:r w:rsidR="00D04B9F" w:rsidRPr="00735726">
        <w:rPr>
          <w:rFonts w:ascii="Arial" w:hAnsi="Arial" w:cs="Arial"/>
          <w:sz w:val="18"/>
          <w:szCs w:val="18"/>
        </w:rPr>
        <w:t xml:space="preserve"> </w:t>
      </w:r>
      <w:r w:rsidRPr="00735726">
        <w:rPr>
          <w:rFonts w:ascii="Arial" w:hAnsi="Arial" w:cs="Arial"/>
          <w:sz w:val="18"/>
          <w:szCs w:val="18"/>
        </w:rPr>
        <w:t>providing local work insight opportunities and lifetime</w:t>
      </w:r>
      <w:r w:rsidR="00D04B9F" w:rsidRPr="00735726">
        <w:rPr>
          <w:rFonts w:ascii="Arial" w:hAnsi="Arial" w:cs="Arial"/>
          <w:sz w:val="18"/>
          <w:szCs w:val="18"/>
        </w:rPr>
        <w:t xml:space="preserve"> </w:t>
      </w:r>
      <w:r w:rsidRPr="00735726">
        <w:rPr>
          <w:rFonts w:ascii="Arial" w:hAnsi="Arial" w:cs="Arial"/>
          <w:sz w:val="18"/>
          <w:szCs w:val="18"/>
        </w:rPr>
        <w:t>career coaching to young people from low-income</w:t>
      </w:r>
      <w:r w:rsidR="00D04B9F" w:rsidRPr="00735726">
        <w:rPr>
          <w:rFonts w:ascii="Arial" w:hAnsi="Arial" w:cs="Arial"/>
          <w:sz w:val="18"/>
          <w:szCs w:val="18"/>
        </w:rPr>
        <w:t xml:space="preserve"> </w:t>
      </w:r>
      <w:r w:rsidRPr="00735726">
        <w:rPr>
          <w:rFonts w:ascii="Arial" w:hAnsi="Arial" w:cs="Arial"/>
          <w:sz w:val="18"/>
          <w:szCs w:val="18"/>
        </w:rPr>
        <w:t>backgrounds across Exeter, Plymouth, Truro, Bristol,</w:t>
      </w:r>
      <w:r w:rsidR="00D04B9F" w:rsidRPr="00735726">
        <w:rPr>
          <w:rFonts w:ascii="Arial" w:hAnsi="Arial" w:cs="Arial"/>
          <w:sz w:val="18"/>
          <w:szCs w:val="18"/>
        </w:rPr>
        <w:t xml:space="preserve"> </w:t>
      </w:r>
      <w:r w:rsidR="0050016E" w:rsidRPr="00735726">
        <w:rPr>
          <w:rFonts w:ascii="Arial" w:hAnsi="Arial" w:cs="Arial"/>
          <w:sz w:val="18"/>
          <w:szCs w:val="18"/>
        </w:rPr>
        <w:t xml:space="preserve">and </w:t>
      </w:r>
      <w:r w:rsidRPr="00735726">
        <w:rPr>
          <w:rFonts w:ascii="Arial" w:hAnsi="Arial" w:cs="Arial"/>
          <w:sz w:val="18"/>
          <w:szCs w:val="18"/>
        </w:rPr>
        <w:t>Bournemouth.</w:t>
      </w:r>
    </w:p>
    <w:p w14:paraId="13B7FC40" w14:textId="11812F90" w:rsidR="00CD2F88" w:rsidRPr="00735726" w:rsidRDefault="00D04B9F" w:rsidP="00844EFD">
      <w:pPr>
        <w:spacing w:after="160"/>
        <w:rPr>
          <w:rFonts w:ascii="Arial" w:hAnsi="Arial" w:cs="Arial"/>
          <w:sz w:val="18"/>
          <w:szCs w:val="18"/>
        </w:rPr>
      </w:pPr>
      <w:r w:rsidRPr="00735726">
        <w:rPr>
          <w:rFonts w:ascii="Arial" w:eastAsia="Times New Roman" w:hAnsi="Arial" w:cs="DINOT-Light"/>
          <w:b/>
          <w:color w:val="000000"/>
          <w:sz w:val="18"/>
          <w:szCs w:val="18"/>
        </w:rPr>
        <w:t>LAUNCHING EXTRASHARE</w:t>
      </w:r>
      <w:r w:rsidR="00D62E2B" w:rsidRPr="00735726">
        <w:rPr>
          <w:rFonts w:ascii="Arial" w:hAnsi="Arial" w:cs="Arial"/>
          <w:sz w:val="18"/>
          <w:szCs w:val="18"/>
        </w:rPr>
        <w:br/>
      </w:r>
      <w:r w:rsidR="00006E52" w:rsidRPr="00735726">
        <w:rPr>
          <w:rFonts w:ascii="Arial" w:hAnsi="Arial" w:cs="Arial"/>
          <w:sz w:val="18"/>
          <w:szCs w:val="18"/>
        </w:rPr>
        <w:t>During 2025/26</w:t>
      </w:r>
      <w:r w:rsidRPr="00735726">
        <w:rPr>
          <w:rFonts w:ascii="Arial" w:hAnsi="Arial" w:cs="Arial"/>
          <w:sz w:val="18"/>
          <w:szCs w:val="18"/>
        </w:rPr>
        <w:t xml:space="preserve">, our parent Company, </w:t>
      </w:r>
      <w:r w:rsidR="00006E52" w:rsidRPr="00735726">
        <w:rPr>
          <w:rFonts w:ascii="Arial" w:hAnsi="Arial" w:cs="Arial"/>
          <w:sz w:val="18"/>
          <w:szCs w:val="18"/>
        </w:rPr>
        <w:t xml:space="preserve">introduced </w:t>
      </w:r>
      <w:proofErr w:type="spellStart"/>
      <w:r w:rsidR="00006E52" w:rsidRPr="00735726">
        <w:rPr>
          <w:rFonts w:ascii="Arial" w:hAnsi="Arial" w:cs="Arial"/>
          <w:sz w:val="18"/>
          <w:szCs w:val="18"/>
        </w:rPr>
        <w:t>ExtraShare</w:t>
      </w:r>
      <w:proofErr w:type="spellEnd"/>
      <w:r w:rsidR="00006E52" w:rsidRPr="00735726">
        <w:rPr>
          <w:rFonts w:ascii="Arial" w:hAnsi="Arial" w:cs="Arial"/>
          <w:sz w:val="18"/>
          <w:szCs w:val="18"/>
        </w:rPr>
        <w:t>, a refreshed</w:t>
      </w:r>
      <w:r w:rsidRPr="00735726">
        <w:rPr>
          <w:rFonts w:ascii="Arial" w:hAnsi="Arial" w:cs="Arial"/>
          <w:sz w:val="18"/>
          <w:szCs w:val="18"/>
        </w:rPr>
        <w:t xml:space="preserve"> </w:t>
      </w:r>
      <w:r w:rsidR="00006E52" w:rsidRPr="00735726">
        <w:rPr>
          <w:rFonts w:ascii="Arial" w:hAnsi="Arial" w:cs="Arial"/>
          <w:sz w:val="18"/>
          <w:szCs w:val="18"/>
        </w:rPr>
        <w:t>Share Incentive Plan designed to support greater</w:t>
      </w:r>
      <w:r w:rsidRPr="00735726">
        <w:rPr>
          <w:rFonts w:ascii="Arial" w:hAnsi="Arial" w:cs="Arial"/>
          <w:sz w:val="18"/>
          <w:szCs w:val="18"/>
        </w:rPr>
        <w:t xml:space="preserve"> </w:t>
      </w:r>
      <w:r w:rsidR="00006E52" w:rsidRPr="00735726">
        <w:rPr>
          <w:rFonts w:ascii="Arial" w:hAnsi="Arial" w:cs="Arial"/>
          <w:sz w:val="18"/>
          <w:szCs w:val="18"/>
        </w:rPr>
        <w:t>colleague participation in Pennon’s long-term success.</w:t>
      </w:r>
      <w:r w:rsidRPr="00735726">
        <w:rPr>
          <w:rFonts w:ascii="Arial" w:hAnsi="Arial" w:cs="Arial"/>
          <w:sz w:val="18"/>
          <w:szCs w:val="18"/>
        </w:rPr>
        <w:t xml:space="preserve"> </w:t>
      </w:r>
      <w:r w:rsidR="00006E52" w:rsidRPr="00735726">
        <w:rPr>
          <w:rFonts w:ascii="Arial" w:hAnsi="Arial" w:cs="Arial"/>
          <w:sz w:val="18"/>
          <w:szCs w:val="18"/>
        </w:rPr>
        <w:t>The plan enables colleagues to invest in the business</w:t>
      </w:r>
      <w:r w:rsidRPr="00735726">
        <w:rPr>
          <w:rFonts w:ascii="Arial" w:hAnsi="Arial" w:cs="Arial"/>
          <w:sz w:val="18"/>
          <w:szCs w:val="18"/>
        </w:rPr>
        <w:t xml:space="preserve"> </w:t>
      </w:r>
      <w:r w:rsidR="00006E52" w:rsidRPr="00735726">
        <w:rPr>
          <w:rFonts w:ascii="Arial" w:hAnsi="Arial" w:cs="Arial"/>
          <w:sz w:val="18"/>
          <w:szCs w:val="18"/>
        </w:rPr>
        <w:t>through a flexible pre-tax salary deduction, with a one</w:t>
      </w:r>
      <w:r w:rsidRPr="00735726">
        <w:rPr>
          <w:rFonts w:ascii="Arial" w:hAnsi="Arial" w:cs="Arial"/>
          <w:sz w:val="18"/>
          <w:szCs w:val="18"/>
        </w:rPr>
        <w:t>-</w:t>
      </w:r>
      <w:r w:rsidR="00006E52" w:rsidRPr="00735726">
        <w:rPr>
          <w:rFonts w:ascii="Arial" w:hAnsi="Arial" w:cs="Arial"/>
          <w:sz w:val="18"/>
          <w:szCs w:val="18"/>
        </w:rPr>
        <w:t>for-three matching share benefit that enhances the value</w:t>
      </w:r>
      <w:r w:rsidRPr="00735726">
        <w:rPr>
          <w:rFonts w:ascii="Arial" w:hAnsi="Arial" w:cs="Arial"/>
          <w:sz w:val="18"/>
          <w:szCs w:val="18"/>
        </w:rPr>
        <w:t xml:space="preserve"> </w:t>
      </w:r>
      <w:r w:rsidR="00006E52" w:rsidRPr="00735726">
        <w:rPr>
          <w:rFonts w:ascii="Arial" w:hAnsi="Arial" w:cs="Arial"/>
          <w:sz w:val="18"/>
          <w:szCs w:val="18"/>
        </w:rPr>
        <w:t xml:space="preserve">of their investment. </w:t>
      </w:r>
      <w:proofErr w:type="spellStart"/>
      <w:r w:rsidR="00006E52" w:rsidRPr="00735726">
        <w:rPr>
          <w:rFonts w:ascii="Arial" w:hAnsi="Arial" w:cs="Arial"/>
          <w:sz w:val="18"/>
          <w:szCs w:val="18"/>
        </w:rPr>
        <w:t>ExtraShare</w:t>
      </w:r>
      <w:proofErr w:type="spellEnd"/>
      <w:r w:rsidR="00006E52" w:rsidRPr="00735726">
        <w:rPr>
          <w:rFonts w:ascii="Arial" w:hAnsi="Arial" w:cs="Arial"/>
          <w:sz w:val="18"/>
          <w:szCs w:val="18"/>
        </w:rPr>
        <w:t xml:space="preserve"> provides a simple, tax</w:t>
      </w:r>
      <w:r w:rsidR="003610D6" w:rsidRPr="00735726">
        <w:rPr>
          <w:rFonts w:ascii="Arial" w:hAnsi="Arial" w:cs="Arial"/>
          <w:sz w:val="18"/>
          <w:szCs w:val="18"/>
        </w:rPr>
        <w:t xml:space="preserve"> </w:t>
      </w:r>
      <w:r w:rsidR="00006E52" w:rsidRPr="00735726">
        <w:rPr>
          <w:rFonts w:ascii="Arial" w:hAnsi="Arial" w:cs="Arial"/>
          <w:sz w:val="18"/>
          <w:szCs w:val="18"/>
        </w:rPr>
        <w:t>efficient</w:t>
      </w:r>
      <w:r w:rsidRPr="00735726">
        <w:rPr>
          <w:rFonts w:ascii="Arial" w:hAnsi="Arial" w:cs="Arial"/>
          <w:sz w:val="18"/>
          <w:szCs w:val="18"/>
        </w:rPr>
        <w:t xml:space="preserve"> </w:t>
      </w:r>
      <w:r w:rsidR="00006E52" w:rsidRPr="00735726">
        <w:rPr>
          <w:rFonts w:ascii="Arial" w:hAnsi="Arial" w:cs="Arial"/>
          <w:sz w:val="18"/>
          <w:szCs w:val="18"/>
        </w:rPr>
        <w:t xml:space="preserve">way for colleagues to build a stake in the </w:t>
      </w:r>
      <w:r w:rsidRPr="00735726">
        <w:rPr>
          <w:rFonts w:ascii="Arial" w:hAnsi="Arial" w:cs="Arial"/>
          <w:sz w:val="18"/>
          <w:szCs w:val="18"/>
        </w:rPr>
        <w:t>Company</w:t>
      </w:r>
      <w:r w:rsidR="00006E52" w:rsidRPr="00735726">
        <w:rPr>
          <w:rFonts w:ascii="Arial" w:hAnsi="Arial" w:cs="Arial"/>
          <w:sz w:val="18"/>
          <w:szCs w:val="18"/>
        </w:rPr>
        <w:t>,</w:t>
      </w:r>
      <w:r w:rsidRPr="00735726">
        <w:rPr>
          <w:rFonts w:ascii="Arial" w:hAnsi="Arial" w:cs="Arial"/>
          <w:sz w:val="18"/>
          <w:szCs w:val="18"/>
        </w:rPr>
        <w:t xml:space="preserve"> </w:t>
      </w:r>
      <w:r w:rsidR="00006E52" w:rsidRPr="00735726">
        <w:rPr>
          <w:rFonts w:ascii="Arial" w:hAnsi="Arial" w:cs="Arial"/>
          <w:sz w:val="18"/>
          <w:szCs w:val="18"/>
        </w:rPr>
        <w:t>strengthening alignment between our people and the</w:t>
      </w:r>
      <w:r w:rsidRPr="00735726">
        <w:rPr>
          <w:rFonts w:ascii="Arial" w:hAnsi="Arial" w:cs="Arial"/>
          <w:sz w:val="18"/>
          <w:szCs w:val="18"/>
        </w:rPr>
        <w:t xml:space="preserve"> </w:t>
      </w:r>
      <w:r w:rsidR="00006E52" w:rsidRPr="00735726">
        <w:rPr>
          <w:rFonts w:ascii="Arial" w:hAnsi="Arial" w:cs="Arial"/>
          <w:sz w:val="18"/>
          <w:szCs w:val="18"/>
        </w:rPr>
        <w:t xml:space="preserve">sustainable growth of the business. </w:t>
      </w:r>
    </w:p>
    <w:p w14:paraId="01A15ED7" w14:textId="145BEEE6" w:rsidR="00E253CE" w:rsidRPr="00735726" w:rsidRDefault="00E253CE" w:rsidP="00844EFD">
      <w:pPr>
        <w:spacing w:after="160"/>
        <w:rPr>
          <w:rFonts w:ascii="Arial" w:hAnsi="Arial" w:cs="Arial"/>
          <w:sz w:val="18"/>
          <w:szCs w:val="18"/>
        </w:rPr>
      </w:pPr>
      <w:r w:rsidRPr="00735726">
        <w:rPr>
          <w:rFonts w:ascii="Arial" w:eastAsia="Times New Roman" w:hAnsi="Arial" w:cs="DINOT-Light"/>
          <w:b/>
          <w:color w:val="000000"/>
          <w:sz w:val="18"/>
          <w:szCs w:val="18"/>
        </w:rPr>
        <w:lastRenderedPageBreak/>
        <w:t>OUR GENDER AND ETHNICITY PAY GAP</w:t>
      </w:r>
      <w:r w:rsidR="00D62E2B" w:rsidRPr="00735726">
        <w:rPr>
          <w:rFonts w:ascii="Arial" w:hAnsi="Arial" w:cs="Arial"/>
          <w:sz w:val="18"/>
          <w:szCs w:val="18"/>
        </w:rPr>
        <w:br/>
      </w:r>
      <w:r w:rsidRPr="00735726">
        <w:rPr>
          <w:rFonts w:ascii="Arial" w:hAnsi="Arial" w:cs="Arial"/>
          <w:sz w:val="18"/>
          <w:szCs w:val="18"/>
        </w:rPr>
        <w:t xml:space="preserve">In the latest FTSE Women Leaders Report, our parent </w:t>
      </w:r>
      <w:r w:rsidR="003B36A4" w:rsidRPr="00735726">
        <w:rPr>
          <w:rFonts w:ascii="Arial" w:hAnsi="Arial" w:cs="Arial"/>
          <w:sz w:val="18"/>
          <w:szCs w:val="18"/>
        </w:rPr>
        <w:t>C</w:t>
      </w:r>
      <w:r w:rsidRPr="00735726">
        <w:rPr>
          <w:rFonts w:ascii="Arial" w:hAnsi="Arial" w:cs="Arial"/>
          <w:sz w:val="18"/>
          <w:szCs w:val="18"/>
        </w:rPr>
        <w:t>ompany, have once again solidified our standing as a leader in female representation, securing the gold position for best performer in the Women on Boards category across the entire FTSE 250. This external recognition highlights the progress we’ve made and the impact of our efforts to improve gender balance at senior levels.</w:t>
      </w:r>
    </w:p>
    <w:p w14:paraId="40685FBD" w14:textId="25E8BA22" w:rsidR="00E253CE" w:rsidRPr="009A2CAE" w:rsidRDefault="00E253CE" w:rsidP="00844EFD">
      <w:pPr>
        <w:spacing w:after="160"/>
        <w:rPr>
          <w:rFonts w:ascii="Arial" w:hAnsi="Arial" w:cs="Arial"/>
          <w:sz w:val="18"/>
          <w:szCs w:val="18"/>
        </w:rPr>
      </w:pPr>
      <w:r w:rsidRPr="00735726">
        <w:rPr>
          <w:rFonts w:ascii="Arial" w:hAnsi="Arial" w:cs="Arial"/>
          <w:sz w:val="18"/>
          <w:szCs w:val="18"/>
        </w:rPr>
        <w:t xml:space="preserve">We have published our Gender Pay Gap report for the past seven years, and this year we are pleased to publish our Ethnicity Pay Gap report for the second consecutive year. The latest results show encouraging progress, with our median gender pay gap reducing from </w:t>
      </w:r>
      <w:r w:rsidR="001D5331" w:rsidRPr="00735726">
        <w:rPr>
          <w:rFonts w:ascii="Arial" w:hAnsi="Arial" w:cs="Arial"/>
          <w:sz w:val="18"/>
          <w:szCs w:val="18"/>
        </w:rPr>
        <w:t>8.</w:t>
      </w:r>
      <w:r w:rsidR="008C6F8D" w:rsidRPr="00735726">
        <w:rPr>
          <w:rFonts w:ascii="Arial" w:hAnsi="Arial" w:cs="Arial"/>
          <w:sz w:val="18"/>
          <w:szCs w:val="18"/>
        </w:rPr>
        <w:t>3</w:t>
      </w:r>
      <w:r w:rsidRPr="00735726">
        <w:rPr>
          <w:rFonts w:ascii="Arial" w:hAnsi="Arial" w:cs="Arial"/>
          <w:sz w:val="18"/>
          <w:szCs w:val="18"/>
        </w:rPr>
        <w:t xml:space="preserve">% to </w:t>
      </w:r>
      <w:r w:rsidR="001D5331" w:rsidRPr="00735726">
        <w:rPr>
          <w:rFonts w:ascii="Arial" w:hAnsi="Arial" w:cs="Arial"/>
          <w:sz w:val="18"/>
          <w:szCs w:val="18"/>
        </w:rPr>
        <w:t>4.</w:t>
      </w:r>
      <w:r w:rsidR="008C6F8D" w:rsidRPr="00735726">
        <w:rPr>
          <w:rFonts w:ascii="Arial" w:hAnsi="Arial" w:cs="Arial"/>
          <w:sz w:val="18"/>
          <w:szCs w:val="18"/>
        </w:rPr>
        <w:t>9</w:t>
      </w:r>
      <w:r w:rsidRPr="00735726">
        <w:rPr>
          <w:rFonts w:ascii="Arial" w:hAnsi="Arial" w:cs="Arial"/>
          <w:sz w:val="18"/>
          <w:szCs w:val="18"/>
        </w:rPr>
        <w:t xml:space="preserve">% and our median ethnicity pay gap improving from </w:t>
      </w:r>
      <w:r w:rsidR="008C6F8D" w:rsidRPr="00735726">
        <w:rPr>
          <w:rFonts w:ascii="Arial" w:hAnsi="Arial" w:cs="Arial"/>
          <w:sz w:val="18"/>
          <w:szCs w:val="18"/>
        </w:rPr>
        <w:t>11.3</w:t>
      </w:r>
      <w:r w:rsidRPr="00735726">
        <w:rPr>
          <w:rFonts w:ascii="Arial" w:hAnsi="Arial" w:cs="Arial"/>
          <w:sz w:val="18"/>
          <w:szCs w:val="18"/>
        </w:rPr>
        <w:t xml:space="preserve">% to </w:t>
      </w:r>
      <w:r w:rsidR="008C6F8D" w:rsidRPr="00735726">
        <w:rPr>
          <w:rFonts w:ascii="Arial" w:hAnsi="Arial" w:cs="Arial"/>
          <w:sz w:val="18"/>
          <w:szCs w:val="18"/>
        </w:rPr>
        <w:t>9.4</w:t>
      </w:r>
      <w:r w:rsidRPr="00735726">
        <w:rPr>
          <w:rFonts w:ascii="Arial" w:hAnsi="Arial" w:cs="Arial"/>
          <w:sz w:val="18"/>
          <w:szCs w:val="18"/>
        </w:rPr>
        <w:t>%. While these shifts are incremental, they reflect sustained focus on representation, progression and fair reward, underpinned by strengthened governance, clearer leadership accountability and deeper colleague engagement. Both reports are available on our</w:t>
      </w:r>
      <w:r w:rsidR="002D3E2F" w:rsidRPr="00735726">
        <w:rPr>
          <w:rFonts w:ascii="Arial" w:hAnsi="Arial" w:cs="Arial"/>
          <w:sz w:val="18"/>
          <w:szCs w:val="18"/>
        </w:rPr>
        <w:t xml:space="preserve"> parent </w:t>
      </w:r>
      <w:r w:rsidR="003B36A4" w:rsidRPr="00735726">
        <w:rPr>
          <w:rFonts w:ascii="Arial" w:hAnsi="Arial" w:cs="Arial"/>
          <w:sz w:val="18"/>
          <w:szCs w:val="18"/>
        </w:rPr>
        <w:t>C</w:t>
      </w:r>
      <w:r w:rsidR="002D3E2F" w:rsidRPr="00735726">
        <w:rPr>
          <w:rFonts w:ascii="Arial" w:hAnsi="Arial" w:cs="Arial"/>
          <w:sz w:val="18"/>
          <w:szCs w:val="18"/>
        </w:rPr>
        <w:t>ompany’s</w:t>
      </w:r>
      <w:r w:rsidRPr="00735726">
        <w:rPr>
          <w:rFonts w:ascii="Arial" w:hAnsi="Arial" w:cs="Arial"/>
          <w:sz w:val="18"/>
          <w:szCs w:val="18"/>
        </w:rPr>
        <w:t xml:space="preserve"> website: www.pennon-group.co.uk.</w:t>
      </w:r>
    </w:p>
    <w:p w14:paraId="479FA4D9" w14:textId="6C397640" w:rsidR="00E253CE" w:rsidRPr="00735726" w:rsidRDefault="00E253CE" w:rsidP="00844EFD">
      <w:pPr>
        <w:spacing w:after="160"/>
        <w:rPr>
          <w:rFonts w:ascii="Arial" w:hAnsi="Arial" w:cs="Arial"/>
          <w:sz w:val="18"/>
          <w:szCs w:val="18"/>
        </w:rPr>
      </w:pPr>
      <w:r w:rsidRPr="00735726">
        <w:rPr>
          <w:rFonts w:ascii="Arial" w:hAnsi="Arial" w:cs="Arial"/>
          <w:sz w:val="18"/>
          <w:szCs w:val="18"/>
        </w:rPr>
        <w:t xml:space="preserve">We continue to invest in diverse talent pipelines, including our long-standing graduate and apprenticeship programmes and our </w:t>
      </w:r>
      <w:r w:rsidR="00F4027D" w:rsidRPr="00735726">
        <w:rPr>
          <w:rFonts w:ascii="Arial" w:hAnsi="Arial" w:cs="Arial"/>
          <w:sz w:val="18"/>
          <w:szCs w:val="18"/>
        </w:rPr>
        <w:t xml:space="preserve">parent </w:t>
      </w:r>
      <w:r w:rsidR="00603706" w:rsidRPr="00735726">
        <w:rPr>
          <w:rFonts w:ascii="Arial" w:hAnsi="Arial" w:cs="Arial"/>
          <w:sz w:val="18"/>
          <w:szCs w:val="18"/>
        </w:rPr>
        <w:t>C</w:t>
      </w:r>
      <w:r w:rsidR="002D3E2F" w:rsidRPr="00735726">
        <w:rPr>
          <w:rFonts w:ascii="Arial" w:hAnsi="Arial" w:cs="Arial"/>
          <w:sz w:val="18"/>
          <w:szCs w:val="18"/>
        </w:rPr>
        <w:t>ompany’s</w:t>
      </w:r>
      <w:r w:rsidR="00F4027D" w:rsidRPr="00735726">
        <w:rPr>
          <w:rFonts w:ascii="Arial" w:hAnsi="Arial" w:cs="Arial"/>
          <w:sz w:val="18"/>
          <w:szCs w:val="18"/>
        </w:rPr>
        <w:t xml:space="preserve"> </w:t>
      </w:r>
      <w:r w:rsidRPr="00735726">
        <w:rPr>
          <w:rFonts w:ascii="Arial" w:hAnsi="Arial" w:cs="Arial"/>
          <w:sz w:val="18"/>
          <w:szCs w:val="18"/>
        </w:rPr>
        <w:t xml:space="preserve">ongoing participation in the 10,000 Black Interns initiative, which is enabling us to attract a broader range of ethnically diverse applicants. As more of these individuals join and develop within the business, we anticipate further positive impact on our ethnicity pay gap in the years ahead. </w:t>
      </w:r>
    </w:p>
    <w:p w14:paraId="2482E89E" w14:textId="03B4A0F7" w:rsidR="00DB7408" w:rsidRPr="00735726" w:rsidRDefault="00DB7408" w:rsidP="00844EFD">
      <w:pPr>
        <w:spacing w:after="160"/>
        <w:rPr>
          <w:rFonts w:ascii="Arial" w:hAnsi="Arial" w:cs="Arial"/>
          <w:sz w:val="18"/>
          <w:szCs w:val="18"/>
        </w:rPr>
      </w:pPr>
      <w:r w:rsidRPr="00735726">
        <w:rPr>
          <w:rFonts w:ascii="Arial" w:hAnsi="Arial" w:cs="Arial"/>
          <w:sz w:val="18"/>
          <w:szCs w:val="18"/>
        </w:rPr>
        <w:t xml:space="preserve">In 2025/26, the </w:t>
      </w:r>
      <w:proofErr w:type="gramStart"/>
      <w:r w:rsidR="0074335E" w:rsidRPr="00735726">
        <w:rPr>
          <w:rFonts w:ascii="Arial" w:hAnsi="Arial" w:cs="Arial"/>
          <w:sz w:val="18"/>
          <w:szCs w:val="18"/>
        </w:rPr>
        <w:t>South West</w:t>
      </w:r>
      <w:proofErr w:type="gramEnd"/>
      <w:r w:rsidR="0074335E" w:rsidRPr="00735726">
        <w:rPr>
          <w:rFonts w:ascii="Arial" w:hAnsi="Arial" w:cs="Arial"/>
          <w:sz w:val="18"/>
          <w:szCs w:val="18"/>
        </w:rPr>
        <w:t xml:space="preserve"> Water</w:t>
      </w:r>
      <w:r w:rsidRPr="00735726">
        <w:rPr>
          <w:rFonts w:ascii="Arial" w:hAnsi="Arial" w:cs="Arial"/>
          <w:sz w:val="18"/>
          <w:szCs w:val="18"/>
        </w:rPr>
        <w:t xml:space="preserve"> Board was 50% female, and women represented </w:t>
      </w:r>
      <w:r w:rsidR="00CC2323" w:rsidRPr="00735726">
        <w:rPr>
          <w:rFonts w:ascii="Arial" w:hAnsi="Arial" w:cs="Arial"/>
          <w:sz w:val="18"/>
          <w:szCs w:val="18"/>
        </w:rPr>
        <w:t>31</w:t>
      </w:r>
      <w:r w:rsidRPr="00735726">
        <w:rPr>
          <w:rFonts w:ascii="Arial" w:hAnsi="Arial" w:cs="Arial"/>
          <w:sz w:val="18"/>
          <w:szCs w:val="18"/>
        </w:rPr>
        <w:t xml:space="preserve">% of our senior management teams. Female representation is also maintained at Executive level, including the Chief Financial Officer. </w:t>
      </w:r>
      <w:proofErr w:type="gramStart"/>
      <w:r w:rsidR="00CC2323" w:rsidRPr="00735726">
        <w:rPr>
          <w:rFonts w:ascii="Arial" w:hAnsi="Arial" w:cs="Arial"/>
          <w:sz w:val="18"/>
          <w:szCs w:val="18"/>
        </w:rPr>
        <w:t>South West</w:t>
      </w:r>
      <w:proofErr w:type="gramEnd"/>
      <w:r w:rsidR="00CC2323" w:rsidRPr="00735726">
        <w:rPr>
          <w:rFonts w:ascii="Arial" w:hAnsi="Arial" w:cs="Arial"/>
          <w:sz w:val="18"/>
          <w:szCs w:val="18"/>
        </w:rPr>
        <w:t xml:space="preserve"> Water </w:t>
      </w:r>
      <w:r w:rsidRPr="00735726">
        <w:rPr>
          <w:rFonts w:ascii="Arial" w:hAnsi="Arial" w:cs="Arial"/>
          <w:sz w:val="18"/>
          <w:szCs w:val="18"/>
        </w:rPr>
        <w:t>continues to focus on improving gender balance across all levels.</w:t>
      </w:r>
    </w:p>
    <w:tbl>
      <w:tblPr>
        <w:tblStyle w:val="TableGrid"/>
        <w:tblW w:w="0" w:type="auto"/>
        <w:tblLook w:val="04A0" w:firstRow="1" w:lastRow="0" w:firstColumn="1" w:lastColumn="0" w:noHBand="0" w:noVBand="1"/>
      </w:tblPr>
      <w:tblGrid>
        <w:gridCol w:w="2193"/>
        <w:gridCol w:w="1705"/>
        <w:gridCol w:w="1706"/>
        <w:gridCol w:w="1706"/>
        <w:gridCol w:w="1706"/>
      </w:tblGrid>
      <w:tr w:rsidR="0074335E" w:rsidRPr="00735726" w14:paraId="56E44F26" w14:textId="77777777" w:rsidTr="0074335E">
        <w:tc>
          <w:tcPr>
            <w:tcW w:w="2193" w:type="dxa"/>
            <w:tcBorders>
              <w:top w:val="single" w:sz="4" w:space="0" w:color="auto"/>
              <w:left w:val="single" w:sz="4" w:space="0" w:color="auto"/>
              <w:bottom w:val="nil"/>
              <w:right w:val="nil"/>
            </w:tcBorders>
            <w:shd w:val="clear" w:color="auto" w:fill="002060"/>
          </w:tcPr>
          <w:p w14:paraId="4F62F1B6" w14:textId="77777777" w:rsidR="0074335E" w:rsidRPr="00735726" w:rsidRDefault="0074335E" w:rsidP="00844EFD">
            <w:pPr>
              <w:spacing w:after="160"/>
              <w:rPr>
                <w:rFonts w:ascii="Arial" w:hAnsi="Arial" w:cs="Arial"/>
                <w:b/>
                <w:bCs/>
                <w:sz w:val="18"/>
                <w:szCs w:val="18"/>
              </w:rPr>
            </w:pPr>
          </w:p>
        </w:tc>
        <w:tc>
          <w:tcPr>
            <w:tcW w:w="3411" w:type="dxa"/>
            <w:gridSpan w:val="2"/>
            <w:tcBorders>
              <w:top w:val="single" w:sz="4" w:space="0" w:color="auto"/>
              <w:left w:val="nil"/>
              <w:bottom w:val="nil"/>
              <w:right w:val="nil"/>
            </w:tcBorders>
            <w:shd w:val="clear" w:color="auto" w:fill="002060"/>
          </w:tcPr>
          <w:p w14:paraId="51CDB20D" w14:textId="56E60BF6" w:rsidR="0074335E" w:rsidRPr="00735726" w:rsidRDefault="0074335E" w:rsidP="00844EFD">
            <w:pPr>
              <w:spacing w:after="160"/>
              <w:jc w:val="center"/>
              <w:rPr>
                <w:rFonts w:ascii="Arial" w:hAnsi="Arial" w:cs="Arial"/>
                <w:b/>
                <w:bCs/>
                <w:sz w:val="18"/>
                <w:szCs w:val="18"/>
              </w:rPr>
            </w:pPr>
            <w:r w:rsidRPr="00735726">
              <w:rPr>
                <w:rFonts w:ascii="Arial" w:hAnsi="Arial" w:cs="Arial"/>
                <w:b/>
                <w:bCs/>
                <w:sz w:val="18"/>
                <w:szCs w:val="18"/>
              </w:rPr>
              <w:t>Male</w:t>
            </w:r>
          </w:p>
        </w:tc>
        <w:tc>
          <w:tcPr>
            <w:tcW w:w="3412" w:type="dxa"/>
            <w:gridSpan w:val="2"/>
            <w:tcBorders>
              <w:top w:val="single" w:sz="4" w:space="0" w:color="auto"/>
              <w:left w:val="nil"/>
              <w:bottom w:val="nil"/>
              <w:right w:val="single" w:sz="4" w:space="0" w:color="auto"/>
            </w:tcBorders>
            <w:shd w:val="clear" w:color="auto" w:fill="002060"/>
          </w:tcPr>
          <w:p w14:paraId="1E87B2D5" w14:textId="3122ED27" w:rsidR="0074335E" w:rsidRPr="00735726" w:rsidRDefault="0074335E" w:rsidP="00844EFD">
            <w:pPr>
              <w:spacing w:after="160"/>
              <w:jc w:val="center"/>
              <w:rPr>
                <w:rFonts w:ascii="Arial" w:hAnsi="Arial" w:cs="Arial"/>
                <w:b/>
                <w:bCs/>
                <w:sz w:val="18"/>
                <w:szCs w:val="18"/>
              </w:rPr>
            </w:pPr>
            <w:r w:rsidRPr="00735726">
              <w:rPr>
                <w:rFonts w:ascii="Arial" w:hAnsi="Arial" w:cs="Arial"/>
                <w:b/>
                <w:bCs/>
                <w:sz w:val="18"/>
                <w:szCs w:val="18"/>
              </w:rPr>
              <w:t>Female</w:t>
            </w:r>
          </w:p>
        </w:tc>
      </w:tr>
      <w:tr w:rsidR="0074335E" w:rsidRPr="00735726" w14:paraId="25C7212E" w14:textId="77777777" w:rsidTr="0074335E">
        <w:tc>
          <w:tcPr>
            <w:tcW w:w="2193" w:type="dxa"/>
            <w:tcBorders>
              <w:top w:val="nil"/>
              <w:left w:val="single" w:sz="4" w:space="0" w:color="auto"/>
              <w:bottom w:val="single" w:sz="4" w:space="0" w:color="auto"/>
              <w:right w:val="nil"/>
            </w:tcBorders>
            <w:shd w:val="clear" w:color="auto" w:fill="002060"/>
          </w:tcPr>
          <w:p w14:paraId="7600B924" w14:textId="77777777" w:rsidR="0074335E" w:rsidRPr="00735726" w:rsidRDefault="0074335E" w:rsidP="00844EFD">
            <w:pPr>
              <w:spacing w:after="160"/>
              <w:rPr>
                <w:rFonts w:ascii="Arial" w:hAnsi="Arial" w:cs="Arial"/>
                <w:b/>
                <w:bCs/>
                <w:sz w:val="18"/>
                <w:szCs w:val="18"/>
              </w:rPr>
            </w:pPr>
          </w:p>
        </w:tc>
        <w:tc>
          <w:tcPr>
            <w:tcW w:w="1705" w:type="dxa"/>
            <w:tcBorders>
              <w:top w:val="nil"/>
              <w:left w:val="nil"/>
              <w:bottom w:val="single" w:sz="4" w:space="0" w:color="auto"/>
              <w:right w:val="nil"/>
            </w:tcBorders>
            <w:shd w:val="clear" w:color="auto" w:fill="002060"/>
          </w:tcPr>
          <w:p w14:paraId="14CB9E68" w14:textId="4C87A431" w:rsidR="0074335E" w:rsidRPr="00735726" w:rsidRDefault="0074335E" w:rsidP="00844EFD">
            <w:pPr>
              <w:spacing w:after="160"/>
              <w:jc w:val="center"/>
              <w:rPr>
                <w:rFonts w:ascii="Arial" w:hAnsi="Arial" w:cs="Arial"/>
                <w:b/>
                <w:bCs/>
                <w:sz w:val="18"/>
                <w:szCs w:val="18"/>
              </w:rPr>
            </w:pPr>
            <w:r w:rsidRPr="00735726">
              <w:rPr>
                <w:rFonts w:ascii="Arial" w:hAnsi="Arial" w:cs="Arial"/>
                <w:b/>
                <w:bCs/>
                <w:sz w:val="18"/>
                <w:szCs w:val="18"/>
              </w:rPr>
              <w:t>Number</w:t>
            </w:r>
          </w:p>
        </w:tc>
        <w:tc>
          <w:tcPr>
            <w:tcW w:w="1706" w:type="dxa"/>
            <w:tcBorders>
              <w:top w:val="nil"/>
              <w:left w:val="nil"/>
              <w:bottom w:val="single" w:sz="4" w:space="0" w:color="auto"/>
              <w:right w:val="nil"/>
            </w:tcBorders>
            <w:shd w:val="clear" w:color="auto" w:fill="002060"/>
          </w:tcPr>
          <w:p w14:paraId="6288A6DD" w14:textId="0AB2CAF7" w:rsidR="0074335E" w:rsidRPr="00735726" w:rsidRDefault="0074335E" w:rsidP="00844EFD">
            <w:pPr>
              <w:spacing w:after="160"/>
              <w:jc w:val="center"/>
              <w:rPr>
                <w:rFonts w:ascii="Arial" w:hAnsi="Arial" w:cs="Arial"/>
                <w:b/>
                <w:bCs/>
                <w:sz w:val="18"/>
                <w:szCs w:val="18"/>
              </w:rPr>
            </w:pPr>
            <w:r w:rsidRPr="00735726">
              <w:rPr>
                <w:rFonts w:ascii="Arial" w:hAnsi="Arial" w:cs="Arial"/>
                <w:b/>
                <w:bCs/>
                <w:sz w:val="18"/>
                <w:szCs w:val="18"/>
              </w:rPr>
              <w:t>%</w:t>
            </w:r>
          </w:p>
        </w:tc>
        <w:tc>
          <w:tcPr>
            <w:tcW w:w="1706" w:type="dxa"/>
            <w:tcBorders>
              <w:top w:val="nil"/>
              <w:left w:val="nil"/>
              <w:bottom w:val="single" w:sz="4" w:space="0" w:color="auto"/>
              <w:right w:val="nil"/>
            </w:tcBorders>
            <w:shd w:val="clear" w:color="auto" w:fill="002060"/>
          </w:tcPr>
          <w:p w14:paraId="2F765722" w14:textId="59A40394" w:rsidR="0074335E" w:rsidRPr="00735726" w:rsidRDefault="0074335E" w:rsidP="00844EFD">
            <w:pPr>
              <w:spacing w:after="160"/>
              <w:jc w:val="center"/>
              <w:rPr>
                <w:rFonts w:ascii="Arial" w:hAnsi="Arial" w:cs="Arial"/>
                <w:b/>
                <w:bCs/>
                <w:sz w:val="18"/>
                <w:szCs w:val="18"/>
              </w:rPr>
            </w:pPr>
            <w:r w:rsidRPr="00735726">
              <w:rPr>
                <w:rFonts w:ascii="Arial" w:hAnsi="Arial" w:cs="Arial"/>
                <w:b/>
                <w:bCs/>
                <w:sz w:val="18"/>
                <w:szCs w:val="18"/>
              </w:rPr>
              <w:t>Number</w:t>
            </w:r>
          </w:p>
        </w:tc>
        <w:tc>
          <w:tcPr>
            <w:tcW w:w="1706" w:type="dxa"/>
            <w:tcBorders>
              <w:top w:val="nil"/>
              <w:left w:val="nil"/>
              <w:bottom w:val="single" w:sz="4" w:space="0" w:color="auto"/>
              <w:right w:val="single" w:sz="4" w:space="0" w:color="auto"/>
            </w:tcBorders>
            <w:shd w:val="clear" w:color="auto" w:fill="002060"/>
          </w:tcPr>
          <w:p w14:paraId="69F98DF0" w14:textId="042A2E6B" w:rsidR="0074335E" w:rsidRPr="00735726" w:rsidRDefault="0074335E" w:rsidP="00844EFD">
            <w:pPr>
              <w:spacing w:after="160"/>
              <w:jc w:val="center"/>
              <w:rPr>
                <w:rFonts w:ascii="Arial" w:hAnsi="Arial" w:cs="Arial"/>
                <w:b/>
                <w:bCs/>
                <w:sz w:val="18"/>
                <w:szCs w:val="18"/>
              </w:rPr>
            </w:pPr>
            <w:r w:rsidRPr="00735726">
              <w:rPr>
                <w:rFonts w:ascii="Arial" w:hAnsi="Arial" w:cs="Arial"/>
                <w:b/>
                <w:bCs/>
                <w:sz w:val="18"/>
                <w:szCs w:val="18"/>
              </w:rPr>
              <w:t>%</w:t>
            </w:r>
          </w:p>
        </w:tc>
      </w:tr>
      <w:tr w:rsidR="0074335E" w:rsidRPr="00735726" w14:paraId="27AA917D" w14:textId="77777777" w:rsidTr="0074335E">
        <w:tc>
          <w:tcPr>
            <w:tcW w:w="2193" w:type="dxa"/>
            <w:tcBorders>
              <w:top w:val="single" w:sz="4" w:space="0" w:color="auto"/>
            </w:tcBorders>
          </w:tcPr>
          <w:p w14:paraId="0FBD405F" w14:textId="5BE84D8F" w:rsidR="0074335E" w:rsidRPr="00735726" w:rsidRDefault="0074335E" w:rsidP="00844EFD">
            <w:pPr>
              <w:spacing w:after="160"/>
              <w:rPr>
                <w:rFonts w:ascii="Arial" w:hAnsi="Arial" w:cs="Arial"/>
                <w:sz w:val="18"/>
                <w:szCs w:val="18"/>
              </w:rPr>
            </w:pPr>
            <w:r w:rsidRPr="00735726">
              <w:rPr>
                <w:rFonts w:ascii="Arial" w:hAnsi="Arial" w:cs="Arial"/>
                <w:sz w:val="18"/>
                <w:szCs w:val="18"/>
              </w:rPr>
              <w:t>Board</w:t>
            </w:r>
          </w:p>
        </w:tc>
        <w:tc>
          <w:tcPr>
            <w:tcW w:w="1705" w:type="dxa"/>
            <w:tcBorders>
              <w:top w:val="single" w:sz="4" w:space="0" w:color="auto"/>
            </w:tcBorders>
          </w:tcPr>
          <w:p w14:paraId="6A5B2EA3" w14:textId="2B3B846D" w:rsidR="0074335E" w:rsidRPr="00735726" w:rsidRDefault="00CC2323" w:rsidP="00844EFD">
            <w:pPr>
              <w:spacing w:after="160"/>
              <w:rPr>
                <w:rFonts w:ascii="Arial" w:hAnsi="Arial" w:cs="Arial"/>
                <w:sz w:val="18"/>
                <w:szCs w:val="18"/>
              </w:rPr>
            </w:pPr>
            <w:r w:rsidRPr="00735726">
              <w:rPr>
                <w:rFonts w:ascii="Arial" w:hAnsi="Arial" w:cs="Arial"/>
                <w:sz w:val="18"/>
                <w:szCs w:val="18"/>
              </w:rPr>
              <w:t>4</w:t>
            </w:r>
          </w:p>
        </w:tc>
        <w:tc>
          <w:tcPr>
            <w:tcW w:w="1706" w:type="dxa"/>
            <w:tcBorders>
              <w:top w:val="single" w:sz="4" w:space="0" w:color="auto"/>
            </w:tcBorders>
          </w:tcPr>
          <w:p w14:paraId="06988548" w14:textId="2382630F" w:rsidR="0074335E" w:rsidRPr="00735726" w:rsidRDefault="00CC2323" w:rsidP="00844EFD">
            <w:pPr>
              <w:spacing w:after="160"/>
              <w:rPr>
                <w:rFonts w:ascii="Arial" w:hAnsi="Arial" w:cs="Arial"/>
                <w:sz w:val="18"/>
                <w:szCs w:val="18"/>
              </w:rPr>
            </w:pPr>
            <w:r w:rsidRPr="00735726">
              <w:rPr>
                <w:rFonts w:ascii="Arial" w:hAnsi="Arial" w:cs="Arial"/>
                <w:sz w:val="18"/>
                <w:szCs w:val="18"/>
              </w:rPr>
              <w:t>50%</w:t>
            </w:r>
          </w:p>
        </w:tc>
        <w:tc>
          <w:tcPr>
            <w:tcW w:w="1706" w:type="dxa"/>
            <w:tcBorders>
              <w:top w:val="single" w:sz="4" w:space="0" w:color="auto"/>
            </w:tcBorders>
          </w:tcPr>
          <w:p w14:paraId="2AA69A18" w14:textId="293A782F" w:rsidR="0074335E" w:rsidRPr="00735726" w:rsidRDefault="00CC2323" w:rsidP="00844EFD">
            <w:pPr>
              <w:spacing w:after="160"/>
              <w:rPr>
                <w:rFonts w:ascii="Arial" w:hAnsi="Arial" w:cs="Arial"/>
                <w:sz w:val="18"/>
                <w:szCs w:val="18"/>
              </w:rPr>
            </w:pPr>
            <w:r w:rsidRPr="00735726">
              <w:rPr>
                <w:rFonts w:ascii="Arial" w:hAnsi="Arial" w:cs="Arial"/>
                <w:sz w:val="18"/>
                <w:szCs w:val="18"/>
              </w:rPr>
              <w:t>4</w:t>
            </w:r>
          </w:p>
        </w:tc>
        <w:tc>
          <w:tcPr>
            <w:tcW w:w="1706" w:type="dxa"/>
            <w:tcBorders>
              <w:top w:val="single" w:sz="4" w:space="0" w:color="auto"/>
            </w:tcBorders>
          </w:tcPr>
          <w:p w14:paraId="471910E9" w14:textId="2DD7CB9F" w:rsidR="0074335E" w:rsidRPr="00735726" w:rsidRDefault="00CC2323" w:rsidP="00844EFD">
            <w:pPr>
              <w:spacing w:after="160"/>
              <w:rPr>
                <w:rFonts w:ascii="Arial" w:hAnsi="Arial" w:cs="Arial"/>
                <w:sz w:val="18"/>
                <w:szCs w:val="18"/>
              </w:rPr>
            </w:pPr>
            <w:r w:rsidRPr="00735726">
              <w:rPr>
                <w:rFonts w:ascii="Arial" w:hAnsi="Arial" w:cs="Arial"/>
                <w:sz w:val="18"/>
                <w:szCs w:val="18"/>
              </w:rPr>
              <w:t>50%</w:t>
            </w:r>
          </w:p>
        </w:tc>
      </w:tr>
      <w:tr w:rsidR="0074335E" w:rsidRPr="00735726" w14:paraId="08B3C52D" w14:textId="77777777" w:rsidTr="0074335E">
        <w:tc>
          <w:tcPr>
            <w:tcW w:w="2193" w:type="dxa"/>
          </w:tcPr>
          <w:p w14:paraId="559C2FE4" w14:textId="6786EF9B" w:rsidR="0074335E" w:rsidRPr="00735726" w:rsidRDefault="0074335E" w:rsidP="00844EFD">
            <w:pPr>
              <w:spacing w:after="160"/>
              <w:rPr>
                <w:rFonts w:ascii="Arial" w:hAnsi="Arial" w:cs="Arial"/>
                <w:sz w:val="18"/>
                <w:szCs w:val="18"/>
              </w:rPr>
            </w:pPr>
            <w:r w:rsidRPr="00735726">
              <w:rPr>
                <w:rFonts w:ascii="Arial" w:hAnsi="Arial" w:cs="Arial"/>
                <w:sz w:val="18"/>
                <w:szCs w:val="18"/>
              </w:rPr>
              <w:t>Senior management</w:t>
            </w:r>
          </w:p>
        </w:tc>
        <w:tc>
          <w:tcPr>
            <w:tcW w:w="1705" w:type="dxa"/>
          </w:tcPr>
          <w:p w14:paraId="63E6229B" w14:textId="63CF1EA2" w:rsidR="0074335E" w:rsidRPr="00735726" w:rsidRDefault="00CC2323" w:rsidP="00844EFD">
            <w:pPr>
              <w:spacing w:after="160"/>
              <w:rPr>
                <w:rFonts w:ascii="Arial" w:hAnsi="Arial" w:cs="Arial"/>
                <w:sz w:val="18"/>
                <w:szCs w:val="18"/>
              </w:rPr>
            </w:pPr>
            <w:r w:rsidRPr="00735726">
              <w:rPr>
                <w:rFonts w:ascii="Arial" w:hAnsi="Arial" w:cs="Arial"/>
                <w:sz w:val="18"/>
                <w:szCs w:val="18"/>
              </w:rPr>
              <w:t>36</w:t>
            </w:r>
          </w:p>
        </w:tc>
        <w:tc>
          <w:tcPr>
            <w:tcW w:w="1706" w:type="dxa"/>
          </w:tcPr>
          <w:p w14:paraId="7288EA62" w14:textId="2BE0D8EF" w:rsidR="0074335E" w:rsidRPr="00735726" w:rsidRDefault="00CC2323" w:rsidP="00844EFD">
            <w:pPr>
              <w:spacing w:after="160"/>
              <w:rPr>
                <w:rFonts w:ascii="Arial" w:hAnsi="Arial" w:cs="Arial"/>
                <w:sz w:val="18"/>
                <w:szCs w:val="18"/>
              </w:rPr>
            </w:pPr>
            <w:r w:rsidRPr="00735726">
              <w:rPr>
                <w:rFonts w:ascii="Arial" w:hAnsi="Arial" w:cs="Arial"/>
                <w:sz w:val="18"/>
                <w:szCs w:val="18"/>
              </w:rPr>
              <w:t>69%</w:t>
            </w:r>
          </w:p>
        </w:tc>
        <w:tc>
          <w:tcPr>
            <w:tcW w:w="1706" w:type="dxa"/>
          </w:tcPr>
          <w:p w14:paraId="412CEEC8" w14:textId="3CFF5DDD" w:rsidR="0074335E" w:rsidRPr="00735726" w:rsidRDefault="00CC2323" w:rsidP="00844EFD">
            <w:pPr>
              <w:spacing w:after="160"/>
              <w:rPr>
                <w:rFonts w:ascii="Arial" w:hAnsi="Arial" w:cs="Arial"/>
                <w:sz w:val="18"/>
                <w:szCs w:val="18"/>
              </w:rPr>
            </w:pPr>
            <w:r w:rsidRPr="00735726">
              <w:rPr>
                <w:rFonts w:ascii="Arial" w:hAnsi="Arial" w:cs="Arial"/>
                <w:sz w:val="18"/>
                <w:szCs w:val="18"/>
              </w:rPr>
              <w:t>16</w:t>
            </w:r>
          </w:p>
        </w:tc>
        <w:tc>
          <w:tcPr>
            <w:tcW w:w="1706" w:type="dxa"/>
          </w:tcPr>
          <w:p w14:paraId="0ECA79EA" w14:textId="74BD01FA" w:rsidR="0074335E" w:rsidRPr="00735726" w:rsidRDefault="00CC2323" w:rsidP="00844EFD">
            <w:pPr>
              <w:spacing w:after="160"/>
              <w:rPr>
                <w:rFonts w:ascii="Arial" w:hAnsi="Arial" w:cs="Arial"/>
                <w:sz w:val="18"/>
                <w:szCs w:val="18"/>
              </w:rPr>
            </w:pPr>
            <w:r w:rsidRPr="00735726">
              <w:rPr>
                <w:rFonts w:ascii="Arial" w:hAnsi="Arial" w:cs="Arial"/>
                <w:sz w:val="18"/>
                <w:szCs w:val="18"/>
              </w:rPr>
              <w:t>31%</w:t>
            </w:r>
          </w:p>
        </w:tc>
      </w:tr>
      <w:tr w:rsidR="0074335E" w:rsidRPr="00735726" w14:paraId="64DF58AE" w14:textId="77777777" w:rsidTr="0074335E">
        <w:tc>
          <w:tcPr>
            <w:tcW w:w="2193" w:type="dxa"/>
          </w:tcPr>
          <w:p w14:paraId="2418F35F" w14:textId="7CBDA279" w:rsidR="0074335E" w:rsidRPr="00735726" w:rsidRDefault="0074335E" w:rsidP="00844EFD">
            <w:pPr>
              <w:spacing w:after="160"/>
              <w:rPr>
                <w:rFonts w:ascii="Arial" w:hAnsi="Arial" w:cs="Arial"/>
                <w:sz w:val="18"/>
                <w:szCs w:val="18"/>
              </w:rPr>
            </w:pPr>
            <w:r w:rsidRPr="00735726">
              <w:rPr>
                <w:rFonts w:ascii="Arial" w:hAnsi="Arial" w:cs="Arial"/>
                <w:sz w:val="18"/>
                <w:szCs w:val="18"/>
              </w:rPr>
              <w:t>Employees</w:t>
            </w:r>
          </w:p>
        </w:tc>
        <w:tc>
          <w:tcPr>
            <w:tcW w:w="1705" w:type="dxa"/>
          </w:tcPr>
          <w:p w14:paraId="6C3D53C2" w14:textId="039836A9" w:rsidR="0074335E" w:rsidRPr="00735726" w:rsidRDefault="00CC2323" w:rsidP="00844EFD">
            <w:pPr>
              <w:spacing w:after="160"/>
              <w:rPr>
                <w:rFonts w:ascii="Arial" w:hAnsi="Arial" w:cs="Arial"/>
                <w:sz w:val="18"/>
                <w:szCs w:val="18"/>
              </w:rPr>
            </w:pPr>
            <w:r w:rsidRPr="00735726">
              <w:rPr>
                <w:rFonts w:ascii="Arial" w:hAnsi="Arial" w:cs="Arial"/>
                <w:sz w:val="18"/>
                <w:szCs w:val="18"/>
              </w:rPr>
              <w:t>2,</w:t>
            </w:r>
            <w:r w:rsidR="00283FBB" w:rsidRPr="00735726">
              <w:rPr>
                <w:rFonts w:ascii="Arial" w:hAnsi="Arial" w:cs="Arial"/>
                <w:sz w:val="18"/>
                <w:szCs w:val="18"/>
              </w:rPr>
              <w:t>015</w:t>
            </w:r>
          </w:p>
        </w:tc>
        <w:tc>
          <w:tcPr>
            <w:tcW w:w="1706" w:type="dxa"/>
          </w:tcPr>
          <w:p w14:paraId="25E0DB54" w14:textId="01759EA8" w:rsidR="0074335E" w:rsidRPr="00735726" w:rsidRDefault="00CC2323" w:rsidP="00844EFD">
            <w:pPr>
              <w:spacing w:after="160"/>
              <w:rPr>
                <w:rFonts w:ascii="Arial" w:hAnsi="Arial" w:cs="Arial"/>
                <w:sz w:val="18"/>
                <w:szCs w:val="18"/>
              </w:rPr>
            </w:pPr>
            <w:r w:rsidRPr="00735726">
              <w:rPr>
                <w:rFonts w:ascii="Arial" w:hAnsi="Arial" w:cs="Arial"/>
                <w:sz w:val="18"/>
                <w:szCs w:val="18"/>
              </w:rPr>
              <w:t>7</w:t>
            </w:r>
            <w:r w:rsidR="00283FBB" w:rsidRPr="00735726">
              <w:rPr>
                <w:rFonts w:ascii="Arial" w:hAnsi="Arial" w:cs="Arial"/>
                <w:sz w:val="18"/>
                <w:szCs w:val="18"/>
              </w:rPr>
              <w:t>5</w:t>
            </w:r>
            <w:r w:rsidRPr="00735726">
              <w:rPr>
                <w:rFonts w:ascii="Arial" w:hAnsi="Arial" w:cs="Arial"/>
                <w:sz w:val="18"/>
                <w:szCs w:val="18"/>
              </w:rPr>
              <w:t>%</w:t>
            </w:r>
          </w:p>
        </w:tc>
        <w:tc>
          <w:tcPr>
            <w:tcW w:w="1706" w:type="dxa"/>
          </w:tcPr>
          <w:p w14:paraId="3C3C1FD0" w14:textId="18543B6C" w:rsidR="0074335E" w:rsidRPr="00735726" w:rsidRDefault="00283FBB" w:rsidP="00844EFD">
            <w:pPr>
              <w:spacing w:after="160"/>
              <w:rPr>
                <w:rFonts w:ascii="Arial" w:hAnsi="Arial" w:cs="Arial"/>
                <w:sz w:val="18"/>
                <w:szCs w:val="18"/>
              </w:rPr>
            </w:pPr>
            <w:r w:rsidRPr="00735726">
              <w:rPr>
                <w:rFonts w:ascii="Arial" w:hAnsi="Arial" w:cs="Arial"/>
                <w:sz w:val="18"/>
                <w:szCs w:val="18"/>
              </w:rPr>
              <w:t>684</w:t>
            </w:r>
          </w:p>
        </w:tc>
        <w:tc>
          <w:tcPr>
            <w:tcW w:w="1706" w:type="dxa"/>
          </w:tcPr>
          <w:p w14:paraId="07C327ED" w14:textId="72784E09" w:rsidR="0074335E" w:rsidRPr="00735726" w:rsidRDefault="00CC2323" w:rsidP="00844EFD">
            <w:pPr>
              <w:spacing w:after="160"/>
              <w:rPr>
                <w:rFonts w:ascii="Arial" w:hAnsi="Arial" w:cs="Arial"/>
                <w:sz w:val="18"/>
                <w:szCs w:val="18"/>
              </w:rPr>
            </w:pPr>
            <w:r w:rsidRPr="00735726">
              <w:rPr>
                <w:rFonts w:ascii="Arial" w:hAnsi="Arial" w:cs="Arial"/>
                <w:sz w:val="18"/>
                <w:szCs w:val="18"/>
              </w:rPr>
              <w:t>2</w:t>
            </w:r>
            <w:r w:rsidR="00283FBB" w:rsidRPr="00735726">
              <w:rPr>
                <w:rFonts w:ascii="Arial" w:hAnsi="Arial" w:cs="Arial"/>
                <w:sz w:val="18"/>
                <w:szCs w:val="18"/>
              </w:rPr>
              <w:t>5</w:t>
            </w:r>
            <w:r w:rsidRPr="00735726">
              <w:rPr>
                <w:rFonts w:ascii="Arial" w:hAnsi="Arial" w:cs="Arial"/>
                <w:sz w:val="18"/>
                <w:szCs w:val="18"/>
              </w:rPr>
              <w:t>%</w:t>
            </w:r>
          </w:p>
        </w:tc>
      </w:tr>
    </w:tbl>
    <w:p w14:paraId="69E0EBC2" w14:textId="77777777" w:rsidR="00DB7408" w:rsidRPr="00735726" w:rsidRDefault="00DB7408" w:rsidP="00844EFD">
      <w:pPr>
        <w:spacing w:after="160"/>
        <w:rPr>
          <w:rFonts w:ascii="Arial" w:hAnsi="Arial" w:cs="Arial"/>
          <w:sz w:val="18"/>
          <w:szCs w:val="18"/>
        </w:rPr>
      </w:pPr>
    </w:p>
    <w:p w14:paraId="4D06583A" w14:textId="072A325D" w:rsidR="00E253CE" w:rsidRPr="00735726" w:rsidRDefault="00E253CE" w:rsidP="00844EFD">
      <w:pPr>
        <w:spacing w:after="160"/>
        <w:rPr>
          <w:rFonts w:ascii="Arial" w:hAnsi="Arial" w:cs="Arial"/>
          <w:sz w:val="18"/>
          <w:szCs w:val="18"/>
        </w:rPr>
      </w:pPr>
      <w:r w:rsidRPr="00735726">
        <w:rPr>
          <w:rFonts w:ascii="Arial" w:hAnsi="Arial" w:cs="Arial"/>
          <w:sz w:val="18"/>
          <w:szCs w:val="18"/>
        </w:rPr>
        <w:t>Despite this progress, we recognise that sustainable change requires continued commitment. Our EDI Action</w:t>
      </w:r>
      <w:r w:rsidR="00DB7408" w:rsidRPr="00735726">
        <w:rPr>
          <w:rFonts w:ascii="Arial" w:hAnsi="Arial" w:cs="Arial"/>
          <w:sz w:val="18"/>
          <w:szCs w:val="18"/>
        </w:rPr>
        <w:t xml:space="preserve"> plan</w:t>
      </w:r>
      <w:r w:rsidRPr="00735726">
        <w:rPr>
          <w:rFonts w:ascii="Arial" w:hAnsi="Arial" w:cs="Arial"/>
          <w:sz w:val="18"/>
          <w:szCs w:val="18"/>
        </w:rPr>
        <w:t xml:space="preserve"> outlines the targeted steps we will take over the next three years to strengthen representation, inclusion and accountability.</w:t>
      </w:r>
    </w:p>
    <w:p w14:paraId="21981960" w14:textId="2C94B8F8" w:rsidR="0050016E" w:rsidRPr="00735726" w:rsidRDefault="0050016E" w:rsidP="00844EFD">
      <w:pPr>
        <w:spacing w:after="160"/>
        <w:rPr>
          <w:rFonts w:ascii="Arial" w:hAnsi="Arial" w:cs="Arial"/>
          <w:sz w:val="18"/>
          <w:szCs w:val="18"/>
        </w:rPr>
      </w:pPr>
      <w:r w:rsidRPr="00735726">
        <w:rPr>
          <w:rFonts w:ascii="Arial" w:hAnsi="Arial" w:cs="Arial"/>
          <w:sz w:val="18"/>
          <w:szCs w:val="18"/>
        </w:rPr>
        <w:t>For detail on our Board and leadership ethnic and gender representation, please refer to page</w:t>
      </w:r>
      <w:r w:rsidR="003D1633" w:rsidRPr="00735726">
        <w:rPr>
          <w:rFonts w:ascii="Arial" w:hAnsi="Arial" w:cs="Arial"/>
          <w:sz w:val="18"/>
          <w:szCs w:val="18"/>
        </w:rPr>
        <w:t>s</w:t>
      </w:r>
      <w:r w:rsidRPr="00735726">
        <w:rPr>
          <w:rFonts w:ascii="Arial" w:hAnsi="Arial" w:cs="Arial"/>
          <w:sz w:val="18"/>
          <w:szCs w:val="18"/>
        </w:rPr>
        <w:t xml:space="preserve"> </w:t>
      </w:r>
      <w:r w:rsidR="003D1633" w:rsidRPr="009A2CAE">
        <w:rPr>
          <w:rFonts w:ascii="Arial" w:hAnsi="Arial" w:cs="Arial"/>
          <w:sz w:val="18"/>
          <w:szCs w:val="18"/>
        </w:rPr>
        <w:t>127 to 128</w:t>
      </w:r>
      <w:r w:rsidRPr="00735726">
        <w:rPr>
          <w:rFonts w:ascii="Arial" w:hAnsi="Arial" w:cs="Arial"/>
          <w:sz w:val="18"/>
          <w:szCs w:val="18"/>
        </w:rPr>
        <w:t>.</w:t>
      </w:r>
    </w:p>
    <w:p w14:paraId="46679497" w14:textId="77777777" w:rsidR="00DE0BB1" w:rsidRPr="00735726" w:rsidRDefault="00DE0BB1">
      <w:pPr>
        <w:spacing w:after="160" w:line="259" w:lineRule="auto"/>
        <w:rPr>
          <w:rFonts w:ascii="Arial" w:eastAsia="Times New Roman" w:hAnsi="Arial" w:cs="DINOT-Light"/>
          <w:b/>
          <w:color w:val="000000"/>
          <w:sz w:val="18"/>
          <w:szCs w:val="18"/>
        </w:rPr>
      </w:pPr>
      <w:r w:rsidRPr="00735726">
        <w:rPr>
          <w:rFonts w:ascii="Arial" w:eastAsia="Times New Roman" w:hAnsi="Arial" w:cs="DINOT-Light"/>
          <w:b/>
          <w:color w:val="000000"/>
          <w:sz w:val="18"/>
          <w:szCs w:val="18"/>
        </w:rPr>
        <w:br w:type="page"/>
      </w:r>
    </w:p>
    <w:p w14:paraId="01B352D4" w14:textId="737A7586" w:rsidR="0074335E" w:rsidRPr="00735726" w:rsidRDefault="0074335E" w:rsidP="00D636C2">
      <w:pPr>
        <w:spacing w:after="160" w:line="259" w:lineRule="auto"/>
        <w:rPr>
          <w:rFonts w:ascii="Arial" w:eastAsia="Times New Roman" w:hAnsi="Arial" w:cs="DINOT-Light"/>
          <w:b/>
          <w:color w:val="000000"/>
          <w:sz w:val="18"/>
          <w:szCs w:val="18"/>
        </w:rPr>
      </w:pPr>
      <w:r w:rsidRPr="00735726">
        <w:rPr>
          <w:rFonts w:ascii="Arial" w:eastAsia="Times New Roman" w:hAnsi="Arial" w:cs="DINOT-Light"/>
          <w:b/>
          <w:color w:val="000000"/>
          <w:sz w:val="18"/>
          <w:szCs w:val="18"/>
        </w:rPr>
        <w:lastRenderedPageBreak/>
        <w:t>OUR THREE-YEAR EDI ACTION PLAN (2026</w:t>
      </w:r>
      <w:r w:rsidR="006C1BA9" w:rsidRPr="00735726">
        <w:rPr>
          <w:rFonts w:ascii="Arial" w:eastAsia="Times New Roman" w:hAnsi="Arial" w:cs="DINOT-Light"/>
          <w:b/>
          <w:color w:val="000000"/>
          <w:sz w:val="18"/>
          <w:szCs w:val="18"/>
        </w:rPr>
        <w:t>-</w:t>
      </w:r>
      <w:r w:rsidRPr="00735726">
        <w:rPr>
          <w:rFonts w:ascii="Arial" w:eastAsia="Times New Roman" w:hAnsi="Arial" w:cs="DINOT-Light"/>
          <w:b/>
          <w:color w:val="000000"/>
          <w:sz w:val="18"/>
          <w:szCs w:val="18"/>
        </w:rPr>
        <w:t>2028)</w:t>
      </w:r>
    </w:p>
    <w:p w14:paraId="099B5A57" w14:textId="4AFCFD93" w:rsidR="00C64B57" w:rsidRPr="009A2CAE" w:rsidRDefault="00C64B57" w:rsidP="00C64B57">
      <w:pPr>
        <w:spacing w:after="160"/>
        <w:rPr>
          <w:rFonts w:ascii="Arial" w:eastAsia="Times New Roman" w:hAnsi="Arial" w:cs="DINOT-Light"/>
          <w:b/>
          <w:color w:val="000000"/>
          <w:sz w:val="18"/>
          <w:szCs w:val="18"/>
        </w:rPr>
      </w:pPr>
      <w:r w:rsidRPr="00735726">
        <w:rPr>
          <w:rFonts w:ascii="Arial" w:eastAsia="Times New Roman" w:hAnsi="Arial" w:cs="DINOT-Light"/>
          <w:b/>
          <w:noProof/>
          <w:color w:val="000000"/>
          <w:sz w:val="18"/>
          <w:szCs w:val="18"/>
        </w:rPr>
        <w:drawing>
          <wp:inline distT="0" distB="0" distL="0" distR="0" wp14:anchorId="596B6F58" wp14:editId="6D38E710">
            <wp:extent cx="2761403" cy="2587925"/>
            <wp:effectExtent l="0" t="0" r="1270" b="3175"/>
            <wp:docPr id="17938460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839" t="14449" r="12387" b="13600"/>
                    <a:stretch>
                      <a:fillRect/>
                    </a:stretch>
                  </pic:blipFill>
                  <pic:spPr bwMode="auto">
                    <a:xfrm>
                      <a:off x="0" y="0"/>
                      <a:ext cx="2771757" cy="2597628"/>
                    </a:xfrm>
                    <a:prstGeom prst="rect">
                      <a:avLst/>
                    </a:prstGeom>
                    <a:noFill/>
                    <a:ln>
                      <a:noFill/>
                    </a:ln>
                    <a:extLst>
                      <a:ext uri="{53640926-AAD7-44D8-BBD7-CCE9431645EC}">
                        <a14:shadowObscured xmlns:a14="http://schemas.microsoft.com/office/drawing/2010/main"/>
                      </a:ext>
                    </a:extLst>
                  </pic:spPr>
                </pic:pic>
              </a:graphicData>
            </a:graphic>
          </wp:inline>
        </w:drawing>
      </w:r>
    </w:p>
    <w:p w14:paraId="33B042A1" w14:textId="73F3616F" w:rsidR="0090460E" w:rsidRPr="00735726" w:rsidRDefault="0090460E"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We have set a focused three-year plan to</w:t>
      </w:r>
      <w:r w:rsidR="009650A3"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accelerate progress on Equity, Diversity</w:t>
      </w:r>
      <w:r w:rsidR="009650A3"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and Inclusion, centred on strengthening</w:t>
      </w:r>
      <w:r w:rsidR="009650A3"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representation, improving inclusion</w:t>
      </w:r>
      <w:r w:rsidR="009650A3"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and leadership accountability, and</w:t>
      </w:r>
      <w:r w:rsidR="009650A3"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expanding social mobility and early</w:t>
      </w:r>
      <w:r w:rsidR="009650A3"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career access.</w:t>
      </w:r>
    </w:p>
    <w:p w14:paraId="6F5C0E2C" w14:textId="0F65752A" w:rsidR="0090460E" w:rsidRPr="00735726" w:rsidRDefault="009650A3" w:rsidP="00844EFD">
      <w:pPr>
        <w:spacing w:after="160"/>
        <w:rPr>
          <w:rFonts w:ascii="Arial" w:eastAsia="Times New Roman" w:hAnsi="Arial" w:cs="DINOT-Light"/>
          <w:bCs/>
          <w:color w:val="000000"/>
          <w:sz w:val="18"/>
          <w:szCs w:val="18"/>
        </w:rPr>
      </w:pPr>
      <w:r w:rsidRPr="00735726">
        <w:rPr>
          <w:rFonts w:ascii="Arial" w:eastAsia="Times New Roman" w:hAnsi="Arial" w:cs="DINOT-Light"/>
          <w:bCs/>
          <w:i/>
          <w:iCs/>
          <w:color w:val="000000"/>
          <w:sz w:val="18"/>
          <w:szCs w:val="18"/>
        </w:rPr>
        <w:t>STRENGTHENING REPRESENTATION</w:t>
      </w:r>
      <w:r w:rsidR="00D62E2B" w:rsidRPr="00735726">
        <w:rPr>
          <w:rFonts w:ascii="Arial" w:eastAsia="Times New Roman" w:hAnsi="Arial" w:cs="DINOT-Light"/>
          <w:bCs/>
          <w:color w:val="000000"/>
          <w:sz w:val="18"/>
          <w:szCs w:val="18"/>
        </w:rPr>
        <w:br/>
      </w:r>
      <w:r w:rsidR="0090460E" w:rsidRPr="00735726">
        <w:rPr>
          <w:rFonts w:ascii="Arial" w:eastAsia="Times New Roman" w:hAnsi="Arial" w:cs="DINOT-Light"/>
          <w:bCs/>
          <w:color w:val="000000"/>
          <w:sz w:val="18"/>
          <w:szCs w:val="18"/>
        </w:rPr>
        <w:t>We will improve diversity across our workforce and</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leadership teams by embedding inclusive recruitment</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standards, widening senior talent pipelines and</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reviewing policies and practices through an EDI lens.</w:t>
      </w:r>
    </w:p>
    <w:p w14:paraId="52635E92" w14:textId="424C8700" w:rsidR="0090460E" w:rsidRPr="00735726" w:rsidRDefault="009650A3" w:rsidP="00844EFD">
      <w:pPr>
        <w:spacing w:after="160"/>
        <w:rPr>
          <w:rFonts w:ascii="Arial" w:eastAsia="Times New Roman" w:hAnsi="Arial" w:cs="DINOT-Light"/>
          <w:bCs/>
          <w:color w:val="000000"/>
          <w:sz w:val="18"/>
          <w:szCs w:val="18"/>
        </w:rPr>
      </w:pPr>
      <w:r w:rsidRPr="00735726">
        <w:rPr>
          <w:rFonts w:ascii="Arial" w:eastAsia="Times New Roman" w:hAnsi="Arial" w:cs="DINOT-Light"/>
          <w:bCs/>
          <w:i/>
          <w:iCs/>
          <w:color w:val="000000"/>
          <w:sz w:val="18"/>
          <w:szCs w:val="18"/>
        </w:rPr>
        <w:t>IMPROVING INCLUSION AND ACCOUNTABILITY</w:t>
      </w:r>
      <w:r w:rsidR="00D62E2B" w:rsidRPr="00735726">
        <w:rPr>
          <w:rFonts w:ascii="Arial" w:eastAsia="Times New Roman" w:hAnsi="Arial" w:cs="DINOT-Light"/>
          <w:bCs/>
          <w:color w:val="000000"/>
          <w:sz w:val="18"/>
          <w:szCs w:val="18"/>
        </w:rPr>
        <w:br/>
      </w:r>
      <w:r w:rsidR="0090460E" w:rsidRPr="00735726">
        <w:rPr>
          <w:rFonts w:ascii="Arial" w:eastAsia="Times New Roman" w:hAnsi="Arial" w:cs="DINOT-Light"/>
          <w:bCs/>
          <w:color w:val="000000"/>
          <w:sz w:val="18"/>
          <w:szCs w:val="18"/>
        </w:rPr>
        <w:t>We will enhance workforce insight, increase voluntary</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disclosure rates and embed measurable EDI objectives</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into leadership performance to ensure inclusion remains</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a core leadership responsibility.</w:t>
      </w:r>
    </w:p>
    <w:p w14:paraId="4D0B031C" w14:textId="0CE3F46D" w:rsidR="009650A3" w:rsidRPr="00735726" w:rsidRDefault="009650A3" w:rsidP="00844EFD">
      <w:pPr>
        <w:spacing w:after="160"/>
        <w:rPr>
          <w:rFonts w:ascii="Arial" w:eastAsia="Times New Roman" w:hAnsi="Arial" w:cs="DINOT-Light"/>
          <w:bCs/>
          <w:color w:val="000000"/>
          <w:sz w:val="18"/>
          <w:szCs w:val="18"/>
        </w:rPr>
      </w:pPr>
      <w:r w:rsidRPr="00735726">
        <w:rPr>
          <w:rFonts w:ascii="Arial" w:eastAsia="Times New Roman" w:hAnsi="Arial" w:cs="DINOT-Light"/>
          <w:bCs/>
          <w:i/>
          <w:iCs/>
          <w:color w:val="000000"/>
          <w:sz w:val="18"/>
          <w:szCs w:val="18"/>
        </w:rPr>
        <w:t>EXPANDING SOCIAL MOBILITY AND TALENT PIPELINES</w:t>
      </w:r>
      <w:r w:rsidR="00D62E2B" w:rsidRPr="00735726">
        <w:rPr>
          <w:rFonts w:ascii="Arial" w:eastAsia="Times New Roman" w:hAnsi="Arial" w:cs="DINOT-Light"/>
          <w:bCs/>
          <w:color w:val="000000"/>
          <w:sz w:val="18"/>
          <w:szCs w:val="18"/>
        </w:rPr>
        <w:br/>
      </w:r>
      <w:r w:rsidR="0090460E" w:rsidRPr="00735726">
        <w:rPr>
          <w:rFonts w:ascii="Arial" w:eastAsia="Times New Roman" w:hAnsi="Arial" w:cs="DINOT-Light"/>
          <w:bCs/>
          <w:color w:val="000000"/>
          <w:sz w:val="18"/>
          <w:szCs w:val="18"/>
        </w:rPr>
        <w:t>We will grow work placements and early career routes,</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strengthen progression into apprenticeships and</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graduate roles, and increase socio-economic diversity</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across our entry level pathways.</w:t>
      </w:r>
      <w:r w:rsidRPr="00735726">
        <w:rPr>
          <w:rFonts w:ascii="Arial" w:eastAsia="Times New Roman" w:hAnsi="Arial" w:cs="DINOT-Light"/>
          <w:bCs/>
          <w:color w:val="000000"/>
          <w:sz w:val="18"/>
          <w:szCs w:val="18"/>
        </w:rPr>
        <w:t xml:space="preserve"> </w:t>
      </w:r>
    </w:p>
    <w:p w14:paraId="6EAACB88" w14:textId="2024C2E1" w:rsidR="0090460E" w:rsidRPr="00735726" w:rsidRDefault="009650A3" w:rsidP="00844EFD">
      <w:pPr>
        <w:spacing w:after="160"/>
        <w:rPr>
          <w:rFonts w:ascii="Arial" w:eastAsia="Times New Roman" w:hAnsi="Arial" w:cs="DINOT-Light"/>
          <w:bCs/>
          <w:color w:val="000000"/>
          <w:sz w:val="18"/>
          <w:szCs w:val="18"/>
        </w:rPr>
      </w:pPr>
      <w:r w:rsidRPr="00735726">
        <w:rPr>
          <w:rFonts w:ascii="Arial" w:eastAsia="Times New Roman" w:hAnsi="Arial" w:cs="DINOT-Light"/>
          <w:bCs/>
          <w:i/>
          <w:iCs/>
          <w:color w:val="000000"/>
          <w:sz w:val="18"/>
          <w:szCs w:val="18"/>
        </w:rPr>
        <w:t>GOVERNANCE AND TRANSPARENCY</w:t>
      </w:r>
      <w:r w:rsidR="00D62E2B" w:rsidRPr="00735726">
        <w:rPr>
          <w:rFonts w:ascii="Arial" w:eastAsia="Times New Roman" w:hAnsi="Arial" w:cs="DINOT-Light"/>
          <w:bCs/>
          <w:color w:val="000000"/>
          <w:sz w:val="18"/>
          <w:szCs w:val="18"/>
        </w:rPr>
        <w:br/>
      </w:r>
      <w:r w:rsidR="0090460E" w:rsidRPr="00735726">
        <w:rPr>
          <w:rFonts w:ascii="Arial" w:eastAsia="Times New Roman" w:hAnsi="Arial" w:cs="DINOT-Light"/>
          <w:bCs/>
          <w:color w:val="000000"/>
          <w:sz w:val="18"/>
          <w:szCs w:val="18"/>
        </w:rPr>
        <w:t>Progress will be monitored through strengthened</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governance and leadership dashboards and reported</w:t>
      </w:r>
      <w:r w:rsidRPr="00735726">
        <w:rPr>
          <w:rFonts w:ascii="Arial" w:eastAsia="Times New Roman" w:hAnsi="Arial" w:cs="DINOT-Light"/>
          <w:bCs/>
          <w:color w:val="000000"/>
          <w:sz w:val="18"/>
          <w:szCs w:val="18"/>
        </w:rPr>
        <w:t xml:space="preserve"> </w:t>
      </w:r>
      <w:r w:rsidR="0090460E" w:rsidRPr="00735726">
        <w:rPr>
          <w:rFonts w:ascii="Arial" w:eastAsia="Times New Roman" w:hAnsi="Arial" w:cs="DINOT-Light"/>
          <w:bCs/>
          <w:color w:val="000000"/>
          <w:sz w:val="18"/>
          <w:szCs w:val="18"/>
        </w:rPr>
        <w:t>annually through our ESG and EDI disclosures.</w:t>
      </w:r>
    </w:p>
    <w:p w14:paraId="01F894A1" w14:textId="6DD5142B" w:rsidR="002E4815" w:rsidRPr="00735726" w:rsidRDefault="002E4815" w:rsidP="00844EFD">
      <w:pPr>
        <w:spacing w:after="160"/>
        <w:rPr>
          <w:rFonts w:ascii="Arial" w:hAnsi="Arial" w:cs="Arial"/>
          <w:sz w:val="18"/>
          <w:szCs w:val="18"/>
        </w:rPr>
      </w:pPr>
      <w:r w:rsidRPr="00735726">
        <w:rPr>
          <w:rFonts w:ascii="Arial" w:hAnsi="Arial" w:cs="Arial"/>
          <w:sz w:val="18"/>
          <w:szCs w:val="18"/>
        </w:rPr>
        <w:br w:type="page"/>
      </w:r>
    </w:p>
    <w:p w14:paraId="32574565" w14:textId="77777777" w:rsidR="00F51DCA" w:rsidRPr="00735726" w:rsidRDefault="00F51DCA" w:rsidP="00844EFD">
      <w:pPr>
        <w:spacing w:after="160"/>
        <w:rPr>
          <w:rFonts w:ascii="Arial" w:eastAsia="Times New Roman" w:hAnsi="Arial" w:cs="DINOT-Light"/>
          <w:b/>
          <w:color w:val="000000"/>
          <w:sz w:val="18"/>
          <w:szCs w:val="18"/>
        </w:rPr>
      </w:pPr>
      <w:r w:rsidRPr="00735726">
        <w:rPr>
          <w:rFonts w:ascii="Arial" w:eastAsia="Times New Roman" w:hAnsi="Arial" w:cs="DINOT-Light"/>
          <w:b/>
          <w:color w:val="000000"/>
          <w:sz w:val="18"/>
          <w:szCs w:val="18"/>
        </w:rPr>
        <w:lastRenderedPageBreak/>
        <w:t>HOMESAFE, THE COMPANY’S FLAGSHIP HEALTH AND SAFETY PROGRAMME</w:t>
      </w:r>
    </w:p>
    <w:p w14:paraId="2C4E5B83" w14:textId="6D1094EA" w:rsidR="001C0FFA" w:rsidRPr="009A2CAE" w:rsidRDefault="001C0FFA" w:rsidP="001C0FFA">
      <w:pPr>
        <w:spacing w:after="160"/>
        <w:rPr>
          <w:rFonts w:ascii="Arial" w:eastAsia="Times New Roman" w:hAnsi="Arial" w:cs="DINOT-Light"/>
          <w:b/>
          <w:color w:val="000000"/>
          <w:sz w:val="18"/>
          <w:szCs w:val="18"/>
        </w:rPr>
      </w:pPr>
      <w:r w:rsidRPr="00735726">
        <w:rPr>
          <w:rFonts w:ascii="Arial" w:eastAsia="Times New Roman" w:hAnsi="Arial" w:cs="DINOT-Light"/>
          <w:b/>
          <w:noProof/>
          <w:color w:val="000000"/>
          <w:sz w:val="18"/>
          <w:szCs w:val="18"/>
        </w:rPr>
        <w:drawing>
          <wp:inline distT="0" distB="0" distL="0" distR="0" wp14:anchorId="788F4B72" wp14:editId="26357E3E">
            <wp:extent cx="2924355" cy="2398752"/>
            <wp:effectExtent l="0" t="0" r="0" b="1905"/>
            <wp:docPr id="5166292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181" b="8792"/>
                    <a:stretch>
                      <a:fillRect/>
                    </a:stretch>
                  </pic:blipFill>
                  <pic:spPr bwMode="auto">
                    <a:xfrm>
                      <a:off x="0" y="0"/>
                      <a:ext cx="2932706" cy="2405602"/>
                    </a:xfrm>
                    <a:prstGeom prst="rect">
                      <a:avLst/>
                    </a:prstGeom>
                    <a:noFill/>
                    <a:ln>
                      <a:noFill/>
                    </a:ln>
                    <a:extLst>
                      <a:ext uri="{53640926-AAD7-44D8-BBD7-CCE9431645EC}">
                        <a14:shadowObscured xmlns:a14="http://schemas.microsoft.com/office/drawing/2010/main"/>
                      </a:ext>
                    </a:extLst>
                  </pic:spPr>
                </pic:pic>
              </a:graphicData>
            </a:graphic>
          </wp:inline>
        </w:drawing>
      </w:r>
    </w:p>
    <w:p w14:paraId="0FAE5390" w14:textId="3F76107B" w:rsidR="00F51DCA" w:rsidRPr="00735726" w:rsidRDefault="00F51DCA"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Ensuring our people go home safe to their families every</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day remains at the heart of our </w:t>
      </w:r>
      <w:proofErr w:type="spellStart"/>
      <w:r w:rsidRPr="00735726">
        <w:rPr>
          <w:rFonts w:ascii="Arial" w:eastAsia="Times New Roman" w:hAnsi="Arial" w:cs="DINOT-Light"/>
          <w:bCs/>
          <w:color w:val="000000"/>
          <w:sz w:val="18"/>
          <w:szCs w:val="18"/>
        </w:rPr>
        <w:t>HomeSafe</w:t>
      </w:r>
      <w:proofErr w:type="spellEnd"/>
      <w:r w:rsidRPr="00735726">
        <w:rPr>
          <w:rFonts w:ascii="Arial" w:eastAsia="Times New Roman" w:hAnsi="Arial" w:cs="DINOT-Light"/>
          <w:bCs/>
          <w:color w:val="000000"/>
          <w:sz w:val="18"/>
          <w:szCs w:val="18"/>
        </w:rPr>
        <w:t xml:space="preserve"> programme.</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We have made progress on each of the four cornerstones</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of our strategy supporting our people and reducing</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risk.</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The four cornerstones - Process Safety, Occupational</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Safety, Occupational Health and Wellbeing, and Security</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 ensure </w:t>
      </w:r>
      <w:proofErr w:type="spellStart"/>
      <w:r w:rsidRPr="00735726">
        <w:rPr>
          <w:rFonts w:ascii="Arial" w:eastAsia="Times New Roman" w:hAnsi="Arial" w:cs="DINOT-Light"/>
          <w:bCs/>
          <w:color w:val="000000"/>
          <w:sz w:val="18"/>
          <w:szCs w:val="18"/>
        </w:rPr>
        <w:t>HomeSafe</w:t>
      </w:r>
      <w:proofErr w:type="spellEnd"/>
      <w:r w:rsidRPr="00735726">
        <w:rPr>
          <w:rFonts w:ascii="Arial" w:eastAsia="Times New Roman" w:hAnsi="Arial" w:cs="DINOT-Light"/>
          <w:bCs/>
          <w:color w:val="000000"/>
          <w:sz w:val="18"/>
          <w:szCs w:val="18"/>
        </w:rPr>
        <w:t xml:space="preserve"> manages risk in all areas of health,</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safety and wellbeing.</w:t>
      </w:r>
    </w:p>
    <w:p w14:paraId="4118DB66" w14:textId="77777777" w:rsidR="004D488C" w:rsidRPr="00735726" w:rsidRDefault="00F51DCA"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The four cornerstones are delivered through visible</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leadership, ownership and engagement. Combining</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these elements has seen improved risk management,</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collaboration and engagement.</w:t>
      </w:r>
    </w:p>
    <w:p w14:paraId="30FF2FAE" w14:textId="3D54FDF1" w:rsidR="00F51DCA" w:rsidRPr="00735726" w:rsidRDefault="004D488C" w:rsidP="00844EFD">
      <w:pPr>
        <w:spacing w:after="160"/>
        <w:rPr>
          <w:rFonts w:ascii="Arial" w:eastAsia="Times New Roman" w:hAnsi="Arial" w:cs="DINOT-Light"/>
          <w:bCs/>
          <w:i/>
          <w:iCs/>
          <w:color w:val="000000"/>
          <w:sz w:val="18"/>
          <w:szCs w:val="18"/>
        </w:rPr>
      </w:pPr>
      <w:r w:rsidRPr="00735726">
        <w:rPr>
          <w:rFonts w:ascii="Arial" w:eastAsia="Times New Roman" w:hAnsi="Arial" w:cs="DINOT-Light"/>
          <w:b/>
          <w:color w:val="000000"/>
          <w:sz w:val="18"/>
          <w:szCs w:val="18"/>
        </w:rPr>
        <w:t>CORNERSTONE ACTIVITY</w:t>
      </w:r>
      <w:r w:rsidR="00D62E2B" w:rsidRPr="00735726">
        <w:rPr>
          <w:rFonts w:ascii="Arial" w:eastAsia="Times New Roman" w:hAnsi="Arial" w:cs="DINOT-Light"/>
          <w:bCs/>
          <w:i/>
          <w:iCs/>
          <w:color w:val="000000"/>
          <w:sz w:val="18"/>
          <w:szCs w:val="18"/>
        </w:rPr>
        <w:br/>
      </w:r>
      <w:r w:rsidRPr="00735726">
        <w:rPr>
          <w:rFonts w:ascii="Arial" w:eastAsia="Times New Roman" w:hAnsi="Arial" w:cs="DINOT-Light"/>
          <w:bCs/>
          <w:i/>
          <w:iCs/>
          <w:color w:val="000000"/>
          <w:sz w:val="18"/>
          <w:szCs w:val="18"/>
        </w:rPr>
        <w:t>PROCESS SAFETY</w:t>
      </w:r>
      <w:r w:rsidR="00ED2AD7" w:rsidRPr="00735726">
        <w:rPr>
          <w:rFonts w:ascii="Arial" w:eastAsia="Times New Roman" w:hAnsi="Arial" w:cs="DINOT-Light"/>
          <w:bCs/>
          <w:i/>
          <w:iCs/>
          <w:color w:val="000000"/>
          <w:sz w:val="18"/>
          <w:szCs w:val="18"/>
        </w:rPr>
        <w:t>: focusing on the high consequence processes within our water and wastewater treatment process.</w:t>
      </w:r>
    </w:p>
    <w:p w14:paraId="01ADC339" w14:textId="71A3E3E9" w:rsidR="00F51DCA" w:rsidRPr="00735726" w:rsidRDefault="00F51DCA"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We have placed a relentless focus on improving controls</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to assure mitigation of the risks of some of our higher</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hazard activities with a particular focus on eliminating</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high hazard chemicals, and upskilling teams who work</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with and near potentially explosive atmospheres. We have</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introduced the concept of Potentially Serious Incidents</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or Fatalities (PSIF) to increase near miss reporting and</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focus learning on those areas with higher impacts. This</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approach is in line with other water companies across the</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UK to collaborate on learning opportunities, reducing</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risk</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in the sector.</w:t>
      </w:r>
    </w:p>
    <w:p w14:paraId="02270035" w14:textId="06635C82" w:rsidR="00F51DCA" w:rsidRPr="00735726" w:rsidRDefault="004D488C" w:rsidP="00844EFD">
      <w:pPr>
        <w:spacing w:after="160"/>
        <w:rPr>
          <w:rFonts w:ascii="Arial" w:eastAsia="Times New Roman" w:hAnsi="Arial" w:cs="DINOT-Light"/>
          <w:bCs/>
          <w:i/>
          <w:iCs/>
          <w:color w:val="000000"/>
          <w:sz w:val="18"/>
          <w:szCs w:val="18"/>
        </w:rPr>
      </w:pPr>
      <w:r w:rsidRPr="00735726">
        <w:rPr>
          <w:rFonts w:ascii="Arial" w:eastAsia="Times New Roman" w:hAnsi="Arial" w:cs="DINOT-Light"/>
          <w:bCs/>
          <w:i/>
          <w:iCs/>
          <w:color w:val="000000"/>
          <w:sz w:val="18"/>
          <w:szCs w:val="18"/>
        </w:rPr>
        <w:t>OCCUPATIONAL SAFETY</w:t>
      </w:r>
      <w:r w:rsidR="00ED2AD7" w:rsidRPr="00735726">
        <w:rPr>
          <w:rFonts w:ascii="Arial" w:eastAsia="Times New Roman" w:hAnsi="Arial" w:cs="DINOT-Light"/>
          <w:bCs/>
          <w:i/>
          <w:iCs/>
          <w:color w:val="000000"/>
          <w:sz w:val="18"/>
          <w:szCs w:val="18"/>
        </w:rPr>
        <w:t>: focusing on the individual.</w:t>
      </w:r>
    </w:p>
    <w:p w14:paraId="38C2FFAA" w14:textId="60C233BD" w:rsidR="00F51DCA" w:rsidRPr="00735726" w:rsidRDefault="00F51DCA"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We continued our engagement with teams through our</w:t>
      </w:r>
      <w:r w:rsidR="004D488C" w:rsidRPr="00735726">
        <w:rPr>
          <w:rFonts w:ascii="Arial" w:eastAsia="Times New Roman" w:hAnsi="Arial" w:cs="DINOT-Light"/>
          <w:bCs/>
          <w:color w:val="000000"/>
          <w:sz w:val="18"/>
          <w:szCs w:val="18"/>
        </w:rPr>
        <w:t xml:space="preserve"> </w:t>
      </w:r>
      <w:proofErr w:type="spellStart"/>
      <w:r w:rsidRPr="00735726">
        <w:rPr>
          <w:rFonts w:ascii="Arial" w:eastAsia="Times New Roman" w:hAnsi="Arial" w:cs="DINOT-Light"/>
          <w:bCs/>
          <w:color w:val="000000"/>
          <w:sz w:val="18"/>
          <w:szCs w:val="18"/>
        </w:rPr>
        <w:t>HomeSafe</w:t>
      </w:r>
      <w:proofErr w:type="spellEnd"/>
      <w:r w:rsidRPr="00735726">
        <w:rPr>
          <w:rFonts w:ascii="Arial" w:eastAsia="Times New Roman" w:hAnsi="Arial" w:cs="DINOT-Light"/>
          <w:bCs/>
          <w:color w:val="000000"/>
          <w:sz w:val="18"/>
          <w:szCs w:val="18"/>
        </w:rPr>
        <w:t xml:space="preserve"> Live events. We held interactive scenario</w:t>
      </w:r>
      <w:r w:rsidR="004D488C" w:rsidRPr="00735726">
        <w:rPr>
          <w:rFonts w:ascii="Arial" w:eastAsia="Times New Roman" w:hAnsi="Arial" w:cs="DINOT-Light"/>
          <w:bCs/>
          <w:color w:val="000000"/>
          <w:sz w:val="18"/>
          <w:szCs w:val="18"/>
        </w:rPr>
        <w:t>-</w:t>
      </w:r>
      <w:r w:rsidRPr="00735726">
        <w:rPr>
          <w:rFonts w:ascii="Arial" w:eastAsia="Times New Roman" w:hAnsi="Arial" w:cs="DINOT-Light"/>
          <w:bCs/>
          <w:color w:val="000000"/>
          <w:sz w:val="18"/>
          <w:szCs w:val="18"/>
        </w:rPr>
        <w:t>led</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sessions focused on situational awareness and the</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importance of making the safest choice.</w:t>
      </w:r>
    </w:p>
    <w:p w14:paraId="175D809F" w14:textId="77777777" w:rsidR="004D488C" w:rsidRPr="00735726" w:rsidRDefault="00F51DCA"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Our Site Pride Initiative continues to drive the highest</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levels of standards at operational and office locations, and</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work vehicles.</w:t>
      </w:r>
      <w:r w:rsidR="004D488C" w:rsidRPr="00735726">
        <w:rPr>
          <w:rFonts w:ascii="Arial" w:eastAsia="Times New Roman" w:hAnsi="Arial" w:cs="DINOT-Light"/>
          <w:bCs/>
          <w:color w:val="000000"/>
          <w:sz w:val="18"/>
          <w:szCs w:val="18"/>
        </w:rPr>
        <w:t xml:space="preserve"> </w:t>
      </w:r>
    </w:p>
    <w:p w14:paraId="7C6DEB60" w14:textId="264C3134" w:rsidR="00F51DCA" w:rsidRPr="00735726" w:rsidRDefault="00F51DCA"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We continued our established events including the</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annual </w:t>
      </w:r>
      <w:proofErr w:type="spellStart"/>
      <w:r w:rsidRPr="00735726">
        <w:rPr>
          <w:rFonts w:ascii="Arial" w:eastAsia="Times New Roman" w:hAnsi="Arial" w:cs="DINOT-Light"/>
          <w:bCs/>
          <w:color w:val="000000"/>
          <w:sz w:val="18"/>
          <w:szCs w:val="18"/>
        </w:rPr>
        <w:t>HomeSafe</w:t>
      </w:r>
      <w:proofErr w:type="spellEnd"/>
      <w:r w:rsidRPr="00735726">
        <w:rPr>
          <w:rFonts w:ascii="Arial" w:eastAsia="Times New Roman" w:hAnsi="Arial" w:cs="DINOT-Light"/>
          <w:bCs/>
          <w:color w:val="000000"/>
          <w:sz w:val="18"/>
          <w:szCs w:val="18"/>
        </w:rPr>
        <w:t xml:space="preserve"> advent calendar where teams use</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fun, engaging ways to deliver serious health and safety</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messages to the </w:t>
      </w:r>
      <w:r w:rsidR="004D488C" w:rsidRPr="00735726">
        <w:rPr>
          <w:rFonts w:ascii="Arial" w:eastAsia="Times New Roman" w:hAnsi="Arial" w:cs="DINOT-Light"/>
          <w:bCs/>
          <w:color w:val="000000"/>
          <w:sz w:val="18"/>
          <w:szCs w:val="18"/>
        </w:rPr>
        <w:t>Company</w:t>
      </w:r>
      <w:r w:rsidRPr="00735726">
        <w:rPr>
          <w:rFonts w:ascii="Arial" w:eastAsia="Times New Roman" w:hAnsi="Arial" w:cs="DINOT-Light"/>
          <w:bCs/>
          <w:color w:val="000000"/>
          <w:sz w:val="18"/>
          <w:szCs w:val="18"/>
        </w:rPr>
        <w:t>, with over 10,000 views of</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these materials on the website, providing high levels of</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penetration. </w:t>
      </w:r>
    </w:p>
    <w:p w14:paraId="0B79DAC4" w14:textId="7480FE97" w:rsidR="00F51DCA" w:rsidRPr="00735726" w:rsidRDefault="004D488C" w:rsidP="00844EFD">
      <w:pPr>
        <w:spacing w:after="160"/>
        <w:rPr>
          <w:rFonts w:ascii="Arial" w:eastAsia="Times New Roman" w:hAnsi="Arial" w:cs="DINOT-Light"/>
          <w:bCs/>
          <w:i/>
          <w:iCs/>
          <w:color w:val="000000"/>
          <w:sz w:val="18"/>
          <w:szCs w:val="18"/>
        </w:rPr>
      </w:pPr>
      <w:r w:rsidRPr="00735726">
        <w:rPr>
          <w:rFonts w:ascii="Arial" w:eastAsia="Times New Roman" w:hAnsi="Arial" w:cs="DINOT-Light"/>
          <w:bCs/>
          <w:i/>
          <w:iCs/>
          <w:color w:val="000000"/>
          <w:sz w:val="18"/>
          <w:szCs w:val="18"/>
        </w:rPr>
        <w:t>OCCUPATIONAL HEALTH AND WELLBEING</w:t>
      </w:r>
      <w:r w:rsidR="00ED2AD7" w:rsidRPr="00735726">
        <w:rPr>
          <w:rFonts w:ascii="Arial" w:eastAsia="Times New Roman" w:hAnsi="Arial" w:cs="DINOT-Light"/>
          <w:bCs/>
          <w:i/>
          <w:iCs/>
          <w:color w:val="000000"/>
          <w:sz w:val="18"/>
          <w:szCs w:val="18"/>
        </w:rPr>
        <w:t>: focusing on physical and mental health.</w:t>
      </w:r>
    </w:p>
    <w:p w14:paraId="2A11F937" w14:textId="05557519" w:rsidR="00F51DCA" w:rsidRPr="00735726" w:rsidRDefault="00F51DCA"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We joined water sector colleagues for the annual</w:t>
      </w:r>
      <w:r w:rsidR="004D488C" w:rsidRPr="00735726">
        <w:rPr>
          <w:rFonts w:ascii="Arial" w:eastAsia="Times New Roman" w:hAnsi="Arial" w:cs="DINOT-Light"/>
          <w:bCs/>
          <w:color w:val="000000"/>
          <w:sz w:val="18"/>
          <w:szCs w:val="18"/>
        </w:rPr>
        <w:t xml:space="preserve"> </w:t>
      </w:r>
      <w:proofErr w:type="spellStart"/>
      <w:r w:rsidRPr="00735726">
        <w:rPr>
          <w:rFonts w:ascii="Arial" w:eastAsia="Times New Roman" w:hAnsi="Arial" w:cs="DINOT-Light"/>
          <w:bCs/>
          <w:color w:val="000000"/>
          <w:sz w:val="18"/>
          <w:szCs w:val="18"/>
        </w:rPr>
        <w:t>Movember</w:t>
      </w:r>
      <w:proofErr w:type="spellEnd"/>
      <w:r w:rsidRPr="00735726">
        <w:rPr>
          <w:rFonts w:ascii="Arial" w:eastAsia="Times New Roman" w:hAnsi="Arial" w:cs="DINOT-Light"/>
          <w:bCs/>
          <w:color w:val="000000"/>
          <w:sz w:val="18"/>
          <w:szCs w:val="18"/>
        </w:rPr>
        <w:t xml:space="preserve"> Campaign, with </w:t>
      </w:r>
      <w:r w:rsidR="004D488C" w:rsidRPr="00735726">
        <w:rPr>
          <w:rFonts w:ascii="Arial" w:eastAsia="Times New Roman" w:hAnsi="Arial" w:cs="DINOT-Light"/>
          <w:bCs/>
          <w:color w:val="000000"/>
          <w:sz w:val="18"/>
          <w:szCs w:val="18"/>
        </w:rPr>
        <w:t>the Company</w:t>
      </w:r>
      <w:r w:rsidRPr="00735726">
        <w:rPr>
          <w:rFonts w:ascii="Arial" w:eastAsia="Times New Roman" w:hAnsi="Arial" w:cs="DINOT-Light"/>
          <w:bCs/>
          <w:color w:val="000000"/>
          <w:sz w:val="18"/>
          <w:szCs w:val="18"/>
        </w:rPr>
        <w:t xml:space="preserve"> raising £6,000</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for the research into men’s health. We held several</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Cancer Survivor Video presentations to increase</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awareness. A new Women’s Health Employee Network</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Group was launched, sitting alongside the 11 other</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Health and Wellbeing Groups, including Neurodiversity</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Representation, Mindfulness and Menopause Support. A</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specific Men’s Health Group was launched in March, and</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we have expanded our Employee Assistance Platform</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(EAP) offering</w:t>
      </w:r>
      <w:r w:rsidR="004D488C" w:rsidRPr="00735726">
        <w:rPr>
          <w:rFonts w:ascii="Arial" w:eastAsia="Times New Roman" w:hAnsi="Arial" w:cs="DINOT-Light"/>
          <w:bCs/>
          <w:color w:val="000000"/>
          <w:sz w:val="18"/>
          <w:szCs w:val="18"/>
        </w:rPr>
        <w:t>.</w:t>
      </w:r>
    </w:p>
    <w:p w14:paraId="0E9284E1" w14:textId="7AEB4106" w:rsidR="00F51DCA" w:rsidRPr="00735726" w:rsidRDefault="004D488C" w:rsidP="00844EFD">
      <w:pPr>
        <w:spacing w:after="160"/>
        <w:rPr>
          <w:rFonts w:ascii="Arial" w:eastAsia="Times New Roman" w:hAnsi="Arial" w:cs="DINOT-Light"/>
          <w:bCs/>
          <w:i/>
          <w:iCs/>
          <w:color w:val="000000"/>
          <w:sz w:val="18"/>
          <w:szCs w:val="18"/>
        </w:rPr>
      </w:pPr>
      <w:r w:rsidRPr="00735726">
        <w:rPr>
          <w:rFonts w:ascii="Arial" w:eastAsia="Times New Roman" w:hAnsi="Arial" w:cs="DINOT-Light"/>
          <w:bCs/>
          <w:i/>
          <w:iCs/>
          <w:color w:val="000000"/>
          <w:sz w:val="18"/>
          <w:szCs w:val="18"/>
        </w:rPr>
        <w:t>SECURITY</w:t>
      </w:r>
      <w:r w:rsidR="00ED2AD7" w:rsidRPr="00735726">
        <w:rPr>
          <w:rFonts w:ascii="Arial" w:eastAsia="Times New Roman" w:hAnsi="Arial" w:cs="DINOT-Light"/>
          <w:bCs/>
          <w:i/>
          <w:iCs/>
          <w:color w:val="000000"/>
          <w:sz w:val="18"/>
          <w:szCs w:val="18"/>
        </w:rPr>
        <w:t>: focusing on physical and personnel security.</w:t>
      </w:r>
    </w:p>
    <w:p w14:paraId="755FE071" w14:textId="3BFB94AF" w:rsidR="00F51DCA" w:rsidRPr="00735726" w:rsidRDefault="00F51DCA"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This year’s Security and Emergency Measures Direction</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(SEMD) return was developed with heavy engagement</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with the internal and external stakeholders and</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regulators, at all stages. We have driven </w:t>
      </w:r>
      <w:r w:rsidR="00603706" w:rsidRPr="00735726">
        <w:rPr>
          <w:rFonts w:ascii="Arial" w:eastAsia="Times New Roman" w:hAnsi="Arial" w:cs="DINOT-Light"/>
          <w:bCs/>
          <w:color w:val="000000"/>
          <w:sz w:val="18"/>
          <w:szCs w:val="18"/>
        </w:rPr>
        <w:t>s</w:t>
      </w:r>
      <w:r w:rsidRPr="00735726">
        <w:rPr>
          <w:rFonts w:ascii="Arial" w:eastAsia="Times New Roman" w:hAnsi="Arial" w:cs="DINOT-Light"/>
          <w:bCs/>
          <w:color w:val="000000"/>
          <w:sz w:val="18"/>
          <w:szCs w:val="18"/>
        </w:rPr>
        <w:t>ecurity culture</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across </w:t>
      </w:r>
      <w:r w:rsidRPr="00735726">
        <w:rPr>
          <w:rFonts w:ascii="Arial" w:eastAsia="Times New Roman" w:hAnsi="Arial" w:cs="DINOT-Light"/>
          <w:bCs/>
          <w:color w:val="000000"/>
          <w:sz w:val="18"/>
          <w:szCs w:val="18"/>
        </w:rPr>
        <w:lastRenderedPageBreak/>
        <w:t xml:space="preserve">the </w:t>
      </w:r>
      <w:r w:rsidR="004D488C" w:rsidRPr="00735726">
        <w:rPr>
          <w:rFonts w:ascii="Arial" w:eastAsia="Times New Roman" w:hAnsi="Arial" w:cs="DINOT-Light"/>
          <w:bCs/>
          <w:color w:val="000000"/>
          <w:sz w:val="18"/>
          <w:szCs w:val="18"/>
        </w:rPr>
        <w:t>Company</w:t>
      </w:r>
      <w:r w:rsidRPr="00735726">
        <w:rPr>
          <w:rFonts w:ascii="Arial" w:eastAsia="Times New Roman" w:hAnsi="Arial" w:cs="DINOT-Light"/>
          <w:bCs/>
          <w:color w:val="000000"/>
          <w:sz w:val="18"/>
          <w:szCs w:val="18"/>
        </w:rPr>
        <w:t xml:space="preserve"> through numerous engagement</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campaigns. The </w:t>
      </w:r>
      <w:r w:rsidR="00ED2AD7" w:rsidRPr="00735726">
        <w:rPr>
          <w:rFonts w:ascii="Arial" w:eastAsia="Times New Roman" w:hAnsi="Arial" w:cs="DINOT-Light"/>
          <w:bCs/>
          <w:color w:val="000000"/>
          <w:sz w:val="18"/>
          <w:szCs w:val="18"/>
        </w:rPr>
        <w:t>Company</w:t>
      </w:r>
      <w:r w:rsidRPr="00735726">
        <w:rPr>
          <w:rFonts w:ascii="Arial" w:eastAsia="Times New Roman" w:hAnsi="Arial" w:cs="DINOT-Light"/>
          <w:bCs/>
          <w:color w:val="000000"/>
          <w:sz w:val="18"/>
          <w:szCs w:val="18"/>
        </w:rPr>
        <w:t xml:space="preserve"> is on track with its undertakings</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in line with agreed milestones and investment plans to</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improve security and emergency planning capability.</w:t>
      </w:r>
    </w:p>
    <w:p w14:paraId="77CA5260" w14:textId="6CE34430" w:rsidR="00F51DCA" w:rsidRPr="00735726" w:rsidRDefault="00F51DCA" w:rsidP="00844EFD">
      <w:pPr>
        <w:spacing w:after="160"/>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 xml:space="preserve">Our </w:t>
      </w:r>
      <w:proofErr w:type="spellStart"/>
      <w:r w:rsidRPr="00735726">
        <w:rPr>
          <w:rFonts w:ascii="Arial" w:eastAsia="Times New Roman" w:hAnsi="Arial" w:cs="DINOT-Light"/>
          <w:bCs/>
          <w:color w:val="000000"/>
          <w:sz w:val="18"/>
          <w:szCs w:val="18"/>
        </w:rPr>
        <w:t>HomeSafe</w:t>
      </w:r>
      <w:proofErr w:type="spellEnd"/>
      <w:r w:rsidRPr="00735726">
        <w:rPr>
          <w:rFonts w:ascii="Arial" w:eastAsia="Times New Roman" w:hAnsi="Arial" w:cs="DINOT-Light"/>
          <w:bCs/>
          <w:color w:val="000000"/>
          <w:sz w:val="18"/>
          <w:szCs w:val="18"/>
        </w:rPr>
        <w:t xml:space="preserve"> 2030 strategy continues to shift our</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focus towards leading measures, skills, competencies,</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assurance and positive actions, setting clear expectations</w:t>
      </w:r>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across the </w:t>
      </w:r>
      <w:r w:rsidR="004D488C" w:rsidRPr="00735726">
        <w:rPr>
          <w:rFonts w:ascii="Arial" w:eastAsia="Times New Roman" w:hAnsi="Arial" w:cs="DINOT-Light"/>
          <w:bCs/>
          <w:color w:val="000000"/>
          <w:sz w:val="18"/>
          <w:szCs w:val="18"/>
        </w:rPr>
        <w:t xml:space="preserve">Company </w:t>
      </w:r>
      <w:r w:rsidRPr="00735726">
        <w:rPr>
          <w:rFonts w:ascii="Arial" w:eastAsia="Times New Roman" w:hAnsi="Arial" w:cs="DINOT-Light"/>
          <w:bCs/>
          <w:color w:val="000000"/>
          <w:sz w:val="18"/>
          <w:szCs w:val="18"/>
        </w:rPr>
        <w:t xml:space="preserve">to ensure everyone goes </w:t>
      </w:r>
      <w:proofErr w:type="spellStart"/>
      <w:r w:rsidRPr="00735726">
        <w:rPr>
          <w:rFonts w:ascii="Arial" w:eastAsia="Times New Roman" w:hAnsi="Arial" w:cs="DINOT-Light"/>
          <w:bCs/>
          <w:color w:val="000000"/>
          <w:sz w:val="18"/>
          <w:szCs w:val="18"/>
        </w:rPr>
        <w:t>HomeSafe</w:t>
      </w:r>
      <w:proofErr w:type="spellEnd"/>
      <w:r w:rsidR="004D488C"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every day.</w:t>
      </w:r>
    </w:p>
    <w:p w14:paraId="543629C7" w14:textId="45B04095" w:rsidR="00F51DCA" w:rsidRPr="009A2CAE" w:rsidRDefault="00681565" w:rsidP="006A21A0">
      <w:pPr>
        <w:spacing w:after="160"/>
        <w:rPr>
          <w:rFonts w:ascii="Arial" w:hAnsi="Arial" w:cs="Arial"/>
          <w:sz w:val="32"/>
          <w:szCs w:val="32"/>
        </w:rPr>
      </w:pPr>
      <w:r w:rsidRPr="00735726">
        <w:rPr>
          <w:rFonts w:ascii="Arial" w:eastAsia="Times New Roman" w:hAnsi="Arial" w:cs="DINOT-Light"/>
          <w:bCs/>
          <w:color w:val="000000"/>
          <w:sz w:val="18"/>
          <w:szCs w:val="18"/>
        </w:rPr>
        <w:t xml:space="preserve">In the year we delivered a stable year in terms of total injuries, however over the winter period we had an increase in the number of short </w:t>
      </w:r>
      <w:proofErr w:type="gramStart"/>
      <w:r w:rsidRPr="00735726">
        <w:rPr>
          <w:rFonts w:ascii="Arial" w:eastAsia="Times New Roman" w:hAnsi="Arial" w:cs="DINOT-Light"/>
          <w:bCs/>
          <w:color w:val="000000"/>
          <w:sz w:val="18"/>
          <w:szCs w:val="18"/>
        </w:rPr>
        <w:t>duration</w:t>
      </w:r>
      <w:proofErr w:type="gramEnd"/>
      <w:r w:rsidRPr="00735726">
        <w:rPr>
          <w:rFonts w:ascii="Arial" w:eastAsia="Times New Roman" w:hAnsi="Arial" w:cs="DINOT-Light"/>
          <w:bCs/>
          <w:color w:val="000000"/>
          <w:sz w:val="18"/>
          <w:szCs w:val="18"/>
        </w:rPr>
        <w:t xml:space="preserve"> lost time incidents, almost exclusively </w:t>
      </w:r>
      <w:proofErr w:type="gramStart"/>
      <w:r w:rsidRPr="00735726">
        <w:rPr>
          <w:rFonts w:ascii="Arial" w:eastAsia="Times New Roman" w:hAnsi="Arial" w:cs="DINOT-Light"/>
          <w:bCs/>
          <w:color w:val="000000"/>
          <w:sz w:val="18"/>
          <w:szCs w:val="18"/>
        </w:rPr>
        <w:t>as a result of</w:t>
      </w:r>
      <w:proofErr w:type="gramEnd"/>
      <w:r w:rsidRPr="00735726">
        <w:rPr>
          <w:rFonts w:ascii="Arial" w:eastAsia="Times New Roman" w:hAnsi="Arial" w:cs="DINOT-Light"/>
          <w:bCs/>
          <w:color w:val="000000"/>
          <w:sz w:val="18"/>
          <w:szCs w:val="18"/>
        </w:rPr>
        <w:t xml:space="preserve"> a slip or trip.</w:t>
      </w:r>
      <w:r w:rsidR="006A21A0"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Consequently, our number of lost time incidents and our Lost Time Incident Frequency Rate (LTIFR) increased.</w:t>
      </w:r>
      <w:r w:rsidR="006A21A0" w:rsidRPr="00735726">
        <w:rPr>
          <w:rFonts w:ascii="Arial" w:eastAsia="Times New Roman" w:hAnsi="Arial" w:cs="DINOT-Light"/>
          <w:bCs/>
          <w:color w:val="000000"/>
          <w:sz w:val="18"/>
          <w:szCs w:val="18"/>
        </w:rPr>
        <w:t xml:space="preserve"> </w:t>
      </w:r>
      <w:r w:rsidRPr="00735726">
        <w:rPr>
          <w:rFonts w:ascii="Arial" w:eastAsia="Times New Roman" w:hAnsi="Arial" w:cs="DINOT-Light"/>
          <w:bCs/>
          <w:color w:val="000000"/>
          <w:sz w:val="18"/>
          <w:szCs w:val="18"/>
        </w:rPr>
        <w:t xml:space="preserve">We ended the year at 25 lost time incidents, with just under half of these happening between December and March. Our LTIFR increased from 0.24 to 0.43. We have developed re-energising plans for the new year to address this, reconnecting people to the emotional elements of why </w:t>
      </w:r>
      <w:proofErr w:type="spellStart"/>
      <w:r w:rsidRPr="00735726">
        <w:rPr>
          <w:rFonts w:ascii="Arial" w:eastAsia="Times New Roman" w:hAnsi="Arial" w:cs="DINOT-Light"/>
          <w:bCs/>
          <w:color w:val="000000"/>
          <w:sz w:val="18"/>
          <w:szCs w:val="18"/>
        </w:rPr>
        <w:t>HomeSafe</w:t>
      </w:r>
      <w:proofErr w:type="spellEnd"/>
      <w:r w:rsidRPr="00735726">
        <w:rPr>
          <w:rFonts w:ascii="Arial" w:eastAsia="Times New Roman" w:hAnsi="Arial" w:cs="DINOT-Light"/>
          <w:bCs/>
          <w:color w:val="000000"/>
          <w:sz w:val="18"/>
          <w:szCs w:val="18"/>
        </w:rPr>
        <w:t xml:space="preserve"> is so important to everyone at </w:t>
      </w:r>
      <w:proofErr w:type="gramStart"/>
      <w:r w:rsidRPr="00735726">
        <w:rPr>
          <w:rFonts w:ascii="Arial" w:eastAsia="Times New Roman" w:hAnsi="Arial" w:cs="DINOT-Light"/>
          <w:bCs/>
          <w:color w:val="000000"/>
          <w:sz w:val="18"/>
          <w:szCs w:val="18"/>
        </w:rPr>
        <w:t>South West</w:t>
      </w:r>
      <w:proofErr w:type="gramEnd"/>
      <w:r w:rsidRPr="00735726">
        <w:rPr>
          <w:rFonts w:ascii="Arial" w:eastAsia="Times New Roman" w:hAnsi="Arial" w:cs="DINOT-Light"/>
          <w:bCs/>
          <w:color w:val="000000"/>
          <w:sz w:val="18"/>
          <w:szCs w:val="18"/>
        </w:rPr>
        <w:t xml:space="preserve"> Water.</w:t>
      </w:r>
      <w:r w:rsidR="00F51DCA" w:rsidRPr="009A2CAE">
        <w:rPr>
          <w:rFonts w:ascii="Arial" w:hAnsi="Arial" w:cs="Arial"/>
          <w:bCs/>
          <w:sz w:val="32"/>
          <w:szCs w:val="32"/>
        </w:rPr>
        <w:br w:type="page"/>
      </w:r>
    </w:p>
    <w:p w14:paraId="0822D0F3" w14:textId="31DD8AB9" w:rsidR="00ED2AD7" w:rsidRPr="00735726" w:rsidRDefault="00ED2AD7" w:rsidP="00844EFD">
      <w:pPr>
        <w:autoSpaceDE w:val="0"/>
        <w:autoSpaceDN w:val="0"/>
        <w:adjustRightInd w:val="0"/>
        <w:spacing w:after="0"/>
        <w:rPr>
          <w:rFonts w:ascii="Arial" w:hAnsi="Arial" w:cs="Arial"/>
          <w:sz w:val="32"/>
          <w:szCs w:val="32"/>
        </w:rPr>
      </w:pPr>
      <w:r w:rsidRPr="00735726">
        <w:rPr>
          <w:rFonts w:ascii="Arial" w:hAnsi="Arial" w:cs="Arial"/>
          <w:sz w:val="32"/>
          <w:szCs w:val="32"/>
        </w:rPr>
        <w:lastRenderedPageBreak/>
        <w:t xml:space="preserve">STAKEHOLDER ENGAGEMENT </w:t>
      </w:r>
    </w:p>
    <w:p w14:paraId="3AB6A4EA" w14:textId="77777777" w:rsidR="00ED2AD7" w:rsidRPr="00735726" w:rsidRDefault="00ED2AD7" w:rsidP="00844EFD">
      <w:pPr>
        <w:autoSpaceDE w:val="0"/>
        <w:autoSpaceDN w:val="0"/>
        <w:adjustRightInd w:val="0"/>
        <w:spacing w:after="0"/>
        <w:rPr>
          <w:rFonts w:ascii="Arial" w:hAnsi="Arial" w:cs="Arial"/>
          <w:sz w:val="18"/>
          <w:szCs w:val="18"/>
        </w:rPr>
      </w:pPr>
    </w:p>
    <w:p w14:paraId="0BE1660D" w14:textId="77777777" w:rsidR="00ED2AD7" w:rsidRPr="00735726" w:rsidRDefault="00ED2AD7" w:rsidP="00844EFD">
      <w:pPr>
        <w:rPr>
          <w:rFonts w:ascii="Arial" w:hAnsi="Arial" w:cs="Arial"/>
          <w:sz w:val="18"/>
          <w:szCs w:val="18"/>
        </w:rPr>
      </w:pPr>
      <w:r w:rsidRPr="00735726">
        <w:rPr>
          <w:rFonts w:ascii="Arial" w:hAnsi="Arial" w:cs="Arial"/>
          <w:sz w:val="18"/>
          <w:szCs w:val="18"/>
        </w:rPr>
        <w:t xml:space="preserve">We believe the best decisions are made when everyone has a voice. That’s why we maintain regular, open dialogue with our stakeholders, </w:t>
      </w:r>
      <w:proofErr w:type="gramStart"/>
      <w:r w:rsidRPr="00735726">
        <w:rPr>
          <w:rFonts w:ascii="Arial" w:hAnsi="Arial" w:cs="Arial"/>
          <w:sz w:val="18"/>
          <w:szCs w:val="18"/>
        </w:rPr>
        <w:t>from customers and community groups,</w:t>
      </w:r>
      <w:proofErr w:type="gramEnd"/>
      <w:r w:rsidRPr="00735726">
        <w:rPr>
          <w:rFonts w:ascii="Arial" w:hAnsi="Arial" w:cs="Arial"/>
          <w:sz w:val="18"/>
          <w:szCs w:val="18"/>
        </w:rPr>
        <w:t xml:space="preserve"> to regulators and environmental partners. These conversations are not a formality, they are a vital part of how we shape our strategy, make decisions, and deliver meaningful outcomes. By listening closely to what matters to our stakeholders, we can respond effectively, and ensure our actions deliver real value to the communities we serve.</w:t>
      </w:r>
    </w:p>
    <w:p w14:paraId="1BC9F334" w14:textId="77777777" w:rsidR="00210A88" w:rsidRPr="00735726" w:rsidRDefault="00210A88" w:rsidP="00844EFD">
      <w:pPr>
        <w:rPr>
          <w:rFonts w:ascii="Arial" w:hAnsi="Arial" w:cs="Arial"/>
          <w:b/>
          <w:bCs/>
          <w:sz w:val="18"/>
          <w:szCs w:val="18"/>
        </w:rPr>
      </w:pPr>
      <w:r w:rsidRPr="00735726">
        <w:rPr>
          <w:rFonts w:ascii="Arial" w:hAnsi="Arial" w:cs="Arial"/>
          <w:b/>
          <w:bCs/>
          <w:sz w:val="18"/>
          <w:szCs w:val="18"/>
        </w:rPr>
        <w:t>CUSTOMERS</w:t>
      </w:r>
    </w:p>
    <w:p w14:paraId="110F2C6D" w14:textId="3D83D2EB" w:rsidR="00210A88" w:rsidRPr="009A2CAE" w:rsidRDefault="00210A88" w:rsidP="00844EFD">
      <w:pPr>
        <w:rPr>
          <w:rFonts w:ascii="Arial" w:hAnsi="Arial" w:cs="Arial"/>
          <w:sz w:val="18"/>
          <w:szCs w:val="18"/>
        </w:rPr>
      </w:pPr>
      <w:r w:rsidRPr="00735726">
        <w:rPr>
          <w:rFonts w:ascii="Arial" w:hAnsi="Arial" w:cs="Arial"/>
          <w:i/>
          <w:iCs/>
          <w:sz w:val="18"/>
          <w:szCs w:val="18"/>
        </w:rPr>
        <w:t>WHO THEY ARE</w:t>
      </w:r>
      <w:r w:rsidRPr="00735726">
        <w:rPr>
          <w:rFonts w:ascii="Arial" w:hAnsi="Arial" w:cs="Arial"/>
          <w:sz w:val="18"/>
          <w:szCs w:val="18"/>
        </w:rPr>
        <w:br/>
        <w:t xml:space="preserve">Our business </w:t>
      </w:r>
      <w:r w:rsidR="00603706" w:rsidRPr="00735726">
        <w:rPr>
          <w:rFonts w:ascii="Arial" w:hAnsi="Arial" w:cs="Arial"/>
          <w:sz w:val="18"/>
          <w:szCs w:val="18"/>
        </w:rPr>
        <w:t>provides</w:t>
      </w:r>
      <w:r w:rsidRPr="00735726">
        <w:rPr>
          <w:rFonts w:ascii="Arial" w:hAnsi="Arial" w:cs="Arial"/>
          <w:sz w:val="18"/>
          <w:szCs w:val="18"/>
        </w:rPr>
        <w:t xml:space="preserve"> water and wastewater services to 3.</w:t>
      </w:r>
      <w:r w:rsidR="008C59B2" w:rsidRPr="00735726">
        <w:rPr>
          <w:rFonts w:ascii="Arial" w:hAnsi="Arial" w:cs="Arial"/>
          <w:sz w:val="18"/>
          <w:szCs w:val="18"/>
        </w:rPr>
        <w:t>6</w:t>
      </w:r>
      <w:r w:rsidRPr="00735726">
        <w:rPr>
          <w:rFonts w:ascii="Arial" w:hAnsi="Arial" w:cs="Arial"/>
          <w:sz w:val="18"/>
          <w:szCs w:val="18"/>
        </w:rPr>
        <w:t xml:space="preserve"> millio</w:t>
      </w:r>
      <w:r w:rsidR="008C59B2" w:rsidRPr="00735726">
        <w:rPr>
          <w:rFonts w:ascii="Arial" w:hAnsi="Arial" w:cs="Arial"/>
          <w:sz w:val="18"/>
          <w:szCs w:val="18"/>
        </w:rPr>
        <w:t>n</w:t>
      </w:r>
      <w:r w:rsidRPr="00735726">
        <w:rPr>
          <w:rFonts w:ascii="Arial" w:hAnsi="Arial" w:cs="Arial"/>
          <w:sz w:val="18"/>
          <w:szCs w:val="18"/>
        </w:rPr>
        <w:t xml:space="preserve"> residents across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regions. Each year, we also support around 10 million visitors to the </w:t>
      </w:r>
      <w:proofErr w:type="gramStart"/>
      <w:r w:rsidRPr="00735726">
        <w:rPr>
          <w:rFonts w:ascii="Arial" w:hAnsi="Arial" w:cs="Arial"/>
          <w:sz w:val="18"/>
          <w:szCs w:val="18"/>
        </w:rPr>
        <w:t>South West</w:t>
      </w:r>
      <w:proofErr w:type="gramEnd"/>
      <w:r w:rsidRPr="00735726">
        <w:rPr>
          <w:rFonts w:ascii="Arial" w:hAnsi="Arial" w:cs="Arial"/>
          <w:sz w:val="18"/>
          <w:szCs w:val="18"/>
        </w:rPr>
        <w:t>, making our services vital not only to local communities but to the regional economy.</w:t>
      </w:r>
    </w:p>
    <w:p w14:paraId="5C9B8B71" w14:textId="3FB2C395" w:rsidR="00210A88" w:rsidRPr="00735726" w:rsidRDefault="00210A88" w:rsidP="00844EFD">
      <w:pPr>
        <w:rPr>
          <w:rFonts w:ascii="Arial" w:hAnsi="Arial" w:cs="Arial"/>
          <w:i/>
          <w:iCs/>
          <w:sz w:val="18"/>
          <w:szCs w:val="18"/>
        </w:rPr>
      </w:pPr>
      <w:r w:rsidRPr="00735726">
        <w:rPr>
          <w:rFonts w:ascii="Arial" w:hAnsi="Arial" w:cs="Arial"/>
          <w:i/>
          <w:iCs/>
          <w:sz w:val="18"/>
          <w:szCs w:val="18"/>
        </w:rPr>
        <w:t>KEY HIGHLIGHTS</w:t>
      </w:r>
    </w:p>
    <w:p w14:paraId="5641480A" w14:textId="053F56F1" w:rsidR="00210A88" w:rsidRPr="00735726" w:rsidRDefault="00210A88" w:rsidP="00646F4F">
      <w:pPr>
        <w:pStyle w:val="ListParagraph"/>
        <w:numPr>
          <w:ilvl w:val="0"/>
          <w:numId w:val="46"/>
        </w:numPr>
        <w:rPr>
          <w:rFonts w:ascii="Arial" w:hAnsi="Arial" w:cs="Arial"/>
          <w:i/>
          <w:iCs/>
          <w:sz w:val="18"/>
          <w:szCs w:val="18"/>
        </w:rPr>
      </w:pPr>
      <w:r w:rsidRPr="00735726">
        <w:rPr>
          <w:rFonts w:ascii="Arial" w:hAnsi="Arial" w:cs="Arial"/>
          <w:sz w:val="18"/>
          <w:szCs w:val="18"/>
        </w:rPr>
        <w:t xml:space="preserve">Through the </w:t>
      </w:r>
      <w:proofErr w:type="spellStart"/>
      <w:r w:rsidRPr="00735726">
        <w:rPr>
          <w:rFonts w:ascii="Arial" w:hAnsi="Arial" w:cs="Arial"/>
          <w:sz w:val="18"/>
          <w:szCs w:val="18"/>
        </w:rPr>
        <w:t>WaterShare</w:t>
      </w:r>
      <w:proofErr w:type="spellEnd"/>
      <w:r w:rsidRPr="00735726">
        <w:rPr>
          <w:rFonts w:ascii="Arial" w:hAnsi="Arial" w:cs="Arial"/>
          <w:sz w:val="18"/>
          <w:szCs w:val="18"/>
        </w:rPr>
        <w:t xml:space="preserve">+ scheme 80,000 of our customers are now shareholders in our parent </w:t>
      </w:r>
      <w:r w:rsidR="003B36A4" w:rsidRPr="00735726">
        <w:rPr>
          <w:rFonts w:ascii="Arial" w:hAnsi="Arial" w:cs="Arial"/>
          <w:sz w:val="18"/>
          <w:szCs w:val="18"/>
        </w:rPr>
        <w:t>C</w:t>
      </w:r>
      <w:r w:rsidRPr="00735726">
        <w:rPr>
          <w:rFonts w:ascii="Arial" w:hAnsi="Arial" w:cs="Arial"/>
          <w:sz w:val="18"/>
          <w:szCs w:val="18"/>
        </w:rPr>
        <w:t>ompany</w:t>
      </w:r>
      <w:r w:rsidR="00297917" w:rsidRPr="00735726">
        <w:rPr>
          <w:rFonts w:ascii="Arial" w:hAnsi="Arial" w:cs="Arial"/>
          <w:sz w:val="18"/>
          <w:szCs w:val="18"/>
        </w:rPr>
        <w:t>,</w:t>
      </w:r>
      <w:r w:rsidRPr="00735726">
        <w:rPr>
          <w:rFonts w:ascii="Arial" w:hAnsi="Arial" w:cs="Arial"/>
          <w:sz w:val="18"/>
          <w:szCs w:val="18"/>
        </w:rPr>
        <w:t xml:space="preserve"> Pennon</w:t>
      </w:r>
      <w:r w:rsidR="00297917" w:rsidRPr="00735726">
        <w:rPr>
          <w:rFonts w:ascii="Arial" w:hAnsi="Arial" w:cs="Arial"/>
          <w:sz w:val="18"/>
          <w:szCs w:val="18"/>
        </w:rPr>
        <w:t xml:space="preserve"> Group plc</w:t>
      </w:r>
    </w:p>
    <w:p w14:paraId="29279935" w14:textId="69F71FA9" w:rsidR="00210A88" w:rsidRPr="00735726" w:rsidRDefault="00210A88" w:rsidP="00646F4F">
      <w:pPr>
        <w:pStyle w:val="ListParagraph"/>
        <w:numPr>
          <w:ilvl w:val="0"/>
          <w:numId w:val="46"/>
        </w:numPr>
        <w:rPr>
          <w:rFonts w:ascii="Arial" w:hAnsi="Arial" w:cs="Arial"/>
          <w:i/>
          <w:iCs/>
          <w:sz w:val="18"/>
          <w:szCs w:val="18"/>
        </w:rPr>
      </w:pPr>
      <w:r w:rsidRPr="00735726">
        <w:rPr>
          <w:rFonts w:ascii="Arial" w:hAnsi="Arial" w:cs="Arial"/>
          <w:sz w:val="18"/>
          <w:szCs w:val="18"/>
        </w:rPr>
        <w:t xml:space="preserve">260+ customers joined our parent </w:t>
      </w:r>
      <w:r w:rsidR="003B36A4" w:rsidRPr="00735726">
        <w:rPr>
          <w:rFonts w:ascii="Arial" w:hAnsi="Arial" w:cs="Arial"/>
          <w:sz w:val="18"/>
          <w:szCs w:val="18"/>
        </w:rPr>
        <w:t>C</w:t>
      </w:r>
      <w:r w:rsidRPr="00735726">
        <w:rPr>
          <w:rFonts w:ascii="Arial" w:hAnsi="Arial" w:cs="Arial"/>
          <w:sz w:val="18"/>
          <w:szCs w:val="18"/>
        </w:rPr>
        <w:t xml:space="preserve">ompany Pennon’s </w:t>
      </w:r>
      <w:proofErr w:type="spellStart"/>
      <w:r w:rsidRPr="00735726">
        <w:rPr>
          <w:rFonts w:ascii="Arial" w:hAnsi="Arial" w:cs="Arial"/>
          <w:sz w:val="18"/>
          <w:szCs w:val="18"/>
        </w:rPr>
        <w:t>WaterShare</w:t>
      </w:r>
      <w:proofErr w:type="spellEnd"/>
      <w:r w:rsidRPr="00735726">
        <w:rPr>
          <w:rFonts w:ascii="Arial" w:hAnsi="Arial" w:cs="Arial"/>
          <w:sz w:val="18"/>
          <w:szCs w:val="18"/>
        </w:rPr>
        <w:t>+ meetings and spoke directly to our Executive.</w:t>
      </w:r>
    </w:p>
    <w:p w14:paraId="5C075D29" w14:textId="145D034C" w:rsidR="006A21A0" w:rsidRPr="00735726" w:rsidRDefault="00210A88" w:rsidP="006A21A0">
      <w:pPr>
        <w:rPr>
          <w:rFonts w:ascii="Arial" w:hAnsi="Arial" w:cs="Arial"/>
          <w:sz w:val="18"/>
          <w:szCs w:val="18"/>
        </w:rPr>
      </w:pPr>
      <w:r w:rsidRPr="00735726">
        <w:rPr>
          <w:rFonts w:ascii="Arial" w:hAnsi="Arial" w:cs="Arial"/>
          <w:i/>
          <w:iCs/>
          <w:sz w:val="18"/>
          <w:szCs w:val="18"/>
        </w:rPr>
        <w:t>WHY WE ENGAGE</w:t>
      </w:r>
      <w:r w:rsidR="00FB6980" w:rsidRPr="00735726">
        <w:rPr>
          <w:rFonts w:ascii="Arial" w:hAnsi="Arial" w:cs="Arial"/>
          <w:i/>
          <w:iCs/>
          <w:sz w:val="18"/>
          <w:szCs w:val="18"/>
        </w:rPr>
        <w:br/>
      </w:r>
      <w:r w:rsidR="006A21A0" w:rsidRPr="00735726">
        <w:rPr>
          <w:rFonts w:ascii="Arial" w:hAnsi="Arial" w:cs="Arial"/>
          <w:sz w:val="18"/>
          <w:szCs w:val="18"/>
        </w:rPr>
        <w:t>We know that trust matters. It is built not only through the quality of the services we deliver, but also through how we communicate, how we listen, and how we respond when things change or when customers need extra support. Over the past year, those expectations have been tested.</w:t>
      </w:r>
    </w:p>
    <w:p w14:paraId="4F408098" w14:textId="5A53CDB4" w:rsidR="00210A88" w:rsidRPr="00735726" w:rsidRDefault="00210A88" w:rsidP="006A21A0">
      <w:pPr>
        <w:rPr>
          <w:rFonts w:ascii="Arial" w:hAnsi="Arial" w:cs="Arial"/>
          <w:sz w:val="18"/>
          <w:szCs w:val="18"/>
        </w:rPr>
      </w:pPr>
      <w:r w:rsidRPr="00735726">
        <w:rPr>
          <w:rFonts w:ascii="Arial" w:hAnsi="Arial" w:cs="Arial"/>
          <w:sz w:val="18"/>
          <w:szCs w:val="18"/>
        </w:rPr>
        <w:t>Our plans to 2030 and our four strategic priorities are built on the priorities and feedback of our customers and communities. We know that our investment programme will take time to deliver, and customers have told us clearly that they want to be kept informed about the progress we are making, the impact of that investment, and the difference it will make locally. They have also told us that how we communicate matters, particularly during periods of change, such as bill increases, service disruption or major infrastructure works.</w:t>
      </w:r>
    </w:p>
    <w:p w14:paraId="47373A63" w14:textId="2431790A" w:rsidR="00210A88" w:rsidRPr="00735726" w:rsidRDefault="00210A88" w:rsidP="00844EFD">
      <w:pPr>
        <w:rPr>
          <w:rFonts w:ascii="Arial" w:hAnsi="Arial" w:cs="Arial"/>
          <w:sz w:val="18"/>
          <w:szCs w:val="18"/>
        </w:rPr>
      </w:pPr>
      <w:r w:rsidRPr="00735726">
        <w:rPr>
          <w:rFonts w:ascii="Arial" w:hAnsi="Arial" w:cs="Arial"/>
          <w:sz w:val="18"/>
          <w:szCs w:val="18"/>
        </w:rPr>
        <w:t>Customers across our regions have continued to face cost of living pressures. At the same time, water bills have risen across the sector to support a major,</w:t>
      </w:r>
      <w:r w:rsidR="00FB3607" w:rsidRPr="00735726">
        <w:rPr>
          <w:rFonts w:ascii="Arial" w:hAnsi="Arial" w:cs="Arial"/>
          <w:sz w:val="18"/>
          <w:szCs w:val="18"/>
        </w:rPr>
        <w:t xml:space="preserve"> </w:t>
      </w:r>
      <w:r w:rsidRPr="00735726">
        <w:rPr>
          <w:rFonts w:ascii="Arial" w:hAnsi="Arial" w:cs="Arial"/>
          <w:sz w:val="18"/>
          <w:szCs w:val="18"/>
        </w:rPr>
        <w:t>regulator</w:t>
      </w:r>
      <w:r w:rsidRPr="00735726">
        <w:rPr>
          <w:rFonts w:ascii="Cambria Math" w:hAnsi="Cambria Math" w:cs="Cambria Math"/>
          <w:sz w:val="18"/>
          <w:szCs w:val="18"/>
        </w:rPr>
        <w:t>‑</w:t>
      </w:r>
      <w:r w:rsidRPr="00735726">
        <w:rPr>
          <w:rFonts w:ascii="Arial" w:hAnsi="Arial" w:cs="Arial"/>
          <w:sz w:val="18"/>
          <w:szCs w:val="18"/>
        </w:rPr>
        <w:t>approved investment programme. We know</w:t>
      </w:r>
      <w:r w:rsidR="00FB3607" w:rsidRPr="00735726">
        <w:rPr>
          <w:rFonts w:ascii="Arial" w:hAnsi="Arial" w:cs="Arial"/>
          <w:sz w:val="18"/>
          <w:szCs w:val="18"/>
        </w:rPr>
        <w:t xml:space="preserve"> </w:t>
      </w:r>
      <w:r w:rsidRPr="00735726">
        <w:rPr>
          <w:rFonts w:ascii="Arial" w:hAnsi="Arial" w:cs="Arial"/>
          <w:sz w:val="18"/>
          <w:szCs w:val="18"/>
        </w:rPr>
        <w:t>this combination has been challenging, particularly in the</w:t>
      </w:r>
      <w:r w:rsidR="00FB3607" w:rsidRPr="00735726">
        <w:rPr>
          <w:rFonts w:ascii="Arial" w:hAnsi="Arial" w:cs="Arial"/>
          <w:sz w:val="18"/>
          <w:szCs w:val="18"/>
        </w:rPr>
        <w:t xml:space="preserve"> </w:t>
      </w:r>
      <w:proofErr w:type="gramStart"/>
      <w:r w:rsidRPr="00735726">
        <w:rPr>
          <w:rFonts w:ascii="Arial" w:hAnsi="Arial" w:cs="Arial"/>
          <w:sz w:val="18"/>
          <w:szCs w:val="18"/>
        </w:rPr>
        <w:t>South West</w:t>
      </w:r>
      <w:proofErr w:type="gramEnd"/>
      <w:r w:rsidRPr="00735726">
        <w:rPr>
          <w:rFonts w:ascii="Arial" w:hAnsi="Arial" w:cs="Arial"/>
          <w:sz w:val="18"/>
          <w:szCs w:val="18"/>
        </w:rPr>
        <w:t>, and we do not underestimate the impact it</w:t>
      </w:r>
      <w:r w:rsidR="00FB3607" w:rsidRPr="00735726">
        <w:rPr>
          <w:rFonts w:ascii="Arial" w:hAnsi="Arial" w:cs="Arial"/>
          <w:sz w:val="18"/>
          <w:szCs w:val="18"/>
        </w:rPr>
        <w:t xml:space="preserve"> </w:t>
      </w:r>
      <w:r w:rsidRPr="00735726">
        <w:rPr>
          <w:rFonts w:ascii="Arial" w:hAnsi="Arial" w:cs="Arial"/>
          <w:sz w:val="18"/>
          <w:szCs w:val="18"/>
        </w:rPr>
        <w:t xml:space="preserve">has had </w:t>
      </w:r>
      <w:r w:rsidR="006A21A0" w:rsidRPr="00735726">
        <w:rPr>
          <w:rFonts w:ascii="Arial" w:hAnsi="Arial" w:cs="Arial"/>
          <w:sz w:val="18"/>
          <w:szCs w:val="18"/>
        </w:rPr>
        <w:t>on household</w:t>
      </w:r>
      <w:r w:rsidRPr="00735726">
        <w:rPr>
          <w:rFonts w:ascii="Arial" w:hAnsi="Arial" w:cs="Arial"/>
          <w:sz w:val="18"/>
          <w:szCs w:val="18"/>
        </w:rPr>
        <w:t xml:space="preserve"> budgets and customer confidence.</w:t>
      </w:r>
    </w:p>
    <w:p w14:paraId="41003F4E" w14:textId="2C8721E4" w:rsidR="00FB6980" w:rsidRPr="00735726" w:rsidRDefault="00FB6980" w:rsidP="00844EFD">
      <w:pPr>
        <w:rPr>
          <w:rFonts w:ascii="Arial" w:hAnsi="Arial" w:cs="Arial"/>
          <w:sz w:val="18"/>
          <w:szCs w:val="18"/>
        </w:rPr>
      </w:pPr>
      <w:r w:rsidRPr="00735726">
        <w:rPr>
          <w:rFonts w:ascii="Arial" w:hAnsi="Arial" w:cs="Arial"/>
          <w:i/>
          <w:iCs/>
          <w:sz w:val="18"/>
          <w:szCs w:val="18"/>
        </w:rPr>
        <w:t>HOW WE ENGAGE</w:t>
      </w:r>
      <w:r w:rsidRPr="00735726">
        <w:rPr>
          <w:rFonts w:ascii="Arial" w:hAnsi="Arial" w:cs="Arial"/>
          <w:i/>
          <w:iCs/>
          <w:sz w:val="18"/>
          <w:szCs w:val="18"/>
        </w:rPr>
        <w:br/>
      </w:r>
      <w:r w:rsidRPr="00735726">
        <w:rPr>
          <w:rFonts w:ascii="Arial" w:hAnsi="Arial" w:cs="Arial"/>
          <w:sz w:val="18"/>
          <w:szCs w:val="18"/>
        </w:rPr>
        <w:t>Against this backdrop, affordability and customer</w:t>
      </w:r>
      <w:r w:rsidR="00BB6556" w:rsidRPr="00735726">
        <w:rPr>
          <w:rFonts w:ascii="Arial" w:hAnsi="Arial" w:cs="Arial"/>
          <w:sz w:val="18"/>
          <w:szCs w:val="18"/>
        </w:rPr>
        <w:t xml:space="preserve"> </w:t>
      </w:r>
      <w:r w:rsidRPr="00735726">
        <w:rPr>
          <w:rFonts w:ascii="Arial" w:hAnsi="Arial" w:cs="Arial"/>
          <w:sz w:val="18"/>
          <w:szCs w:val="18"/>
        </w:rPr>
        <w:t>experience have been central to our work. Our focus has</w:t>
      </w:r>
      <w:r w:rsidR="00BB6556" w:rsidRPr="00735726">
        <w:rPr>
          <w:rFonts w:ascii="Arial" w:hAnsi="Arial" w:cs="Arial"/>
          <w:sz w:val="18"/>
          <w:szCs w:val="18"/>
        </w:rPr>
        <w:t xml:space="preserve"> </w:t>
      </w:r>
      <w:r w:rsidRPr="00735726">
        <w:rPr>
          <w:rFonts w:ascii="Arial" w:hAnsi="Arial" w:cs="Arial"/>
          <w:sz w:val="18"/>
          <w:szCs w:val="18"/>
        </w:rPr>
        <w:t>been on responding in a way that is both compassionate</w:t>
      </w:r>
      <w:r w:rsidR="00BB6556" w:rsidRPr="00735726">
        <w:rPr>
          <w:rFonts w:ascii="Arial" w:hAnsi="Arial" w:cs="Arial"/>
          <w:sz w:val="18"/>
          <w:szCs w:val="18"/>
        </w:rPr>
        <w:t xml:space="preserve"> </w:t>
      </w:r>
      <w:r w:rsidRPr="00735726">
        <w:rPr>
          <w:rFonts w:ascii="Arial" w:hAnsi="Arial" w:cs="Arial"/>
          <w:sz w:val="18"/>
          <w:szCs w:val="18"/>
        </w:rPr>
        <w:t>and practical: keeping bills as low as possible through</w:t>
      </w:r>
      <w:r w:rsidR="00BB6556" w:rsidRPr="00735726">
        <w:rPr>
          <w:rFonts w:ascii="Arial" w:hAnsi="Arial" w:cs="Arial"/>
          <w:sz w:val="18"/>
          <w:szCs w:val="18"/>
        </w:rPr>
        <w:t xml:space="preserve"> </w:t>
      </w:r>
      <w:r w:rsidRPr="00735726">
        <w:rPr>
          <w:rFonts w:ascii="Arial" w:hAnsi="Arial" w:cs="Arial"/>
          <w:sz w:val="18"/>
          <w:szCs w:val="18"/>
        </w:rPr>
        <w:t>efficiency, expanding financial and practical support for</w:t>
      </w:r>
      <w:r w:rsidR="00BB6556" w:rsidRPr="00735726">
        <w:rPr>
          <w:rFonts w:ascii="Arial" w:hAnsi="Arial" w:cs="Arial"/>
          <w:sz w:val="18"/>
          <w:szCs w:val="18"/>
        </w:rPr>
        <w:t xml:space="preserve"> </w:t>
      </w:r>
      <w:r w:rsidRPr="00735726">
        <w:rPr>
          <w:rFonts w:ascii="Arial" w:hAnsi="Arial" w:cs="Arial"/>
          <w:sz w:val="18"/>
          <w:szCs w:val="18"/>
        </w:rPr>
        <w:t>those who need help, improving service where customers</w:t>
      </w:r>
      <w:r w:rsidR="00BB6556" w:rsidRPr="00735726">
        <w:rPr>
          <w:rFonts w:ascii="Arial" w:hAnsi="Arial" w:cs="Arial"/>
          <w:sz w:val="18"/>
          <w:szCs w:val="18"/>
        </w:rPr>
        <w:t xml:space="preserve"> </w:t>
      </w:r>
      <w:r w:rsidRPr="00735726">
        <w:rPr>
          <w:rFonts w:ascii="Arial" w:hAnsi="Arial" w:cs="Arial"/>
          <w:sz w:val="18"/>
          <w:szCs w:val="18"/>
        </w:rPr>
        <w:t>told us it was falling short, and learning quickly from</w:t>
      </w:r>
      <w:r w:rsidR="00BB6556" w:rsidRPr="00735726">
        <w:rPr>
          <w:rFonts w:ascii="Arial" w:hAnsi="Arial" w:cs="Arial"/>
          <w:sz w:val="18"/>
          <w:szCs w:val="18"/>
        </w:rPr>
        <w:t xml:space="preserve"> </w:t>
      </w:r>
      <w:r w:rsidRPr="00735726">
        <w:rPr>
          <w:rFonts w:ascii="Arial" w:hAnsi="Arial" w:cs="Arial"/>
          <w:sz w:val="18"/>
          <w:szCs w:val="18"/>
        </w:rPr>
        <w:t>feedback so that we can do better.</w:t>
      </w:r>
    </w:p>
    <w:p w14:paraId="6AEE3689" w14:textId="48867481" w:rsidR="00FB6980" w:rsidRPr="00735726" w:rsidRDefault="00FB6980" w:rsidP="00844EFD">
      <w:pPr>
        <w:rPr>
          <w:rFonts w:ascii="Arial" w:hAnsi="Arial" w:cs="Arial"/>
          <w:sz w:val="18"/>
          <w:szCs w:val="18"/>
        </w:rPr>
      </w:pPr>
      <w:r w:rsidRPr="00735726">
        <w:rPr>
          <w:rFonts w:ascii="Arial" w:hAnsi="Arial" w:cs="Arial"/>
          <w:sz w:val="18"/>
          <w:szCs w:val="18"/>
        </w:rPr>
        <w:t>Customer insight underpins both our long</w:t>
      </w:r>
      <w:r w:rsidRPr="00735726">
        <w:rPr>
          <w:rFonts w:ascii="Cambria Math" w:hAnsi="Cambria Math" w:cs="Cambria Math"/>
          <w:sz w:val="18"/>
          <w:szCs w:val="18"/>
        </w:rPr>
        <w:t>‑</w:t>
      </w:r>
      <w:r w:rsidRPr="00735726">
        <w:rPr>
          <w:rFonts w:ascii="Arial" w:hAnsi="Arial" w:cs="Arial"/>
          <w:sz w:val="18"/>
          <w:szCs w:val="18"/>
        </w:rPr>
        <w:t>term strategy</w:t>
      </w:r>
      <w:r w:rsidR="00BB6556" w:rsidRPr="00735726">
        <w:rPr>
          <w:rFonts w:ascii="Arial" w:hAnsi="Arial" w:cs="Arial"/>
          <w:sz w:val="18"/>
          <w:szCs w:val="18"/>
        </w:rPr>
        <w:t xml:space="preserve"> </w:t>
      </w:r>
      <w:r w:rsidRPr="00735726">
        <w:rPr>
          <w:rFonts w:ascii="Arial" w:hAnsi="Arial" w:cs="Arial"/>
          <w:sz w:val="18"/>
          <w:szCs w:val="18"/>
        </w:rPr>
        <w:t>and our day</w:t>
      </w:r>
      <w:r w:rsidRPr="00735726">
        <w:rPr>
          <w:rFonts w:ascii="Cambria Math" w:hAnsi="Cambria Math" w:cs="Cambria Math"/>
          <w:sz w:val="18"/>
          <w:szCs w:val="18"/>
        </w:rPr>
        <w:t>‑</w:t>
      </w:r>
      <w:r w:rsidRPr="00735726">
        <w:rPr>
          <w:rFonts w:ascii="Arial" w:hAnsi="Arial" w:cs="Arial"/>
          <w:sz w:val="18"/>
          <w:szCs w:val="18"/>
        </w:rPr>
        <w:t>to</w:t>
      </w:r>
      <w:r w:rsidRPr="00735726">
        <w:rPr>
          <w:rFonts w:ascii="Cambria Math" w:hAnsi="Cambria Math" w:cs="Cambria Math"/>
          <w:sz w:val="18"/>
          <w:szCs w:val="18"/>
        </w:rPr>
        <w:t>‑</w:t>
      </w:r>
      <w:r w:rsidRPr="00735726">
        <w:rPr>
          <w:rFonts w:ascii="Arial" w:hAnsi="Arial" w:cs="Arial"/>
          <w:sz w:val="18"/>
          <w:szCs w:val="18"/>
        </w:rPr>
        <w:t>day decision</w:t>
      </w:r>
      <w:r w:rsidRPr="00735726">
        <w:rPr>
          <w:rFonts w:ascii="Cambria Math" w:hAnsi="Cambria Math" w:cs="Cambria Math"/>
          <w:sz w:val="18"/>
          <w:szCs w:val="18"/>
        </w:rPr>
        <w:t>‑</w:t>
      </w:r>
      <w:r w:rsidRPr="00735726">
        <w:rPr>
          <w:rFonts w:ascii="Arial" w:hAnsi="Arial" w:cs="Arial"/>
          <w:sz w:val="18"/>
          <w:szCs w:val="18"/>
        </w:rPr>
        <w:t>making. Our plans to 2030</w:t>
      </w:r>
      <w:r w:rsidR="00BB6556" w:rsidRPr="00735726">
        <w:rPr>
          <w:rFonts w:ascii="Arial" w:hAnsi="Arial" w:cs="Arial"/>
          <w:sz w:val="18"/>
          <w:szCs w:val="18"/>
        </w:rPr>
        <w:t xml:space="preserve"> </w:t>
      </w:r>
      <w:r w:rsidRPr="00735726">
        <w:rPr>
          <w:rFonts w:ascii="Arial" w:hAnsi="Arial" w:cs="Arial"/>
          <w:sz w:val="18"/>
          <w:szCs w:val="18"/>
        </w:rPr>
        <w:t>are built on a deep understanding of what matters most</w:t>
      </w:r>
      <w:r w:rsidR="00BB6556" w:rsidRPr="00735726">
        <w:rPr>
          <w:rFonts w:ascii="Arial" w:hAnsi="Arial" w:cs="Arial"/>
          <w:sz w:val="18"/>
          <w:szCs w:val="18"/>
        </w:rPr>
        <w:t xml:space="preserve"> </w:t>
      </w:r>
      <w:r w:rsidRPr="00735726">
        <w:rPr>
          <w:rFonts w:ascii="Arial" w:hAnsi="Arial" w:cs="Arial"/>
          <w:sz w:val="18"/>
          <w:szCs w:val="18"/>
        </w:rPr>
        <w:t xml:space="preserve">to customers and communities, with our </w:t>
      </w:r>
      <w:r w:rsidR="00DB0F53" w:rsidRPr="00735726">
        <w:rPr>
          <w:rFonts w:ascii="Arial" w:hAnsi="Arial" w:cs="Arial"/>
          <w:sz w:val="18"/>
          <w:szCs w:val="18"/>
        </w:rPr>
        <w:t xml:space="preserve">parent </w:t>
      </w:r>
      <w:r w:rsidR="003B36A4" w:rsidRPr="00735726">
        <w:rPr>
          <w:rFonts w:ascii="Arial" w:hAnsi="Arial" w:cs="Arial"/>
          <w:sz w:val="18"/>
          <w:szCs w:val="18"/>
        </w:rPr>
        <w:t>C</w:t>
      </w:r>
      <w:r w:rsidR="00DB0F53" w:rsidRPr="00735726">
        <w:rPr>
          <w:rFonts w:ascii="Arial" w:hAnsi="Arial" w:cs="Arial"/>
          <w:sz w:val="18"/>
          <w:szCs w:val="18"/>
        </w:rPr>
        <w:t xml:space="preserve">ompany’s </w:t>
      </w:r>
      <w:r w:rsidRPr="00735726">
        <w:rPr>
          <w:rFonts w:ascii="Arial" w:hAnsi="Arial" w:cs="Arial"/>
          <w:sz w:val="18"/>
          <w:szCs w:val="18"/>
        </w:rPr>
        <w:t>sector</w:t>
      </w:r>
      <w:r w:rsidRPr="00735726">
        <w:rPr>
          <w:rFonts w:ascii="Cambria Math" w:hAnsi="Cambria Math" w:cs="Cambria Math"/>
          <w:sz w:val="18"/>
          <w:szCs w:val="18"/>
        </w:rPr>
        <w:t>‑</w:t>
      </w:r>
      <w:r w:rsidRPr="00735726">
        <w:rPr>
          <w:rFonts w:ascii="Arial" w:hAnsi="Arial" w:cs="Arial"/>
          <w:sz w:val="18"/>
          <w:szCs w:val="18"/>
        </w:rPr>
        <w:t>leading</w:t>
      </w:r>
      <w:r w:rsidR="00BB6556" w:rsidRPr="00735726">
        <w:rPr>
          <w:rFonts w:ascii="Arial" w:hAnsi="Arial" w:cs="Arial"/>
          <w:sz w:val="18"/>
          <w:szCs w:val="18"/>
        </w:rPr>
        <w:t xml:space="preserve"> </w:t>
      </w:r>
      <w:proofErr w:type="spellStart"/>
      <w:r w:rsidRPr="00735726">
        <w:rPr>
          <w:rFonts w:ascii="Arial" w:hAnsi="Arial" w:cs="Arial"/>
          <w:sz w:val="18"/>
          <w:szCs w:val="18"/>
        </w:rPr>
        <w:t>WaterShare</w:t>
      </w:r>
      <w:proofErr w:type="spellEnd"/>
      <w:r w:rsidRPr="00735726">
        <w:rPr>
          <w:rFonts w:ascii="Arial" w:hAnsi="Arial" w:cs="Arial"/>
          <w:sz w:val="18"/>
          <w:szCs w:val="18"/>
        </w:rPr>
        <w:t>+ panel at the heart of this approach.</w:t>
      </w:r>
      <w:r w:rsidR="00BB6556" w:rsidRPr="00735726">
        <w:rPr>
          <w:rFonts w:ascii="Arial" w:hAnsi="Arial" w:cs="Arial"/>
          <w:sz w:val="18"/>
          <w:szCs w:val="18"/>
        </w:rPr>
        <w:t xml:space="preserve"> </w:t>
      </w:r>
      <w:r w:rsidRPr="00735726">
        <w:rPr>
          <w:rFonts w:ascii="Arial" w:hAnsi="Arial" w:cs="Arial"/>
          <w:sz w:val="18"/>
          <w:szCs w:val="18"/>
        </w:rPr>
        <w:t xml:space="preserve">Through </w:t>
      </w:r>
      <w:proofErr w:type="spellStart"/>
      <w:r w:rsidRPr="00735726">
        <w:rPr>
          <w:rFonts w:ascii="Arial" w:hAnsi="Arial" w:cs="Arial"/>
          <w:sz w:val="18"/>
          <w:szCs w:val="18"/>
        </w:rPr>
        <w:t>WaterShare</w:t>
      </w:r>
      <w:proofErr w:type="spellEnd"/>
      <w:r w:rsidRPr="00735726">
        <w:rPr>
          <w:rFonts w:ascii="Arial" w:hAnsi="Arial" w:cs="Arial"/>
          <w:sz w:val="18"/>
          <w:szCs w:val="18"/>
        </w:rPr>
        <w:t>+, customers provide structured</w:t>
      </w:r>
      <w:r w:rsidR="00BB6556" w:rsidRPr="00735726">
        <w:rPr>
          <w:rFonts w:ascii="Arial" w:hAnsi="Arial" w:cs="Arial"/>
          <w:sz w:val="18"/>
          <w:szCs w:val="18"/>
        </w:rPr>
        <w:t xml:space="preserve"> </w:t>
      </w:r>
      <w:r w:rsidRPr="00735726">
        <w:rPr>
          <w:rFonts w:ascii="Arial" w:hAnsi="Arial" w:cs="Arial"/>
          <w:sz w:val="18"/>
          <w:szCs w:val="18"/>
        </w:rPr>
        <w:t>challenge, shape key decisions and hold us to account.</w:t>
      </w:r>
      <w:r w:rsidR="00BB6556" w:rsidRPr="00735726">
        <w:rPr>
          <w:rFonts w:ascii="Arial" w:hAnsi="Arial" w:cs="Arial"/>
          <w:sz w:val="18"/>
          <w:szCs w:val="18"/>
        </w:rPr>
        <w:t xml:space="preserve"> </w:t>
      </w:r>
      <w:r w:rsidRPr="00735726">
        <w:rPr>
          <w:rFonts w:ascii="Arial" w:hAnsi="Arial" w:cs="Arial"/>
          <w:sz w:val="18"/>
          <w:szCs w:val="18"/>
        </w:rPr>
        <w:t>We also benefitted from the opportunity to participate</w:t>
      </w:r>
      <w:r w:rsidR="00BB6556" w:rsidRPr="00735726">
        <w:rPr>
          <w:rFonts w:ascii="Arial" w:hAnsi="Arial" w:cs="Arial"/>
          <w:sz w:val="18"/>
          <w:szCs w:val="18"/>
        </w:rPr>
        <w:t xml:space="preserve"> </w:t>
      </w:r>
      <w:r w:rsidRPr="00735726">
        <w:rPr>
          <w:rFonts w:ascii="Arial" w:hAnsi="Arial" w:cs="Arial"/>
          <w:sz w:val="18"/>
          <w:szCs w:val="18"/>
        </w:rPr>
        <w:t xml:space="preserve">in Consumer Council for Water’s (CCW) </w:t>
      </w:r>
      <w:proofErr w:type="spellStart"/>
      <w:r w:rsidRPr="00735726">
        <w:rPr>
          <w:rFonts w:ascii="Arial" w:hAnsi="Arial" w:cs="Arial"/>
          <w:sz w:val="18"/>
          <w:szCs w:val="18"/>
        </w:rPr>
        <w:t>WaterVoice</w:t>
      </w:r>
      <w:proofErr w:type="spellEnd"/>
      <w:r w:rsidR="00BB6556" w:rsidRPr="00735726">
        <w:rPr>
          <w:rFonts w:ascii="Arial" w:hAnsi="Arial" w:cs="Arial"/>
          <w:sz w:val="18"/>
          <w:szCs w:val="18"/>
        </w:rPr>
        <w:t xml:space="preserve"> </w:t>
      </w:r>
      <w:r w:rsidRPr="00735726">
        <w:rPr>
          <w:rFonts w:ascii="Arial" w:hAnsi="Arial" w:cs="Arial"/>
          <w:sz w:val="18"/>
          <w:szCs w:val="18"/>
        </w:rPr>
        <w:t>accountability sessions, launched this year across the</w:t>
      </w:r>
      <w:r w:rsidR="00023906" w:rsidRPr="00735726">
        <w:rPr>
          <w:rFonts w:ascii="Arial" w:hAnsi="Arial" w:cs="Arial"/>
          <w:sz w:val="18"/>
          <w:szCs w:val="18"/>
        </w:rPr>
        <w:t xml:space="preserve"> </w:t>
      </w:r>
      <w:r w:rsidRPr="00735726">
        <w:rPr>
          <w:rFonts w:ascii="Arial" w:hAnsi="Arial" w:cs="Arial"/>
          <w:sz w:val="18"/>
          <w:szCs w:val="18"/>
        </w:rPr>
        <w:t xml:space="preserve">sector, to listen, </w:t>
      </w:r>
      <w:r w:rsidR="00DB0F53" w:rsidRPr="00735726">
        <w:rPr>
          <w:rFonts w:ascii="Arial" w:hAnsi="Arial" w:cs="Arial"/>
          <w:sz w:val="18"/>
          <w:szCs w:val="18"/>
        </w:rPr>
        <w:t>feedback</w:t>
      </w:r>
      <w:r w:rsidRPr="00735726">
        <w:rPr>
          <w:rFonts w:ascii="Arial" w:hAnsi="Arial" w:cs="Arial"/>
          <w:sz w:val="18"/>
          <w:szCs w:val="18"/>
        </w:rPr>
        <w:t>, and agree actions in respect of</w:t>
      </w:r>
      <w:r w:rsidR="00023906" w:rsidRPr="00735726">
        <w:rPr>
          <w:rFonts w:ascii="Arial" w:hAnsi="Arial" w:cs="Arial"/>
          <w:sz w:val="18"/>
          <w:szCs w:val="18"/>
        </w:rPr>
        <w:t xml:space="preserve"> </w:t>
      </w:r>
      <w:r w:rsidRPr="00735726">
        <w:rPr>
          <w:rFonts w:ascii="Arial" w:hAnsi="Arial" w:cs="Arial"/>
          <w:sz w:val="18"/>
          <w:szCs w:val="18"/>
        </w:rPr>
        <w:t>three issues raised by customers. The fresh perspective</w:t>
      </w:r>
      <w:r w:rsidR="00023906" w:rsidRPr="00735726">
        <w:rPr>
          <w:rFonts w:ascii="Arial" w:hAnsi="Arial" w:cs="Arial"/>
          <w:sz w:val="18"/>
          <w:szCs w:val="18"/>
        </w:rPr>
        <w:t xml:space="preserve"> </w:t>
      </w:r>
      <w:r w:rsidRPr="00735726">
        <w:rPr>
          <w:rFonts w:ascii="Arial" w:hAnsi="Arial" w:cs="Arial"/>
          <w:sz w:val="18"/>
          <w:szCs w:val="18"/>
        </w:rPr>
        <w:t>this brought highlighted the need for heightened</w:t>
      </w:r>
      <w:r w:rsidR="00023906" w:rsidRPr="00735726">
        <w:rPr>
          <w:rFonts w:ascii="Arial" w:hAnsi="Arial" w:cs="Arial"/>
          <w:sz w:val="18"/>
          <w:szCs w:val="18"/>
        </w:rPr>
        <w:t xml:space="preserve"> </w:t>
      </w:r>
      <w:r w:rsidRPr="00735726">
        <w:rPr>
          <w:rFonts w:ascii="Arial" w:hAnsi="Arial" w:cs="Arial"/>
          <w:sz w:val="18"/>
          <w:szCs w:val="18"/>
        </w:rPr>
        <w:t>communication and extensive engagement, and we</w:t>
      </w:r>
      <w:r w:rsidR="00023906" w:rsidRPr="00735726">
        <w:rPr>
          <w:rFonts w:ascii="Arial" w:hAnsi="Arial" w:cs="Arial"/>
          <w:sz w:val="18"/>
          <w:szCs w:val="18"/>
        </w:rPr>
        <w:t xml:space="preserve"> </w:t>
      </w:r>
      <w:r w:rsidRPr="00735726">
        <w:rPr>
          <w:rFonts w:ascii="Arial" w:hAnsi="Arial" w:cs="Arial"/>
          <w:sz w:val="18"/>
          <w:szCs w:val="18"/>
        </w:rPr>
        <w:t>welcome the opportunity to receive feedback through a</w:t>
      </w:r>
      <w:r w:rsidR="00023906" w:rsidRPr="00735726">
        <w:rPr>
          <w:rFonts w:ascii="Arial" w:hAnsi="Arial" w:cs="Arial"/>
          <w:sz w:val="18"/>
          <w:szCs w:val="18"/>
        </w:rPr>
        <w:t xml:space="preserve"> </w:t>
      </w:r>
      <w:r w:rsidRPr="00735726">
        <w:rPr>
          <w:rFonts w:ascii="Arial" w:hAnsi="Arial" w:cs="Arial"/>
          <w:sz w:val="18"/>
          <w:szCs w:val="18"/>
        </w:rPr>
        <w:t>different lens, on some familiar themes.</w:t>
      </w:r>
    </w:p>
    <w:p w14:paraId="4A793965" w14:textId="77777777" w:rsidR="00023906" w:rsidRPr="00735726" w:rsidRDefault="00FB6980" w:rsidP="00844EFD">
      <w:pPr>
        <w:rPr>
          <w:rFonts w:ascii="Arial" w:hAnsi="Arial" w:cs="Arial"/>
          <w:sz w:val="18"/>
          <w:szCs w:val="18"/>
        </w:rPr>
      </w:pPr>
      <w:r w:rsidRPr="00735726">
        <w:rPr>
          <w:rFonts w:ascii="Arial" w:hAnsi="Arial" w:cs="Arial"/>
          <w:sz w:val="18"/>
          <w:szCs w:val="18"/>
        </w:rPr>
        <w:t>We draw on a wide range of evidence to understand</w:t>
      </w:r>
      <w:r w:rsidR="00023906" w:rsidRPr="00735726">
        <w:rPr>
          <w:rFonts w:ascii="Arial" w:hAnsi="Arial" w:cs="Arial"/>
          <w:sz w:val="18"/>
          <w:szCs w:val="18"/>
        </w:rPr>
        <w:t xml:space="preserve"> </w:t>
      </w:r>
      <w:r w:rsidRPr="00735726">
        <w:rPr>
          <w:rFonts w:ascii="Arial" w:hAnsi="Arial" w:cs="Arial"/>
          <w:sz w:val="18"/>
          <w:szCs w:val="18"/>
        </w:rPr>
        <w:t>customer needs and expectations. Building on our extensive</w:t>
      </w:r>
      <w:r w:rsidR="00023906" w:rsidRPr="00735726">
        <w:rPr>
          <w:rFonts w:ascii="Arial" w:hAnsi="Arial" w:cs="Arial"/>
          <w:sz w:val="18"/>
          <w:szCs w:val="18"/>
        </w:rPr>
        <w:t xml:space="preserve"> </w:t>
      </w:r>
      <w:r w:rsidRPr="00735726">
        <w:rPr>
          <w:rFonts w:ascii="Arial" w:hAnsi="Arial" w:cs="Arial"/>
          <w:sz w:val="18"/>
          <w:szCs w:val="18"/>
        </w:rPr>
        <w:t>PR24 research programme, we engage continuously through</w:t>
      </w:r>
      <w:r w:rsidR="00023906" w:rsidRPr="00735726">
        <w:rPr>
          <w:rFonts w:ascii="Arial" w:hAnsi="Arial" w:cs="Arial"/>
          <w:sz w:val="18"/>
          <w:szCs w:val="18"/>
        </w:rPr>
        <w:t xml:space="preserve"> </w:t>
      </w:r>
      <w:r w:rsidRPr="00735726">
        <w:rPr>
          <w:rFonts w:ascii="Arial" w:hAnsi="Arial" w:cs="Arial"/>
          <w:sz w:val="18"/>
          <w:szCs w:val="18"/>
        </w:rPr>
        <w:t>service surveys, post</w:t>
      </w:r>
      <w:r w:rsidRPr="00735726">
        <w:rPr>
          <w:rFonts w:ascii="Cambria Math" w:hAnsi="Cambria Math" w:cs="Cambria Math"/>
          <w:sz w:val="18"/>
          <w:szCs w:val="18"/>
        </w:rPr>
        <w:t>‑</w:t>
      </w:r>
      <w:r w:rsidRPr="00735726">
        <w:rPr>
          <w:rFonts w:ascii="Arial" w:hAnsi="Arial" w:cs="Arial"/>
          <w:sz w:val="18"/>
          <w:szCs w:val="18"/>
        </w:rPr>
        <w:t>interaction feedback,</w:t>
      </w:r>
      <w:r w:rsidR="00023906" w:rsidRPr="00735726">
        <w:rPr>
          <w:rFonts w:ascii="Arial" w:hAnsi="Arial" w:cs="Arial"/>
          <w:sz w:val="18"/>
          <w:szCs w:val="18"/>
        </w:rPr>
        <w:t xml:space="preserve"> </w:t>
      </w:r>
      <w:r w:rsidRPr="00735726">
        <w:rPr>
          <w:rFonts w:ascii="Arial" w:hAnsi="Arial" w:cs="Arial"/>
          <w:sz w:val="18"/>
          <w:szCs w:val="18"/>
        </w:rPr>
        <w:t>post</w:t>
      </w:r>
      <w:r w:rsidRPr="00735726">
        <w:rPr>
          <w:rFonts w:ascii="Cambria Math" w:hAnsi="Cambria Math" w:cs="Cambria Math"/>
          <w:sz w:val="18"/>
          <w:szCs w:val="18"/>
        </w:rPr>
        <w:t>‑</w:t>
      </w:r>
      <w:r w:rsidRPr="00735726">
        <w:rPr>
          <w:rFonts w:ascii="Arial" w:hAnsi="Arial" w:cs="Arial"/>
          <w:sz w:val="18"/>
          <w:szCs w:val="18"/>
        </w:rPr>
        <w:t>event</w:t>
      </w:r>
      <w:r w:rsidR="00023906" w:rsidRPr="00735726">
        <w:rPr>
          <w:rFonts w:ascii="Arial" w:hAnsi="Arial" w:cs="Arial"/>
          <w:sz w:val="18"/>
          <w:szCs w:val="18"/>
        </w:rPr>
        <w:t xml:space="preserve"> </w:t>
      </w:r>
      <w:r w:rsidRPr="00735726">
        <w:rPr>
          <w:rFonts w:ascii="Arial" w:hAnsi="Arial" w:cs="Arial"/>
          <w:sz w:val="18"/>
          <w:szCs w:val="18"/>
        </w:rPr>
        <w:t>reviews and targeted research, alongside ongoing dialogue</w:t>
      </w:r>
      <w:r w:rsidR="00023906" w:rsidRPr="00735726">
        <w:rPr>
          <w:rFonts w:ascii="Arial" w:hAnsi="Arial" w:cs="Arial"/>
          <w:sz w:val="18"/>
          <w:szCs w:val="18"/>
        </w:rPr>
        <w:t xml:space="preserve"> </w:t>
      </w:r>
      <w:r w:rsidRPr="00735726">
        <w:rPr>
          <w:rFonts w:ascii="Arial" w:hAnsi="Arial" w:cs="Arial"/>
          <w:sz w:val="18"/>
          <w:szCs w:val="18"/>
        </w:rPr>
        <w:t xml:space="preserve">with the </w:t>
      </w:r>
      <w:proofErr w:type="spellStart"/>
      <w:r w:rsidRPr="00735726">
        <w:rPr>
          <w:rFonts w:ascii="Arial" w:hAnsi="Arial" w:cs="Arial"/>
          <w:sz w:val="18"/>
          <w:szCs w:val="18"/>
        </w:rPr>
        <w:t>WaterShare</w:t>
      </w:r>
      <w:proofErr w:type="spellEnd"/>
      <w:r w:rsidRPr="00735726">
        <w:rPr>
          <w:rFonts w:ascii="Arial" w:hAnsi="Arial" w:cs="Arial"/>
          <w:sz w:val="18"/>
          <w:szCs w:val="18"/>
        </w:rPr>
        <w:t>+ panel. This helps</w:t>
      </w:r>
      <w:r w:rsidR="00023906" w:rsidRPr="00735726">
        <w:rPr>
          <w:rFonts w:ascii="Arial" w:hAnsi="Arial" w:cs="Arial"/>
          <w:sz w:val="18"/>
          <w:szCs w:val="18"/>
        </w:rPr>
        <w:t xml:space="preserve"> </w:t>
      </w:r>
      <w:r w:rsidRPr="00735726">
        <w:rPr>
          <w:rFonts w:ascii="Arial" w:hAnsi="Arial" w:cs="Arial"/>
          <w:sz w:val="18"/>
          <w:szCs w:val="18"/>
        </w:rPr>
        <w:t>us understand not</w:t>
      </w:r>
      <w:r w:rsidR="00023906" w:rsidRPr="00735726">
        <w:rPr>
          <w:rFonts w:ascii="Arial" w:hAnsi="Arial" w:cs="Arial"/>
          <w:sz w:val="18"/>
          <w:szCs w:val="18"/>
        </w:rPr>
        <w:t xml:space="preserve"> </w:t>
      </w:r>
      <w:r w:rsidRPr="00735726">
        <w:rPr>
          <w:rFonts w:ascii="Arial" w:hAnsi="Arial" w:cs="Arial"/>
          <w:sz w:val="18"/>
          <w:szCs w:val="18"/>
        </w:rPr>
        <w:t>only how customers experience our services, but where</w:t>
      </w:r>
      <w:r w:rsidR="00023906" w:rsidRPr="00735726">
        <w:rPr>
          <w:rFonts w:ascii="Arial" w:hAnsi="Arial" w:cs="Arial"/>
          <w:sz w:val="18"/>
          <w:szCs w:val="18"/>
        </w:rPr>
        <w:t xml:space="preserve"> </w:t>
      </w:r>
      <w:r w:rsidRPr="00735726">
        <w:rPr>
          <w:rFonts w:ascii="Arial" w:hAnsi="Arial" w:cs="Arial"/>
          <w:sz w:val="18"/>
          <w:szCs w:val="18"/>
        </w:rPr>
        <w:t>expectations are changing and where we need to improve.</w:t>
      </w:r>
      <w:r w:rsidR="00023906" w:rsidRPr="00735726">
        <w:rPr>
          <w:rFonts w:ascii="Arial" w:hAnsi="Arial" w:cs="Arial"/>
          <w:sz w:val="18"/>
          <w:szCs w:val="18"/>
        </w:rPr>
        <w:t xml:space="preserve"> </w:t>
      </w:r>
    </w:p>
    <w:p w14:paraId="4D1E257D" w14:textId="1AC2A657" w:rsidR="00FB6980" w:rsidRPr="00735726" w:rsidRDefault="00FB6980" w:rsidP="00844EFD">
      <w:pPr>
        <w:rPr>
          <w:rFonts w:ascii="Arial" w:hAnsi="Arial" w:cs="Arial"/>
          <w:sz w:val="18"/>
          <w:szCs w:val="18"/>
        </w:rPr>
      </w:pPr>
      <w:r w:rsidRPr="00735726">
        <w:rPr>
          <w:rFonts w:ascii="Arial" w:hAnsi="Arial" w:cs="Arial"/>
          <w:sz w:val="18"/>
          <w:szCs w:val="18"/>
        </w:rPr>
        <w:lastRenderedPageBreak/>
        <w:t>During 2025/26, we completed 15 post</w:t>
      </w:r>
      <w:r w:rsidRPr="00735726">
        <w:rPr>
          <w:rFonts w:ascii="Cambria Math" w:hAnsi="Cambria Math" w:cs="Cambria Math"/>
          <w:sz w:val="18"/>
          <w:szCs w:val="18"/>
        </w:rPr>
        <w:t>‑</w:t>
      </w:r>
      <w:r w:rsidRPr="00735726">
        <w:rPr>
          <w:rFonts w:ascii="Arial" w:hAnsi="Arial" w:cs="Arial"/>
          <w:sz w:val="18"/>
          <w:szCs w:val="18"/>
        </w:rPr>
        <w:t>event feedback</w:t>
      </w:r>
      <w:r w:rsidR="00023906" w:rsidRPr="00735726">
        <w:rPr>
          <w:rFonts w:ascii="Arial" w:hAnsi="Arial" w:cs="Arial"/>
          <w:sz w:val="18"/>
          <w:szCs w:val="18"/>
        </w:rPr>
        <w:t xml:space="preserve"> </w:t>
      </w:r>
      <w:r w:rsidRPr="00735726">
        <w:rPr>
          <w:rFonts w:ascii="Arial" w:hAnsi="Arial" w:cs="Arial"/>
          <w:sz w:val="18"/>
          <w:szCs w:val="18"/>
        </w:rPr>
        <w:t xml:space="preserve">surveys across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Bournemouth Water</w:t>
      </w:r>
      <w:r w:rsidR="00023906" w:rsidRPr="00735726">
        <w:rPr>
          <w:rFonts w:ascii="Arial" w:hAnsi="Arial" w:cs="Arial"/>
          <w:sz w:val="18"/>
          <w:szCs w:val="18"/>
        </w:rPr>
        <w:t xml:space="preserve"> </w:t>
      </w:r>
      <w:r w:rsidRPr="00735726">
        <w:rPr>
          <w:rFonts w:ascii="Arial" w:hAnsi="Arial" w:cs="Arial"/>
          <w:sz w:val="18"/>
          <w:szCs w:val="18"/>
        </w:rPr>
        <w:t>and Bristol Water. Customers shared their views on</w:t>
      </w:r>
      <w:r w:rsidR="00023906" w:rsidRPr="00735726">
        <w:rPr>
          <w:rFonts w:ascii="Arial" w:hAnsi="Arial" w:cs="Arial"/>
          <w:sz w:val="18"/>
          <w:szCs w:val="18"/>
        </w:rPr>
        <w:t xml:space="preserve"> </w:t>
      </w:r>
      <w:r w:rsidRPr="00735726">
        <w:rPr>
          <w:rFonts w:ascii="Arial" w:hAnsi="Arial" w:cs="Arial"/>
          <w:sz w:val="18"/>
          <w:szCs w:val="18"/>
        </w:rPr>
        <w:t>how incidents were handled, including the clarity and</w:t>
      </w:r>
      <w:r w:rsidR="00023906" w:rsidRPr="00735726">
        <w:rPr>
          <w:rFonts w:ascii="Arial" w:hAnsi="Arial" w:cs="Arial"/>
          <w:sz w:val="18"/>
          <w:szCs w:val="18"/>
        </w:rPr>
        <w:t xml:space="preserve"> </w:t>
      </w:r>
      <w:r w:rsidRPr="00735726">
        <w:rPr>
          <w:rFonts w:ascii="Arial" w:hAnsi="Arial" w:cs="Arial"/>
          <w:sz w:val="18"/>
          <w:szCs w:val="18"/>
        </w:rPr>
        <w:t>timeliness of communication, speed of resolution, overall</w:t>
      </w:r>
      <w:r w:rsidR="00023906" w:rsidRPr="00735726">
        <w:rPr>
          <w:rFonts w:ascii="Arial" w:hAnsi="Arial" w:cs="Arial"/>
          <w:sz w:val="18"/>
          <w:szCs w:val="18"/>
        </w:rPr>
        <w:t xml:space="preserve"> </w:t>
      </w:r>
      <w:r w:rsidRPr="00735726">
        <w:rPr>
          <w:rFonts w:ascii="Arial" w:hAnsi="Arial" w:cs="Arial"/>
          <w:sz w:val="18"/>
          <w:szCs w:val="18"/>
        </w:rPr>
        <w:t>satisfaction and the support provided to customers on</w:t>
      </w:r>
      <w:r w:rsidR="00023906" w:rsidRPr="00735726">
        <w:rPr>
          <w:rFonts w:ascii="Arial" w:hAnsi="Arial" w:cs="Arial"/>
          <w:sz w:val="18"/>
          <w:szCs w:val="18"/>
        </w:rPr>
        <w:t xml:space="preserve"> </w:t>
      </w:r>
      <w:r w:rsidRPr="00735726">
        <w:rPr>
          <w:rFonts w:ascii="Arial" w:hAnsi="Arial" w:cs="Arial"/>
          <w:sz w:val="18"/>
          <w:szCs w:val="18"/>
        </w:rPr>
        <w:t>the Priority Services Register. This feedback has directly</w:t>
      </w:r>
      <w:r w:rsidR="00023906" w:rsidRPr="00735726">
        <w:rPr>
          <w:rFonts w:ascii="Arial" w:hAnsi="Arial" w:cs="Arial"/>
          <w:sz w:val="18"/>
          <w:szCs w:val="18"/>
        </w:rPr>
        <w:t xml:space="preserve"> </w:t>
      </w:r>
      <w:r w:rsidRPr="00735726">
        <w:rPr>
          <w:rFonts w:ascii="Arial" w:hAnsi="Arial" w:cs="Arial"/>
          <w:sz w:val="18"/>
          <w:szCs w:val="18"/>
        </w:rPr>
        <w:t>informed improvements to incident communications,</w:t>
      </w:r>
      <w:r w:rsidR="00023906" w:rsidRPr="00735726">
        <w:rPr>
          <w:rFonts w:ascii="Arial" w:hAnsi="Arial" w:cs="Arial"/>
          <w:sz w:val="18"/>
          <w:szCs w:val="18"/>
        </w:rPr>
        <w:t xml:space="preserve"> </w:t>
      </w:r>
      <w:r w:rsidRPr="00735726">
        <w:rPr>
          <w:rFonts w:ascii="Arial" w:hAnsi="Arial" w:cs="Arial"/>
          <w:sz w:val="18"/>
          <w:szCs w:val="18"/>
        </w:rPr>
        <w:t>service recovery arrangements and the way we help</w:t>
      </w:r>
      <w:r w:rsidR="00023906" w:rsidRPr="00735726">
        <w:rPr>
          <w:rFonts w:ascii="Arial" w:hAnsi="Arial" w:cs="Arial"/>
          <w:sz w:val="18"/>
          <w:szCs w:val="18"/>
        </w:rPr>
        <w:t xml:space="preserve"> </w:t>
      </w:r>
      <w:r w:rsidRPr="00735726">
        <w:rPr>
          <w:rFonts w:ascii="Arial" w:hAnsi="Arial" w:cs="Arial"/>
          <w:sz w:val="18"/>
          <w:szCs w:val="18"/>
        </w:rPr>
        <w:t>customers who need extra support.</w:t>
      </w:r>
    </w:p>
    <w:p w14:paraId="61D48E1E" w14:textId="2D82DEF2" w:rsidR="00FB6980" w:rsidRPr="00735726" w:rsidRDefault="00FB6980" w:rsidP="00844EFD">
      <w:pPr>
        <w:rPr>
          <w:rFonts w:ascii="Arial" w:hAnsi="Arial" w:cs="Arial"/>
          <w:sz w:val="18"/>
          <w:szCs w:val="18"/>
        </w:rPr>
      </w:pPr>
      <w:r w:rsidRPr="00735726">
        <w:rPr>
          <w:rFonts w:ascii="Arial" w:hAnsi="Arial" w:cs="Arial"/>
          <w:sz w:val="18"/>
          <w:szCs w:val="18"/>
        </w:rPr>
        <w:t>Insight from customers is complemented by independent</w:t>
      </w:r>
      <w:r w:rsidR="00023906" w:rsidRPr="00735726">
        <w:rPr>
          <w:rFonts w:ascii="Arial" w:hAnsi="Arial" w:cs="Arial"/>
          <w:sz w:val="18"/>
          <w:szCs w:val="18"/>
        </w:rPr>
        <w:t xml:space="preserve"> </w:t>
      </w:r>
      <w:r w:rsidRPr="00735726">
        <w:rPr>
          <w:rFonts w:ascii="Arial" w:hAnsi="Arial" w:cs="Arial"/>
          <w:sz w:val="18"/>
          <w:szCs w:val="18"/>
        </w:rPr>
        <w:t>and comparative evidence. We triangulate our own</w:t>
      </w:r>
      <w:r w:rsidR="00023906" w:rsidRPr="00735726">
        <w:rPr>
          <w:rFonts w:ascii="Arial" w:hAnsi="Arial" w:cs="Arial"/>
          <w:sz w:val="18"/>
          <w:szCs w:val="18"/>
        </w:rPr>
        <w:t xml:space="preserve"> </w:t>
      </w:r>
      <w:r w:rsidRPr="00735726">
        <w:rPr>
          <w:rFonts w:ascii="Arial" w:hAnsi="Arial" w:cs="Arial"/>
          <w:sz w:val="18"/>
          <w:szCs w:val="18"/>
        </w:rPr>
        <w:t>research with wider industry insight, including CCW’s</w:t>
      </w:r>
      <w:r w:rsidR="00023906" w:rsidRPr="00735726">
        <w:rPr>
          <w:rFonts w:ascii="Arial" w:hAnsi="Arial" w:cs="Arial"/>
          <w:sz w:val="18"/>
          <w:szCs w:val="18"/>
        </w:rPr>
        <w:t xml:space="preserve"> </w:t>
      </w:r>
      <w:r w:rsidRPr="00735726">
        <w:rPr>
          <w:rFonts w:ascii="Arial" w:hAnsi="Arial" w:cs="Arial"/>
          <w:sz w:val="18"/>
          <w:szCs w:val="18"/>
        </w:rPr>
        <w:t>Water Matters survey, the UK Customer Satisfaction</w:t>
      </w:r>
      <w:r w:rsidR="00DB0F53" w:rsidRPr="00735726">
        <w:rPr>
          <w:rFonts w:ascii="Arial" w:hAnsi="Arial" w:cs="Arial"/>
          <w:sz w:val="18"/>
          <w:szCs w:val="18"/>
        </w:rPr>
        <w:t xml:space="preserve"> </w:t>
      </w:r>
      <w:r w:rsidRPr="00735726">
        <w:rPr>
          <w:rFonts w:ascii="Arial" w:hAnsi="Arial" w:cs="Arial"/>
          <w:sz w:val="18"/>
          <w:szCs w:val="18"/>
        </w:rPr>
        <w:t>Index (UKCSI), business benchmarking and C</w:t>
      </w:r>
      <w:r w:rsidRPr="00735726">
        <w:rPr>
          <w:rFonts w:ascii="Cambria Math" w:hAnsi="Cambria Math" w:cs="Cambria Math"/>
          <w:sz w:val="18"/>
          <w:szCs w:val="18"/>
        </w:rPr>
        <w:t>‑</w:t>
      </w:r>
      <w:proofErr w:type="spellStart"/>
      <w:r w:rsidRPr="00735726">
        <w:rPr>
          <w:rFonts w:ascii="Arial" w:hAnsi="Arial" w:cs="Arial"/>
          <w:sz w:val="18"/>
          <w:szCs w:val="18"/>
        </w:rPr>
        <w:t>MeX</w:t>
      </w:r>
      <w:proofErr w:type="spellEnd"/>
      <w:r w:rsidR="00DB0F53" w:rsidRPr="00735726">
        <w:rPr>
          <w:rFonts w:ascii="Arial" w:hAnsi="Arial" w:cs="Arial"/>
          <w:sz w:val="18"/>
          <w:szCs w:val="18"/>
        </w:rPr>
        <w:t xml:space="preserve"> </w:t>
      </w:r>
      <w:r w:rsidRPr="00735726">
        <w:rPr>
          <w:rFonts w:ascii="Arial" w:hAnsi="Arial" w:cs="Arial"/>
          <w:sz w:val="18"/>
          <w:szCs w:val="18"/>
        </w:rPr>
        <w:t>results. This ensures our priorities are evidence</w:t>
      </w:r>
      <w:r w:rsidRPr="00735726">
        <w:rPr>
          <w:rFonts w:ascii="Cambria Math" w:hAnsi="Cambria Math" w:cs="Cambria Math"/>
          <w:sz w:val="18"/>
          <w:szCs w:val="18"/>
        </w:rPr>
        <w:t>‑</w:t>
      </w:r>
      <w:r w:rsidRPr="00735726">
        <w:rPr>
          <w:rFonts w:ascii="Arial" w:hAnsi="Arial" w:cs="Arial"/>
          <w:sz w:val="18"/>
          <w:szCs w:val="18"/>
        </w:rPr>
        <w:t>based,</w:t>
      </w:r>
      <w:r w:rsidR="00DB0F53" w:rsidRPr="00735726">
        <w:rPr>
          <w:rFonts w:ascii="Arial" w:hAnsi="Arial" w:cs="Arial"/>
          <w:sz w:val="18"/>
          <w:szCs w:val="18"/>
        </w:rPr>
        <w:t xml:space="preserve"> </w:t>
      </w:r>
      <w:r w:rsidRPr="00735726">
        <w:rPr>
          <w:rFonts w:ascii="Arial" w:hAnsi="Arial" w:cs="Arial"/>
          <w:sz w:val="18"/>
          <w:szCs w:val="18"/>
        </w:rPr>
        <w:t>consistently benchmarked against peers, and aligned</w:t>
      </w:r>
      <w:r w:rsidR="00DB0F53" w:rsidRPr="00735726">
        <w:rPr>
          <w:rFonts w:ascii="Arial" w:hAnsi="Arial" w:cs="Arial"/>
          <w:sz w:val="18"/>
          <w:szCs w:val="18"/>
        </w:rPr>
        <w:t xml:space="preserve"> </w:t>
      </w:r>
      <w:r w:rsidRPr="00735726">
        <w:rPr>
          <w:rFonts w:ascii="Arial" w:hAnsi="Arial" w:cs="Arial"/>
          <w:sz w:val="18"/>
          <w:szCs w:val="18"/>
        </w:rPr>
        <w:t>with what customers tell us matters most.</w:t>
      </w:r>
    </w:p>
    <w:p w14:paraId="38BB0EB6" w14:textId="69305818" w:rsidR="00FB6980" w:rsidRPr="00735726" w:rsidRDefault="00FB6980" w:rsidP="00844EFD">
      <w:pPr>
        <w:rPr>
          <w:rFonts w:ascii="Arial" w:hAnsi="Arial" w:cs="Arial"/>
          <w:sz w:val="18"/>
          <w:szCs w:val="18"/>
        </w:rPr>
      </w:pPr>
      <w:r w:rsidRPr="00735726">
        <w:rPr>
          <w:rFonts w:ascii="Arial" w:hAnsi="Arial" w:cs="Arial"/>
          <w:sz w:val="18"/>
          <w:szCs w:val="18"/>
        </w:rPr>
        <w:t>Taken together, this approach ensures that listening to</w:t>
      </w:r>
      <w:r w:rsidR="00DB0F53" w:rsidRPr="00735726">
        <w:rPr>
          <w:rFonts w:ascii="Arial" w:hAnsi="Arial" w:cs="Arial"/>
          <w:sz w:val="18"/>
          <w:szCs w:val="18"/>
        </w:rPr>
        <w:t xml:space="preserve"> </w:t>
      </w:r>
      <w:r w:rsidRPr="00735726">
        <w:rPr>
          <w:rFonts w:ascii="Arial" w:hAnsi="Arial" w:cs="Arial"/>
          <w:sz w:val="18"/>
          <w:szCs w:val="18"/>
        </w:rPr>
        <w:t>customers is not a one</w:t>
      </w:r>
      <w:r w:rsidRPr="00735726">
        <w:rPr>
          <w:rFonts w:ascii="Cambria Math" w:hAnsi="Cambria Math" w:cs="Cambria Math"/>
          <w:sz w:val="18"/>
          <w:szCs w:val="18"/>
        </w:rPr>
        <w:t>‑</w:t>
      </w:r>
      <w:r w:rsidRPr="00735726">
        <w:rPr>
          <w:rFonts w:ascii="Arial" w:hAnsi="Arial" w:cs="Arial"/>
          <w:sz w:val="18"/>
          <w:szCs w:val="18"/>
        </w:rPr>
        <w:t>off exercise, but an integral part of</w:t>
      </w:r>
      <w:r w:rsidR="00DB0F53" w:rsidRPr="00735726">
        <w:rPr>
          <w:rFonts w:ascii="Arial" w:hAnsi="Arial" w:cs="Arial"/>
          <w:sz w:val="18"/>
          <w:szCs w:val="18"/>
        </w:rPr>
        <w:t xml:space="preserve"> </w:t>
      </w:r>
      <w:r w:rsidRPr="00735726">
        <w:rPr>
          <w:rFonts w:ascii="Arial" w:hAnsi="Arial" w:cs="Arial"/>
          <w:sz w:val="18"/>
          <w:szCs w:val="18"/>
        </w:rPr>
        <w:t xml:space="preserve">how we plan, deliver and improve services </w:t>
      </w:r>
      <w:r w:rsidR="009C69C9" w:rsidRPr="00735726">
        <w:rPr>
          <w:rFonts w:ascii="Arial" w:hAnsi="Arial" w:cs="Arial"/>
          <w:sz w:val="18"/>
          <w:szCs w:val="18"/>
        </w:rPr>
        <w:t xml:space="preserve">- </w:t>
      </w:r>
      <w:r w:rsidRPr="00735726">
        <w:rPr>
          <w:rFonts w:ascii="Arial" w:hAnsi="Arial" w:cs="Arial"/>
          <w:sz w:val="18"/>
          <w:szCs w:val="18"/>
        </w:rPr>
        <w:t>supporting</w:t>
      </w:r>
      <w:r w:rsidR="00DB0F53" w:rsidRPr="00735726">
        <w:rPr>
          <w:rFonts w:ascii="Arial" w:hAnsi="Arial" w:cs="Arial"/>
          <w:sz w:val="18"/>
          <w:szCs w:val="18"/>
        </w:rPr>
        <w:t xml:space="preserve"> </w:t>
      </w:r>
      <w:r w:rsidRPr="00735726">
        <w:rPr>
          <w:rFonts w:ascii="Arial" w:hAnsi="Arial" w:cs="Arial"/>
          <w:sz w:val="18"/>
          <w:szCs w:val="18"/>
        </w:rPr>
        <w:t>better outcomes now and improving further as we</w:t>
      </w:r>
      <w:r w:rsidR="00DB0F53" w:rsidRPr="00735726">
        <w:rPr>
          <w:rFonts w:ascii="Arial" w:hAnsi="Arial" w:cs="Arial"/>
          <w:sz w:val="18"/>
          <w:szCs w:val="18"/>
        </w:rPr>
        <w:t xml:space="preserve"> </w:t>
      </w:r>
      <w:r w:rsidRPr="00735726">
        <w:rPr>
          <w:rFonts w:ascii="Arial" w:hAnsi="Arial" w:cs="Arial"/>
          <w:sz w:val="18"/>
          <w:szCs w:val="18"/>
        </w:rPr>
        <w:t>deliver</w:t>
      </w:r>
      <w:r w:rsidR="00DB0F53" w:rsidRPr="00735726">
        <w:rPr>
          <w:rFonts w:ascii="Arial" w:hAnsi="Arial" w:cs="Arial"/>
          <w:sz w:val="18"/>
          <w:szCs w:val="18"/>
        </w:rPr>
        <w:t xml:space="preserve"> </w:t>
      </w:r>
      <w:r w:rsidRPr="00735726">
        <w:rPr>
          <w:rFonts w:ascii="Arial" w:hAnsi="Arial" w:cs="Arial"/>
          <w:sz w:val="18"/>
          <w:szCs w:val="18"/>
        </w:rPr>
        <w:t>our investment programme over the coming years.</w:t>
      </w:r>
    </w:p>
    <w:p w14:paraId="66A2937E" w14:textId="7EB08BBF" w:rsidR="00FB6980" w:rsidRPr="00735726" w:rsidRDefault="00FB6980" w:rsidP="00844EFD">
      <w:pPr>
        <w:rPr>
          <w:rFonts w:ascii="Arial" w:hAnsi="Arial" w:cs="Arial"/>
          <w:sz w:val="18"/>
          <w:szCs w:val="18"/>
        </w:rPr>
      </w:pPr>
      <w:r w:rsidRPr="00735726">
        <w:rPr>
          <w:rFonts w:ascii="Arial" w:hAnsi="Arial" w:cs="Arial"/>
          <w:sz w:val="18"/>
          <w:szCs w:val="18"/>
        </w:rPr>
        <w:t xml:space="preserve">Our </w:t>
      </w:r>
      <w:proofErr w:type="spellStart"/>
      <w:r w:rsidRPr="00735726">
        <w:rPr>
          <w:rFonts w:ascii="Arial" w:hAnsi="Arial" w:cs="Arial"/>
          <w:sz w:val="18"/>
          <w:szCs w:val="18"/>
        </w:rPr>
        <w:t>WaterShare</w:t>
      </w:r>
      <w:proofErr w:type="spellEnd"/>
      <w:r w:rsidRPr="00735726">
        <w:rPr>
          <w:rFonts w:ascii="Arial" w:hAnsi="Arial" w:cs="Arial"/>
          <w:sz w:val="18"/>
          <w:szCs w:val="18"/>
        </w:rPr>
        <w:t>+ model enables customers to hold</w:t>
      </w:r>
      <w:r w:rsidR="00DB0F53" w:rsidRPr="00735726">
        <w:rPr>
          <w:rFonts w:ascii="Arial" w:hAnsi="Arial" w:cs="Arial"/>
          <w:sz w:val="18"/>
          <w:szCs w:val="18"/>
        </w:rPr>
        <w:t xml:space="preserve"> </w:t>
      </w:r>
      <w:r w:rsidRPr="00735726">
        <w:rPr>
          <w:rFonts w:ascii="Arial" w:hAnsi="Arial" w:cs="Arial"/>
          <w:sz w:val="18"/>
          <w:szCs w:val="18"/>
        </w:rPr>
        <w:t xml:space="preserve">shares in </w:t>
      </w:r>
      <w:r w:rsidR="00A65058" w:rsidRPr="00735726">
        <w:rPr>
          <w:rFonts w:ascii="Arial" w:hAnsi="Arial" w:cs="Arial"/>
          <w:sz w:val="18"/>
          <w:szCs w:val="18"/>
        </w:rPr>
        <w:t xml:space="preserve">our parent </w:t>
      </w:r>
      <w:r w:rsidR="003B36A4" w:rsidRPr="00735726">
        <w:rPr>
          <w:rFonts w:ascii="Arial" w:hAnsi="Arial" w:cs="Arial"/>
          <w:sz w:val="18"/>
          <w:szCs w:val="18"/>
        </w:rPr>
        <w:t>C</w:t>
      </w:r>
      <w:r w:rsidR="00A65058" w:rsidRPr="00735726">
        <w:rPr>
          <w:rFonts w:ascii="Arial" w:hAnsi="Arial" w:cs="Arial"/>
          <w:sz w:val="18"/>
          <w:szCs w:val="18"/>
        </w:rPr>
        <w:t xml:space="preserve">ompany, </w:t>
      </w:r>
      <w:r w:rsidRPr="00735726">
        <w:rPr>
          <w:rFonts w:ascii="Arial" w:hAnsi="Arial" w:cs="Arial"/>
          <w:sz w:val="18"/>
          <w:szCs w:val="18"/>
        </w:rPr>
        <w:t>Pennon Group</w:t>
      </w:r>
      <w:r w:rsidR="0078265F" w:rsidRPr="00735726">
        <w:rPr>
          <w:rFonts w:ascii="Arial" w:hAnsi="Arial" w:cs="Arial"/>
          <w:sz w:val="18"/>
          <w:szCs w:val="18"/>
        </w:rPr>
        <w:t xml:space="preserve"> plc</w:t>
      </w:r>
      <w:r w:rsidRPr="00735726">
        <w:rPr>
          <w:rFonts w:ascii="Arial" w:hAnsi="Arial" w:cs="Arial"/>
          <w:sz w:val="18"/>
          <w:szCs w:val="18"/>
        </w:rPr>
        <w:t>, giving them direct ownership in</w:t>
      </w:r>
      <w:r w:rsidR="00DB0F53" w:rsidRPr="00735726">
        <w:rPr>
          <w:rFonts w:ascii="Arial" w:hAnsi="Arial" w:cs="Arial"/>
          <w:sz w:val="18"/>
          <w:szCs w:val="18"/>
        </w:rPr>
        <w:t xml:space="preserve"> </w:t>
      </w:r>
      <w:r w:rsidRPr="00735726">
        <w:rPr>
          <w:rFonts w:ascii="Arial" w:hAnsi="Arial" w:cs="Arial"/>
          <w:sz w:val="18"/>
          <w:szCs w:val="18"/>
        </w:rPr>
        <w:t>their local water company. It also gives all customers the</w:t>
      </w:r>
      <w:r w:rsidR="00DB0F53" w:rsidRPr="00735726">
        <w:rPr>
          <w:rFonts w:ascii="Arial" w:hAnsi="Arial" w:cs="Arial"/>
          <w:sz w:val="18"/>
          <w:szCs w:val="18"/>
        </w:rPr>
        <w:t xml:space="preserve"> </w:t>
      </w:r>
      <w:r w:rsidRPr="00735726">
        <w:rPr>
          <w:rFonts w:ascii="Arial" w:hAnsi="Arial" w:cs="Arial"/>
          <w:sz w:val="18"/>
          <w:szCs w:val="18"/>
        </w:rPr>
        <w:t>ability to speak directly with and challenge us through</w:t>
      </w:r>
      <w:r w:rsidR="00DB0F53" w:rsidRPr="00735726">
        <w:rPr>
          <w:rFonts w:ascii="Arial" w:hAnsi="Arial" w:cs="Arial"/>
          <w:sz w:val="18"/>
          <w:szCs w:val="18"/>
        </w:rPr>
        <w:t xml:space="preserve"> </w:t>
      </w:r>
      <w:r w:rsidRPr="00735726">
        <w:rPr>
          <w:rFonts w:ascii="Arial" w:hAnsi="Arial" w:cs="Arial"/>
          <w:sz w:val="18"/>
          <w:szCs w:val="18"/>
        </w:rPr>
        <w:t xml:space="preserve">our open </w:t>
      </w:r>
      <w:proofErr w:type="spellStart"/>
      <w:r w:rsidRPr="00735726">
        <w:rPr>
          <w:rFonts w:ascii="Arial" w:hAnsi="Arial" w:cs="Arial"/>
          <w:sz w:val="18"/>
          <w:szCs w:val="18"/>
        </w:rPr>
        <w:t>WaterShare</w:t>
      </w:r>
      <w:proofErr w:type="spellEnd"/>
      <w:r w:rsidRPr="00735726">
        <w:rPr>
          <w:rFonts w:ascii="Arial" w:hAnsi="Arial" w:cs="Arial"/>
          <w:sz w:val="18"/>
          <w:szCs w:val="18"/>
        </w:rPr>
        <w:t>+ customer panel meetings. This</w:t>
      </w:r>
      <w:r w:rsidR="00DB0F53" w:rsidRPr="00735726">
        <w:rPr>
          <w:rFonts w:ascii="Arial" w:hAnsi="Arial" w:cs="Arial"/>
          <w:sz w:val="18"/>
          <w:szCs w:val="18"/>
        </w:rPr>
        <w:t xml:space="preserve"> </w:t>
      </w:r>
      <w:r w:rsidRPr="00735726">
        <w:rPr>
          <w:rFonts w:ascii="Arial" w:hAnsi="Arial" w:cs="Arial"/>
          <w:sz w:val="18"/>
          <w:szCs w:val="18"/>
        </w:rPr>
        <w:t>unique model allows customers a greater say in their</w:t>
      </w:r>
      <w:r w:rsidR="00DB0F53" w:rsidRPr="00735726">
        <w:rPr>
          <w:rFonts w:ascii="Arial" w:hAnsi="Arial" w:cs="Arial"/>
          <w:sz w:val="18"/>
          <w:szCs w:val="18"/>
        </w:rPr>
        <w:t xml:space="preserve"> </w:t>
      </w:r>
      <w:r w:rsidRPr="00735726">
        <w:rPr>
          <w:rFonts w:ascii="Arial" w:hAnsi="Arial" w:cs="Arial"/>
          <w:sz w:val="18"/>
          <w:szCs w:val="18"/>
        </w:rPr>
        <w:t>water company, providing customers with a vital platform</w:t>
      </w:r>
      <w:r w:rsidR="00DB0F53" w:rsidRPr="00735726">
        <w:rPr>
          <w:rFonts w:ascii="Arial" w:hAnsi="Arial" w:cs="Arial"/>
          <w:sz w:val="18"/>
          <w:szCs w:val="18"/>
        </w:rPr>
        <w:t xml:space="preserve"> </w:t>
      </w:r>
      <w:r w:rsidRPr="00735726">
        <w:rPr>
          <w:rFonts w:ascii="Arial" w:hAnsi="Arial" w:cs="Arial"/>
          <w:sz w:val="18"/>
          <w:szCs w:val="18"/>
        </w:rPr>
        <w:t>to engage directly with us and play an active role in</w:t>
      </w:r>
      <w:r w:rsidR="00DB0F53" w:rsidRPr="00735726">
        <w:rPr>
          <w:rFonts w:ascii="Arial" w:hAnsi="Arial" w:cs="Arial"/>
          <w:sz w:val="18"/>
          <w:szCs w:val="18"/>
        </w:rPr>
        <w:t xml:space="preserve"> </w:t>
      </w:r>
      <w:r w:rsidRPr="00735726">
        <w:rPr>
          <w:rFonts w:ascii="Arial" w:hAnsi="Arial" w:cs="Arial"/>
          <w:sz w:val="18"/>
          <w:szCs w:val="18"/>
        </w:rPr>
        <w:t>shaping our decisions.</w:t>
      </w:r>
    </w:p>
    <w:p w14:paraId="4D6B1436" w14:textId="298372DC" w:rsidR="00FB6980" w:rsidRPr="00735726" w:rsidRDefault="00FB6980" w:rsidP="00844EFD">
      <w:pPr>
        <w:rPr>
          <w:rFonts w:ascii="Arial" w:hAnsi="Arial" w:cs="Arial"/>
          <w:sz w:val="18"/>
          <w:szCs w:val="18"/>
        </w:rPr>
      </w:pPr>
      <w:r w:rsidRPr="00735726">
        <w:rPr>
          <w:rFonts w:ascii="Arial" w:hAnsi="Arial" w:cs="Arial"/>
          <w:sz w:val="18"/>
          <w:szCs w:val="18"/>
        </w:rPr>
        <w:t>Our independent advisory panel provides review, scrutiny</w:t>
      </w:r>
      <w:r w:rsidR="00DB0F53" w:rsidRPr="00735726">
        <w:rPr>
          <w:rFonts w:ascii="Arial" w:hAnsi="Arial" w:cs="Arial"/>
          <w:sz w:val="18"/>
          <w:szCs w:val="18"/>
        </w:rPr>
        <w:t xml:space="preserve"> </w:t>
      </w:r>
      <w:r w:rsidRPr="00735726">
        <w:rPr>
          <w:rFonts w:ascii="Arial" w:hAnsi="Arial" w:cs="Arial"/>
          <w:sz w:val="18"/>
          <w:szCs w:val="18"/>
        </w:rPr>
        <w:t xml:space="preserve">and challenge of </w:t>
      </w:r>
      <w:proofErr w:type="gramStart"/>
      <w:r w:rsidR="00A65058" w:rsidRPr="00735726">
        <w:rPr>
          <w:rFonts w:ascii="Arial" w:hAnsi="Arial" w:cs="Arial"/>
          <w:sz w:val="18"/>
          <w:szCs w:val="18"/>
        </w:rPr>
        <w:t>South West</w:t>
      </w:r>
      <w:proofErr w:type="gramEnd"/>
      <w:r w:rsidR="00A65058" w:rsidRPr="00735726">
        <w:rPr>
          <w:rFonts w:ascii="Arial" w:hAnsi="Arial" w:cs="Arial"/>
          <w:sz w:val="18"/>
          <w:szCs w:val="18"/>
        </w:rPr>
        <w:t xml:space="preserve"> Water</w:t>
      </w:r>
      <w:r w:rsidRPr="00735726">
        <w:rPr>
          <w:rFonts w:ascii="Arial" w:hAnsi="Arial" w:cs="Arial"/>
          <w:sz w:val="18"/>
          <w:szCs w:val="18"/>
        </w:rPr>
        <w:t xml:space="preserve"> on</w:t>
      </w:r>
      <w:r w:rsidR="00DB0F53" w:rsidRPr="00735726">
        <w:rPr>
          <w:rFonts w:ascii="Arial" w:hAnsi="Arial" w:cs="Arial"/>
          <w:sz w:val="18"/>
          <w:szCs w:val="18"/>
        </w:rPr>
        <w:t xml:space="preserve"> </w:t>
      </w:r>
      <w:r w:rsidRPr="00735726">
        <w:rPr>
          <w:rFonts w:ascii="Arial" w:hAnsi="Arial" w:cs="Arial"/>
          <w:sz w:val="18"/>
          <w:szCs w:val="18"/>
        </w:rPr>
        <w:t>behalf of customers. The panel is supported by expert</w:t>
      </w:r>
      <w:r w:rsidR="00DB0F53" w:rsidRPr="00735726">
        <w:rPr>
          <w:rFonts w:ascii="Arial" w:hAnsi="Arial" w:cs="Arial"/>
          <w:sz w:val="18"/>
          <w:szCs w:val="18"/>
        </w:rPr>
        <w:t xml:space="preserve"> </w:t>
      </w:r>
      <w:r w:rsidRPr="00735726">
        <w:rPr>
          <w:rFonts w:ascii="Arial" w:hAnsi="Arial" w:cs="Arial"/>
          <w:sz w:val="18"/>
          <w:szCs w:val="18"/>
        </w:rPr>
        <w:t>advisers from CCW, the Environment Agency and Natural</w:t>
      </w:r>
      <w:r w:rsidR="00DB0F53" w:rsidRPr="00735726">
        <w:rPr>
          <w:rFonts w:ascii="Arial" w:hAnsi="Arial" w:cs="Arial"/>
          <w:sz w:val="18"/>
          <w:szCs w:val="18"/>
        </w:rPr>
        <w:t xml:space="preserve"> </w:t>
      </w:r>
      <w:r w:rsidRPr="00735726">
        <w:rPr>
          <w:rFonts w:ascii="Arial" w:hAnsi="Arial" w:cs="Arial"/>
          <w:sz w:val="18"/>
          <w:szCs w:val="18"/>
        </w:rPr>
        <w:t>England. These advisers provide specialist insight into</w:t>
      </w:r>
      <w:r w:rsidR="00DB0F53" w:rsidRPr="00735726">
        <w:rPr>
          <w:rFonts w:ascii="Arial" w:hAnsi="Arial" w:cs="Arial"/>
          <w:sz w:val="18"/>
          <w:szCs w:val="18"/>
        </w:rPr>
        <w:t xml:space="preserve"> </w:t>
      </w:r>
      <w:r w:rsidRPr="00735726">
        <w:rPr>
          <w:rFonts w:ascii="Arial" w:hAnsi="Arial" w:cs="Arial"/>
          <w:sz w:val="18"/>
          <w:szCs w:val="18"/>
        </w:rPr>
        <w:t>Company and wider industry performance. The panel also</w:t>
      </w:r>
      <w:r w:rsidR="00DB0F53" w:rsidRPr="00735726">
        <w:rPr>
          <w:rFonts w:ascii="Arial" w:hAnsi="Arial" w:cs="Arial"/>
          <w:sz w:val="18"/>
          <w:szCs w:val="18"/>
        </w:rPr>
        <w:t xml:space="preserve"> </w:t>
      </w:r>
      <w:r w:rsidRPr="00735726">
        <w:rPr>
          <w:rFonts w:ascii="Arial" w:hAnsi="Arial" w:cs="Arial"/>
          <w:sz w:val="18"/>
          <w:szCs w:val="18"/>
        </w:rPr>
        <w:t>has unrestricted, independent access to the Company’s</w:t>
      </w:r>
      <w:r w:rsidR="00DB0F53" w:rsidRPr="00735726">
        <w:rPr>
          <w:rFonts w:ascii="Arial" w:hAnsi="Arial" w:cs="Arial"/>
          <w:sz w:val="18"/>
          <w:szCs w:val="18"/>
        </w:rPr>
        <w:t xml:space="preserve"> </w:t>
      </w:r>
      <w:r w:rsidRPr="00735726">
        <w:rPr>
          <w:rFonts w:ascii="Arial" w:hAnsi="Arial" w:cs="Arial"/>
          <w:sz w:val="18"/>
          <w:szCs w:val="18"/>
        </w:rPr>
        <w:t>technical auditors.</w:t>
      </w:r>
    </w:p>
    <w:p w14:paraId="1EDEB31E" w14:textId="009ED5FB" w:rsidR="00FB6980" w:rsidRPr="00735726" w:rsidRDefault="00FB6980" w:rsidP="00844EFD">
      <w:pPr>
        <w:rPr>
          <w:rFonts w:ascii="Arial" w:hAnsi="Arial" w:cs="Arial"/>
          <w:sz w:val="18"/>
          <w:szCs w:val="18"/>
        </w:rPr>
      </w:pPr>
      <w:r w:rsidRPr="00735726">
        <w:rPr>
          <w:rFonts w:ascii="Arial" w:hAnsi="Arial" w:cs="Arial"/>
          <w:sz w:val="18"/>
          <w:szCs w:val="18"/>
        </w:rPr>
        <w:t>During 2025/26, the panel’s focus has shifted from</w:t>
      </w:r>
      <w:r w:rsidR="00DB0F53" w:rsidRPr="00735726">
        <w:rPr>
          <w:rFonts w:ascii="Arial" w:hAnsi="Arial" w:cs="Arial"/>
          <w:sz w:val="18"/>
          <w:szCs w:val="18"/>
        </w:rPr>
        <w:t xml:space="preserve"> </w:t>
      </w:r>
      <w:r w:rsidRPr="00735726">
        <w:rPr>
          <w:rFonts w:ascii="Arial" w:hAnsi="Arial" w:cs="Arial"/>
          <w:sz w:val="18"/>
          <w:szCs w:val="18"/>
        </w:rPr>
        <w:t>development of the business plan to scrutiny of</w:t>
      </w:r>
      <w:r w:rsidR="00DB0F53" w:rsidRPr="00735726">
        <w:rPr>
          <w:rFonts w:ascii="Arial" w:hAnsi="Arial" w:cs="Arial"/>
          <w:sz w:val="18"/>
          <w:szCs w:val="18"/>
        </w:rPr>
        <w:t xml:space="preserve"> </w:t>
      </w:r>
      <w:r w:rsidRPr="00735726">
        <w:rPr>
          <w:rFonts w:ascii="Arial" w:hAnsi="Arial" w:cs="Arial"/>
          <w:sz w:val="18"/>
          <w:szCs w:val="18"/>
        </w:rPr>
        <w:t xml:space="preserve">implementation, challenging the </w:t>
      </w:r>
      <w:r w:rsidR="00A65058" w:rsidRPr="00735726">
        <w:rPr>
          <w:rFonts w:ascii="Arial" w:hAnsi="Arial" w:cs="Arial"/>
          <w:sz w:val="18"/>
          <w:szCs w:val="18"/>
        </w:rPr>
        <w:t>Company</w:t>
      </w:r>
      <w:r w:rsidRPr="00735726">
        <w:rPr>
          <w:rFonts w:ascii="Arial" w:hAnsi="Arial" w:cs="Arial"/>
          <w:sz w:val="18"/>
          <w:szCs w:val="18"/>
        </w:rPr>
        <w:t xml:space="preserve"> on delivery</w:t>
      </w:r>
      <w:r w:rsidR="00DB0F53" w:rsidRPr="00735726">
        <w:rPr>
          <w:rFonts w:ascii="Arial" w:hAnsi="Arial" w:cs="Arial"/>
          <w:sz w:val="18"/>
          <w:szCs w:val="18"/>
        </w:rPr>
        <w:t xml:space="preserve"> </w:t>
      </w:r>
      <w:r w:rsidRPr="00735726">
        <w:rPr>
          <w:rFonts w:ascii="Arial" w:hAnsi="Arial" w:cs="Arial"/>
          <w:sz w:val="18"/>
          <w:szCs w:val="18"/>
        </w:rPr>
        <w:t>against performance and investment commitments,</w:t>
      </w:r>
      <w:r w:rsidR="00DB0F53" w:rsidRPr="00735726">
        <w:rPr>
          <w:rFonts w:ascii="Arial" w:hAnsi="Arial" w:cs="Arial"/>
          <w:sz w:val="18"/>
          <w:szCs w:val="18"/>
        </w:rPr>
        <w:t xml:space="preserve"> </w:t>
      </w:r>
      <w:r w:rsidRPr="00735726">
        <w:rPr>
          <w:rFonts w:ascii="Arial" w:hAnsi="Arial" w:cs="Arial"/>
          <w:sz w:val="18"/>
          <w:szCs w:val="18"/>
        </w:rPr>
        <w:t>alignment between delivery and customer priorities and</w:t>
      </w:r>
      <w:r w:rsidR="00DB0F53" w:rsidRPr="00735726">
        <w:rPr>
          <w:rFonts w:ascii="Arial" w:hAnsi="Arial" w:cs="Arial"/>
          <w:sz w:val="18"/>
          <w:szCs w:val="18"/>
        </w:rPr>
        <w:t xml:space="preserve"> </w:t>
      </w:r>
      <w:r w:rsidRPr="00735726">
        <w:rPr>
          <w:rFonts w:ascii="Arial" w:hAnsi="Arial" w:cs="Arial"/>
          <w:sz w:val="18"/>
          <w:szCs w:val="18"/>
        </w:rPr>
        <w:t>the balance between environmental outcomes, service</w:t>
      </w:r>
      <w:r w:rsidR="00DB0F53" w:rsidRPr="00735726">
        <w:rPr>
          <w:rFonts w:ascii="Arial" w:hAnsi="Arial" w:cs="Arial"/>
          <w:sz w:val="18"/>
          <w:szCs w:val="18"/>
        </w:rPr>
        <w:t xml:space="preserve"> </w:t>
      </w:r>
      <w:r w:rsidRPr="00735726">
        <w:rPr>
          <w:rFonts w:ascii="Arial" w:hAnsi="Arial" w:cs="Arial"/>
          <w:sz w:val="18"/>
          <w:szCs w:val="18"/>
        </w:rPr>
        <w:t>improvements and affordability.</w:t>
      </w:r>
    </w:p>
    <w:p w14:paraId="7A696428" w14:textId="352F8284" w:rsidR="00FB6980" w:rsidRPr="00735726" w:rsidRDefault="00FB6980" w:rsidP="00844EFD">
      <w:pPr>
        <w:rPr>
          <w:rFonts w:ascii="Arial" w:hAnsi="Arial" w:cs="Arial"/>
          <w:sz w:val="18"/>
          <w:szCs w:val="18"/>
        </w:rPr>
      </w:pPr>
      <w:proofErr w:type="spellStart"/>
      <w:r w:rsidRPr="00735726">
        <w:rPr>
          <w:rFonts w:ascii="Arial" w:hAnsi="Arial" w:cs="Arial"/>
          <w:sz w:val="18"/>
          <w:szCs w:val="18"/>
        </w:rPr>
        <w:t>WaterShare</w:t>
      </w:r>
      <w:proofErr w:type="spellEnd"/>
      <w:r w:rsidRPr="00735726">
        <w:rPr>
          <w:rFonts w:ascii="Arial" w:hAnsi="Arial" w:cs="Arial"/>
          <w:sz w:val="18"/>
          <w:szCs w:val="18"/>
        </w:rPr>
        <w:t>+ has significantly deepened our</w:t>
      </w:r>
      <w:r w:rsidR="00DB0F53" w:rsidRPr="00735726">
        <w:rPr>
          <w:rFonts w:ascii="Arial" w:hAnsi="Arial" w:cs="Arial"/>
          <w:sz w:val="18"/>
          <w:szCs w:val="18"/>
        </w:rPr>
        <w:t xml:space="preserve"> </w:t>
      </w:r>
      <w:r w:rsidRPr="00735726">
        <w:rPr>
          <w:rFonts w:ascii="Arial" w:hAnsi="Arial" w:cs="Arial"/>
          <w:sz w:val="18"/>
          <w:szCs w:val="18"/>
        </w:rPr>
        <w:t>understanding of customer requirements and concerns,</w:t>
      </w:r>
      <w:r w:rsidR="00DB0F53" w:rsidRPr="00735726">
        <w:rPr>
          <w:rFonts w:ascii="Arial" w:hAnsi="Arial" w:cs="Arial"/>
          <w:sz w:val="18"/>
          <w:szCs w:val="18"/>
        </w:rPr>
        <w:t xml:space="preserve"> </w:t>
      </w:r>
      <w:r w:rsidRPr="00735726">
        <w:rPr>
          <w:rFonts w:ascii="Arial" w:hAnsi="Arial" w:cs="Arial"/>
          <w:sz w:val="18"/>
          <w:szCs w:val="18"/>
        </w:rPr>
        <w:t>further helping us leverage these insights to inform and</w:t>
      </w:r>
      <w:r w:rsidR="00DB0F53" w:rsidRPr="00735726">
        <w:rPr>
          <w:rFonts w:ascii="Arial" w:hAnsi="Arial" w:cs="Arial"/>
          <w:sz w:val="18"/>
          <w:szCs w:val="18"/>
        </w:rPr>
        <w:t xml:space="preserve"> </w:t>
      </w:r>
      <w:r w:rsidRPr="00735726">
        <w:rPr>
          <w:rFonts w:ascii="Arial" w:hAnsi="Arial" w:cs="Arial"/>
          <w:sz w:val="18"/>
          <w:szCs w:val="18"/>
        </w:rPr>
        <w:t xml:space="preserve">co-create our </w:t>
      </w:r>
      <w:proofErr w:type="gramStart"/>
      <w:r w:rsidRPr="00735726">
        <w:rPr>
          <w:rFonts w:ascii="Arial" w:hAnsi="Arial" w:cs="Arial"/>
          <w:sz w:val="18"/>
          <w:szCs w:val="18"/>
        </w:rPr>
        <w:t>future plans</w:t>
      </w:r>
      <w:proofErr w:type="gramEnd"/>
      <w:r w:rsidRPr="00735726">
        <w:rPr>
          <w:rFonts w:ascii="Arial" w:hAnsi="Arial" w:cs="Arial"/>
          <w:sz w:val="18"/>
          <w:szCs w:val="18"/>
        </w:rPr>
        <w:t>.</w:t>
      </w:r>
    </w:p>
    <w:p w14:paraId="535351E2" w14:textId="55EE2854" w:rsidR="00BB6556" w:rsidRPr="00735726" w:rsidRDefault="00DB0F53" w:rsidP="00844EFD">
      <w:pPr>
        <w:spacing w:after="160"/>
        <w:rPr>
          <w:rFonts w:ascii="Arial" w:hAnsi="Arial" w:cs="Arial"/>
          <w:sz w:val="18"/>
          <w:szCs w:val="18"/>
        </w:rPr>
      </w:pPr>
      <w:r w:rsidRPr="00735726">
        <w:rPr>
          <w:rFonts w:ascii="Arial" w:hAnsi="Arial" w:cs="Arial"/>
          <w:i/>
          <w:iCs/>
          <w:sz w:val="18"/>
          <w:szCs w:val="18"/>
        </w:rPr>
        <w:t xml:space="preserve">YOUR BILL EXPLAINED </w:t>
      </w:r>
      <w:r w:rsidR="00D62E2B" w:rsidRPr="00735726">
        <w:rPr>
          <w:rFonts w:ascii="Arial" w:hAnsi="Arial" w:cs="Arial"/>
          <w:sz w:val="18"/>
          <w:szCs w:val="18"/>
        </w:rPr>
        <w:br/>
      </w:r>
      <w:r w:rsidR="00BB6556" w:rsidRPr="00735726">
        <w:rPr>
          <w:rFonts w:ascii="Arial" w:hAnsi="Arial" w:cs="Arial"/>
          <w:sz w:val="18"/>
          <w:szCs w:val="18"/>
        </w:rPr>
        <w:t>We have heard from customers that they want</w:t>
      </w:r>
      <w:r w:rsidRPr="00735726">
        <w:rPr>
          <w:rFonts w:ascii="Arial" w:hAnsi="Arial" w:cs="Arial"/>
          <w:sz w:val="18"/>
          <w:szCs w:val="18"/>
        </w:rPr>
        <w:t xml:space="preserve"> </w:t>
      </w:r>
      <w:r w:rsidR="00BB6556" w:rsidRPr="00735726">
        <w:rPr>
          <w:rFonts w:ascii="Arial" w:hAnsi="Arial" w:cs="Arial"/>
          <w:sz w:val="18"/>
          <w:szCs w:val="18"/>
        </w:rPr>
        <w:t>to know what their money is paying for. We</w:t>
      </w:r>
      <w:r w:rsidRPr="00735726">
        <w:rPr>
          <w:rFonts w:ascii="Arial" w:hAnsi="Arial" w:cs="Arial"/>
          <w:sz w:val="18"/>
          <w:szCs w:val="18"/>
        </w:rPr>
        <w:t xml:space="preserve"> </w:t>
      </w:r>
      <w:r w:rsidR="00BB6556" w:rsidRPr="00735726">
        <w:rPr>
          <w:rFonts w:ascii="Arial" w:hAnsi="Arial" w:cs="Arial"/>
          <w:sz w:val="18"/>
          <w:szCs w:val="18"/>
        </w:rPr>
        <w:t>have increased our communications, directly to</w:t>
      </w:r>
      <w:r w:rsidRPr="00735726">
        <w:rPr>
          <w:rFonts w:ascii="Arial" w:hAnsi="Arial" w:cs="Arial"/>
          <w:sz w:val="18"/>
          <w:szCs w:val="18"/>
        </w:rPr>
        <w:t xml:space="preserve"> </w:t>
      </w:r>
      <w:r w:rsidR="00BB6556" w:rsidRPr="00735726">
        <w:rPr>
          <w:rFonts w:ascii="Arial" w:hAnsi="Arial" w:cs="Arial"/>
          <w:sz w:val="18"/>
          <w:szCs w:val="18"/>
        </w:rPr>
        <w:t>customers with their bills, through social media and</w:t>
      </w:r>
      <w:r w:rsidRPr="00735726">
        <w:rPr>
          <w:rFonts w:ascii="Arial" w:hAnsi="Arial" w:cs="Arial"/>
          <w:sz w:val="18"/>
          <w:szCs w:val="18"/>
        </w:rPr>
        <w:t xml:space="preserve"> </w:t>
      </w:r>
      <w:r w:rsidR="00BB6556" w:rsidRPr="00735726">
        <w:rPr>
          <w:rFonts w:ascii="Arial" w:hAnsi="Arial" w:cs="Arial"/>
          <w:sz w:val="18"/>
          <w:szCs w:val="18"/>
        </w:rPr>
        <w:t xml:space="preserve">on our website </w:t>
      </w:r>
      <w:r w:rsidR="006C1BA9" w:rsidRPr="00735726">
        <w:rPr>
          <w:rFonts w:ascii="Arial" w:hAnsi="Arial" w:cs="Arial"/>
          <w:sz w:val="18"/>
          <w:szCs w:val="18"/>
        </w:rPr>
        <w:t xml:space="preserve">- </w:t>
      </w:r>
      <w:r w:rsidR="00BB6556" w:rsidRPr="00735726">
        <w:rPr>
          <w:rFonts w:ascii="Arial" w:hAnsi="Arial" w:cs="Arial"/>
          <w:sz w:val="18"/>
          <w:szCs w:val="18"/>
        </w:rPr>
        <w:t>both to explain the bill and how it</w:t>
      </w:r>
      <w:r w:rsidRPr="00735726">
        <w:rPr>
          <w:rFonts w:ascii="Arial" w:hAnsi="Arial" w:cs="Arial"/>
          <w:sz w:val="18"/>
          <w:szCs w:val="18"/>
        </w:rPr>
        <w:t xml:space="preserve"> </w:t>
      </w:r>
      <w:r w:rsidR="00BB6556" w:rsidRPr="00735726">
        <w:rPr>
          <w:rFonts w:ascii="Arial" w:hAnsi="Arial" w:cs="Arial"/>
          <w:sz w:val="18"/>
          <w:szCs w:val="18"/>
        </w:rPr>
        <w:t>affects them as individuals, but also on what we are</w:t>
      </w:r>
      <w:r w:rsidRPr="00735726">
        <w:rPr>
          <w:rFonts w:ascii="Arial" w:hAnsi="Arial" w:cs="Arial"/>
          <w:sz w:val="18"/>
          <w:szCs w:val="18"/>
        </w:rPr>
        <w:t xml:space="preserve"> </w:t>
      </w:r>
      <w:r w:rsidR="00BB6556" w:rsidRPr="00735726">
        <w:rPr>
          <w:rFonts w:ascii="Arial" w:hAnsi="Arial" w:cs="Arial"/>
          <w:sz w:val="18"/>
          <w:szCs w:val="18"/>
        </w:rPr>
        <w:t>doing and the difference it will make.</w:t>
      </w:r>
    </w:p>
    <w:p w14:paraId="12E99350" w14:textId="758C351E" w:rsidR="00BB6556" w:rsidRPr="00735726" w:rsidRDefault="00BB6556" w:rsidP="00844EFD">
      <w:pPr>
        <w:spacing w:after="160"/>
        <w:rPr>
          <w:rFonts w:ascii="Arial" w:hAnsi="Arial" w:cs="Arial"/>
          <w:sz w:val="18"/>
          <w:szCs w:val="18"/>
        </w:rPr>
      </w:pPr>
      <w:r w:rsidRPr="00735726">
        <w:rPr>
          <w:rFonts w:ascii="Arial" w:hAnsi="Arial" w:cs="Arial"/>
          <w:sz w:val="18"/>
          <w:szCs w:val="18"/>
        </w:rPr>
        <w:t>We improved early engagement with more</w:t>
      </w:r>
      <w:r w:rsidR="00DB0F53" w:rsidRPr="00735726">
        <w:rPr>
          <w:rFonts w:ascii="Arial" w:hAnsi="Arial" w:cs="Arial"/>
          <w:sz w:val="18"/>
          <w:szCs w:val="18"/>
        </w:rPr>
        <w:t xml:space="preserve"> </w:t>
      </w:r>
      <w:r w:rsidRPr="00735726">
        <w:rPr>
          <w:rFonts w:ascii="Arial" w:hAnsi="Arial" w:cs="Arial"/>
          <w:sz w:val="18"/>
          <w:szCs w:val="18"/>
        </w:rPr>
        <w:t>personalised information about financial support</w:t>
      </w:r>
      <w:r w:rsidR="00DB0F53" w:rsidRPr="00735726">
        <w:rPr>
          <w:rFonts w:ascii="Arial" w:hAnsi="Arial" w:cs="Arial"/>
          <w:sz w:val="18"/>
          <w:szCs w:val="18"/>
        </w:rPr>
        <w:t xml:space="preserve"> </w:t>
      </w:r>
      <w:r w:rsidRPr="00735726">
        <w:rPr>
          <w:rFonts w:ascii="Arial" w:hAnsi="Arial" w:cs="Arial"/>
          <w:sz w:val="18"/>
          <w:szCs w:val="18"/>
        </w:rPr>
        <w:t>and launched a new ‘Your Bill Explained’ website,</w:t>
      </w:r>
      <w:r w:rsidR="00DB0F53" w:rsidRPr="00735726">
        <w:rPr>
          <w:rFonts w:ascii="Arial" w:hAnsi="Arial" w:cs="Arial"/>
          <w:sz w:val="18"/>
          <w:szCs w:val="18"/>
        </w:rPr>
        <w:t xml:space="preserve"> </w:t>
      </w:r>
      <w:r w:rsidRPr="00735726">
        <w:rPr>
          <w:rFonts w:ascii="Arial" w:hAnsi="Arial" w:cs="Arial"/>
          <w:sz w:val="18"/>
          <w:szCs w:val="18"/>
        </w:rPr>
        <w:t>supported by simple visuals explaining how bills</w:t>
      </w:r>
      <w:r w:rsidR="00DB0F53" w:rsidRPr="00735726">
        <w:rPr>
          <w:rFonts w:ascii="Arial" w:hAnsi="Arial" w:cs="Arial"/>
          <w:sz w:val="18"/>
          <w:szCs w:val="18"/>
        </w:rPr>
        <w:t xml:space="preserve"> </w:t>
      </w:r>
      <w:r w:rsidRPr="00735726">
        <w:rPr>
          <w:rFonts w:ascii="Arial" w:hAnsi="Arial" w:cs="Arial"/>
          <w:sz w:val="18"/>
          <w:szCs w:val="18"/>
        </w:rPr>
        <w:t>are calculated. Signposting to support tariffs, the</w:t>
      </w:r>
      <w:r w:rsidR="00DB0F53" w:rsidRPr="00735726">
        <w:rPr>
          <w:rFonts w:ascii="Arial" w:hAnsi="Arial" w:cs="Arial"/>
          <w:sz w:val="18"/>
          <w:szCs w:val="18"/>
        </w:rPr>
        <w:t xml:space="preserve"> </w:t>
      </w:r>
      <w:r w:rsidRPr="00735726">
        <w:rPr>
          <w:rFonts w:ascii="Arial" w:hAnsi="Arial" w:cs="Arial"/>
          <w:sz w:val="18"/>
          <w:szCs w:val="18"/>
        </w:rPr>
        <w:t>Priority Services Register, metering options and</w:t>
      </w:r>
      <w:r w:rsidR="00DB0F53" w:rsidRPr="00735726">
        <w:rPr>
          <w:rFonts w:ascii="Arial" w:hAnsi="Arial" w:cs="Arial"/>
          <w:sz w:val="18"/>
          <w:szCs w:val="18"/>
        </w:rPr>
        <w:t xml:space="preserve"> </w:t>
      </w:r>
      <w:r w:rsidRPr="00735726">
        <w:rPr>
          <w:rFonts w:ascii="Arial" w:hAnsi="Arial" w:cs="Arial"/>
          <w:sz w:val="18"/>
          <w:szCs w:val="18"/>
        </w:rPr>
        <w:t xml:space="preserve">water efficiency advice was also </w:t>
      </w:r>
      <w:r w:rsidR="00DB0F53" w:rsidRPr="00735726">
        <w:rPr>
          <w:rFonts w:ascii="Arial" w:hAnsi="Arial" w:cs="Arial"/>
          <w:sz w:val="18"/>
          <w:szCs w:val="18"/>
        </w:rPr>
        <w:t>s</w:t>
      </w:r>
      <w:r w:rsidRPr="00735726">
        <w:rPr>
          <w:rFonts w:ascii="Arial" w:hAnsi="Arial" w:cs="Arial"/>
          <w:sz w:val="18"/>
          <w:szCs w:val="18"/>
        </w:rPr>
        <w:t>trengthened.</w:t>
      </w:r>
    </w:p>
    <w:p w14:paraId="26AFEED1" w14:textId="77777777" w:rsidR="00EF4A9D" w:rsidRPr="00735726" w:rsidRDefault="00BB6556" w:rsidP="00844EFD">
      <w:pPr>
        <w:spacing w:after="160"/>
        <w:rPr>
          <w:rFonts w:ascii="Arial" w:hAnsi="Arial" w:cs="Arial"/>
          <w:sz w:val="32"/>
          <w:szCs w:val="32"/>
        </w:rPr>
      </w:pPr>
      <w:r w:rsidRPr="00735726">
        <w:rPr>
          <w:rFonts w:ascii="Arial" w:hAnsi="Arial" w:cs="Arial"/>
          <w:sz w:val="18"/>
          <w:szCs w:val="18"/>
        </w:rPr>
        <w:t>We have also supported colleagues, through</w:t>
      </w:r>
      <w:r w:rsidR="00DB0F53" w:rsidRPr="00735726">
        <w:rPr>
          <w:rFonts w:ascii="Arial" w:hAnsi="Arial" w:cs="Arial"/>
          <w:sz w:val="18"/>
          <w:szCs w:val="18"/>
        </w:rPr>
        <w:t xml:space="preserve"> </w:t>
      </w:r>
      <w:r w:rsidRPr="00735726">
        <w:rPr>
          <w:rFonts w:ascii="Arial" w:hAnsi="Arial" w:cs="Arial"/>
          <w:sz w:val="18"/>
          <w:szCs w:val="18"/>
        </w:rPr>
        <w:t>targeted training, AI enabled tools and improved</w:t>
      </w:r>
      <w:r w:rsidR="00DB0F53" w:rsidRPr="00735726">
        <w:rPr>
          <w:rFonts w:ascii="Arial" w:hAnsi="Arial" w:cs="Arial"/>
          <w:sz w:val="18"/>
          <w:szCs w:val="18"/>
        </w:rPr>
        <w:t xml:space="preserve"> self-service</w:t>
      </w:r>
      <w:r w:rsidRPr="00735726">
        <w:rPr>
          <w:rFonts w:ascii="Arial" w:hAnsi="Arial" w:cs="Arial"/>
          <w:sz w:val="18"/>
          <w:szCs w:val="18"/>
        </w:rPr>
        <w:t xml:space="preserve"> to reduce wait time for customers and</w:t>
      </w:r>
      <w:r w:rsidR="00DB0F53" w:rsidRPr="00735726">
        <w:rPr>
          <w:rFonts w:ascii="Arial" w:hAnsi="Arial" w:cs="Arial"/>
          <w:sz w:val="18"/>
          <w:szCs w:val="18"/>
        </w:rPr>
        <w:t xml:space="preserve"> </w:t>
      </w:r>
      <w:r w:rsidRPr="00735726">
        <w:rPr>
          <w:rFonts w:ascii="Arial" w:hAnsi="Arial" w:cs="Arial"/>
          <w:sz w:val="18"/>
          <w:szCs w:val="18"/>
        </w:rPr>
        <w:t>ensure they can choose how they engage.</w:t>
      </w:r>
      <w:r w:rsidRPr="00735726">
        <w:rPr>
          <w:rFonts w:ascii="Arial" w:hAnsi="Arial" w:cs="Arial"/>
          <w:sz w:val="32"/>
          <w:szCs w:val="32"/>
        </w:rPr>
        <w:t xml:space="preserve"> </w:t>
      </w:r>
    </w:p>
    <w:p w14:paraId="466994E1" w14:textId="77777777" w:rsidR="00EF4A9D" w:rsidRPr="00735726" w:rsidRDefault="00EF4A9D" w:rsidP="00844EFD">
      <w:pPr>
        <w:spacing w:after="160"/>
        <w:rPr>
          <w:rFonts w:ascii="Arial" w:hAnsi="Arial" w:cs="Arial"/>
          <w:b/>
          <w:bCs/>
          <w:sz w:val="18"/>
          <w:szCs w:val="18"/>
        </w:rPr>
      </w:pPr>
      <w:r w:rsidRPr="00735726">
        <w:rPr>
          <w:rFonts w:ascii="Arial" w:hAnsi="Arial" w:cs="Arial"/>
          <w:b/>
          <w:bCs/>
          <w:sz w:val="18"/>
          <w:szCs w:val="18"/>
        </w:rPr>
        <w:t>COMMUNITIES</w:t>
      </w:r>
    </w:p>
    <w:p w14:paraId="5B81441E" w14:textId="77777777" w:rsidR="00EF4A9D" w:rsidRPr="00735726" w:rsidRDefault="00EF4A9D" w:rsidP="00844EFD">
      <w:pPr>
        <w:rPr>
          <w:rFonts w:ascii="Arial" w:hAnsi="Arial" w:cs="Arial"/>
          <w:sz w:val="18"/>
          <w:szCs w:val="18"/>
        </w:rPr>
      </w:pPr>
      <w:r w:rsidRPr="00735726">
        <w:rPr>
          <w:rFonts w:ascii="Arial" w:hAnsi="Arial" w:cs="Arial"/>
          <w:i/>
          <w:iCs/>
          <w:sz w:val="18"/>
          <w:szCs w:val="18"/>
        </w:rPr>
        <w:t>WHO THEY ARE</w:t>
      </w:r>
      <w:r w:rsidRPr="00735726">
        <w:rPr>
          <w:rFonts w:ascii="Arial" w:hAnsi="Arial" w:cs="Arial"/>
          <w:sz w:val="18"/>
          <w:szCs w:val="18"/>
        </w:rPr>
        <w:br/>
        <w:t>We deliver services that are crucial to daily life, which means we are not just a utility provider, we’re part of the fabric of local communities. Our teams live and work where we serve, so we’re closely connected to the people and places that make each community unique. We work with community groups to ensure people have a voice in shaping services that matter to them.</w:t>
      </w:r>
    </w:p>
    <w:p w14:paraId="6E2C7C37" w14:textId="7100783D" w:rsidR="00512579" w:rsidRPr="00735726" w:rsidRDefault="00512579" w:rsidP="00844EFD">
      <w:pPr>
        <w:spacing w:after="160"/>
        <w:rPr>
          <w:rFonts w:ascii="Arial" w:hAnsi="Arial" w:cs="Arial"/>
          <w:sz w:val="18"/>
          <w:szCs w:val="18"/>
        </w:rPr>
      </w:pPr>
      <w:r w:rsidRPr="00735726">
        <w:rPr>
          <w:i/>
          <w:iCs/>
        </w:rPr>
        <w:t xml:space="preserve">WHY WE ENGAGE </w:t>
      </w:r>
      <w:r w:rsidRPr="009A2CAE">
        <w:rPr>
          <w:rFonts w:ascii="Arial" w:hAnsi="Arial" w:cs="Arial"/>
          <w:sz w:val="18"/>
          <w:szCs w:val="18"/>
        </w:rPr>
        <w:br/>
      </w:r>
      <w:r w:rsidRPr="00735726">
        <w:rPr>
          <w:rFonts w:ascii="Arial" w:hAnsi="Arial" w:cs="Arial"/>
          <w:sz w:val="18"/>
          <w:szCs w:val="18"/>
        </w:rPr>
        <w:t xml:space="preserve">We are part of the communities we serve, with around </w:t>
      </w:r>
      <w:r w:rsidR="00C60A8E" w:rsidRPr="00735726">
        <w:rPr>
          <w:rFonts w:ascii="Arial" w:hAnsi="Arial" w:cs="Arial"/>
          <w:sz w:val="18"/>
          <w:szCs w:val="18"/>
        </w:rPr>
        <w:t>2,700</w:t>
      </w:r>
      <w:r w:rsidRPr="00735726">
        <w:rPr>
          <w:rFonts w:ascii="Arial" w:hAnsi="Arial" w:cs="Arial"/>
          <w:sz w:val="18"/>
          <w:szCs w:val="18"/>
        </w:rPr>
        <w:t xml:space="preserve"> colleagues living and working locally. We care deeply about the places we call home and are passionate about sustaining and improving them, for our customers, our families and our friends. Through this strong local presence, we actively engage with communities </w:t>
      </w:r>
      <w:r w:rsidRPr="00735726">
        <w:rPr>
          <w:rFonts w:ascii="Arial" w:hAnsi="Arial" w:cs="Arial"/>
          <w:sz w:val="18"/>
          <w:szCs w:val="18"/>
        </w:rPr>
        <w:lastRenderedPageBreak/>
        <w:t>to ensure people have a meaningful voice in shaping the services we provide and the environmental outcomes that matter most to them.</w:t>
      </w:r>
    </w:p>
    <w:p w14:paraId="2B99B41A" w14:textId="77777777" w:rsidR="00BB4BC6" w:rsidRPr="00735726" w:rsidRDefault="00512579" w:rsidP="00844EFD">
      <w:pPr>
        <w:spacing w:after="160"/>
        <w:rPr>
          <w:rFonts w:ascii="Arial" w:hAnsi="Arial" w:cs="Arial"/>
          <w:sz w:val="18"/>
          <w:szCs w:val="18"/>
        </w:rPr>
      </w:pPr>
      <w:r w:rsidRPr="00735726">
        <w:rPr>
          <w:i/>
          <w:iCs/>
        </w:rPr>
        <w:t xml:space="preserve">HOW WE ENGAGE </w:t>
      </w:r>
      <w:r w:rsidRPr="00735726">
        <w:rPr>
          <w:rFonts w:ascii="Arial" w:hAnsi="Arial" w:cs="Arial"/>
          <w:sz w:val="18"/>
          <w:szCs w:val="18"/>
        </w:rPr>
        <w:br/>
      </w:r>
      <w:r w:rsidR="00BB4BC6" w:rsidRPr="00735726">
        <w:rPr>
          <w:rFonts w:ascii="Arial" w:hAnsi="Arial" w:cs="Arial"/>
          <w:sz w:val="18"/>
          <w:szCs w:val="18"/>
        </w:rPr>
        <w:t>We work with schools, community groups and local organisations to build understanding of the water cycle, promote water efficiency and support wellbeing. Our education and outreach programmes inspire future generations while helping communities understand the challenges facing water resources and the role we all play in protecting them.</w:t>
      </w:r>
    </w:p>
    <w:p w14:paraId="4E2FDCCC" w14:textId="36F600DA" w:rsidR="00BB4BC6" w:rsidRPr="00735726" w:rsidRDefault="00BB4BC6" w:rsidP="00844EFD">
      <w:pPr>
        <w:spacing w:after="160"/>
        <w:rPr>
          <w:rFonts w:ascii="Arial" w:hAnsi="Arial" w:cs="Arial"/>
          <w:sz w:val="18"/>
          <w:szCs w:val="18"/>
        </w:rPr>
      </w:pPr>
      <w:r w:rsidRPr="00735726">
        <w:rPr>
          <w:rFonts w:ascii="Arial" w:hAnsi="Arial" w:cs="Arial"/>
          <w:sz w:val="18"/>
          <w:szCs w:val="18"/>
        </w:rPr>
        <w:t xml:space="preserve">In the </w:t>
      </w:r>
      <w:r w:rsidR="006A21A0" w:rsidRPr="00735726">
        <w:rPr>
          <w:rFonts w:ascii="Arial" w:hAnsi="Arial" w:cs="Arial"/>
          <w:sz w:val="18"/>
          <w:szCs w:val="18"/>
        </w:rPr>
        <w:t xml:space="preserve">wider </w:t>
      </w:r>
      <w:proofErr w:type="gramStart"/>
      <w:r w:rsidR="00D01922" w:rsidRPr="00735726">
        <w:rPr>
          <w:rFonts w:ascii="Arial" w:hAnsi="Arial" w:cs="Arial"/>
          <w:sz w:val="18"/>
          <w:szCs w:val="18"/>
        </w:rPr>
        <w:t>S</w:t>
      </w:r>
      <w:r w:rsidRPr="00735726">
        <w:rPr>
          <w:rFonts w:ascii="Arial" w:hAnsi="Arial" w:cs="Arial"/>
          <w:sz w:val="18"/>
          <w:szCs w:val="18"/>
        </w:rPr>
        <w:t xml:space="preserve">outh </w:t>
      </w:r>
      <w:r w:rsidR="00D01922" w:rsidRPr="00735726">
        <w:rPr>
          <w:rFonts w:ascii="Arial" w:hAnsi="Arial" w:cs="Arial"/>
          <w:sz w:val="18"/>
          <w:szCs w:val="18"/>
        </w:rPr>
        <w:t>W</w:t>
      </w:r>
      <w:r w:rsidRPr="00735726">
        <w:rPr>
          <w:rFonts w:ascii="Arial" w:hAnsi="Arial" w:cs="Arial"/>
          <w:sz w:val="18"/>
          <w:szCs w:val="18"/>
        </w:rPr>
        <w:t>est</w:t>
      </w:r>
      <w:proofErr w:type="gramEnd"/>
      <w:r w:rsidRPr="00735726">
        <w:rPr>
          <w:rFonts w:ascii="Arial" w:hAnsi="Arial" w:cs="Arial"/>
          <w:sz w:val="18"/>
          <w:szCs w:val="18"/>
        </w:rPr>
        <w:t xml:space="preserve"> we reached 9,449 pupils in 151 schools. We also work closely with community partners to deliver nature-based solutions, restore peatlands, protect water quality and improve access to lakes and reservoirs for recreation and wellbeing. Our charitable giving and community funds support projects that deliver social, environmental and health benefits across our regions.</w:t>
      </w:r>
    </w:p>
    <w:p w14:paraId="639CACA5" w14:textId="1C9D1097" w:rsidR="00BB4BC6" w:rsidRPr="00735726" w:rsidRDefault="00065B1A" w:rsidP="00844EFD">
      <w:pPr>
        <w:spacing w:after="160"/>
        <w:rPr>
          <w:rFonts w:ascii="Arial" w:hAnsi="Arial" w:cs="Arial"/>
          <w:sz w:val="18"/>
          <w:szCs w:val="18"/>
        </w:rPr>
      </w:pPr>
      <w:r w:rsidRPr="00735726">
        <w:rPr>
          <w:rFonts w:ascii="Arial" w:hAnsi="Arial" w:cs="Arial"/>
          <w:b/>
          <w:bCs/>
          <w:sz w:val="18"/>
          <w:szCs w:val="18"/>
        </w:rPr>
        <w:t>BETTER FUTURES FUND</w:t>
      </w:r>
      <w:r w:rsidR="00D62E2B" w:rsidRPr="00735726">
        <w:rPr>
          <w:rFonts w:ascii="Arial" w:hAnsi="Arial" w:cs="Arial"/>
          <w:sz w:val="18"/>
          <w:szCs w:val="18"/>
        </w:rPr>
        <w:br/>
      </w:r>
      <w:r w:rsidR="00BB4BC6" w:rsidRPr="00735726">
        <w:rPr>
          <w:rFonts w:ascii="Arial" w:hAnsi="Arial" w:cs="Arial"/>
          <w:sz w:val="18"/>
          <w:szCs w:val="18"/>
        </w:rPr>
        <w:t>We believe in supporting projects and charities in the places where we live and work, helping to build stronger communities. Our £5 million Better Futures Fund was launched in January 2025.</w:t>
      </w:r>
    </w:p>
    <w:p w14:paraId="591A47A7" w14:textId="7EEE272A" w:rsidR="00BB4BC6" w:rsidRPr="00735726" w:rsidRDefault="00BB4BC6" w:rsidP="00844EFD">
      <w:pPr>
        <w:spacing w:after="160"/>
        <w:rPr>
          <w:rFonts w:ascii="Arial" w:hAnsi="Arial" w:cs="Arial"/>
          <w:sz w:val="18"/>
          <w:szCs w:val="18"/>
        </w:rPr>
      </w:pPr>
      <w:r w:rsidRPr="00735726">
        <w:rPr>
          <w:rFonts w:ascii="Arial" w:hAnsi="Arial" w:cs="Arial"/>
          <w:sz w:val="18"/>
          <w:szCs w:val="18"/>
        </w:rPr>
        <w:t>The fund includes £2.5 million for community groups involved with physical activity, education, health and wellbeing, and positive environmental impacts. Each brand was allocated a specific amount of funding based on customers served in that supply area.</w:t>
      </w:r>
    </w:p>
    <w:p w14:paraId="39B7B38B" w14:textId="772A1AC4" w:rsidR="00BB4BC6" w:rsidRPr="00735726" w:rsidRDefault="00BB4BC6" w:rsidP="00844EFD">
      <w:pPr>
        <w:spacing w:after="160"/>
        <w:rPr>
          <w:rFonts w:ascii="Arial" w:hAnsi="Arial" w:cs="Arial"/>
          <w:sz w:val="18"/>
          <w:szCs w:val="18"/>
        </w:rPr>
      </w:pPr>
      <w:r w:rsidRPr="00735726">
        <w:rPr>
          <w:rFonts w:ascii="Arial" w:hAnsi="Arial" w:cs="Arial"/>
          <w:sz w:val="18"/>
          <w:szCs w:val="18"/>
        </w:rPr>
        <w:t xml:space="preserve">The remaining £2.5 million will go towards alleviating hardship, in addition to the £200 million programme to help customers who need extra support or are struggling financially across the </w:t>
      </w:r>
      <w:r w:rsidR="00065B1A" w:rsidRPr="00735726">
        <w:rPr>
          <w:rFonts w:ascii="Arial" w:hAnsi="Arial" w:cs="Arial"/>
          <w:sz w:val="18"/>
          <w:szCs w:val="18"/>
        </w:rPr>
        <w:t>Company</w:t>
      </w:r>
      <w:r w:rsidRPr="00735726">
        <w:rPr>
          <w:rFonts w:ascii="Arial" w:hAnsi="Arial" w:cs="Arial"/>
          <w:sz w:val="18"/>
          <w:szCs w:val="18"/>
        </w:rPr>
        <w:t>.</w:t>
      </w:r>
    </w:p>
    <w:p w14:paraId="6F48844A" w14:textId="77777777" w:rsidR="00BB4BC6" w:rsidRPr="00735726" w:rsidRDefault="00BB4BC6" w:rsidP="00844EFD">
      <w:pPr>
        <w:spacing w:after="160"/>
        <w:rPr>
          <w:rFonts w:ascii="Arial" w:hAnsi="Arial" w:cs="Arial"/>
          <w:sz w:val="18"/>
          <w:szCs w:val="18"/>
        </w:rPr>
      </w:pPr>
      <w:r w:rsidRPr="00735726">
        <w:rPr>
          <w:rFonts w:ascii="Arial" w:hAnsi="Arial" w:cs="Arial"/>
          <w:sz w:val="18"/>
          <w:szCs w:val="18"/>
        </w:rPr>
        <w:t>Better Futures will help to unlock opportunities and bring positive change to the communities we serve.</w:t>
      </w:r>
    </w:p>
    <w:p w14:paraId="290A20DA" w14:textId="2C8E07CB" w:rsidR="00BB4BC6" w:rsidRPr="00735726" w:rsidRDefault="00BB4BC6" w:rsidP="00844EFD">
      <w:pPr>
        <w:spacing w:after="160"/>
        <w:rPr>
          <w:rFonts w:ascii="Arial" w:hAnsi="Arial" w:cs="Arial"/>
          <w:sz w:val="18"/>
          <w:szCs w:val="18"/>
        </w:rPr>
      </w:pPr>
      <w:r w:rsidRPr="00735726">
        <w:rPr>
          <w:rFonts w:ascii="Arial" w:hAnsi="Arial" w:cs="Arial"/>
          <w:sz w:val="18"/>
          <w:szCs w:val="18"/>
        </w:rPr>
        <w:t xml:space="preserve">Better Futures to date April 2025 </w:t>
      </w:r>
      <w:r w:rsidR="006C1BA9" w:rsidRPr="00735726">
        <w:rPr>
          <w:rFonts w:ascii="Arial" w:hAnsi="Arial" w:cs="Arial"/>
          <w:sz w:val="18"/>
          <w:szCs w:val="18"/>
        </w:rPr>
        <w:t xml:space="preserve">- </w:t>
      </w:r>
      <w:r w:rsidRPr="00735726">
        <w:rPr>
          <w:rFonts w:ascii="Arial" w:hAnsi="Arial" w:cs="Arial"/>
          <w:sz w:val="18"/>
          <w:szCs w:val="18"/>
        </w:rPr>
        <w:t>March 2026:</w:t>
      </w:r>
    </w:p>
    <w:tbl>
      <w:tblPr>
        <w:tblStyle w:val="TableGrid"/>
        <w:tblW w:w="0" w:type="auto"/>
        <w:tblLook w:val="04A0" w:firstRow="1" w:lastRow="0" w:firstColumn="1" w:lastColumn="0" w:noHBand="0" w:noVBand="1"/>
      </w:tblPr>
      <w:tblGrid>
        <w:gridCol w:w="2254"/>
        <w:gridCol w:w="2254"/>
        <w:gridCol w:w="2254"/>
        <w:gridCol w:w="2254"/>
      </w:tblGrid>
      <w:tr w:rsidR="00BB4BC6" w:rsidRPr="00735726" w14:paraId="66CC0E03" w14:textId="77777777" w:rsidTr="00BB4BC6">
        <w:tc>
          <w:tcPr>
            <w:tcW w:w="2254" w:type="dxa"/>
            <w:tcBorders>
              <w:top w:val="single" w:sz="4" w:space="0" w:color="auto"/>
              <w:left w:val="single" w:sz="4" w:space="0" w:color="auto"/>
              <w:bottom w:val="single" w:sz="4" w:space="0" w:color="auto"/>
              <w:right w:val="nil"/>
            </w:tcBorders>
            <w:shd w:val="clear" w:color="auto" w:fill="002060"/>
          </w:tcPr>
          <w:p w14:paraId="65760542" w14:textId="77777777" w:rsidR="00BB4BC6" w:rsidRPr="00735726" w:rsidRDefault="00BB4BC6" w:rsidP="00844EFD">
            <w:pPr>
              <w:spacing w:after="160"/>
              <w:rPr>
                <w:rFonts w:ascii="Arial" w:hAnsi="Arial" w:cs="Arial"/>
                <w:sz w:val="32"/>
                <w:szCs w:val="32"/>
              </w:rPr>
            </w:pPr>
          </w:p>
        </w:tc>
        <w:tc>
          <w:tcPr>
            <w:tcW w:w="2254" w:type="dxa"/>
            <w:tcBorders>
              <w:top w:val="single" w:sz="4" w:space="0" w:color="auto"/>
              <w:left w:val="nil"/>
              <w:bottom w:val="single" w:sz="4" w:space="0" w:color="auto"/>
              <w:right w:val="nil"/>
            </w:tcBorders>
            <w:shd w:val="clear" w:color="auto" w:fill="002060"/>
          </w:tcPr>
          <w:p w14:paraId="7BB4A0B8" w14:textId="5217FBA3" w:rsidR="00BB4BC6" w:rsidRPr="00735726" w:rsidRDefault="00BB4BC6" w:rsidP="00844EFD">
            <w:pPr>
              <w:spacing w:after="160"/>
              <w:rPr>
                <w:rFonts w:ascii="Arial" w:eastAsiaTheme="minorHAnsi" w:hAnsi="Arial" w:cs="Arial"/>
                <w:b/>
                <w:bCs/>
                <w:sz w:val="18"/>
                <w:szCs w:val="18"/>
              </w:rPr>
            </w:pPr>
            <w:proofErr w:type="gramStart"/>
            <w:r w:rsidRPr="00735726">
              <w:rPr>
                <w:rFonts w:ascii="Arial" w:eastAsiaTheme="minorHAnsi" w:hAnsi="Arial" w:cs="Arial"/>
                <w:b/>
                <w:bCs/>
                <w:sz w:val="18"/>
                <w:szCs w:val="18"/>
              </w:rPr>
              <w:t>South West</w:t>
            </w:r>
            <w:proofErr w:type="gramEnd"/>
            <w:r w:rsidRPr="00735726">
              <w:rPr>
                <w:rFonts w:ascii="Arial" w:eastAsiaTheme="minorHAnsi" w:hAnsi="Arial" w:cs="Arial"/>
                <w:b/>
                <w:bCs/>
                <w:sz w:val="18"/>
                <w:szCs w:val="18"/>
              </w:rPr>
              <w:t xml:space="preserve"> Water</w:t>
            </w:r>
          </w:p>
        </w:tc>
        <w:tc>
          <w:tcPr>
            <w:tcW w:w="2254" w:type="dxa"/>
            <w:tcBorders>
              <w:top w:val="single" w:sz="4" w:space="0" w:color="auto"/>
              <w:left w:val="nil"/>
              <w:bottom w:val="single" w:sz="4" w:space="0" w:color="auto"/>
              <w:right w:val="nil"/>
            </w:tcBorders>
            <w:shd w:val="clear" w:color="auto" w:fill="002060"/>
          </w:tcPr>
          <w:p w14:paraId="5B86BAB0" w14:textId="43ABEF23" w:rsidR="00BB4BC6" w:rsidRPr="00735726" w:rsidRDefault="00BB4BC6" w:rsidP="00844EFD">
            <w:pPr>
              <w:spacing w:after="160"/>
              <w:rPr>
                <w:rFonts w:ascii="Arial" w:eastAsiaTheme="minorHAnsi" w:hAnsi="Arial" w:cs="Arial"/>
                <w:b/>
                <w:bCs/>
                <w:sz w:val="18"/>
                <w:szCs w:val="18"/>
              </w:rPr>
            </w:pPr>
            <w:r w:rsidRPr="00735726">
              <w:rPr>
                <w:rFonts w:ascii="Arial" w:eastAsiaTheme="minorHAnsi" w:hAnsi="Arial" w:cs="Arial"/>
                <w:b/>
                <w:bCs/>
                <w:sz w:val="18"/>
                <w:szCs w:val="18"/>
              </w:rPr>
              <w:t>Bristol Water</w:t>
            </w:r>
          </w:p>
        </w:tc>
        <w:tc>
          <w:tcPr>
            <w:tcW w:w="2254" w:type="dxa"/>
            <w:tcBorders>
              <w:top w:val="single" w:sz="4" w:space="0" w:color="auto"/>
              <w:left w:val="nil"/>
              <w:bottom w:val="single" w:sz="4" w:space="0" w:color="auto"/>
              <w:right w:val="single" w:sz="4" w:space="0" w:color="auto"/>
            </w:tcBorders>
            <w:shd w:val="clear" w:color="auto" w:fill="002060"/>
          </w:tcPr>
          <w:p w14:paraId="5AB4D7EA" w14:textId="46C8538B" w:rsidR="00BB4BC6" w:rsidRPr="00735726" w:rsidRDefault="00BB4BC6" w:rsidP="00844EFD">
            <w:pPr>
              <w:spacing w:after="160"/>
              <w:rPr>
                <w:rFonts w:ascii="Arial" w:eastAsiaTheme="minorHAnsi" w:hAnsi="Arial" w:cs="Arial"/>
                <w:b/>
                <w:bCs/>
                <w:sz w:val="18"/>
                <w:szCs w:val="18"/>
              </w:rPr>
            </w:pPr>
            <w:r w:rsidRPr="00735726">
              <w:rPr>
                <w:rFonts w:ascii="Arial" w:eastAsiaTheme="minorHAnsi" w:hAnsi="Arial" w:cs="Arial"/>
                <w:b/>
                <w:bCs/>
                <w:sz w:val="18"/>
                <w:szCs w:val="18"/>
              </w:rPr>
              <w:t>Bournemouth Water</w:t>
            </w:r>
          </w:p>
        </w:tc>
      </w:tr>
      <w:tr w:rsidR="00BB4BC6" w:rsidRPr="00735726" w14:paraId="429137B4" w14:textId="77777777" w:rsidTr="00BB4BC6">
        <w:tc>
          <w:tcPr>
            <w:tcW w:w="2254" w:type="dxa"/>
            <w:tcBorders>
              <w:top w:val="single" w:sz="4" w:space="0" w:color="auto"/>
            </w:tcBorders>
          </w:tcPr>
          <w:p w14:paraId="3D427968" w14:textId="764CEBD8"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Number of grants</w:t>
            </w:r>
          </w:p>
        </w:tc>
        <w:tc>
          <w:tcPr>
            <w:tcW w:w="2254" w:type="dxa"/>
            <w:tcBorders>
              <w:top w:val="single" w:sz="4" w:space="0" w:color="auto"/>
            </w:tcBorders>
          </w:tcPr>
          <w:p w14:paraId="3A386F56" w14:textId="0C9BA406"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27</w:t>
            </w:r>
          </w:p>
        </w:tc>
        <w:tc>
          <w:tcPr>
            <w:tcW w:w="2254" w:type="dxa"/>
            <w:tcBorders>
              <w:top w:val="single" w:sz="4" w:space="0" w:color="auto"/>
            </w:tcBorders>
          </w:tcPr>
          <w:p w14:paraId="221406F1" w14:textId="1CB8875B"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16</w:t>
            </w:r>
          </w:p>
        </w:tc>
        <w:tc>
          <w:tcPr>
            <w:tcW w:w="2254" w:type="dxa"/>
            <w:tcBorders>
              <w:top w:val="single" w:sz="4" w:space="0" w:color="auto"/>
            </w:tcBorders>
          </w:tcPr>
          <w:p w14:paraId="755B1713" w14:textId="5DEF7758"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12</w:t>
            </w:r>
          </w:p>
        </w:tc>
      </w:tr>
      <w:tr w:rsidR="00BB4BC6" w:rsidRPr="00735726" w14:paraId="7F3468E0" w14:textId="77777777" w:rsidTr="00BB4BC6">
        <w:tc>
          <w:tcPr>
            <w:tcW w:w="2254" w:type="dxa"/>
          </w:tcPr>
          <w:p w14:paraId="5812BB59" w14:textId="662460EB"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Value awarded</w:t>
            </w:r>
          </w:p>
        </w:tc>
        <w:tc>
          <w:tcPr>
            <w:tcW w:w="2254" w:type="dxa"/>
          </w:tcPr>
          <w:p w14:paraId="61AA1FB2" w14:textId="14E0622B"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£182,193</w:t>
            </w:r>
          </w:p>
        </w:tc>
        <w:tc>
          <w:tcPr>
            <w:tcW w:w="2254" w:type="dxa"/>
          </w:tcPr>
          <w:p w14:paraId="568ECBC0" w14:textId="1DB05392"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£111,627</w:t>
            </w:r>
          </w:p>
        </w:tc>
        <w:tc>
          <w:tcPr>
            <w:tcW w:w="2254" w:type="dxa"/>
          </w:tcPr>
          <w:p w14:paraId="3F2B67A8" w14:textId="0773DB37"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£42,096</w:t>
            </w:r>
          </w:p>
        </w:tc>
      </w:tr>
      <w:tr w:rsidR="00BB4BC6" w:rsidRPr="00735726" w14:paraId="02CE30D9" w14:textId="77777777" w:rsidTr="00BB4BC6">
        <w:tc>
          <w:tcPr>
            <w:tcW w:w="2254" w:type="dxa"/>
          </w:tcPr>
          <w:p w14:paraId="28B01247" w14:textId="7DA6A03F"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Number of beneficiaries</w:t>
            </w:r>
          </w:p>
        </w:tc>
        <w:tc>
          <w:tcPr>
            <w:tcW w:w="2254" w:type="dxa"/>
          </w:tcPr>
          <w:p w14:paraId="05B9E3D2" w14:textId="567340DC"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31,812</w:t>
            </w:r>
          </w:p>
        </w:tc>
        <w:tc>
          <w:tcPr>
            <w:tcW w:w="2254" w:type="dxa"/>
          </w:tcPr>
          <w:p w14:paraId="4765A157" w14:textId="6E6342A4"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60,438</w:t>
            </w:r>
          </w:p>
        </w:tc>
        <w:tc>
          <w:tcPr>
            <w:tcW w:w="2254" w:type="dxa"/>
          </w:tcPr>
          <w:p w14:paraId="20EB6D56" w14:textId="62D5B2FD" w:rsidR="00BB4BC6" w:rsidRPr="00735726" w:rsidRDefault="00BB4BC6" w:rsidP="00844EFD">
            <w:pPr>
              <w:spacing w:after="160"/>
              <w:rPr>
                <w:rFonts w:ascii="Arial" w:eastAsiaTheme="minorHAnsi" w:hAnsi="Arial" w:cs="Arial"/>
                <w:sz w:val="18"/>
                <w:szCs w:val="18"/>
              </w:rPr>
            </w:pPr>
            <w:r w:rsidRPr="00735726">
              <w:rPr>
                <w:rFonts w:ascii="Arial" w:eastAsiaTheme="minorHAnsi" w:hAnsi="Arial" w:cs="Arial"/>
                <w:sz w:val="18"/>
                <w:szCs w:val="18"/>
              </w:rPr>
              <w:t>28,595</w:t>
            </w:r>
          </w:p>
        </w:tc>
      </w:tr>
    </w:tbl>
    <w:p w14:paraId="3F2A2326" w14:textId="77777777" w:rsidR="00EE000F" w:rsidRPr="009A2CAE" w:rsidRDefault="00EE000F" w:rsidP="00844EFD">
      <w:pPr>
        <w:rPr>
          <w:rFonts w:ascii="Arial" w:hAnsi="Arial" w:cs="Arial"/>
          <w:b/>
          <w:bCs/>
          <w:sz w:val="18"/>
          <w:szCs w:val="18"/>
        </w:rPr>
      </w:pPr>
    </w:p>
    <w:p w14:paraId="1C63B373" w14:textId="08730241" w:rsidR="00EE000F" w:rsidRPr="00735726" w:rsidRDefault="00EE000F" w:rsidP="00844EFD">
      <w:pPr>
        <w:rPr>
          <w:rFonts w:ascii="Arial" w:hAnsi="Arial" w:cs="Arial"/>
          <w:b/>
          <w:bCs/>
          <w:sz w:val="18"/>
          <w:szCs w:val="18"/>
        </w:rPr>
      </w:pPr>
      <w:r w:rsidRPr="00735726">
        <w:rPr>
          <w:rFonts w:ascii="Arial" w:hAnsi="Arial" w:cs="Arial"/>
          <w:b/>
          <w:bCs/>
          <w:sz w:val="18"/>
          <w:szCs w:val="18"/>
        </w:rPr>
        <w:t>PEOPLE</w:t>
      </w:r>
    </w:p>
    <w:p w14:paraId="37E80E02" w14:textId="3A11BB2A" w:rsidR="00EE000F" w:rsidRPr="00735726" w:rsidRDefault="00EE000F" w:rsidP="00844EFD">
      <w:pPr>
        <w:rPr>
          <w:rFonts w:ascii="Arial" w:hAnsi="Arial" w:cs="Arial"/>
          <w:sz w:val="18"/>
          <w:szCs w:val="18"/>
        </w:rPr>
      </w:pPr>
      <w:r w:rsidRPr="00735726">
        <w:rPr>
          <w:rFonts w:ascii="Arial" w:hAnsi="Arial" w:cs="Arial"/>
          <w:i/>
          <w:iCs/>
          <w:sz w:val="18"/>
          <w:szCs w:val="18"/>
        </w:rPr>
        <w:t>WHO THEY ARE</w:t>
      </w:r>
      <w:r w:rsidRPr="00735726">
        <w:rPr>
          <w:rFonts w:ascii="Arial" w:hAnsi="Arial" w:cs="Arial"/>
          <w:sz w:val="18"/>
          <w:szCs w:val="18"/>
        </w:rPr>
        <w:br/>
        <w:t xml:space="preserve">Across the Company, </w:t>
      </w:r>
      <w:r w:rsidR="00051773" w:rsidRPr="00735726">
        <w:rPr>
          <w:rFonts w:ascii="Arial" w:hAnsi="Arial" w:cs="Arial"/>
          <w:sz w:val="18"/>
          <w:szCs w:val="18"/>
        </w:rPr>
        <w:t>c.</w:t>
      </w:r>
      <w:r w:rsidR="00283FBB" w:rsidRPr="00735726">
        <w:rPr>
          <w:rFonts w:ascii="Arial" w:hAnsi="Arial" w:cs="Arial"/>
          <w:sz w:val="18"/>
          <w:szCs w:val="18"/>
        </w:rPr>
        <w:t>2,700</w:t>
      </w:r>
      <w:r w:rsidRPr="00735726">
        <w:rPr>
          <w:rFonts w:ascii="Arial" w:hAnsi="Arial" w:cs="Arial"/>
          <w:sz w:val="18"/>
          <w:szCs w:val="18"/>
        </w:rPr>
        <w:t xml:space="preserve"> colleagues contribute to our work in a wide range of operational and corporate roles. Their commitment underpins everything we do, from maintaining vital water and wastewater services to ensuring our customers receive clean, safe drinking water every hour of the day.</w:t>
      </w:r>
    </w:p>
    <w:p w14:paraId="5C6E244A" w14:textId="77777777" w:rsidR="00EE000F" w:rsidRPr="00735726" w:rsidRDefault="00EE000F" w:rsidP="00844EFD">
      <w:pPr>
        <w:rPr>
          <w:rFonts w:ascii="Arial" w:hAnsi="Arial" w:cs="Arial"/>
          <w:i/>
          <w:iCs/>
          <w:sz w:val="18"/>
          <w:szCs w:val="18"/>
        </w:rPr>
      </w:pPr>
      <w:r w:rsidRPr="00735726">
        <w:rPr>
          <w:rFonts w:ascii="Arial" w:hAnsi="Arial" w:cs="Arial"/>
          <w:i/>
          <w:iCs/>
          <w:sz w:val="18"/>
          <w:szCs w:val="18"/>
        </w:rPr>
        <w:t>KEY HIGHLIGHTS</w:t>
      </w:r>
    </w:p>
    <w:p w14:paraId="24ADFA2B" w14:textId="285F4FBE" w:rsidR="00261A6E" w:rsidRPr="00735726" w:rsidRDefault="00261A6E" w:rsidP="00646F4F">
      <w:pPr>
        <w:pStyle w:val="ListParagraph"/>
        <w:numPr>
          <w:ilvl w:val="0"/>
          <w:numId w:val="47"/>
        </w:numPr>
        <w:rPr>
          <w:rFonts w:ascii="Arial" w:hAnsi="Arial" w:cs="Arial"/>
          <w:sz w:val="18"/>
          <w:szCs w:val="18"/>
        </w:rPr>
      </w:pPr>
      <w:r w:rsidRPr="00735726">
        <w:rPr>
          <w:rFonts w:ascii="Arial" w:hAnsi="Arial" w:cs="Arial"/>
          <w:b/>
          <w:bCs/>
          <w:sz w:val="18"/>
          <w:szCs w:val="18"/>
        </w:rPr>
        <w:t>Focused on performance</w:t>
      </w:r>
      <w:r w:rsidRPr="00735726">
        <w:rPr>
          <w:rFonts w:ascii="Arial" w:hAnsi="Arial" w:cs="Arial"/>
          <w:sz w:val="18"/>
          <w:szCs w:val="18"/>
        </w:rPr>
        <w:t xml:space="preserve"> - We rallied all colleagues across the Company to tackle our biggest challenge - reducing storm overflows and pollutions. We introduced a Company-wide ‘challenge’, so that wherever you work you could learn more about this strategic priority and demonstrate your commitment to improving our performance.</w:t>
      </w:r>
    </w:p>
    <w:p w14:paraId="4163100C" w14:textId="5FCDB216" w:rsidR="00261A6E" w:rsidRPr="00735726" w:rsidRDefault="00261A6E" w:rsidP="00646F4F">
      <w:pPr>
        <w:pStyle w:val="ListParagraph"/>
        <w:numPr>
          <w:ilvl w:val="0"/>
          <w:numId w:val="47"/>
        </w:numPr>
        <w:rPr>
          <w:rFonts w:ascii="Arial" w:hAnsi="Arial" w:cs="Arial"/>
          <w:sz w:val="18"/>
          <w:szCs w:val="18"/>
        </w:rPr>
      </w:pPr>
      <w:r w:rsidRPr="00735726">
        <w:rPr>
          <w:rFonts w:ascii="Arial" w:hAnsi="Arial" w:cs="Arial"/>
          <w:b/>
          <w:bCs/>
          <w:sz w:val="18"/>
          <w:szCs w:val="18"/>
        </w:rPr>
        <w:t xml:space="preserve">‘You Rock’ Awards evening </w:t>
      </w:r>
      <w:r w:rsidR="00603706" w:rsidRPr="00735726">
        <w:rPr>
          <w:rFonts w:ascii="Arial" w:hAnsi="Arial" w:cs="Arial"/>
          <w:sz w:val="18"/>
          <w:szCs w:val="18"/>
        </w:rPr>
        <w:t>-</w:t>
      </w:r>
      <w:r w:rsidRPr="00735726">
        <w:rPr>
          <w:rFonts w:ascii="Arial" w:hAnsi="Arial" w:cs="Arial"/>
          <w:b/>
          <w:bCs/>
          <w:sz w:val="18"/>
          <w:szCs w:val="18"/>
        </w:rPr>
        <w:t xml:space="preserve"> </w:t>
      </w:r>
      <w:r w:rsidRPr="00735726">
        <w:rPr>
          <w:rFonts w:ascii="Arial" w:hAnsi="Arial" w:cs="Arial"/>
          <w:sz w:val="18"/>
          <w:szCs w:val="18"/>
        </w:rPr>
        <w:t>celebrated colleagues across our Company who exemplify our values in action</w:t>
      </w:r>
    </w:p>
    <w:p w14:paraId="106B80B1" w14:textId="7135F0CC" w:rsidR="00261A6E" w:rsidRPr="00735726" w:rsidRDefault="00261A6E" w:rsidP="00646F4F">
      <w:pPr>
        <w:pStyle w:val="ListParagraph"/>
        <w:numPr>
          <w:ilvl w:val="0"/>
          <w:numId w:val="47"/>
        </w:numPr>
        <w:rPr>
          <w:rFonts w:ascii="Arial" w:hAnsi="Arial" w:cs="Arial"/>
          <w:sz w:val="18"/>
          <w:szCs w:val="18"/>
        </w:rPr>
      </w:pPr>
      <w:r w:rsidRPr="00735726">
        <w:rPr>
          <w:rFonts w:ascii="Arial" w:hAnsi="Arial" w:cs="Arial"/>
          <w:b/>
          <w:bCs/>
          <w:sz w:val="18"/>
          <w:szCs w:val="18"/>
        </w:rPr>
        <w:t xml:space="preserve">Launching </w:t>
      </w:r>
      <w:proofErr w:type="spellStart"/>
      <w:r w:rsidRPr="00735726">
        <w:rPr>
          <w:rFonts w:ascii="Arial" w:hAnsi="Arial" w:cs="Arial"/>
          <w:b/>
          <w:bCs/>
          <w:sz w:val="18"/>
          <w:szCs w:val="18"/>
        </w:rPr>
        <w:t>Teamtailor</w:t>
      </w:r>
      <w:proofErr w:type="spellEnd"/>
      <w:r w:rsidRPr="00735726">
        <w:rPr>
          <w:rFonts w:ascii="Arial" w:hAnsi="Arial" w:cs="Arial"/>
          <w:b/>
          <w:bCs/>
          <w:sz w:val="18"/>
          <w:szCs w:val="18"/>
        </w:rPr>
        <w:t xml:space="preserve"> </w:t>
      </w:r>
      <w:r w:rsidR="00603706" w:rsidRPr="00735726">
        <w:rPr>
          <w:rFonts w:ascii="Arial" w:hAnsi="Arial" w:cs="Arial"/>
          <w:sz w:val="18"/>
          <w:szCs w:val="18"/>
        </w:rPr>
        <w:t>-</w:t>
      </w:r>
      <w:r w:rsidRPr="00735726">
        <w:rPr>
          <w:rFonts w:ascii="Arial" w:hAnsi="Arial" w:cs="Arial"/>
          <w:b/>
          <w:bCs/>
          <w:sz w:val="18"/>
          <w:szCs w:val="18"/>
        </w:rPr>
        <w:t xml:space="preserve"> </w:t>
      </w:r>
      <w:r w:rsidRPr="00735726">
        <w:rPr>
          <w:rFonts w:ascii="Arial" w:hAnsi="Arial" w:cs="Arial"/>
          <w:sz w:val="18"/>
          <w:szCs w:val="18"/>
        </w:rPr>
        <w:t>a faster, more intuitive and inclusive recruitment process, improving the experience for both candidates and hiring managers</w:t>
      </w:r>
    </w:p>
    <w:p w14:paraId="0734C219" w14:textId="6320E5BF" w:rsidR="00261A6E" w:rsidRPr="00735726" w:rsidRDefault="00261A6E" w:rsidP="00646F4F">
      <w:pPr>
        <w:pStyle w:val="ListParagraph"/>
        <w:numPr>
          <w:ilvl w:val="0"/>
          <w:numId w:val="47"/>
        </w:numPr>
        <w:rPr>
          <w:rFonts w:ascii="Arial" w:hAnsi="Arial" w:cs="Arial"/>
          <w:sz w:val="18"/>
          <w:szCs w:val="18"/>
        </w:rPr>
      </w:pPr>
      <w:r w:rsidRPr="00735726">
        <w:rPr>
          <w:rFonts w:ascii="Arial" w:hAnsi="Arial" w:cs="Arial"/>
          <w:b/>
          <w:bCs/>
          <w:sz w:val="18"/>
          <w:szCs w:val="18"/>
        </w:rPr>
        <w:t xml:space="preserve">c.2,300 </w:t>
      </w:r>
      <w:r w:rsidRPr="00735726">
        <w:rPr>
          <w:rFonts w:ascii="Arial" w:hAnsi="Arial" w:cs="Arial"/>
          <w:sz w:val="18"/>
          <w:szCs w:val="18"/>
        </w:rPr>
        <w:t>colleagues now use Viva Engage, our internal communications platform</w:t>
      </w:r>
    </w:p>
    <w:p w14:paraId="6B2EDF28" w14:textId="77777777" w:rsidR="00297917" w:rsidRPr="00735726" w:rsidRDefault="00297917" w:rsidP="00844EFD">
      <w:pPr>
        <w:spacing w:after="160"/>
        <w:rPr>
          <w:i/>
          <w:iCs/>
        </w:rPr>
      </w:pPr>
    </w:p>
    <w:p w14:paraId="51AAF612" w14:textId="0917A558" w:rsidR="00195A5B" w:rsidRPr="00735726" w:rsidRDefault="00EB35B8" w:rsidP="00844EFD">
      <w:pPr>
        <w:spacing w:after="160"/>
        <w:rPr>
          <w:rFonts w:ascii="Arial" w:hAnsi="Arial" w:cs="Arial"/>
          <w:sz w:val="18"/>
          <w:szCs w:val="18"/>
        </w:rPr>
      </w:pPr>
      <w:r w:rsidRPr="00735726">
        <w:rPr>
          <w:i/>
          <w:iCs/>
        </w:rPr>
        <w:lastRenderedPageBreak/>
        <w:t xml:space="preserve">WHY WE ENGAGE </w:t>
      </w:r>
      <w:r w:rsidR="00195A5B" w:rsidRPr="00735726">
        <w:rPr>
          <w:rFonts w:ascii="Arial" w:hAnsi="Arial" w:cs="Arial"/>
          <w:sz w:val="32"/>
          <w:szCs w:val="32"/>
        </w:rPr>
        <w:br/>
      </w:r>
      <w:r w:rsidR="00195A5B" w:rsidRPr="00735726">
        <w:rPr>
          <w:rFonts w:ascii="Arial" w:hAnsi="Arial" w:cs="Arial"/>
          <w:sz w:val="18"/>
          <w:szCs w:val="18"/>
        </w:rPr>
        <w:t xml:space="preserve">Our success depends on the talent, skills and shared values of our people. To deliver our strategy, we are focused on attracting, developing and retaining a diverse workforce that reflects the communities we serve. When colleagues are heard, supported and empowered, they thrive, and so does our business. Regular two-way engagement helps us understand what matters most to our people and make meaningful improvements that strengthen our culture and capability. </w:t>
      </w:r>
    </w:p>
    <w:p w14:paraId="70637071" w14:textId="1EA378CA" w:rsidR="00ED2AD7" w:rsidRPr="00735726" w:rsidRDefault="00195A5B" w:rsidP="00844EFD">
      <w:pPr>
        <w:spacing w:after="160"/>
        <w:rPr>
          <w:rFonts w:ascii="Arial" w:hAnsi="Arial" w:cs="Arial"/>
          <w:sz w:val="18"/>
          <w:szCs w:val="18"/>
        </w:rPr>
      </w:pPr>
      <w:r w:rsidRPr="00735726">
        <w:rPr>
          <w:rFonts w:ascii="Arial" w:hAnsi="Arial" w:cs="Arial"/>
          <w:sz w:val="18"/>
          <w:szCs w:val="18"/>
        </w:rPr>
        <w:t>We use a range of tools to stay connected, including listening sessions, Employee Network Groups and trade union representation.</w:t>
      </w:r>
    </w:p>
    <w:p w14:paraId="5457A483" w14:textId="7DF9EB07" w:rsidR="00195A5B" w:rsidRPr="00735726" w:rsidRDefault="00195A5B" w:rsidP="00844EFD">
      <w:pPr>
        <w:spacing w:after="160"/>
        <w:rPr>
          <w:rFonts w:ascii="Arial" w:hAnsi="Arial" w:cs="Arial"/>
          <w:sz w:val="18"/>
          <w:szCs w:val="18"/>
        </w:rPr>
      </w:pPr>
      <w:r w:rsidRPr="00735726">
        <w:rPr>
          <w:i/>
          <w:iCs/>
        </w:rPr>
        <w:t xml:space="preserve">HOW WE ENGAGE </w:t>
      </w:r>
      <w:r w:rsidRPr="00735726">
        <w:rPr>
          <w:i/>
          <w:iCs/>
        </w:rPr>
        <w:br/>
        <w:t>LISTENING AND ACTING ON EMPLOYEES’ VIEWS</w:t>
      </w:r>
      <w:r w:rsidRPr="00735726">
        <w:rPr>
          <w:i/>
          <w:iCs/>
        </w:rPr>
        <w:br/>
      </w:r>
      <w:r w:rsidRPr="00735726">
        <w:rPr>
          <w:rFonts w:ascii="Arial" w:hAnsi="Arial" w:cs="Arial"/>
          <w:sz w:val="18"/>
          <w:szCs w:val="18"/>
        </w:rPr>
        <w:t>We take our responsibility to listen, to understand and support our employees seriously. Our s</w:t>
      </w:r>
      <w:r w:rsidR="00B90065" w:rsidRPr="00735726">
        <w:rPr>
          <w:rFonts w:ascii="Arial" w:hAnsi="Arial" w:cs="Arial"/>
          <w:sz w:val="18"/>
          <w:szCs w:val="18"/>
        </w:rPr>
        <w:t>.</w:t>
      </w:r>
      <w:r w:rsidRPr="00735726">
        <w:rPr>
          <w:rFonts w:ascii="Arial" w:hAnsi="Arial" w:cs="Arial"/>
          <w:sz w:val="18"/>
          <w:szCs w:val="18"/>
        </w:rPr>
        <w:t xml:space="preserve">172(1) statement on pages </w:t>
      </w:r>
      <w:r w:rsidR="003D1633" w:rsidRPr="009A2CAE">
        <w:rPr>
          <w:rFonts w:ascii="Arial" w:hAnsi="Arial" w:cs="Arial"/>
          <w:sz w:val="18"/>
          <w:szCs w:val="18"/>
        </w:rPr>
        <w:t>122 to 124</w:t>
      </w:r>
      <w:r w:rsidRPr="00735726">
        <w:rPr>
          <w:rFonts w:ascii="Arial" w:hAnsi="Arial" w:cs="Arial"/>
          <w:sz w:val="18"/>
          <w:szCs w:val="18"/>
        </w:rPr>
        <w:t xml:space="preserve"> outlines how employee interests are considered in our decision-making.</w:t>
      </w:r>
    </w:p>
    <w:p w14:paraId="4DA9E331" w14:textId="4390E97B" w:rsidR="00195A5B" w:rsidRPr="009A2CAE" w:rsidRDefault="00195A5B" w:rsidP="00844EFD">
      <w:pPr>
        <w:spacing w:after="160"/>
        <w:rPr>
          <w:rFonts w:ascii="Arial" w:hAnsi="Arial" w:cs="Arial"/>
          <w:sz w:val="18"/>
          <w:szCs w:val="18"/>
        </w:rPr>
      </w:pPr>
      <w:r w:rsidRPr="00735726">
        <w:rPr>
          <w:i/>
          <w:iCs/>
        </w:rPr>
        <w:t>SPEAK UP</w:t>
      </w:r>
      <w:r w:rsidRPr="00735726">
        <w:rPr>
          <w:i/>
          <w:iCs/>
        </w:rPr>
        <w:br/>
      </w:r>
      <w:r w:rsidRPr="00735726">
        <w:rPr>
          <w:rFonts w:ascii="Arial" w:hAnsi="Arial" w:cs="Arial"/>
          <w:sz w:val="18"/>
          <w:szCs w:val="18"/>
        </w:rPr>
        <w:t xml:space="preserve">Our Speak Up whistleblowing policy continued to operate throughout the year, and remains a vital channel for open, safe and transparent communication, helping us build a culture of trust. Colleagues </w:t>
      </w:r>
      <w:proofErr w:type="gramStart"/>
      <w:r w:rsidRPr="00735726">
        <w:rPr>
          <w:rFonts w:ascii="Arial" w:hAnsi="Arial" w:cs="Arial"/>
          <w:sz w:val="18"/>
          <w:szCs w:val="18"/>
        </w:rPr>
        <w:t>are able to</w:t>
      </w:r>
      <w:proofErr w:type="gramEnd"/>
      <w:r w:rsidRPr="00735726">
        <w:rPr>
          <w:rFonts w:ascii="Arial" w:hAnsi="Arial" w:cs="Arial"/>
          <w:sz w:val="18"/>
          <w:szCs w:val="18"/>
        </w:rPr>
        <w:t xml:space="preserve"> speak up and are supported if they do so. Read more on Speak Up on page </w:t>
      </w:r>
      <w:r w:rsidR="003D1633" w:rsidRPr="009A2CAE">
        <w:rPr>
          <w:rFonts w:ascii="Arial" w:hAnsi="Arial" w:cs="Arial"/>
          <w:sz w:val="18"/>
          <w:szCs w:val="18"/>
        </w:rPr>
        <w:t>138</w:t>
      </w:r>
      <w:r w:rsidRPr="009A2CAE">
        <w:rPr>
          <w:rFonts w:ascii="Arial" w:hAnsi="Arial" w:cs="Arial"/>
          <w:sz w:val="18"/>
          <w:szCs w:val="18"/>
        </w:rPr>
        <w:t xml:space="preserve"> </w:t>
      </w:r>
      <w:r w:rsidRPr="00735726">
        <w:rPr>
          <w:rFonts w:ascii="Arial" w:hAnsi="Arial" w:cs="Arial"/>
          <w:sz w:val="18"/>
          <w:szCs w:val="18"/>
        </w:rPr>
        <w:t>in the Corporate Governance report.</w:t>
      </w:r>
    </w:p>
    <w:p w14:paraId="37A98FA2" w14:textId="77777777" w:rsidR="00195A5B" w:rsidRPr="00735726" w:rsidRDefault="00195A5B" w:rsidP="00844EFD">
      <w:pPr>
        <w:spacing w:after="160"/>
        <w:rPr>
          <w:i/>
          <w:iCs/>
        </w:rPr>
      </w:pPr>
      <w:r w:rsidRPr="00735726">
        <w:rPr>
          <w:i/>
          <w:iCs/>
        </w:rPr>
        <w:t>BUILDING CONSISTENT CONNECTION</w:t>
      </w:r>
      <w:r w:rsidRPr="00735726">
        <w:rPr>
          <w:i/>
          <w:iCs/>
        </w:rPr>
        <w:br/>
      </w:r>
      <w:r w:rsidRPr="00735726">
        <w:rPr>
          <w:rFonts w:ascii="Arial" w:hAnsi="Arial" w:cs="Arial"/>
          <w:sz w:val="18"/>
          <w:szCs w:val="18"/>
        </w:rPr>
        <w:t>Following the separation of Water, Wastewater and Customer into distinct operational units, each business now operates its own regular cadence of colleague communication and engagement. Shaped by feedback from teams within each unit, these approaches are tailored to their needs and preferences, resulting in a model built directly on colleague insight. This includes regular in-person breakfast briefings, leadership events, and interactive calls where colleagues hear key updates and ask questions, alongside tailored communications from the relevant leader.</w:t>
      </w:r>
      <w:r w:rsidRPr="00735726">
        <w:rPr>
          <w:i/>
          <w:iCs/>
        </w:rPr>
        <w:t xml:space="preserve"> </w:t>
      </w:r>
    </w:p>
    <w:p w14:paraId="6C7C009F" w14:textId="300BE357" w:rsidR="00195A5B" w:rsidRPr="00735726" w:rsidRDefault="00195A5B" w:rsidP="00844EFD">
      <w:pPr>
        <w:spacing w:after="160"/>
        <w:rPr>
          <w:rFonts w:ascii="Arial" w:hAnsi="Arial" w:cs="Arial"/>
          <w:sz w:val="18"/>
          <w:szCs w:val="18"/>
        </w:rPr>
      </w:pPr>
      <w:r w:rsidRPr="00735726">
        <w:rPr>
          <w:i/>
          <w:iCs/>
        </w:rPr>
        <w:t xml:space="preserve">CELEBRATING COLLEAGUES: THE ‘YOU ROCK’ AWARDS </w:t>
      </w:r>
      <w:r w:rsidRPr="00735726">
        <w:rPr>
          <w:i/>
          <w:iCs/>
        </w:rPr>
        <w:br/>
      </w:r>
      <w:r w:rsidRPr="00735726">
        <w:rPr>
          <w:rFonts w:ascii="Arial" w:hAnsi="Arial" w:cs="Arial"/>
          <w:sz w:val="18"/>
          <w:szCs w:val="18"/>
        </w:rPr>
        <w:t xml:space="preserve">This year, we introduced the ‘You Rock’ Awards, a new recognition scheme designed to celebrate colleagues who embody our values. These awards reflect the depth of dedication, professionalism and integrity that our people bring to serving customers </w:t>
      </w:r>
      <w:r w:rsidR="002E6A94" w:rsidRPr="00735726">
        <w:rPr>
          <w:rFonts w:ascii="Arial" w:hAnsi="Arial" w:cs="Arial"/>
          <w:sz w:val="18"/>
          <w:szCs w:val="18"/>
        </w:rPr>
        <w:t>and communities</w:t>
      </w:r>
      <w:r w:rsidRPr="00735726">
        <w:rPr>
          <w:rFonts w:ascii="Arial" w:hAnsi="Arial" w:cs="Arial"/>
          <w:sz w:val="18"/>
          <w:szCs w:val="18"/>
        </w:rPr>
        <w:t xml:space="preserve"> every day.</w:t>
      </w:r>
    </w:p>
    <w:p w14:paraId="7290F078" w14:textId="0A574BB9" w:rsidR="002E6A94" w:rsidRPr="00735726" w:rsidRDefault="00195A5B" w:rsidP="00844EFD">
      <w:pPr>
        <w:spacing w:after="160"/>
        <w:rPr>
          <w:rFonts w:ascii="Arial" w:hAnsi="Arial" w:cs="Arial"/>
          <w:sz w:val="18"/>
          <w:szCs w:val="18"/>
        </w:rPr>
      </w:pPr>
      <w:r w:rsidRPr="00735726">
        <w:rPr>
          <w:rFonts w:ascii="Arial" w:hAnsi="Arial" w:cs="Arial"/>
          <w:sz w:val="18"/>
          <w:szCs w:val="18"/>
        </w:rPr>
        <w:t xml:space="preserve">The inaugural event brought colleagues together from across the </w:t>
      </w:r>
      <w:r w:rsidR="002E6A94" w:rsidRPr="00735726">
        <w:rPr>
          <w:rFonts w:ascii="Arial" w:hAnsi="Arial" w:cs="Arial"/>
          <w:sz w:val="18"/>
          <w:szCs w:val="18"/>
        </w:rPr>
        <w:t>Company</w:t>
      </w:r>
      <w:r w:rsidRPr="00735726">
        <w:rPr>
          <w:rFonts w:ascii="Arial" w:hAnsi="Arial" w:cs="Arial"/>
          <w:sz w:val="18"/>
          <w:szCs w:val="18"/>
        </w:rPr>
        <w:t xml:space="preserve"> to recognise individuals and teams whose contribution has made a lasting impact. The Awards celebrated colleagues who bring our values to life, with honours presented across our three core values </w:t>
      </w:r>
      <w:r w:rsidR="006C1BA9" w:rsidRPr="00735726">
        <w:rPr>
          <w:rFonts w:ascii="Arial" w:hAnsi="Arial" w:cs="Arial"/>
          <w:sz w:val="18"/>
          <w:szCs w:val="18"/>
        </w:rPr>
        <w:t xml:space="preserve">- </w:t>
      </w:r>
      <w:r w:rsidR="00942D4F" w:rsidRPr="00735726">
        <w:rPr>
          <w:rFonts w:ascii="Arial" w:hAnsi="Arial" w:cs="Arial"/>
          <w:sz w:val="18"/>
          <w:szCs w:val="18"/>
        </w:rPr>
        <w:t>‘</w:t>
      </w:r>
      <w:r w:rsidRPr="00735726">
        <w:rPr>
          <w:rFonts w:ascii="Arial" w:hAnsi="Arial" w:cs="Arial"/>
          <w:sz w:val="18"/>
          <w:szCs w:val="18"/>
        </w:rPr>
        <w:t>Be You</w:t>
      </w:r>
      <w:r w:rsidR="00942D4F" w:rsidRPr="00735726">
        <w:rPr>
          <w:rFonts w:ascii="Arial" w:hAnsi="Arial" w:cs="Arial"/>
          <w:sz w:val="18"/>
          <w:szCs w:val="18"/>
        </w:rPr>
        <w:t>’</w:t>
      </w:r>
      <w:r w:rsidRPr="00735726">
        <w:rPr>
          <w:rFonts w:ascii="Arial" w:hAnsi="Arial" w:cs="Arial"/>
          <w:sz w:val="18"/>
          <w:szCs w:val="18"/>
        </w:rPr>
        <w:t xml:space="preserve">, </w:t>
      </w:r>
      <w:r w:rsidR="00942D4F" w:rsidRPr="00735726">
        <w:rPr>
          <w:rFonts w:ascii="Arial" w:hAnsi="Arial" w:cs="Arial"/>
          <w:sz w:val="18"/>
          <w:szCs w:val="18"/>
        </w:rPr>
        <w:t>‘</w:t>
      </w:r>
      <w:r w:rsidRPr="00735726">
        <w:rPr>
          <w:rFonts w:ascii="Arial" w:hAnsi="Arial" w:cs="Arial"/>
          <w:sz w:val="18"/>
          <w:szCs w:val="18"/>
        </w:rPr>
        <w:t>Be Rock Solid</w:t>
      </w:r>
      <w:r w:rsidR="00942D4F" w:rsidRPr="00735726">
        <w:rPr>
          <w:rFonts w:ascii="Arial" w:hAnsi="Arial" w:cs="Arial"/>
          <w:sz w:val="18"/>
          <w:szCs w:val="18"/>
        </w:rPr>
        <w:t>’</w:t>
      </w:r>
      <w:r w:rsidRPr="00735726">
        <w:rPr>
          <w:rFonts w:ascii="Arial" w:hAnsi="Arial" w:cs="Arial"/>
          <w:sz w:val="18"/>
          <w:szCs w:val="18"/>
        </w:rPr>
        <w:t xml:space="preserve"> and </w:t>
      </w:r>
      <w:r w:rsidR="00942D4F" w:rsidRPr="00735726">
        <w:rPr>
          <w:rFonts w:ascii="Arial" w:hAnsi="Arial" w:cs="Arial"/>
          <w:sz w:val="18"/>
          <w:szCs w:val="18"/>
        </w:rPr>
        <w:t>‘</w:t>
      </w:r>
      <w:r w:rsidRPr="00735726">
        <w:rPr>
          <w:rFonts w:ascii="Arial" w:hAnsi="Arial" w:cs="Arial"/>
          <w:sz w:val="18"/>
          <w:szCs w:val="18"/>
        </w:rPr>
        <w:t>Be the Future</w:t>
      </w:r>
      <w:r w:rsidR="00942D4F" w:rsidRPr="00735726">
        <w:rPr>
          <w:rFonts w:ascii="Arial" w:hAnsi="Arial" w:cs="Arial"/>
          <w:sz w:val="18"/>
          <w:szCs w:val="18"/>
        </w:rPr>
        <w:t>’</w:t>
      </w:r>
      <w:r w:rsidRPr="00735726">
        <w:rPr>
          <w:rFonts w:ascii="Arial" w:hAnsi="Arial" w:cs="Arial"/>
          <w:sz w:val="18"/>
          <w:szCs w:val="18"/>
        </w:rPr>
        <w:t xml:space="preserve">. The evening also recognised individuals that contribute to a safe and </w:t>
      </w:r>
      <w:r w:rsidR="002E6A94" w:rsidRPr="00735726">
        <w:rPr>
          <w:rFonts w:ascii="Arial" w:hAnsi="Arial" w:cs="Arial"/>
          <w:sz w:val="18"/>
          <w:szCs w:val="18"/>
        </w:rPr>
        <w:t>well-run</w:t>
      </w:r>
      <w:r w:rsidRPr="00735726">
        <w:rPr>
          <w:rFonts w:ascii="Arial" w:hAnsi="Arial" w:cs="Arial"/>
          <w:sz w:val="18"/>
          <w:szCs w:val="18"/>
        </w:rPr>
        <w:t xml:space="preserve"> workplace with our </w:t>
      </w:r>
      <w:proofErr w:type="spellStart"/>
      <w:r w:rsidRPr="00735726">
        <w:rPr>
          <w:rFonts w:ascii="Arial" w:hAnsi="Arial" w:cs="Arial"/>
          <w:sz w:val="18"/>
          <w:szCs w:val="18"/>
        </w:rPr>
        <w:t>HomeSafe</w:t>
      </w:r>
      <w:proofErr w:type="spellEnd"/>
      <w:r w:rsidRPr="00735726">
        <w:rPr>
          <w:rFonts w:ascii="Arial" w:hAnsi="Arial" w:cs="Arial"/>
          <w:sz w:val="18"/>
          <w:szCs w:val="18"/>
        </w:rPr>
        <w:t xml:space="preserve"> Award,</w:t>
      </w:r>
      <w:r w:rsidR="002E6A94" w:rsidRPr="00735726">
        <w:rPr>
          <w:rFonts w:ascii="Arial" w:hAnsi="Arial" w:cs="Arial"/>
          <w:sz w:val="18"/>
          <w:szCs w:val="18"/>
        </w:rPr>
        <w:t xml:space="preserve"> </w:t>
      </w:r>
      <w:r w:rsidRPr="00735726">
        <w:rPr>
          <w:rFonts w:ascii="Arial" w:hAnsi="Arial" w:cs="Arial"/>
          <w:sz w:val="18"/>
          <w:szCs w:val="18"/>
        </w:rPr>
        <w:t>outstanding</w:t>
      </w:r>
      <w:r w:rsidR="002E6A94" w:rsidRPr="00735726">
        <w:rPr>
          <w:rFonts w:ascii="Arial" w:hAnsi="Arial" w:cs="Arial"/>
          <w:sz w:val="18"/>
          <w:szCs w:val="18"/>
        </w:rPr>
        <w:t xml:space="preserve"> </w:t>
      </w:r>
      <w:r w:rsidRPr="00735726">
        <w:rPr>
          <w:rFonts w:ascii="Arial" w:hAnsi="Arial" w:cs="Arial"/>
          <w:sz w:val="18"/>
          <w:szCs w:val="18"/>
        </w:rPr>
        <w:t>achievements through our Leader of the Year, Team of</w:t>
      </w:r>
      <w:r w:rsidR="002E6A94" w:rsidRPr="00735726">
        <w:rPr>
          <w:rFonts w:ascii="Arial" w:hAnsi="Arial" w:cs="Arial"/>
          <w:sz w:val="18"/>
          <w:szCs w:val="18"/>
        </w:rPr>
        <w:t xml:space="preserve"> </w:t>
      </w:r>
      <w:r w:rsidRPr="00735726">
        <w:rPr>
          <w:rFonts w:ascii="Arial" w:hAnsi="Arial" w:cs="Arial"/>
          <w:sz w:val="18"/>
          <w:szCs w:val="18"/>
        </w:rPr>
        <w:t xml:space="preserve">the Year </w:t>
      </w:r>
      <w:proofErr w:type="gramStart"/>
      <w:r w:rsidRPr="00735726">
        <w:rPr>
          <w:rFonts w:ascii="Arial" w:hAnsi="Arial" w:cs="Arial"/>
          <w:sz w:val="18"/>
          <w:szCs w:val="18"/>
        </w:rPr>
        <w:t>and also</w:t>
      </w:r>
      <w:proofErr w:type="gramEnd"/>
      <w:r w:rsidRPr="00735726">
        <w:rPr>
          <w:rFonts w:ascii="Arial" w:hAnsi="Arial" w:cs="Arial"/>
          <w:sz w:val="18"/>
          <w:szCs w:val="18"/>
        </w:rPr>
        <w:t xml:space="preserve"> Rising Star awards, shining a spotlight</w:t>
      </w:r>
      <w:r w:rsidR="002E6A94" w:rsidRPr="00735726">
        <w:rPr>
          <w:rFonts w:ascii="Arial" w:hAnsi="Arial" w:cs="Arial"/>
          <w:sz w:val="18"/>
          <w:szCs w:val="18"/>
        </w:rPr>
        <w:t xml:space="preserve"> </w:t>
      </w:r>
      <w:r w:rsidRPr="00735726">
        <w:rPr>
          <w:rFonts w:ascii="Arial" w:hAnsi="Arial" w:cs="Arial"/>
          <w:sz w:val="18"/>
          <w:szCs w:val="18"/>
        </w:rPr>
        <w:t>on those who have made a significant contribution to</w:t>
      </w:r>
      <w:r w:rsidR="002E6A94" w:rsidRPr="00735726">
        <w:rPr>
          <w:rFonts w:ascii="Arial" w:hAnsi="Arial" w:cs="Arial"/>
          <w:sz w:val="18"/>
          <w:szCs w:val="18"/>
        </w:rPr>
        <w:t xml:space="preserve"> </w:t>
      </w:r>
      <w:r w:rsidRPr="00735726">
        <w:rPr>
          <w:rFonts w:ascii="Arial" w:hAnsi="Arial" w:cs="Arial"/>
          <w:sz w:val="18"/>
          <w:szCs w:val="18"/>
        </w:rPr>
        <w:t>our culture, performance and future success.</w:t>
      </w:r>
      <w:r w:rsidR="002E6A94" w:rsidRPr="00735726">
        <w:rPr>
          <w:rFonts w:ascii="Arial" w:hAnsi="Arial" w:cs="Arial"/>
          <w:sz w:val="18"/>
          <w:szCs w:val="18"/>
        </w:rPr>
        <w:t xml:space="preserve"> </w:t>
      </w:r>
    </w:p>
    <w:p w14:paraId="3A425A15" w14:textId="77777777" w:rsidR="002E6A94" w:rsidRPr="00735726" w:rsidRDefault="00195A5B" w:rsidP="00844EFD">
      <w:pPr>
        <w:spacing w:after="160"/>
        <w:rPr>
          <w:rFonts w:ascii="Arial" w:hAnsi="Arial" w:cs="Arial"/>
          <w:sz w:val="18"/>
          <w:szCs w:val="18"/>
        </w:rPr>
      </w:pPr>
      <w:r w:rsidRPr="00735726">
        <w:rPr>
          <w:rFonts w:ascii="Arial" w:hAnsi="Arial" w:cs="Arial"/>
          <w:sz w:val="18"/>
          <w:szCs w:val="18"/>
        </w:rPr>
        <w:t>This approach has now been embedded within</w:t>
      </w:r>
      <w:r w:rsidR="002E6A94" w:rsidRPr="00735726">
        <w:rPr>
          <w:rFonts w:ascii="Arial" w:hAnsi="Arial" w:cs="Arial"/>
          <w:sz w:val="18"/>
          <w:szCs w:val="18"/>
        </w:rPr>
        <w:t xml:space="preserve"> </w:t>
      </w:r>
      <w:r w:rsidRPr="00735726">
        <w:rPr>
          <w:rFonts w:ascii="Arial" w:hAnsi="Arial" w:cs="Arial"/>
          <w:sz w:val="18"/>
          <w:szCs w:val="18"/>
        </w:rPr>
        <w:t>individual business units, with tea</w:t>
      </w:r>
      <w:r w:rsidR="002E6A94" w:rsidRPr="00735726">
        <w:rPr>
          <w:rFonts w:ascii="Arial" w:hAnsi="Arial" w:cs="Arial"/>
          <w:sz w:val="18"/>
          <w:szCs w:val="18"/>
        </w:rPr>
        <w:t>m</w:t>
      </w:r>
      <w:r w:rsidRPr="00735726">
        <w:rPr>
          <w:rFonts w:ascii="Arial" w:hAnsi="Arial" w:cs="Arial"/>
          <w:sz w:val="18"/>
          <w:szCs w:val="18"/>
        </w:rPr>
        <w:t>s running their own</w:t>
      </w:r>
      <w:r w:rsidR="002E6A94" w:rsidRPr="00735726">
        <w:rPr>
          <w:rFonts w:ascii="Arial" w:hAnsi="Arial" w:cs="Arial"/>
          <w:sz w:val="18"/>
          <w:szCs w:val="18"/>
        </w:rPr>
        <w:t xml:space="preserve"> </w:t>
      </w:r>
      <w:r w:rsidRPr="00735726">
        <w:rPr>
          <w:rFonts w:ascii="Arial" w:hAnsi="Arial" w:cs="Arial"/>
          <w:sz w:val="18"/>
          <w:szCs w:val="18"/>
        </w:rPr>
        <w:t>local recognition initiatives, including mini recognition</w:t>
      </w:r>
      <w:r w:rsidR="002E6A94" w:rsidRPr="00735726">
        <w:rPr>
          <w:rFonts w:ascii="Arial" w:hAnsi="Arial" w:cs="Arial"/>
          <w:sz w:val="18"/>
          <w:szCs w:val="18"/>
        </w:rPr>
        <w:t xml:space="preserve"> </w:t>
      </w:r>
      <w:r w:rsidRPr="00735726">
        <w:rPr>
          <w:rFonts w:ascii="Arial" w:hAnsi="Arial" w:cs="Arial"/>
          <w:sz w:val="18"/>
          <w:szCs w:val="18"/>
        </w:rPr>
        <w:t>events and monthly awards, ensuring that success is</w:t>
      </w:r>
      <w:r w:rsidR="002E6A94" w:rsidRPr="00735726">
        <w:rPr>
          <w:rFonts w:ascii="Arial" w:hAnsi="Arial" w:cs="Arial"/>
          <w:sz w:val="18"/>
          <w:szCs w:val="18"/>
        </w:rPr>
        <w:t xml:space="preserve"> </w:t>
      </w:r>
      <w:r w:rsidRPr="00735726">
        <w:rPr>
          <w:rFonts w:ascii="Arial" w:hAnsi="Arial" w:cs="Arial"/>
          <w:sz w:val="18"/>
          <w:szCs w:val="18"/>
        </w:rPr>
        <w:t>celebrated regularly and close to where it happens.</w:t>
      </w:r>
      <w:r w:rsidR="002E6A94" w:rsidRPr="00735726">
        <w:rPr>
          <w:rFonts w:ascii="Arial" w:hAnsi="Arial" w:cs="Arial"/>
          <w:sz w:val="18"/>
          <w:szCs w:val="18"/>
        </w:rPr>
        <w:t xml:space="preserve"> </w:t>
      </w:r>
    </w:p>
    <w:p w14:paraId="33ECB9E1" w14:textId="2ACF77F2" w:rsidR="00195A5B" w:rsidRPr="00735726" w:rsidRDefault="00195A5B" w:rsidP="00844EFD">
      <w:pPr>
        <w:spacing w:after="160"/>
        <w:rPr>
          <w:rFonts w:ascii="Arial" w:hAnsi="Arial" w:cs="Arial"/>
          <w:sz w:val="18"/>
          <w:szCs w:val="18"/>
        </w:rPr>
      </w:pPr>
      <w:r w:rsidRPr="00735726">
        <w:rPr>
          <w:rFonts w:ascii="Arial" w:hAnsi="Arial" w:cs="Arial"/>
          <w:sz w:val="18"/>
          <w:szCs w:val="18"/>
        </w:rPr>
        <w:t xml:space="preserve">For generations, colleagues across the </w:t>
      </w:r>
      <w:r w:rsidR="002E6A94" w:rsidRPr="00735726">
        <w:rPr>
          <w:rFonts w:ascii="Arial" w:hAnsi="Arial" w:cs="Arial"/>
          <w:sz w:val="18"/>
          <w:szCs w:val="18"/>
        </w:rPr>
        <w:t>Company</w:t>
      </w:r>
      <w:r w:rsidRPr="00735726">
        <w:rPr>
          <w:rFonts w:ascii="Arial" w:hAnsi="Arial" w:cs="Arial"/>
          <w:sz w:val="18"/>
          <w:szCs w:val="18"/>
        </w:rPr>
        <w:t>,</w:t>
      </w:r>
      <w:r w:rsidR="002E6A94" w:rsidRPr="00735726">
        <w:rPr>
          <w:rFonts w:ascii="Arial" w:hAnsi="Arial" w:cs="Arial"/>
          <w:sz w:val="18"/>
          <w:szCs w:val="18"/>
        </w:rPr>
        <w:t xml:space="preserve"> </w:t>
      </w:r>
      <w:r w:rsidRPr="00735726">
        <w:rPr>
          <w:rFonts w:ascii="Arial" w:hAnsi="Arial" w:cs="Arial"/>
          <w:sz w:val="18"/>
          <w:szCs w:val="18"/>
        </w:rPr>
        <w:t>have delivered essential services with pride. The ‘You</w:t>
      </w:r>
      <w:r w:rsidR="002E6A94" w:rsidRPr="00735726">
        <w:rPr>
          <w:rFonts w:ascii="Arial" w:hAnsi="Arial" w:cs="Arial"/>
          <w:sz w:val="18"/>
          <w:szCs w:val="18"/>
        </w:rPr>
        <w:t xml:space="preserve"> </w:t>
      </w:r>
      <w:r w:rsidRPr="00735726">
        <w:rPr>
          <w:rFonts w:ascii="Arial" w:hAnsi="Arial" w:cs="Arial"/>
          <w:sz w:val="18"/>
          <w:szCs w:val="18"/>
        </w:rPr>
        <w:t>Rock’ Awards honour that legacy and spotlight the</w:t>
      </w:r>
      <w:r w:rsidR="002E6A94" w:rsidRPr="00735726">
        <w:rPr>
          <w:rFonts w:ascii="Arial" w:hAnsi="Arial" w:cs="Arial"/>
          <w:sz w:val="18"/>
          <w:szCs w:val="18"/>
        </w:rPr>
        <w:t xml:space="preserve"> </w:t>
      </w:r>
      <w:r w:rsidRPr="00735726">
        <w:rPr>
          <w:rFonts w:ascii="Arial" w:hAnsi="Arial" w:cs="Arial"/>
          <w:sz w:val="18"/>
          <w:szCs w:val="18"/>
        </w:rPr>
        <w:t>exceptional people who are driving our transformation</w:t>
      </w:r>
      <w:r w:rsidR="002E6A94" w:rsidRPr="00735726">
        <w:rPr>
          <w:rFonts w:ascii="Arial" w:hAnsi="Arial" w:cs="Arial"/>
          <w:sz w:val="18"/>
          <w:szCs w:val="18"/>
        </w:rPr>
        <w:t xml:space="preserve"> </w:t>
      </w:r>
      <w:r w:rsidRPr="00735726">
        <w:rPr>
          <w:rFonts w:ascii="Arial" w:hAnsi="Arial" w:cs="Arial"/>
          <w:sz w:val="18"/>
          <w:szCs w:val="18"/>
        </w:rPr>
        <w:t>today. By celebrating those who go above and beyond,</w:t>
      </w:r>
      <w:r w:rsidR="002E6A94" w:rsidRPr="00735726">
        <w:rPr>
          <w:rFonts w:ascii="Arial" w:hAnsi="Arial" w:cs="Arial"/>
          <w:sz w:val="18"/>
          <w:szCs w:val="18"/>
        </w:rPr>
        <w:t xml:space="preserve"> </w:t>
      </w:r>
      <w:r w:rsidRPr="00735726">
        <w:rPr>
          <w:rFonts w:ascii="Arial" w:hAnsi="Arial" w:cs="Arial"/>
          <w:sz w:val="18"/>
          <w:szCs w:val="18"/>
        </w:rPr>
        <w:t>the awards help embed our values in everyday practice,</w:t>
      </w:r>
      <w:r w:rsidR="002E6A94" w:rsidRPr="00735726">
        <w:rPr>
          <w:rFonts w:ascii="Arial" w:hAnsi="Arial" w:cs="Arial"/>
          <w:sz w:val="18"/>
          <w:szCs w:val="18"/>
        </w:rPr>
        <w:t xml:space="preserve"> </w:t>
      </w:r>
      <w:r w:rsidRPr="00735726">
        <w:rPr>
          <w:rFonts w:ascii="Arial" w:hAnsi="Arial" w:cs="Arial"/>
          <w:sz w:val="18"/>
          <w:szCs w:val="18"/>
        </w:rPr>
        <w:t>strengthening a culture where commitment, service and</w:t>
      </w:r>
      <w:r w:rsidR="002E6A94" w:rsidRPr="00735726">
        <w:rPr>
          <w:rFonts w:ascii="Arial" w:hAnsi="Arial" w:cs="Arial"/>
          <w:sz w:val="18"/>
          <w:szCs w:val="18"/>
        </w:rPr>
        <w:t xml:space="preserve"> </w:t>
      </w:r>
      <w:r w:rsidRPr="00735726">
        <w:rPr>
          <w:rFonts w:ascii="Arial" w:hAnsi="Arial" w:cs="Arial"/>
          <w:sz w:val="18"/>
          <w:szCs w:val="18"/>
        </w:rPr>
        <w:t>community focus are recognised and championed.</w:t>
      </w:r>
    </w:p>
    <w:p w14:paraId="4E3B0155" w14:textId="77777777" w:rsidR="002E6A94" w:rsidRPr="00735726" w:rsidRDefault="00195A5B" w:rsidP="00844EFD">
      <w:pPr>
        <w:spacing w:after="160"/>
        <w:rPr>
          <w:rFonts w:ascii="Arial" w:hAnsi="Arial" w:cs="Arial"/>
          <w:sz w:val="18"/>
          <w:szCs w:val="18"/>
        </w:rPr>
      </w:pPr>
      <w:r w:rsidRPr="00735726">
        <w:rPr>
          <w:rFonts w:ascii="Arial" w:hAnsi="Arial" w:cs="Arial"/>
          <w:sz w:val="18"/>
          <w:szCs w:val="18"/>
        </w:rPr>
        <w:t>Building on the success of the inaugural event, we are</w:t>
      </w:r>
      <w:r w:rsidR="002E6A94" w:rsidRPr="00735726">
        <w:rPr>
          <w:rFonts w:ascii="Arial" w:hAnsi="Arial" w:cs="Arial"/>
          <w:sz w:val="18"/>
          <w:szCs w:val="18"/>
        </w:rPr>
        <w:t xml:space="preserve"> </w:t>
      </w:r>
      <w:r w:rsidRPr="00735726">
        <w:rPr>
          <w:rFonts w:ascii="Arial" w:hAnsi="Arial" w:cs="Arial"/>
          <w:sz w:val="18"/>
          <w:szCs w:val="18"/>
        </w:rPr>
        <w:t>now planning our 2026 ‘You Rock’ Awards night, with</w:t>
      </w:r>
      <w:r w:rsidR="002E6A94" w:rsidRPr="00735726">
        <w:rPr>
          <w:rFonts w:ascii="Arial" w:hAnsi="Arial" w:cs="Arial"/>
          <w:sz w:val="18"/>
          <w:szCs w:val="18"/>
        </w:rPr>
        <w:t xml:space="preserve"> </w:t>
      </w:r>
      <w:r w:rsidRPr="00735726">
        <w:rPr>
          <w:rFonts w:ascii="Arial" w:hAnsi="Arial" w:cs="Arial"/>
          <w:sz w:val="18"/>
          <w:szCs w:val="18"/>
        </w:rPr>
        <w:t>nominations open across a wide range of categories,</w:t>
      </w:r>
      <w:r w:rsidR="002E6A94" w:rsidRPr="00735726">
        <w:rPr>
          <w:rFonts w:ascii="Arial" w:hAnsi="Arial" w:cs="Arial"/>
          <w:sz w:val="18"/>
          <w:szCs w:val="18"/>
        </w:rPr>
        <w:t xml:space="preserve"> </w:t>
      </w:r>
      <w:r w:rsidRPr="00735726">
        <w:rPr>
          <w:rFonts w:ascii="Arial" w:hAnsi="Arial" w:cs="Arial"/>
          <w:sz w:val="18"/>
          <w:szCs w:val="18"/>
        </w:rPr>
        <w:t>ensuring colleagues at every stage of their career</w:t>
      </w:r>
      <w:r w:rsidR="002E6A94" w:rsidRPr="00735726">
        <w:rPr>
          <w:rFonts w:ascii="Arial" w:hAnsi="Arial" w:cs="Arial"/>
          <w:sz w:val="18"/>
          <w:szCs w:val="18"/>
        </w:rPr>
        <w:t xml:space="preserve"> </w:t>
      </w:r>
      <w:proofErr w:type="gramStart"/>
      <w:r w:rsidRPr="00735726">
        <w:rPr>
          <w:rFonts w:ascii="Arial" w:hAnsi="Arial" w:cs="Arial"/>
          <w:sz w:val="18"/>
          <w:szCs w:val="18"/>
        </w:rPr>
        <w:t>have the opportunity to</w:t>
      </w:r>
      <w:proofErr w:type="gramEnd"/>
      <w:r w:rsidRPr="00735726">
        <w:rPr>
          <w:rFonts w:ascii="Arial" w:hAnsi="Arial" w:cs="Arial"/>
          <w:sz w:val="18"/>
          <w:szCs w:val="18"/>
        </w:rPr>
        <w:t xml:space="preserve"> be celebrated.</w:t>
      </w:r>
      <w:r w:rsidR="002E6A94" w:rsidRPr="00735726">
        <w:rPr>
          <w:rFonts w:ascii="Arial" w:hAnsi="Arial" w:cs="Arial"/>
          <w:sz w:val="18"/>
          <w:szCs w:val="18"/>
        </w:rPr>
        <w:t xml:space="preserve"> </w:t>
      </w:r>
    </w:p>
    <w:p w14:paraId="54799387" w14:textId="77777777" w:rsidR="002E6A94" w:rsidRPr="00735726" w:rsidRDefault="00195A5B" w:rsidP="00844EFD">
      <w:pPr>
        <w:spacing w:after="160"/>
        <w:rPr>
          <w:rFonts w:ascii="Arial" w:hAnsi="Arial" w:cs="Arial"/>
          <w:sz w:val="18"/>
          <w:szCs w:val="18"/>
        </w:rPr>
      </w:pPr>
      <w:r w:rsidRPr="00735726">
        <w:rPr>
          <w:rFonts w:ascii="Arial" w:hAnsi="Arial" w:cs="Arial"/>
          <w:sz w:val="18"/>
          <w:szCs w:val="18"/>
        </w:rPr>
        <w:t>Investing in our people is central to achieving long-term</w:t>
      </w:r>
      <w:r w:rsidR="002E6A94" w:rsidRPr="00735726">
        <w:rPr>
          <w:rFonts w:ascii="Arial" w:hAnsi="Arial" w:cs="Arial"/>
          <w:sz w:val="18"/>
          <w:szCs w:val="18"/>
        </w:rPr>
        <w:t xml:space="preserve"> </w:t>
      </w:r>
      <w:r w:rsidRPr="00735726">
        <w:rPr>
          <w:rFonts w:ascii="Arial" w:hAnsi="Arial" w:cs="Arial"/>
          <w:sz w:val="18"/>
          <w:szCs w:val="18"/>
        </w:rPr>
        <w:t>success. The ‘You Rock’ Awards are an important part</w:t>
      </w:r>
      <w:r w:rsidR="002E6A94" w:rsidRPr="00735726">
        <w:rPr>
          <w:rFonts w:ascii="Arial" w:hAnsi="Arial" w:cs="Arial"/>
          <w:sz w:val="18"/>
          <w:szCs w:val="18"/>
        </w:rPr>
        <w:t xml:space="preserve"> </w:t>
      </w:r>
      <w:r w:rsidRPr="00735726">
        <w:rPr>
          <w:rFonts w:ascii="Arial" w:hAnsi="Arial" w:cs="Arial"/>
          <w:sz w:val="18"/>
          <w:szCs w:val="18"/>
        </w:rPr>
        <w:t>of how we celebrate achievements, reinforce behaviours</w:t>
      </w:r>
      <w:r w:rsidR="002E6A94" w:rsidRPr="00735726">
        <w:rPr>
          <w:rFonts w:ascii="Arial" w:hAnsi="Arial" w:cs="Arial"/>
          <w:sz w:val="18"/>
          <w:szCs w:val="18"/>
        </w:rPr>
        <w:t xml:space="preserve"> </w:t>
      </w:r>
      <w:r w:rsidRPr="00735726">
        <w:rPr>
          <w:rFonts w:ascii="Arial" w:hAnsi="Arial" w:cs="Arial"/>
          <w:sz w:val="18"/>
          <w:szCs w:val="18"/>
        </w:rPr>
        <w:t>that make a difference, and ensure that being Rock</w:t>
      </w:r>
      <w:r w:rsidR="002E6A94" w:rsidRPr="00735726">
        <w:rPr>
          <w:rFonts w:ascii="Arial" w:hAnsi="Arial" w:cs="Arial"/>
          <w:sz w:val="18"/>
          <w:szCs w:val="18"/>
        </w:rPr>
        <w:t xml:space="preserve"> </w:t>
      </w:r>
      <w:r w:rsidRPr="00735726">
        <w:rPr>
          <w:rFonts w:ascii="Arial" w:hAnsi="Arial" w:cs="Arial"/>
          <w:sz w:val="18"/>
          <w:szCs w:val="18"/>
        </w:rPr>
        <w:t xml:space="preserve">Solid remains at the heart of everything we do. </w:t>
      </w:r>
    </w:p>
    <w:p w14:paraId="6D7F245B" w14:textId="77777777" w:rsidR="00297917" w:rsidRPr="00735726" w:rsidRDefault="00297917" w:rsidP="00844EFD">
      <w:pPr>
        <w:spacing w:after="160"/>
        <w:rPr>
          <w:i/>
          <w:iCs/>
        </w:rPr>
      </w:pPr>
    </w:p>
    <w:p w14:paraId="78BA97D0" w14:textId="5F6CD6F3" w:rsidR="002E6A94" w:rsidRPr="00735726" w:rsidRDefault="002E6A94" w:rsidP="00844EFD">
      <w:pPr>
        <w:spacing w:after="160"/>
        <w:rPr>
          <w:rFonts w:ascii="Arial" w:hAnsi="Arial" w:cs="Arial"/>
          <w:sz w:val="18"/>
          <w:szCs w:val="18"/>
        </w:rPr>
      </w:pPr>
      <w:r w:rsidRPr="00735726">
        <w:rPr>
          <w:i/>
          <w:iCs/>
        </w:rPr>
        <w:lastRenderedPageBreak/>
        <w:t>INTERNAL COMMUNICATION ACTIVITIES</w:t>
      </w:r>
      <w:r w:rsidRPr="00735726">
        <w:rPr>
          <w:rFonts w:ascii="Arial" w:hAnsi="Arial" w:cs="Arial"/>
          <w:sz w:val="18"/>
          <w:szCs w:val="18"/>
        </w:rPr>
        <w:t xml:space="preserve"> </w:t>
      </w:r>
      <w:r w:rsidRPr="00735726">
        <w:rPr>
          <w:rFonts w:ascii="Arial" w:hAnsi="Arial" w:cs="Arial"/>
          <w:sz w:val="18"/>
          <w:szCs w:val="18"/>
        </w:rPr>
        <w:br/>
        <w:t>We’re always evolving how we communicate. Our key activities include:</w:t>
      </w:r>
    </w:p>
    <w:p w14:paraId="20DA4B22" w14:textId="77777777" w:rsidR="002E6A94" w:rsidRPr="00735726" w:rsidRDefault="002E6A94" w:rsidP="00646F4F">
      <w:pPr>
        <w:pStyle w:val="ListParagraph"/>
        <w:numPr>
          <w:ilvl w:val="0"/>
          <w:numId w:val="76"/>
        </w:numPr>
        <w:spacing w:after="160"/>
        <w:rPr>
          <w:rFonts w:ascii="Arial" w:hAnsi="Arial" w:cs="Arial"/>
          <w:sz w:val="18"/>
          <w:szCs w:val="18"/>
        </w:rPr>
      </w:pPr>
      <w:r w:rsidRPr="00735726">
        <w:rPr>
          <w:rFonts w:ascii="Arial" w:hAnsi="Arial" w:cs="Arial"/>
          <w:sz w:val="18"/>
          <w:szCs w:val="18"/>
        </w:rPr>
        <w:t>Big Chat video calls with the Chief Executive Officer and the Executive team are held regularly, and focus on our progress against our strategic priorities, topical business issues and colleague highlights. In response to colleague feedback, we have broadened the group of speakers, involving colleagues from all areas and levels across the Company.</w:t>
      </w:r>
    </w:p>
    <w:p w14:paraId="39394049" w14:textId="5C71E64A" w:rsidR="002E6A94" w:rsidRPr="00735726" w:rsidRDefault="002E6A94" w:rsidP="00646F4F">
      <w:pPr>
        <w:pStyle w:val="ListParagraph"/>
        <w:numPr>
          <w:ilvl w:val="0"/>
          <w:numId w:val="76"/>
        </w:numPr>
        <w:spacing w:after="160"/>
        <w:rPr>
          <w:rFonts w:ascii="Arial" w:hAnsi="Arial" w:cs="Arial"/>
          <w:sz w:val="18"/>
          <w:szCs w:val="18"/>
        </w:rPr>
      </w:pPr>
      <w:r w:rsidRPr="00735726">
        <w:rPr>
          <w:rFonts w:ascii="Arial" w:hAnsi="Arial" w:cs="Arial"/>
          <w:sz w:val="18"/>
          <w:szCs w:val="18"/>
        </w:rPr>
        <w:t>Senior leader events are held for each business area, bringing together our leaders in person for a range of communication and engagement activities to equip and inform them.</w:t>
      </w:r>
    </w:p>
    <w:p w14:paraId="5E4CF0F6" w14:textId="6298AC0B" w:rsidR="002E6A94" w:rsidRPr="00735726" w:rsidRDefault="002E6A94" w:rsidP="00646F4F">
      <w:pPr>
        <w:pStyle w:val="ListParagraph"/>
        <w:numPr>
          <w:ilvl w:val="0"/>
          <w:numId w:val="76"/>
        </w:numPr>
        <w:spacing w:after="160"/>
        <w:rPr>
          <w:rFonts w:ascii="Arial" w:hAnsi="Arial" w:cs="Arial"/>
          <w:sz w:val="18"/>
          <w:szCs w:val="18"/>
        </w:rPr>
      </w:pPr>
      <w:r w:rsidRPr="00735726">
        <w:rPr>
          <w:rFonts w:ascii="Arial" w:hAnsi="Arial" w:cs="Arial"/>
          <w:sz w:val="18"/>
          <w:szCs w:val="18"/>
        </w:rPr>
        <w:t>We’ve introduced senior leader briefings to make sure our leaders are informed of key business updates ahead of their teams, allowing them to own the cascade of information and be fully prepared to answer any questions from their teams.</w:t>
      </w:r>
    </w:p>
    <w:p w14:paraId="6386C70E" w14:textId="1FEEE56C" w:rsidR="002E6A94" w:rsidRPr="00735726" w:rsidRDefault="002E6A94" w:rsidP="00646F4F">
      <w:pPr>
        <w:pStyle w:val="ListParagraph"/>
        <w:numPr>
          <w:ilvl w:val="0"/>
          <w:numId w:val="76"/>
        </w:numPr>
        <w:spacing w:after="160"/>
        <w:rPr>
          <w:rFonts w:ascii="Arial" w:hAnsi="Arial" w:cs="Arial"/>
          <w:sz w:val="18"/>
          <w:szCs w:val="18"/>
        </w:rPr>
      </w:pPr>
      <w:r w:rsidRPr="00735726">
        <w:rPr>
          <w:rFonts w:ascii="Arial" w:hAnsi="Arial" w:cs="Arial"/>
          <w:sz w:val="18"/>
          <w:szCs w:val="18"/>
        </w:rPr>
        <w:t>We’ve strengthened the communications cadence across our Company, making sure we can reach the frontline colleagues in each business unit. This has been built based on the communication preferences and insight within each unit, allowing us to tailor the approach to colleague needs.</w:t>
      </w:r>
    </w:p>
    <w:p w14:paraId="703D364C" w14:textId="1D00C237" w:rsidR="002E6A94" w:rsidRPr="00735726" w:rsidRDefault="002E6A94" w:rsidP="00646F4F">
      <w:pPr>
        <w:pStyle w:val="ListParagraph"/>
        <w:numPr>
          <w:ilvl w:val="0"/>
          <w:numId w:val="76"/>
        </w:numPr>
        <w:spacing w:after="160"/>
        <w:rPr>
          <w:rFonts w:ascii="Arial" w:hAnsi="Arial" w:cs="Arial"/>
          <w:sz w:val="18"/>
          <w:szCs w:val="18"/>
        </w:rPr>
      </w:pPr>
      <w:r w:rsidRPr="00735726">
        <w:rPr>
          <w:rFonts w:ascii="Arial" w:hAnsi="Arial" w:cs="Arial"/>
          <w:sz w:val="18"/>
          <w:szCs w:val="18"/>
        </w:rPr>
        <w:t>Viva Engage, our internal communications platform, continues to grow in popularity, now used by over 2,300 employees.</w:t>
      </w:r>
    </w:p>
    <w:p w14:paraId="062E4A16" w14:textId="5200ACBB" w:rsidR="002E6A94" w:rsidRPr="00735726" w:rsidRDefault="002E6A94" w:rsidP="00646F4F">
      <w:pPr>
        <w:pStyle w:val="ListParagraph"/>
        <w:numPr>
          <w:ilvl w:val="0"/>
          <w:numId w:val="76"/>
        </w:numPr>
        <w:spacing w:after="160"/>
        <w:rPr>
          <w:rFonts w:ascii="Arial" w:hAnsi="Arial" w:cs="Arial"/>
          <w:sz w:val="18"/>
          <w:szCs w:val="18"/>
        </w:rPr>
      </w:pPr>
      <w:r w:rsidRPr="00735726">
        <w:rPr>
          <w:rFonts w:ascii="Arial" w:hAnsi="Arial" w:cs="Arial"/>
          <w:sz w:val="18"/>
          <w:szCs w:val="18"/>
        </w:rPr>
        <w:t xml:space="preserve">Breakfast briefings are now held every six months with our frontline teams; these sessions bring senior leaders on site to recognise the teams who work tirelessly around the clock and to create meaningful </w:t>
      </w:r>
      <w:r w:rsidR="00B27C31" w:rsidRPr="00735726">
        <w:rPr>
          <w:rFonts w:ascii="Arial" w:hAnsi="Arial" w:cs="Arial"/>
          <w:sz w:val="18"/>
          <w:szCs w:val="18"/>
        </w:rPr>
        <w:t>two-way</w:t>
      </w:r>
      <w:r w:rsidRPr="00735726">
        <w:rPr>
          <w:rFonts w:ascii="Arial" w:hAnsi="Arial" w:cs="Arial"/>
          <w:sz w:val="18"/>
          <w:szCs w:val="18"/>
        </w:rPr>
        <w:t xml:space="preserve"> dialogue, ensuring operational insight and colleague feedback directly shape our priorities.</w:t>
      </w:r>
    </w:p>
    <w:p w14:paraId="331728E0" w14:textId="7EEF686F" w:rsidR="002E6A94" w:rsidRPr="00735726" w:rsidRDefault="002E6A94" w:rsidP="00646F4F">
      <w:pPr>
        <w:pStyle w:val="ListParagraph"/>
        <w:numPr>
          <w:ilvl w:val="0"/>
          <w:numId w:val="76"/>
        </w:numPr>
        <w:spacing w:after="160"/>
        <w:rPr>
          <w:rFonts w:ascii="Arial" w:hAnsi="Arial" w:cs="Arial"/>
          <w:sz w:val="18"/>
          <w:szCs w:val="18"/>
        </w:rPr>
      </w:pPr>
      <w:r w:rsidRPr="00735726">
        <w:rPr>
          <w:rFonts w:ascii="Arial" w:hAnsi="Arial" w:cs="Arial"/>
          <w:sz w:val="18"/>
          <w:szCs w:val="18"/>
        </w:rPr>
        <w:t xml:space="preserve">We ‘Set the Record Straight’ on media headlines, creating bespoke briefings for all teams so that they are fully aware of the facts behind the headlines, equipping all colleagues to answer queries from customers, friends and family </w:t>
      </w:r>
      <w:r w:rsidR="006C1BA9" w:rsidRPr="00735726">
        <w:rPr>
          <w:rFonts w:ascii="Arial" w:hAnsi="Arial" w:cs="Arial"/>
          <w:sz w:val="18"/>
          <w:szCs w:val="18"/>
        </w:rPr>
        <w:t xml:space="preserve">- </w:t>
      </w:r>
      <w:proofErr w:type="gramStart"/>
      <w:r w:rsidRPr="00735726">
        <w:rPr>
          <w:rFonts w:ascii="Arial" w:hAnsi="Arial" w:cs="Arial"/>
          <w:sz w:val="18"/>
          <w:szCs w:val="18"/>
        </w:rPr>
        <w:t>and also</w:t>
      </w:r>
      <w:proofErr w:type="gramEnd"/>
      <w:r w:rsidRPr="00735726">
        <w:rPr>
          <w:rFonts w:ascii="Arial" w:hAnsi="Arial" w:cs="Arial"/>
          <w:sz w:val="18"/>
          <w:szCs w:val="18"/>
        </w:rPr>
        <w:t xml:space="preserve"> making sure our colleagues can maintain pride within a difficult external environment.</w:t>
      </w:r>
    </w:p>
    <w:p w14:paraId="1339CED5" w14:textId="77777777" w:rsidR="007474EC" w:rsidRPr="00735726" w:rsidRDefault="002E6A94" w:rsidP="00646F4F">
      <w:pPr>
        <w:pStyle w:val="ListParagraph"/>
        <w:numPr>
          <w:ilvl w:val="0"/>
          <w:numId w:val="76"/>
        </w:numPr>
        <w:spacing w:after="160"/>
        <w:rPr>
          <w:i/>
          <w:iCs/>
        </w:rPr>
      </w:pPr>
      <w:proofErr w:type="spellStart"/>
      <w:r w:rsidRPr="00735726">
        <w:rPr>
          <w:rFonts w:ascii="Arial" w:hAnsi="Arial" w:cs="Arial"/>
          <w:sz w:val="18"/>
          <w:szCs w:val="18"/>
        </w:rPr>
        <w:t>WaterWorks</w:t>
      </w:r>
      <w:proofErr w:type="spellEnd"/>
      <w:r w:rsidRPr="00735726">
        <w:rPr>
          <w:rFonts w:ascii="Arial" w:hAnsi="Arial" w:cs="Arial"/>
          <w:sz w:val="18"/>
          <w:szCs w:val="18"/>
        </w:rPr>
        <w:t xml:space="preserve">, our monthly performance dashboard, continues to keep all colleagues informed on how we are delivering for our customers, communities and the environment, providing clear visibility of progress, priorities and key metrics across the Company. </w:t>
      </w:r>
    </w:p>
    <w:p w14:paraId="03ABC447" w14:textId="77777777" w:rsidR="007474EC" w:rsidRPr="00735726" w:rsidRDefault="007474EC" w:rsidP="00844EFD">
      <w:pPr>
        <w:spacing w:after="160"/>
        <w:rPr>
          <w:i/>
          <w:iCs/>
        </w:rPr>
      </w:pPr>
      <w:r w:rsidRPr="00735726">
        <w:rPr>
          <w:i/>
          <w:iCs/>
        </w:rPr>
        <w:t>EMPLOYEE RESOURCE GROUPS</w:t>
      </w:r>
      <w:r w:rsidRPr="00735726">
        <w:rPr>
          <w:i/>
          <w:iCs/>
        </w:rPr>
        <w:br/>
      </w:r>
      <w:r w:rsidRPr="00735726">
        <w:rPr>
          <w:rFonts w:ascii="Arial" w:hAnsi="Arial" w:cs="Arial"/>
          <w:sz w:val="18"/>
          <w:szCs w:val="18"/>
        </w:rPr>
        <w:t>Through our Inclusion Council, we give colleagues a platform to shape culture and influence policy. As part of this commitment, we are actively relaunching existing networks and introducing new groups to better reflect and support our diverse workforce. These include REACH, Women’s Health, Professional Women’s, Veterans, LGBTQ+, and Neurodivergent networks, all designed to foster inclusion, connection, and meaningful change.</w:t>
      </w:r>
      <w:r w:rsidRPr="00735726">
        <w:rPr>
          <w:i/>
          <w:iCs/>
        </w:rPr>
        <w:t xml:space="preserve"> </w:t>
      </w:r>
    </w:p>
    <w:p w14:paraId="46A05286" w14:textId="77777777" w:rsidR="00BB7AD1" w:rsidRPr="00735726" w:rsidRDefault="007474EC" w:rsidP="00844EFD">
      <w:pPr>
        <w:spacing w:after="160"/>
        <w:rPr>
          <w:rFonts w:ascii="Arial" w:hAnsi="Arial" w:cs="Arial"/>
          <w:sz w:val="18"/>
          <w:szCs w:val="18"/>
        </w:rPr>
      </w:pPr>
      <w:r w:rsidRPr="00735726">
        <w:rPr>
          <w:i/>
          <w:iCs/>
        </w:rPr>
        <w:t>REFRESHING OUR ENGAGEMENT SURVEY APPROACH</w:t>
      </w:r>
      <w:r w:rsidRPr="00735726">
        <w:rPr>
          <w:i/>
          <w:iCs/>
        </w:rPr>
        <w:br/>
      </w:r>
      <w:r w:rsidRPr="00735726">
        <w:rPr>
          <w:rFonts w:ascii="Arial" w:hAnsi="Arial" w:cs="Arial"/>
          <w:sz w:val="18"/>
          <w:szCs w:val="18"/>
        </w:rPr>
        <w:t xml:space="preserve">We recently launched our new employee engagement platform, Culture Amp, to strengthen real-time feedback, and colleague insight across our Company. The insights gathered will help us identify key themes, prioritise meaningful actions, and tailor initiatives that truly enhance colleague experience and engagement. </w:t>
      </w:r>
    </w:p>
    <w:p w14:paraId="10C24183" w14:textId="5F753A8F" w:rsidR="00BB7AD1" w:rsidRPr="00735726" w:rsidRDefault="00BB7AD1" w:rsidP="00844EFD">
      <w:pPr>
        <w:spacing w:after="160"/>
        <w:rPr>
          <w:rFonts w:ascii="Arial" w:hAnsi="Arial" w:cs="Arial"/>
          <w:sz w:val="18"/>
          <w:szCs w:val="18"/>
        </w:rPr>
      </w:pPr>
      <w:r w:rsidRPr="00735726">
        <w:rPr>
          <w:i/>
          <w:iCs/>
        </w:rPr>
        <w:t xml:space="preserve">THE GREAT BIG SPARKLE CHALLENGE </w:t>
      </w:r>
      <w:r w:rsidRPr="00735726">
        <w:rPr>
          <w:i/>
          <w:iCs/>
        </w:rPr>
        <w:br/>
      </w:r>
      <w:r w:rsidRPr="00735726">
        <w:rPr>
          <w:rFonts w:ascii="Arial" w:hAnsi="Arial" w:cs="Arial"/>
          <w:sz w:val="18"/>
          <w:szCs w:val="18"/>
        </w:rPr>
        <w:t>Uniting our business to tackle our biggest wastewater challenges.</w:t>
      </w:r>
    </w:p>
    <w:p w14:paraId="02AE4AD3" w14:textId="418656BF" w:rsidR="00BB7AD1" w:rsidRPr="00735726" w:rsidRDefault="00BB7AD1" w:rsidP="00844EFD">
      <w:pPr>
        <w:spacing w:after="160"/>
        <w:rPr>
          <w:rFonts w:ascii="Arial" w:hAnsi="Arial" w:cs="Arial"/>
          <w:sz w:val="18"/>
          <w:szCs w:val="18"/>
        </w:rPr>
      </w:pPr>
      <w:r w:rsidRPr="00735726">
        <w:rPr>
          <w:rFonts w:ascii="Arial" w:hAnsi="Arial" w:cs="Arial"/>
          <w:sz w:val="18"/>
          <w:szCs w:val="18"/>
        </w:rPr>
        <w:t xml:space="preserve">During summer 2025, we committed to tackling storm overflows and pollution through the power of the whole business working together as one team. That commitment became Operation Sparkle </w:t>
      </w:r>
      <w:r w:rsidR="009C69C9" w:rsidRPr="00735726">
        <w:rPr>
          <w:rFonts w:ascii="Arial" w:hAnsi="Arial" w:cs="Arial"/>
          <w:sz w:val="18"/>
          <w:szCs w:val="18"/>
        </w:rPr>
        <w:t xml:space="preserve">- </w:t>
      </w:r>
      <w:r w:rsidRPr="00735726">
        <w:rPr>
          <w:rFonts w:ascii="Arial" w:hAnsi="Arial" w:cs="Arial"/>
          <w:sz w:val="18"/>
          <w:szCs w:val="18"/>
        </w:rPr>
        <w:t>our Company-wide programme aimed at improving environmental performance, strengthening our wastewater network, and contributing to the long-term health of our rivers and seas.</w:t>
      </w:r>
    </w:p>
    <w:p w14:paraId="19992FDB" w14:textId="6A22889A" w:rsidR="00BB7AD1" w:rsidRPr="00735726" w:rsidRDefault="00BB7AD1" w:rsidP="00844EFD">
      <w:pPr>
        <w:spacing w:after="160"/>
        <w:rPr>
          <w:rFonts w:ascii="Arial" w:hAnsi="Arial" w:cs="Arial"/>
          <w:sz w:val="18"/>
          <w:szCs w:val="18"/>
        </w:rPr>
      </w:pPr>
      <w:r w:rsidRPr="00735726">
        <w:rPr>
          <w:rFonts w:ascii="Arial" w:hAnsi="Arial" w:cs="Arial"/>
          <w:sz w:val="18"/>
          <w:szCs w:val="18"/>
        </w:rPr>
        <w:t xml:space="preserve">A key part of this effort was the Great Big Sparkle Challenge, which encouraged colleagues from every part of the organisation to get involved. Over just three months, colleagues delivered more than 1,000 entries from every corner of the organisation </w:t>
      </w:r>
      <w:r w:rsidR="009C69C9" w:rsidRPr="00735726">
        <w:rPr>
          <w:rFonts w:ascii="Arial" w:hAnsi="Arial" w:cs="Arial"/>
          <w:sz w:val="18"/>
          <w:szCs w:val="18"/>
        </w:rPr>
        <w:t xml:space="preserve">- </w:t>
      </w:r>
      <w:r w:rsidRPr="00735726">
        <w:rPr>
          <w:rFonts w:ascii="Arial" w:hAnsi="Arial" w:cs="Arial"/>
          <w:sz w:val="18"/>
          <w:szCs w:val="18"/>
        </w:rPr>
        <w:t xml:space="preserve">wastewater, wider operations, corporate functions, customer and field teams, leaders, and many more. The level of engagement was exceptional and showed just how strongly people connected to the ambition of protecting and improving our environmental performance. The Sparkle Challenge didn’t just spark ideas </w:t>
      </w:r>
      <w:r w:rsidR="009C69C9" w:rsidRPr="00735726">
        <w:rPr>
          <w:rFonts w:ascii="Arial" w:hAnsi="Arial" w:cs="Arial"/>
          <w:sz w:val="18"/>
          <w:szCs w:val="18"/>
        </w:rPr>
        <w:t xml:space="preserve">- </w:t>
      </w:r>
      <w:r w:rsidRPr="00735726">
        <w:rPr>
          <w:rFonts w:ascii="Arial" w:hAnsi="Arial" w:cs="Arial"/>
          <w:sz w:val="18"/>
          <w:szCs w:val="18"/>
        </w:rPr>
        <w:t xml:space="preserve">it strengthened connections, built shared ownership, and helped embed a mindset of collective responsibility across the business. </w:t>
      </w:r>
    </w:p>
    <w:p w14:paraId="327D7ECA" w14:textId="3E224D95" w:rsidR="00BB7AD1" w:rsidRPr="00735726" w:rsidRDefault="00BB7AD1" w:rsidP="00844EFD">
      <w:pPr>
        <w:spacing w:after="160"/>
        <w:rPr>
          <w:rFonts w:ascii="Arial" w:hAnsi="Arial" w:cs="Arial"/>
          <w:sz w:val="18"/>
          <w:szCs w:val="18"/>
        </w:rPr>
      </w:pPr>
      <w:r w:rsidRPr="00735726">
        <w:rPr>
          <w:rFonts w:ascii="Arial" w:hAnsi="Arial" w:cs="Arial"/>
          <w:sz w:val="18"/>
          <w:szCs w:val="18"/>
        </w:rPr>
        <w:t>How colleagues took part in the Great Big Sparkle Challenge:</w:t>
      </w:r>
    </w:p>
    <w:p w14:paraId="2969959A" w14:textId="60F9A387" w:rsidR="00BB7AD1" w:rsidRPr="00735726" w:rsidRDefault="00BB7AD1" w:rsidP="00646F4F">
      <w:pPr>
        <w:pStyle w:val="ListParagraph"/>
        <w:numPr>
          <w:ilvl w:val="0"/>
          <w:numId w:val="77"/>
        </w:numPr>
        <w:spacing w:after="160"/>
        <w:rPr>
          <w:rFonts w:ascii="Arial" w:hAnsi="Arial" w:cs="Arial"/>
          <w:sz w:val="18"/>
          <w:szCs w:val="18"/>
        </w:rPr>
      </w:pPr>
      <w:r w:rsidRPr="00735726">
        <w:rPr>
          <w:rFonts w:ascii="Arial" w:hAnsi="Arial" w:cs="Arial"/>
          <w:sz w:val="18"/>
          <w:szCs w:val="18"/>
        </w:rPr>
        <w:t>Visiting storm overflows to better understand local risks and opportunities for improvement.</w:t>
      </w:r>
    </w:p>
    <w:p w14:paraId="6AD4CEA7" w14:textId="2AE0E928" w:rsidR="00BB7AD1" w:rsidRPr="00735726" w:rsidRDefault="00BB7AD1" w:rsidP="00646F4F">
      <w:pPr>
        <w:pStyle w:val="ListParagraph"/>
        <w:numPr>
          <w:ilvl w:val="0"/>
          <w:numId w:val="77"/>
        </w:numPr>
        <w:spacing w:after="160"/>
        <w:rPr>
          <w:rFonts w:ascii="Arial" w:hAnsi="Arial" w:cs="Arial"/>
          <w:sz w:val="18"/>
          <w:szCs w:val="18"/>
        </w:rPr>
      </w:pPr>
      <w:r w:rsidRPr="00735726">
        <w:rPr>
          <w:rFonts w:ascii="Arial" w:hAnsi="Arial" w:cs="Arial"/>
          <w:sz w:val="18"/>
          <w:szCs w:val="18"/>
        </w:rPr>
        <w:t>Joining Wastewater Afternoon Tea calls to listen, learn and share insights on pollution reduction.</w:t>
      </w:r>
    </w:p>
    <w:p w14:paraId="4759BEDF" w14:textId="7E8A7764" w:rsidR="00BB7AD1" w:rsidRPr="00735726" w:rsidRDefault="00BB7AD1" w:rsidP="00646F4F">
      <w:pPr>
        <w:pStyle w:val="ListParagraph"/>
        <w:numPr>
          <w:ilvl w:val="0"/>
          <w:numId w:val="77"/>
        </w:numPr>
        <w:spacing w:after="160"/>
        <w:rPr>
          <w:rFonts w:ascii="Arial" w:hAnsi="Arial" w:cs="Arial"/>
          <w:sz w:val="18"/>
          <w:szCs w:val="18"/>
        </w:rPr>
      </w:pPr>
      <w:r w:rsidRPr="00735726">
        <w:rPr>
          <w:rFonts w:ascii="Arial" w:hAnsi="Arial" w:cs="Arial"/>
          <w:sz w:val="18"/>
          <w:szCs w:val="18"/>
        </w:rPr>
        <w:lastRenderedPageBreak/>
        <w:t>Submitting innovative ideas to help tackle sewer misuse and support long-term behavioural change.</w:t>
      </w:r>
    </w:p>
    <w:p w14:paraId="2545A65D" w14:textId="7B8BA67B" w:rsidR="00BB7AD1" w:rsidRPr="00735726" w:rsidRDefault="00BB7AD1" w:rsidP="00646F4F">
      <w:pPr>
        <w:pStyle w:val="ListParagraph"/>
        <w:numPr>
          <w:ilvl w:val="0"/>
          <w:numId w:val="77"/>
        </w:numPr>
        <w:spacing w:after="160"/>
        <w:rPr>
          <w:rFonts w:ascii="Arial" w:hAnsi="Arial" w:cs="Arial"/>
          <w:sz w:val="18"/>
          <w:szCs w:val="18"/>
        </w:rPr>
      </w:pPr>
      <w:r w:rsidRPr="00735726">
        <w:rPr>
          <w:rFonts w:ascii="Arial" w:hAnsi="Arial" w:cs="Arial"/>
          <w:sz w:val="18"/>
          <w:szCs w:val="18"/>
        </w:rPr>
        <w:t>Making a Sparkle Pledge, committing personally or as teams to actions that improve environmental performance.</w:t>
      </w:r>
    </w:p>
    <w:p w14:paraId="3E959403" w14:textId="4DD4C4ED" w:rsidR="00BB7AD1" w:rsidRPr="00735726" w:rsidRDefault="00BB7AD1" w:rsidP="00646F4F">
      <w:pPr>
        <w:pStyle w:val="ListParagraph"/>
        <w:numPr>
          <w:ilvl w:val="0"/>
          <w:numId w:val="77"/>
        </w:numPr>
        <w:spacing w:after="160"/>
        <w:rPr>
          <w:rFonts w:ascii="Arial" w:hAnsi="Arial" w:cs="Arial"/>
          <w:sz w:val="18"/>
          <w:szCs w:val="18"/>
        </w:rPr>
      </w:pPr>
      <w:r w:rsidRPr="00735726">
        <w:rPr>
          <w:rFonts w:ascii="Arial" w:hAnsi="Arial" w:cs="Arial"/>
          <w:sz w:val="18"/>
          <w:szCs w:val="18"/>
        </w:rPr>
        <w:t>Bringing Wastewater Services (WWS) performance into team meetings, creating space for open conversations about pollutions, learning, and how each team can contribute.</w:t>
      </w:r>
    </w:p>
    <w:p w14:paraId="122AE528" w14:textId="49DF7C99" w:rsidR="00BB7AD1" w:rsidRPr="00735726" w:rsidRDefault="00BB7AD1" w:rsidP="00844EFD">
      <w:pPr>
        <w:spacing w:after="160"/>
        <w:rPr>
          <w:rFonts w:ascii="Arial" w:hAnsi="Arial" w:cs="Arial"/>
          <w:sz w:val="18"/>
          <w:szCs w:val="18"/>
        </w:rPr>
      </w:pPr>
      <w:r w:rsidRPr="00735726">
        <w:rPr>
          <w:rFonts w:ascii="Arial" w:hAnsi="Arial" w:cs="Arial"/>
          <w:sz w:val="18"/>
          <w:szCs w:val="18"/>
        </w:rPr>
        <w:t xml:space="preserve">Together, these initiatives reflect the scale and momentum behind Operation Sparkle. The Great Big Sparkle Challenge brought colleagues together in a powerful way </w:t>
      </w:r>
      <w:r w:rsidR="009C69C9" w:rsidRPr="00735726">
        <w:rPr>
          <w:rFonts w:ascii="Arial" w:hAnsi="Arial" w:cs="Arial"/>
          <w:sz w:val="18"/>
          <w:szCs w:val="18"/>
        </w:rPr>
        <w:t xml:space="preserve">- </w:t>
      </w:r>
      <w:r w:rsidRPr="00735726">
        <w:rPr>
          <w:rFonts w:ascii="Arial" w:hAnsi="Arial" w:cs="Arial"/>
          <w:sz w:val="18"/>
          <w:szCs w:val="18"/>
        </w:rPr>
        <w:t xml:space="preserve">and the wider programme continues to build the systems, behaviours and operational capability essential to achieving our performance objectives. </w:t>
      </w:r>
    </w:p>
    <w:p w14:paraId="794662EA" w14:textId="77777777" w:rsidR="0090552F" w:rsidRPr="00735726" w:rsidRDefault="0090552F" w:rsidP="00844EFD">
      <w:pPr>
        <w:rPr>
          <w:rFonts w:ascii="Arial" w:hAnsi="Arial" w:cs="Arial"/>
          <w:b/>
          <w:bCs/>
          <w:sz w:val="18"/>
          <w:szCs w:val="18"/>
        </w:rPr>
      </w:pPr>
      <w:r w:rsidRPr="00735726">
        <w:rPr>
          <w:rFonts w:ascii="Arial" w:hAnsi="Arial" w:cs="Arial"/>
          <w:b/>
          <w:bCs/>
          <w:sz w:val="18"/>
          <w:szCs w:val="18"/>
        </w:rPr>
        <w:t>SUPPLIERS</w:t>
      </w:r>
    </w:p>
    <w:p w14:paraId="1C4DACA3" w14:textId="77777777" w:rsidR="0090552F" w:rsidRPr="00735726" w:rsidRDefault="0090552F" w:rsidP="00844EFD">
      <w:pPr>
        <w:rPr>
          <w:rFonts w:ascii="Arial" w:hAnsi="Arial" w:cs="Arial"/>
          <w:sz w:val="18"/>
          <w:szCs w:val="18"/>
        </w:rPr>
      </w:pPr>
      <w:r w:rsidRPr="00735726">
        <w:rPr>
          <w:rFonts w:ascii="Arial" w:hAnsi="Arial" w:cs="Arial"/>
          <w:i/>
          <w:iCs/>
          <w:sz w:val="18"/>
          <w:szCs w:val="18"/>
        </w:rPr>
        <w:t>WHO THEY ARE</w:t>
      </w:r>
      <w:r w:rsidRPr="00735726">
        <w:rPr>
          <w:rFonts w:ascii="Arial" w:hAnsi="Arial" w:cs="Arial"/>
          <w:i/>
          <w:iCs/>
          <w:sz w:val="18"/>
          <w:szCs w:val="18"/>
        </w:rPr>
        <w:br/>
      </w:r>
      <w:r w:rsidRPr="00735726">
        <w:rPr>
          <w:rFonts w:ascii="Arial" w:hAnsi="Arial" w:cs="Arial"/>
          <w:sz w:val="18"/>
          <w:szCs w:val="18"/>
        </w:rPr>
        <w:t>As a large organisation we work with a large and diverse supply chain. Our supply chain partners are essential to delivering safe, efficient, and sustainable operations, bringing innovation, expertise, and resilience to every part of our business.</w:t>
      </w:r>
    </w:p>
    <w:p w14:paraId="3B8C5AEA" w14:textId="77777777" w:rsidR="0090552F" w:rsidRPr="00735726" w:rsidRDefault="0090552F" w:rsidP="00844EFD">
      <w:pPr>
        <w:rPr>
          <w:rFonts w:ascii="Arial" w:hAnsi="Arial" w:cs="Arial"/>
          <w:i/>
          <w:iCs/>
          <w:sz w:val="18"/>
          <w:szCs w:val="18"/>
        </w:rPr>
      </w:pPr>
      <w:r w:rsidRPr="00735726">
        <w:rPr>
          <w:rFonts w:ascii="Arial" w:hAnsi="Arial" w:cs="Arial"/>
          <w:i/>
          <w:iCs/>
          <w:sz w:val="18"/>
          <w:szCs w:val="18"/>
        </w:rPr>
        <w:t>KEY HIGHLIGHTS</w:t>
      </w:r>
    </w:p>
    <w:p w14:paraId="1288A40B" w14:textId="77777777" w:rsidR="0090552F" w:rsidRPr="00735726" w:rsidRDefault="0090552F" w:rsidP="00646F4F">
      <w:pPr>
        <w:pStyle w:val="ListParagraph"/>
        <w:numPr>
          <w:ilvl w:val="0"/>
          <w:numId w:val="48"/>
        </w:numPr>
        <w:rPr>
          <w:rFonts w:ascii="Arial" w:hAnsi="Arial" w:cs="Arial"/>
          <w:sz w:val="18"/>
          <w:szCs w:val="18"/>
        </w:rPr>
      </w:pPr>
      <w:r w:rsidRPr="00735726">
        <w:rPr>
          <w:rFonts w:ascii="Arial" w:hAnsi="Arial" w:cs="Arial"/>
          <w:sz w:val="18"/>
          <w:szCs w:val="18"/>
        </w:rPr>
        <w:t>£3.0 billion</w:t>
      </w:r>
      <w:r w:rsidRPr="00735726">
        <w:rPr>
          <w:rStyle w:val="FootnoteReference"/>
          <w:rFonts w:ascii="Arial" w:hAnsi="Arial" w:cs="Arial"/>
          <w:sz w:val="18"/>
          <w:szCs w:val="18"/>
        </w:rPr>
        <w:footnoteReference w:id="6"/>
      </w:r>
      <w:r w:rsidRPr="00735726">
        <w:rPr>
          <w:rFonts w:ascii="Arial" w:hAnsi="Arial" w:cs="Arial"/>
          <w:sz w:val="18"/>
          <w:szCs w:val="18"/>
        </w:rPr>
        <w:t xml:space="preserve"> 2025-2030 infrastructure plan</w:t>
      </w:r>
    </w:p>
    <w:p w14:paraId="1F09F617" w14:textId="77777777" w:rsidR="0090552F" w:rsidRPr="00735726" w:rsidRDefault="0090552F" w:rsidP="00646F4F">
      <w:pPr>
        <w:pStyle w:val="ListParagraph"/>
        <w:numPr>
          <w:ilvl w:val="0"/>
          <w:numId w:val="48"/>
        </w:numPr>
        <w:rPr>
          <w:rFonts w:ascii="Arial" w:hAnsi="Arial" w:cs="Arial"/>
          <w:sz w:val="18"/>
          <w:szCs w:val="18"/>
        </w:rPr>
      </w:pPr>
      <w:r w:rsidRPr="00735726">
        <w:rPr>
          <w:rFonts w:ascii="Arial" w:hAnsi="Arial" w:cs="Arial"/>
          <w:sz w:val="18"/>
          <w:szCs w:val="18"/>
        </w:rPr>
        <w:t>over 1,000 schemes already underway</w:t>
      </w:r>
    </w:p>
    <w:p w14:paraId="0B1FB845" w14:textId="77777777" w:rsidR="0090552F" w:rsidRPr="00735726" w:rsidRDefault="0090552F" w:rsidP="00844EFD">
      <w:pPr>
        <w:rPr>
          <w:rFonts w:ascii="Arial" w:hAnsi="Arial" w:cs="Arial"/>
          <w:sz w:val="18"/>
          <w:szCs w:val="18"/>
        </w:rPr>
      </w:pPr>
      <w:r w:rsidRPr="00735726">
        <w:rPr>
          <w:i/>
          <w:iCs/>
        </w:rPr>
        <w:t>WHY WE ENGAGE</w:t>
      </w:r>
      <w:r w:rsidRPr="00735726">
        <w:rPr>
          <w:rFonts w:ascii="Arial" w:hAnsi="Arial" w:cs="Arial"/>
          <w:sz w:val="18"/>
          <w:szCs w:val="18"/>
        </w:rPr>
        <w:br/>
        <w:t xml:space="preserve">We know that strong partnerships are key to meeting future challenges and delivering long-term value. By working collaboratively with strategic suppliers, we can deliver major investment programmes, drive innovation, and ensure our operations remain resilient and </w:t>
      </w:r>
      <w:proofErr w:type="gramStart"/>
      <w:r w:rsidRPr="00735726">
        <w:rPr>
          <w:rFonts w:ascii="Arial" w:hAnsi="Arial" w:cs="Arial"/>
          <w:sz w:val="18"/>
          <w:szCs w:val="18"/>
        </w:rPr>
        <w:t>future-ready</w:t>
      </w:r>
      <w:proofErr w:type="gramEnd"/>
      <w:r w:rsidRPr="00735726">
        <w:rPr>
          <w:rFonts w:ascii="Arial" w:hAnsi="Arial" w:cs="Arial"/>
          <w:sz w:val="18"/>
          <w:szCs w:val="18"/>
        </w:rPr>
        <w:t>.</w:t>
      </w:r>
    </w:p>
    <w:p w14:paraId="5AECDAD3" w14:textId="77777777" w:rsidR="0090552F" w:rsidRPr="00735726" w:rsidRDefault="0090552F" w:rsidP="00844EFD">
      <w:pPr>
        <w:rPr>
          <w:rFonts w:ascii="Arial" w:hAnsi="Arial" w:cs="Arial"/>
          <w:sz w:val="18"/>
          <w:szCs w:val="18"/>
        </w:rPr>
      </w:pPr>
      <w:r w:rsidRPr="00735726">
        <w:rPr>
          <w:rFonts w:ascii="Arial" w:hAnsi="Arial" w:cs="Arial"/>
          <w:sz w:val="18"/>
          <w:szCs w:val="18"/>
        </w:rPr>
        <w:t>We’re committed to working with partners who share our values, standards, and behaviours. Through our structured approach, rationalising and segmenting our supply base into strategic, key, preferred or transactional relationships, we have tailored our engagement with each supply chain partner to maximise value and impact.</w:t>
      </w:r>
    </w:p>
    <w:p w14:paraId="018F6F11" w14:textId="0F1E0164" w:rsidR="00BB7AD1" w:rsidRPr="00735726" w:rsidRDefault="00027797" w:rsidP="00844EFD">
      <w:pPr>
        <w:spacing w:after="160"/>
        <w:rPr>
          <w:rFonts w:ascii="Arial" w:hAnsi="Arial" w:cs="Arial"/>
          <w:sz w:val="18"/>
          <w:szCs w:val="18"/>
        </w:rPr>
      </w:pPr>
      <w:r w:rsidRPr="00735726">
        <w:rPr>
          <w:rFonts w:ascii="Arial" w:hAnsi="Arial" w:cs="Arial"/>
          <w:sz w:val="18"/>
          <w:szCs w:val="18"/>
        </w:rPr>
        <w:t>Through working with our suppliers, we support skills development and investment throughout the supply chain. And through our ESG and Net Zero strategies we engage our supply chain to better understand and reduce our collective environmental impact.</w:t>
      </w:r>
    </w:p>
    <w:p w14:paraId="7521BF1D" w14:textId="50923CD5" w:rsidR="00027797" w:rsidRPr="00735726" w:rsidRDefault="00027797" w:rsidP="00844EFD">
      <w:pPr>
        <w:spacing w:after="160"/>
        <w:rPr>
          <w:rFonts w:ascii="Arial" w:hAnsi="Arial" w:cs="Arial"/>
          <w:sz w:val="18"/>
          <w:szCs w:val="18"/>
        </w:rPr>
      </w:pPr>
      <w:r w:rsidRPr="00735726">
        <w:rPr>
          <w:i/>
          <w:iCs/>
        </w:rPr>
        <w:t>HOW WE ENGAGE</w:t>
      </w:r>
      <w:r w:rsidRPr="00735726">
        <w:rPr>
          <w:rFonts w:ascii="Arial" w:hAnsi="Arial" w:cs="Arial"/>
          <w:sz w:val="18"/>
          <w:szCs w:val="18"/>
        </w:rPr>
        <w:t xml:space="preserve"> </w:t>
      </w:r>
      <w:r w:rsidR="00D62E2B" w:rsidRPr="00735726">
        <w:rPr>
          <w:rFonts w:ascii="Arial" w:hAnsi="Arial" w:cs="Arial"/>
          <w:sz w:val="18"/>
          <w:szCs w:val="18"/>
        </w:rPr>
        <w:br/>
      </w:r>
      <w:r w:rsidRPr="00735726">
        <w:rPr>
          <w:rFonts w:ascii="Arial" w:hAnsi="Arial" w:cs="Arial"/>
          <w:sz w:val="18"/>
          <w:szCs w:val="18"/>
        </w:rPr>
        <w:t>More than 1,000 schemes have already been mobilised through the amplify supply chain partnership and 100% of the AMP8, Year 1 WINEP schemes were completed as of 31 March 2026. As projects move from design into construction these actions are supporting delivery of the £3.0 billion</w:t>
      </w:r>
      <w:r w:rsidRPr="00735726">
        <w:rPr>
          <w:rFonts w:ascii="Arial" w:hAnsi="Arial" w:cs="Arial"/>
          <w:sz w:val="18"/>
          <w:szCs w:val="18"/>
          <w:vertAlign w:val="superscript"/>
        </w:rPr>
        <w:t xml:space="preserve">1 </w:t>
      </w:r>
      <w:r w:rsidRPr="00735726">
        <w:rPr>
          <w:rFonts w:ascii="Arial" w:hAnsi="Arial" w:cs="Arial"/>
          <w:sz w:val="18"/>
          <w:szCs w:val="18"/>
        </w:rPr>
        <w:t>investment to 2030.</w:t>
      </w:r>
    </w:p>
    <w:p w14:paraId="0061280A" w14:textId="437048AD" w:rsidR="00027797" w:rsidRPr="00735726" w:rsidRDefault="00027797" w:rsidP="00844EFD">
      <w:pPr>
        <w:spacing w:after="160"/>
        <w:rPr>
          <w:rFonts w:ascii="Arial" w:hAnsi="Arial" w:cs="Arial"/>
          <w:sz w:val="18"/>
          <w:szCs w:val="18"/>
        </w:rPr>
      </w:pPr>
      <w:r w:rsidRPr="00735726">
        <w:rPr>
          <w:rFonts w:ascii="Arial" w:hAnsi="Arial" w:cs="Arial"/>
          <w:sz w:val="18"/>
          <w:szCs w:val="18"/>
        </w:rPr>
        <w:t xml:space="preserve">To support delivery of these projects, </w:t>
      </w:r>
      <w:proofErr w:type="spellStart"/>
      <w:r w:rsidRPr="00735726">
        <w:rPr>
          <w:rFonts w:ascii="Arial" w:hAnsi="Arial" w:cs="Arial"/>
          <w:sz w:val="18"/>
          <w:szCs w:val="18"/>
        </w:rPr>
        <w:t>amplify’s</w:t>
      </w:r>
      <w:proofErr w:type="spellEnd"/>
      <w:r w:rsidRPr="00735726">
        <w:rPr>
          <w:rFonts w:ascii="Arial" w:hAnsi="Arial" w:cs="Arial"/>
          <w:sz w:val="18"/>
          <w:szCs w:val="18"/>
        </w:rPr>
        <w:t xml:space="preserve"> principal construction partners, are working alongside a range of consultancy organisations. Integrated project management, design and cost consultancy capability is being deployed to optimise investment and provide efficiency through collaborative thinking and innovation, whilst building supply resilience.</w:t>
      </w:r>
    </w:p>
    <w:p w14:paraId="686E206C" w14:textId="498A2C44" w:rsidR="00027797" w:rsidRPr="00735726" w:rsidRDefault="00027797" w:rsidP="00844EFD">
      <w:pPr>
        <w:spacing w:after="160"/>
        <w:rPr>
          <w:rFonts w:ascii="Arial" w:hAnsi="Arial" w:cs="Arial"/>
          <w:sz w:val="18"/>
          <w:szCs w:val="18"/>
        </w:rPr>
      </w:pPr>
      <w:r w:rsidRPr="00735726">
        <w:rPr>
          <w:rFonts w:ascii="Arial" w:hAnsi="Arial" w:cs="Arial"/>
          <w:sz w:val="18"/>
          <w:szCs w:val="18"/>
        </w:rPr>
        <w:t>Supplier reviews and audits continue to deliver opportunities for innovation, testing and improvements.</w:t>
      </w:r>
    </w:p>
    <w:p w14:paraId="395973D5" w14:textId="4A8A2CDD" w:rsidR="00027797" w:rsidRPr="00735726" w:rsidRDefault="00027797" w:rsidP="00844EFD">
      <w:pPr>
        <w:spacing w:after="160"/>
        <w:rPr>
          <w:rFonts w:ascii="Arial" w:hAnsi="Arial" w:cs="Arial"/>
          <w:sz w:val="18"/>
          <w:szCs w:val="18"/>
        </w:rPr>
      </w:pPr>
      <w:r w:rsidRPr="00735726">
        <w:rPr>
          <w:rFonts w:ascii="Arial" w:hAnsi="Arial" w:cs="Arial"/>
          <w:sz w:val="18"/>
          <w:szCs w:val="18"/>
        </w:rPr>
        <w:t xml:space="preserve">The Code of Conduct for Supply Chain Partners has been long established, and all new suppliers are brought </w:t>
      </w:r>
      <w:r w:rsidR="00D7380C" w:rsidRPr="00735726">
        <w:rPr>
          <w:rFonts w:ascii="Arial" w:hAnsi="Arial" w:cs="Arial"/>
          <w:sz w:val="18"/>
          <w:szCs w:val="18"/>
        </w:rPr>
        <w:t>on</w:t>
      </w:r>
      <w:r w:rsidRPr="00735726">
        <w:rPr>
          <w:rFonts w:ascii="Arial" w:hAnsi="Arial" w:cs="Arial"/>
          <w:sz w:val="18"/>
          <w:szCs w:val="18"/>
        </w:rPr>
        <w:t xml:space="preserve"> board to work in alignment with it through our onboarding and tender processes.</w:t>
      </w:r>
    </w:p>
    <w:p w14:paraId="7C8B3F97" w14:textId="0284D715" w:rsidR="00027797" w:rsidRPr="00735726" w:rsidRDefault="00027797" w:rsidP="00844EFD">
      <w:pPr>
        <w:spacing w:after="160"/>
        <w:rPr>
          <w:rFonts w:ascii="Arial" w:hAnsi="Arial" w:cs="Arial"/>
          <w:sz w:val="18"/>
          <w:szCs w:val="18"/>
        </w:rPr>
      </w:pPr>
      <w:r w:rsidRPr="00735726">
        <w:rPr>
          <w:rFonts w:ascii="Arial" w:hAnsi="Arial" w:cs="Arial"/>
          <w:sz w:val="18"/>
          <w:szCs w:val="18"/>
        </w:rPr>
        <w:t>Formal contracts and framework agreements underpin robust cost-effective procurement activity.</w:t>
      </w:r>
    </w:p>
    <w:p w14:paraId="2A37B584" w14:textId="77777777" w:rsidR="00027797" w:rsidRPr="00735726" w:rsidRDefault="00027797" w:rsidP="00844EFD">
      <w:pPr>
        <w:spacing w:after="160"/>
        <w:rPr>
          <w:rFonts w:ascii="Arial" w:hAnsi="Arial" w:cs="Arial"/>
          <w:sz w:val="18"/>
          <w:szCs w:val="18"/>
        </w:rPr>
      </w:pPr>
      <w:r w:rsidRPr="00735726">
        <w:rPr>
          <w:rFonts w:ascii="Arial" w:hAnsi="Arial" w:cs="Arial"/>
          <w:sz w:val="18"/>
          <w:szCs w:val="18"/>
        </w:rPr>
        <w:t xml:space="preserve">E-procurement and risk management platforms are being used to monitor the suppliers, flag risks in advance to the teams and ensure suppliers remain compliant. </w:t>
      </w:r>
    </w:p>
    <w:p w14:paraId="0C19343D" w14:textId="77777777" w:rsidR="00027797" w:rsidRPr="00735726" w:rsidRDefault="00027797" w:rsidP="00844EFD">
      <w:pPr>
        <w:spacing w:after="160"/>
        <w:rPr>
          <w:rFonts w:ascii="Arial" w:hAnsi="Arial" w:cs="Arial"/>
          <w:sz w:val="18"/>
          <w:szCs w:val="18"/>
        </w:rPr>
      </w:pPr>
      <w:r w:rsidRPr="00735726">
        <w:rPr>
          <w:rFonts w:ascii="Arial" w:hAnsi="Arial" w:cs="Arial"/>
          <w:sz w:val="18"/>
          <w:szCs w:val="18"/>
        </w:rPr>
        <w:t xml:space="preserve">Alongside this, we engage with neighbouring water companies like Wessex Water and Welsh Water through the Western Procurement Hub, collaboratively procuring goods and services to derive the best value as well as to share best practices. </w:t>
      </w:r>
    </w:p>
    <w:p w14:paraId="5113CA78" w14:textId="7866A06B" w:rsidR="00D7380C" w:rsidRPr="00735726" w:rsidRDefault="00027797" w:rsidP="00844EFD">
      <w:pPr>
        <w:spacing w:after="160"/>
        <w:rPr>
          <w:rFonts w:ascii="Arial" w:hAnsi="Arial" w:cs="Arial"/>
          <w:sz w:val="18"/>
          <w:szCs w:val="18"/>
        </w:rPr>
      </w:pPr>
      <w:r w:rsidRPr="00735726">
        <w:rPr>
          <w:i/>
          <w:iCs/>
        </w:rPr>
        <w:lastRenderedPageBreak/>
        <w:t xml:space="preserve">KEY CHALLENGES AND HOW WE ARE RESPONDING </w:t>
      </w:r>
      <w:r w:rsidR="00D7380C" w:rsidRPr="00735726">
        <w:rPr>
          <w:i/>
          <w:iCs/>
        </w:rPr>
        <w:br/>
      </w:r>
      <w:r w:rsidR="00D7380C" w:rsidRPr="00735726">
        <w:rPr>
          <w:rFonts w:ascii="Arial" w:hAnsi="Arial" w:cs="Arial"/>
          <w:sz w:val="18"/>
          <w:szCs w:val="18"/>
        </w:rPr>
        <w:t>Meeting the environmental challenges of today, and tomorrow, requires a shift in how we think about infrastructure. That’s why we’re embracing a ‘nature-first’ approach, prioritising solutions that work with the natural environment rather than against it. We’re embedding nature-based thinking into the heart of our supply chain strategy.</w:t>
      </w:r>
    </w:p>
    <w:p w14:paraId="5E8B0A7B" w14:textId="77777777" w:rsidR="00942D4F" w:rsidRPr="00735726" w:rsidRDefault="00D7380C" w:rsidP="00844EFD">
      <w:pPr>
        <w:spacing w:after="160"/>
        <w:rPr>
          <w:rFonts w:ascii="Arial" w:hAnsi="Arial" w:cs="Arial"/>
          <w:sz w:val="18"/>
          <w:szCs w:val="18"/>
        </w:rPr>
      </w:pPr>
      <w:r w:rsidRPr="00735726">
        <w:rPr>
          <w:rFonts w:ascii="Arial" w:hAnsi="Arial" w:cs="Arial"/>
          <w:sz w:val="18"/>
          <w:szCs w:val="18"/>
        </w:rPr>
        <w:t xml:space="preserve">To deliver this, we’re securing the best talent and expertise from our partners, those who share our vision for a greener, more resilient future. </w:t>
      </w:r>
    </w:p>
    <w:p w14:paraId="7BFC6417" w14:textId="02FDD2C2" w:rsidR="00D7380C" w:rsidRPr="00735726" w:rsidRDefault="00D7380C" w:rsidP="00844EFD">
      <w:pPr>
        <w:spacing w:after="160"/>
        <w:rPr>
          <w:rFonts w:ascii="Arial" w:hAnsi="Arial" w:cs="Arial"/>
          <w:sz w:val="18"/>
          <w:szCs w:val="18"/>
        </w:rPr>
      </w:pPr>
      <w:r w:rsidRPr="00735726">
        <w:rPr>
          <w:rFonts w:ascii="Arial" w:hAnsi="Arial" w:cs="Arial"/>
          <w:sz w:val="18"/>
          <w:szCs w:val="18"/>
        </w:rPr>
        <w:t xml:space="preserve">We also continue to minimise the risk of supplier failure or insolvency through rigorous due diligence and proactive risk management, strengthening resilience and ensuring long-term delivery capability. </w:t>
      </w:r>
    </w:p>
    <w:p w14:paraId="3DB30E5E" w14:textId="6A5666A0" w:rsidR="00D7380C" w:rsidRPr="00735726" w:rsidRDefault="00D7380C" w:rsidP="00844EFD">
      <w:pPr>
        <w:spacing w:after="160"/>
        <w:rPr>
          <w:rFonts w:ascii="Arial" w:hAnsi="Arial" w:cs="Arial"/>
          <w:sz w:val="18"/>
          <w:szCs w:val="18"/>
        </w:rPr>
      </w:pPr>
      <w:r w:rsidRPr="00735726">
        <w:rPr>
          <w:i/>
          <w:iCs/>
        </w:rPr>
        <w:t>OUTCOMES, ACHIEVEMENTS AND ACTIONS</w:t>
      </w:r>
      <w:r w:rsidRPr="00735726">
        <w:rPr>
          <w:rFonts w:ascii="Arial" w:hAnsi="Arial" w:cs="Arial"/>
          <w:sz w:val="18"/>
          <w:szCs w:val="18"/>
        </w:rPr>
        <w:t xml:space="preserve"> </w:t>
      </w:r>
      <w:r w:rsidRPr="00735726">
        <w:rPr>
          <w:rFonts w:ascii="Arial" w:hAnsi="Arial" w:cs="Arial"/>
          <w:sz w:val="18"/>
          <w:szCs w:val="18"/>
        </w:rPr>
        <w:br/>
        <w:t xml:space="preserve">We have identified opportunities to collate and bring together spend across our regions and parts of our Company, to enable synergies, bringing spend under central management </w:t>
      </w:r>
      <w:proofErr w:type="gramStart"/>
      <w:r w:rsidRPr="00735726">
        <w:rPr>
          <w:rFonts w:ascii="Arial" w:hAnsi="Arial" w:cs="Arial"/>
          <w:sz w:val="18"/>
          <w:szCs w:val="18"/>
        </w:rPr>
        <w:t>in order to</w:t>
      </w:r>
      <w:proofErr w:type="gramEnd"/>
      <w:r w:rsidRPr="00735726">
        <w:rPr>
          <w:rFonts w:ascii="Arial" w:hAnsi="Arial" w:cs="Arial"/>
          <w:sz w:val="18"/>
          <w:szCs w:val="18"/>
        </w:rPr>
        <w:t xml:space="preserve"> improve value, enhance service quality and reduce risk.</w:t>
      </w:r>
    </w:p>
    <w:p w14:paraId="657E58B5" w14:textId="4C1B1EE8" w:rsidR="00D7380C" w:rsidRPr="00735726" w:rsidRDefault="00D7380C" w:rsidP="00844EFD">
      <w:pPr>
        <w:spacing w:after="160"/>
        <w:rPr>
          <w:rFonts w:ascii="Arial" w:hAnsi="Arial" w:cs="Arial"/>
          <w:sz w:val="18"/>
          <w:szCs w:val="18"/>
        </w:rPr>
      </w:pPr>
      <w:r w:rsidRPr="00735726">
        <w:rPr>
          <w:rFonts w:ascii="Arial" w:hAnsi="Arial" w:cs="Arial"/>
          <w:sz w:val="18"/>
          <w:szCs w:val="18"/>
        </w:rPr>
        <w:t>Amplify is embedding a standardised, repeatable approach to asset design, delivery and procurement. By reintroducing standard designs, off-the-shelf products, Design &amp; Build (D&amp;B) principles and advancing procurement activity, we are strengthening programme pace and cost certainty, improving buildability, and supporting enhanced safety and lower carbon outcomes to support delivery of our regulatory date commitments.</w:t>
      </w:r>
    </w:p>
    <w:p w14:paraId="4F300B38" w14:textId="77777777" w:rsidR="00D7380C" w:rsidRPr="00735726" w:rsidRDefault="00D7380C" w:rsidP="00844EFD">
      <w:pPr>
        <w:spacing w:after="160"/>
        <w:rPr>
          <w:rFonts w:ascii="Arial" w:hAnsi="Arial" w:cs="Arial"/>
          <w:sz w:val="18"/>
          <w:szCs w:val="18"/>
        </w:rPr>
      </w:pPr>
      <w:r w:rsidRPr="00735726">
        <w:rPr>
          <w:rFonts w:ascii="Arial" w:hAnsi="Arial" w:cs="Arial"/>
          <w:sz w:val="18"/>
          <w:szCs w:val="18"/>
        </w:rPr>
        <w:t>Our data-driven approach to tendering ensures that procurement decisions are market-tested for both value and performance.</w:t>
      </w:r>
    </w:p>
    <w:p w14:paraId="082FB7BD" w14:textId="22AF1583" w:rsidR="00D7380C" w:rsidRPr="00735726" w:rsidRDefault="00D7380C" w:rsidP="00844EFD">
      <w:pPr>
        <w:rPr>
          <w:rFonts w:ascii="Arial" w:hAnsi="Arial" w:cs="Arial"/>
          <w:b/>
          <w:bCs/>
          <w:sz w:val="18"/>
          <w:szCs w:val="18"/>
        </w:rPr>
      </w:pPr>
      <w:r w:rsidRPr="00735726">
        <w:rPr>
          <w:rFonts w:ascii="Arial" w:hAnsi="Arial" w:cs="Arial"/>
          <w:b/>
          <w:bCs/>
          <w:sz w:val="18"/>
          <w:szCs w:val="18"/>
        </w:rPr>
        <w:t>REGULATORS</w:t>
      </w:r>
    </w:p>
    <w:p w14:paraId="29A8802A" w14:textId="04CEFD8A" w:rsidR="00D7380C" w:rsidRPr="00735726" w:rsidRDefault="00D7380C" w:rsidP="00844EFD">
      <w:pPr>
        <w:rPr>
          <w:rFonts w:ascii="Arial" w:hAnsi="Arial" w:cs="Arial"/>
          <w:sz w:val="18"/>
          <w:szCs w:val="18"/>
        </w:rPr>
      </w:pPr>
      <w:r w:rsidRPr="00735726">
        <w:rPr>
          <w:rFonts w:ascii="Arial" w:hAnsi="Arial" w:cs="Arial"/>
          <w:i/>
          <w:iCs/>
          <w:sz w:val="18"/>
          <w:szCs w:val="18"/>
        </w:rPr>
        <w:t>WHO THEY ARE</w:t>
      </w:r>
      <w:r w:rsidRPr="00735726">
        <w:rPr>
          <w:rFonts w:ascii="Arial" w:hAnsi="Arial" w:cs="Arial"/>
          <w:i/>
          <w:iCs/>
          <w:sz w:val="18"/>
          <w:szCs w:val="18"/>
        </w:rPr>
        <w:br/>
      </w:r>
      <w:r w:rsidR="00844EFD" w:rsidRPr="00735726">
        <w:rPr>
          <w:rFonts w:ascii="Arial" w:hAnsi="Arial" w:cs="Arial"/>
          <w:sz w:val="18"/>
          <w:szCs w:val="18"/>
        </w:rPr>
        <w:t>We have a continuing dialogue and meet regularly with our regulators: Ofwat, the Environment Agency (EA), the Drinking Water Inspectorate (DWI), Natural England, the Consumer Council for Water (CCW) and the Health and Safety Executive (HSE).</w:t>
      </w:r>
    </w:p>
    <w:p w14:paraId="672B8F7D" w14:textId="1DBBCEB4" w:rsidR="00844EFD" w:rsidRPr="00735726" w:rsidRDefault="00844EFD" w:rsidP="00844EFD">
      <w:pPr>
        <w:spacing w:after="160"/>
        <w:rPr>
          <w:rFonts w:ascii="Arial" w:hAnsi="Arial" w:cs="Arial"/>
          <w:sz w:val="18"/>
          <w:szCs w:val="18"/>
        </w:rPr>
      </w:pPr>
      <w:r w:rsidRPr="00735726">
        <w:rPr>
          <w:rFonts w:ascii="Arial" w:hAnsi="Arial" w:cs="Arial"/>
          <w:i/>
          <w:iCs/>
          <w:sz w:val="18"/>
          <w:szCs w:val="18"/>
        </w:rPr>
        <w:t>WHY WE ENGAGE</w:t>
      </w:r>
      <w:r w:rsidRPr="00735726">
        <w:rPr>
          <w:rFonts w:ascii="Arial" w:hAnsi="Arial" w:cs="Arial"/>
          <w:i/>
          <w:iCs/>
          <w:sz w:val="18"/>
          <w:szCs w:val="18"/>
        </w:rPr>
        <w:br/>
      </w:r>
      <w:r w:rsidRPr="00735726">
        <w:rPr>
          <w:rFonts w:ascii="Arial" w:hAnsi="Arial" w:cs="Arial"/>
          <w:sz w:val="18"/>
          <w:szCs w:val="18"/>
        </w:rPr>
        <w:t xml:space="preserve">Regulation shapes every aspect of what we do </w:t>
      </w:r>
      <w:r w:rsidR="009C69C9" w:rsidRPr="00735726">
        <w:rPr>
          <w:rFonts w:ascii="Arial" w:hAnsi="Arial" w:cs="Arial"/>
          <w:sz w:val="18"/>
          <w:szCs w:val="18"/>
        </w:rPr>
        <w:t xml:space="preserve">- </w:t>
      </w:r>
      <w:r w:rsidRPr="00735726">
        <w:rPr>
          <w:rFonts w:ascii="Arial" w:hAnsi="Arial" w:cs="Arial"/>
          <w:sz w:val="18"/>
          <w:szCs w:val="18"/>
        </w:rPr>
        <w:t>from the quality of the water we supply to the resilience of our networks and the scale of our environmental ambition. Strong, transparent relationships with our regulators are critical to delivering the services our customers and communities expect.</w:t>
      </w:r>
    </w:p>
    <w:p w14:paraId="026A121F" w14:textId="1B897D36" w:rsidR="00844EFD" w:rsidRPr="00735726" w:rsidRDefault="00844EFD" w:rsidP="00844EFD">
      <w:pPr>
        <w:spacing w:after="160"/>
        <w:rPr>
          <w:rFonts w:ascii="Arial" w:hAnsi="Arial" w:cs="Arial"/>
          <w:sz w:val="18"/>
          <w:szCs w:val="18"/>
        </w:rPr>
      </w:pPr>
      <w:r w:rsidRPr="00735726">
        <w:rPr>
          <w:rFonts w:ascii="Arial" w:hAnsi="Arial" w:cs="Arial"/>
          <w:sz w:val="18"/>
          <w:szCs w:val="18"/>
        </w:rPr>
        <w:t>By engaging early and openly with regulators, we help ensure our plans are credible, deliverable, and aligned with long-term regional needs. Constructive engagement supports decision-making and enables us to demonstrate progress. Above all, it ensures we remain accountable to our customers and the environment we are here to protect.</w:t>
      </w:r>
    </w:p>
    <w:p w14:paraId="01A8AF54" w14:textId="15349844" w:rsidR="00844EFD" w:rsidRPr="00735726" w:rsidRDefault="00844EFD" w:rsidP="00277639">
      <w:pPr>
        <w:spacing w:after="160"/>
        <w:rPr>
          <w:rFonts w:ascii="Arial" w:hAnsi="Arial" w:cs="Arial"/>
          <w:sz w:val="18"/>
          <w:szCs w:val="18"/>
        </w:rPr>
      </w:pPr>
      <w:r w:rsidRPr="00735726">
        <w:rPr>
          <w:rFonts w:ascii="Arial" w:hAnsi="Arial" w:cs="Arial"/>
          <w:i/>
          <w:iCs/>
          <w:sz w:val="18"/>
          <w:szCs w:val="18"/>
        </w:rPr>
        <w:t>HOW WE ENGAGE</w:t>
      </w:r>
      <w:r w:rsidR="00D62E2B" w:rsidRPr="00735726">
        <w:rPr>
          <w:rFonts w:ascii="Arial" w:hAnsi="Arial" w:cs="Arial"/>
          <w:sz w:val="18"/>
          <w:szCs w:val="18"/>
        </w:rPr>
        <w:br/>
      </w:r>
      <w:r w:rsidRPr="00735726">
        <w:rPr>
          <w:rFonts w:ascii="Arial" w:hAnsi="Arial" w:cs="Arial"/>
          <w:sz w:val="18"/>
          <w:szCs w:val="18"/>
        </w:rPr>
        <w:t>We engage with our regulators in a structured and transparent way. Our teams meet regularly with all our regulators using a mix of routine meetings, technical workshops and joint site visits. These are focused on our published plans, performance reports, delivery progress and compliance reviews, ensuring transparency across key metrics such as leakage, customer service and investment delivery. We also participate in industry consultations and working groups, helping to shape new and emerging regulations.</w:t>
      </w:r>
    </w:p>
    <w:p w14:paraId="7BC75F45" w14:textId="77777777" w:rsidR="002964CE" w:rsidRPr="00735726" w:rsidRDefault="00844EFD" w:rsidP="00844EFD">
      <w:pPr>
        <w:rPr>
          <w:rFonts w:ascii="Arial" w:hAnsi="Arial" w:cs="Arial"/>
          <w:sz w:val="18"/>
          <w:szCs w:val="18"/>
        </w:rPr>
      </w:pPr>
      <w:r w:rsidRPr="00735726">
        <w:rPr>
          <w:rFonts w:ascii="Arial" w:hAnsi="Arial" w:cs="Arial"/>
          <w:sz w:val="18"/>
          <w:szCs w:val="18"/>
        </w:rPr>
        <w:t>Our engagement is grounded in evidence. We use data-driven insight, independent assurance, and customer and stakeholder feedback to demonstrate that our plans and delivery are rooted in real need. Engagement is continuous rather than reactive: we brief early on emerging issues, work collaboratively on long-term challenges, and provide open access to information so regulators can clearly see the progress we are making.</w:t>
      </w:r>
    </w:p>
    <w:p w14:paraId="179ABF55" w14:textId="30E9124B" w:rsidR="002964CE" w:rsidRPr="00735726" w:rsidRDefault="002964CE" w:rsidP="002964CE">
      <w:pPr>
        <w:rPr>
          <w:rFonts w:ascii="Arial" w:hAnsi="Arial" w:cs="Arial"/>
          <w:sz w:val="18"/>
          <w:szCs w:val="18"/>
        </w:rPr>
      </w:pPr>
      <w:r w:rsidRPr="00735726">
        <w:rPr>
          <w:i/>
          <w:iCs/>
        </w:rPr>
        <w:t>KEY CHALLENGES AND HOW WE ARE RESPONDING</w:t>
      </w:r>
      <w:r w:rsidRPr="00735726">
        <w:rPr>
          <w:i/>
          <w:iCs/>
        </w:rPr>
        <w:br/>
      </w:r>
      <w:r w:rsidRPr="00735726">
        <w:rPr>
          <w:rFonts w:ascii="Arial" w:hAnsi="Arial" w:cs="Arial"/>
          <w:sz w:val="18"/>
          <w:szCs w:val="18"/>
        </w:rPr>
        <w:t>The water sector is entering a decisive phase of reform. Expectations on companies have never been higher, and climate driven shocks continue to test our networks. This underlines the importance of delivering our £3.0 billion</w:t>
      </w:r>
      <w:r w:rsidRPr="00735726">
        <w:rPr>
          <w:vertAlign w:val="superscript"/>
        </w:rPr>
        <w:footnoteReference w:id="7"/>
      </w:r>
      <w:r w:rsidRPr="00735726">
        <w:rPr>
          <w:rFonts w:ascii="Arial" w:hAnsi="Arial" w:cs="Arial"/>
          <w:sz w:val="18"/>
          <w:szCs w:val="18"/>
        </w:rPr>
        <w:t xml:space="preserve"> investment plan to strengthen networks, secure water resources, and improve rivers and seas.</w:t>
      </w:r>
    </w:p>
    <w:p w14:paraId="424393DD" w14:textId="77777777" w:rsidR="002964CE" w:rsidRPr="00735726" w:rsidRDefault="002964CE" w:rsidP="002964CE">
      <w:pPr>
        <w:rPr>
          <w:rFonts w:ascii="Arial" w:hAnsi="Arial" w:cs="Arial"/>
          <w:sz w:val="18"/>
          <w:szCs w:val="18"/>
        </w:rPr>
      </w:pPr>
      <w:r w:rsidRPr="00735726">
        <w:rPr>
          <w:rFonts w:ascii="Arial" w:hAnsi="Arial" w:cs="Arial"/>
          <w:sz w:val="18"/>
          <w:szCs w:val="18"/>
        </w:rPr>
        <w:lastRenderedPageBreak/>
        <w:t>We are working closely with Defra and regulators as the White Paper reforms move into implementation. We have shared ideas and proposals widely with regulators and stakeholders and are frequent contributors to events and conferences.</w:t>
      </w:r>
    </w:p>
    <w:p w14:paraId="7949EEBA" w14:textId="64B6D249" w:rsidR="002964CE" w:rsidRPr="00735726" w:rsidRDefault="002964CE" w:rsidP="002964CE">
      <w:pPr>
        <w:rPr>
          <w:rFonts w:ascii="Arial" w:hAnsi="Arial" w:cs="Arial"/>
          <w:sz w:val="18"/>
          <w:szCs w:val="18"/>
        </w:rPr>
      </w:pPr>
      <w:r w:rsidRPr="00735726">
        <w:rPr>
          <w:rFonts w:ascii="Arial" w:hAnsi="Arial" w:cs="Arial"/>
          <w:sz w:val="18"/>
          <w:szCs w:val="18"/>
        </w:rPr>
        <w:t>The year saw an increase in focus on asset health and accelerating investment, particularly where it supports economic growth. We have worked with Ofwat to understand the evidence required to support this shift, providing material grounded in local stakeholder needs and compelling customer research. Our first PR24 cost change submission in 2026 reflects this new approach and will continue to inform future regulatory decisions.</w:t>
      </w:r>
    </w:p>
    <w:p w14:paraId="79DDD781" w14:textId="204BEC25" w:rsidR="002964CE" w:rsidRPr="00735726" w:rsidRDefault="002964CE" w:rsidP="002964CE">
      <w:pPr>
        <w:rPr>
          <w:rFonts w:ascii="Arial" w:hAnsi="Arial" w:cs="Arial"/>
          <w:sz w:val="18"/>
          <w:szCs w:val="18"/>
        </w:rPr>
      </w:pPr>
      <w:r w:rsidRPr="00735726">
        <w:rPr>
          <w:rFonts w:ascii="Arial" w:hAnsi="Arial" w:cs="Arial"/>
          <w:sz w:val="18"/>
          <w:szCs w:val="18"/>
        </w:rPr>
        <w:t>We worked closely with the Consumer Council for Water (CCW) on new customer panels ahead of their first meetings in April 2026. We are also discussing with Ofwat and CCW the impact of our innovative tariff trials, which better reflect customer usage and affordability while supporting long-term resilience and sustainability.</w:t>
      </w:r>
    </w:p>
    <w:p w14:paraId="7C2B7A8E" w14:textId="357CC16B" w:rsidR="002964CE" w:rsidRPr="00735726" w:rsidRDefault="002964CE" w:rsidP="002964CE">
      <w:pPr>
        <w:rPr>
          <w:rFonts w:ascii="Arial" w:hAnsi="Arial" w:cs="Arial"/>
          <w:sz w:val="18"/>
          <w:szCs w:val="18"/>
        </w:rPr>
      </w:pPr>
      <w:r w:rsidRPr="00735726">
        <w:rPr>
          <w:rFonts w:ascii="Arial" w:hAnsi="Arial" w:cs="Arial"/>
          <w:sz w:val="18"/>
          <w:szCs w:val="18"/>
        </w:rPr>
        <w:t>We have engaged with Ofwat and the joint regulators’ RAPID body on the Cheddar 2 reservoir scheme. Preparations remain continuous and transparent, with an open stage by stage approach. We held a joint market engagement event with Wessex Water in September 2025, attended by Ofwat and RAPID, to support this process.</w:t>
      </w:r>
    </w:p>
    <w:p w14:paraId="559C84F7" w14:textId="258528DA" w:rsidR="002964CE" w:rsidRPr="00735726" w:rsidRDefault="002964CE" w:rsidP="002964CE">
      <w:pPr>
        <w:rPr>
          <w:rFonts w:ascii="Arial" w:hAnsi="Arial" w:cs="Arial"/>
          <w:sz w:val="18"/>
          <w:szCs w:val="18"/>
        </w:rPr>
      </w:pPr>
      <w:r w:rsidRPr="00735726">
        <w:rPr>
          <w:rFonts w:ascii="Arial" w:hAnsi="Arial" w:cs="Arial"/>
          <w:sz w:val="18"/>
          <w:szCs w:val="18"/>
        </w:rPr>
        <w:t>Regulators play a critical role during periods of operational pressure. During Storm Goretti in January 2026, which was subject to a red weather warning, we provided daily updates to regulators on our preparations and recovery, ensuring they had full visibility of our actions to protect customers.</w:t>
      </w:r>
    </w:p>
    <w:p w14:paraId="367E7E30" w14:textId="77777777" w:rsidR="00BF07B0" w:rsidRPr="00735726" w:rsidRDefault="002964CE" w:rsidP="00BF07B0">
      <w:pPr>
        <w:rPr>
          <w:rFonts w:ascii="Arial" w:hAnsi="Arial" w:cs="Arial"/>
          <w:sz w:val="18"/>
          <w:szCs w:val="18"/>
        </w:rPr>
      </w:pPr>
      <w:r w:rsidRPr="00735726">
        <w:rPr>
          <w:rFonts w:ascii="Arial" w:hAnsi="Arial" w:cs="Arial"/>
          <w:sz w:val="18"/>
          <w:szCs w:val="18"/>
        </w:rPr>
        <w:t xml:space="preserve">Looking ahead, development of PR29 is already underway. We are engaging on the next Water Resources Management Plan (WRMP), Drainage and Wastewater Management Plan (DWMP) and the future environmental programme to ensure long-term needs are clearly understood and supported. These </w:t>
      </w:r>
      <w:proofErr w:type="gramStart"/>
      <w:r w:rsidRPr="00735726">
        <w:rPr>
          <w:rFonts w:ascii="Arial" w:hAnsi="Arial" w:cs="Arial"/>
          <w:sz w:val="18"/>
          <w:szCs w:val="18"/>
        </w:rPr>
        <w:t>future plans</w:t>
      </w:r>
      <w:proofErr w:type="gramEnd"/>
      <w:r w:rsidRPr="00735726">
        <w:rPr>
          <w:rFonts w:ascii="Arial" w:hAnsi="Arial" w:cs="Arial"/>
          <w:sz w:val="18"/>
          <w:szCs w:val="18"/>
        </w:rPr>
        <w:t xml:space="preserve"> underpin our commitment to delivering sustainable, credible and customer-focused outcomes in partnership with our regulators. </w:t>
      </w:r>
    </w:p>
    <w:p w14:paraId="1096E91D" w14:textId="4CCFC9CD" w:rsidR="00BF07B0" w:rsidRPr="00735726" w:rsidRDefault="00BF07B0" w:rsidP="00BF07B0">
      <w:pPr>
        <w:rPr>
          <w:rFonts w:ascii="Arial" w:hAnsi="Arial" w:cs="Arial"/>
          <w:sz w:val="18"/>
          <w:szCs w:val="18"/>
        </w:rPr>
      </w:pPr>
      <w:r w:rsidRPr="00735726">
        <w:rPr>
          <w:i/>
          <w:iCs/>
        </w:rPr>
        <w:t>OUTCOMES, ACHIEVEMENTS AND ACTIONS</w:t>
      </w:r>
      <w:r w:rsidRPr="00735726">
        <w:rPr>
          <w:rFonts w:ascii="Arial" w:hAnsi="Arial" w:cs="Arial"/>
          <w:sz w:val="18"/>
          <w:szCs w:val="18"/>
        </w:rPr>
        <w:t xml:space="preserve"> </w:t>
      </w:r>
      <w:r w:rsidRPr="00735726">
        <w:rPr>
          <w:rFonts w:ascii="Arial" w:hAnsi="Arial" w:cs="Arial"/>
          <w:sz w:val="18"/>
          <w:szCs w:val="18"/>
        </w:rPr>
        <w:br/>
        <w:t xml:space="preserve">Working with our regulators, we have strengthened our delivery plans, improved the transparency of our performance, and ensured a shared understanding of the resilience challenges we face. This has supported progress on key operational outcomes, including reductions in pollution incidents, enhanced real-time monitoring, and targeted improvements in drinking water quality and asset health. </w:t>
      </w:r>
    </w:p>
    <w:p w14:paraId="013C0190" w14:textId="77777777" w:rsidR="00BF07B0" w:rsidRPr="00735726" w:rsidRDefault="00BF07B0" w:rsidP="00BF07B0">
      <w:pPr>
        <w:rPr>
          <w:rFonts w:ascii="Arial" w:hAnsi="Arial" w:cs="Arial"/>
          <w:sz w:val="18"/>
          <w:szCs w:val="18"/>
        </w:rPr>
      </w:pPr>
      <w:r w:rsidRPr="00735726">
        <w:rPr>
          <w:rFonts w:ascii="Arial" w:hAnsi="Arial" w:cs="Arial"/>
          <w:sz w:val="18"/>
          <w:szCs w:val="18"/>
        </w:rPr>
        <w:t xml:space="preserve">Over the past year, we have moved quickly to turn our PR24 business plan into detailed delivery plans, reflecting the early start agreed with regulators. This is now driving clearer visibility of progress and stronger alignment between our commitments and regulatory expectations. </w:t>
      </w:r>
    </w:p>
    <w:p w14:paraId="7D7FE0CE" w14:textId="1C22F140" w:rsidR="00BF07B0" w:rsidRPr="00735726" w:rsidRDefault="00BF07B0" w:rsidP="00BF07B0">
      <w:pPr>
        <w:rPr>
          <w:rFonts w:ascii="Arial" w:hAnsi="Arial" w:cs="Arial"/>
          <w:sz w:val="18"/>
          <w:szCs w:val="18"/>
        </w:rPr>
      </w:pPr>
      <w:r w:rsidRPr="00735726">
        <w:rPr>
          <w:rFonts w:ascii="Arial" w:hAnsi="Arial" w:cs="Arial"/>
          <w:sz w:val="18"/>
          <w:szCs w:val="18"/>
        </w:rPr>
        <w:t xml:space="preserve">Engagement has shaped important governance outcomes. Working with Ofwat, we have aligned our remuneration framework with delivery for customers and the </w:t>
      </w:r>
      <w:proofErr w:type="gramStart"/>
      <w:r w:rsidRPr="00735726">
        <w:rPr>
          <w:rFonts w:ascii="Arial" w:hAnsi="Arial" w:cs="Arial"/>
          <w:sz w:val="18"/>
          <w:szCs w:val="18"/>
        </w:rPr>
        <w:t>environment, and</w:t>
      </w:r>
      <w:proofErr w:type="gramEnd"/>
      <w:r w:rsidRPr="00735726">
        <w:rPr>
          <w:rFonts w:ascii="Arial" w:hAnsi="Arial" w:cs="Arial"/>
          <w:sz w:val="18"/>
          <w:szCs w:val="18"/>
        </w:rPr>
        <w:t xml:space="preserve"> strengthened the independence of our assurance processes.</w:t>
      </w:r>
    </w:p>
    <w:p w14:paraId="0ABAC9A1" w14:textId="3F10FC8D" w:rsidR="00BF07B0" w:rsidRPr="00735726" w:rsidRDefault="00BF07B0" w:rsidP="00BF07B0">
      <w:pPr>
        <w:rPr>
          <w:rFonts w:ascii="Arial" w:hAnsi="Arial" w:cs="Arial"/>
          <w:sz w:val="18"/>
          <w:szCs w:val="18"/>
        </w:rPr>
      </w:pPr>
      <w:r w:rsidRPr="00735726">
        <w:rPr>
          <w:rFonts w:ascii="Arial" w:hAnsi="Arial" w:cs="Arial"/>
          <w:sz w:val="18"/>
          <w:szCs w:val="18"/>
        </w:rPr>
        <w:t xml:space="preserve">Our engagement is shaping the future regulatory framework for customers. Our business model is unique, with distinct customer brands and separate targets for Bristol Water and those for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Regulators continue to support us in ensuring customers benefit fully from this model. For example, we worked with the EA on the design of the revised Environmental Performance Assessment to ensure Bristol Water continue</w:t>
      </w:r>
      <w:r w:rsidR="00E00466" w:rsidRPr="00735726">
        <w:rPr>
          <w:rFonts w:ascii="Arial" w:hAnsi="Arial" w:cs="Arial"/>
          <w:sz w:val="18"/>
          <w:szCs w:val="18"/>
        </w:rPr>
        <w:t>s</w:t>
      </w:r>
      <w:r w:rsidRPr="00735726">
        <w:rPr>
          <w:rFonts w:ascii="Arial" w:hAnsi="Arial" w:cs="Arial"/>
          <w:sz w:val="18"/>
          <w:szCs w:val="18"/>
        </w:rPr>
        <w:t xml:space="preserve"> to be compared with their peers.</w:t>
      </w:r>
    </w:p>
    <w:p w14:paraId="1EE9CC68" w14:textId="77777777" w:rsidR="00E020D9" w:rsidRPr="00735726" w:rsidRDefault="00BF07B0" w:rsidP="00BF07B0">
      <w:pPr>
        <w:rPr>
          <w:rFonts w:ascii="Arial" w:hAnsi="Arial" w:cs="Arial"/>
          <w:sz w:val="18"/>
          <w:szCs w:val="18"/>
        </w:rPr>
      </w:pPr>
      <w:r w:rsidRPr="00735726">
        <w:rPr>
          <w:rFonts w:ascii="Arial" w:hAnsi="Arial" w:cs="Arial"/>
          <w:sz w:val="18"/>
          <w:szCs w:val="18"/>
        </w:rPr>
        <w:t xml:space="preserve">Alongside this, our contribution to the Government’s White Paper reforms is helping inform the emerging regulatory framework, ensuring it supports long-term investment, clearer accountability and greater transparency. </w:t>
      </w:r>
    </w:p>
    <w:p w14:paraId="0A536E41" w14:textId="77777777" w:rsidR="00E020D9" w:rsidRPr="00735726" w:rsidRDefault="00E020D9" w:rsidP="00E020D9">
      <w:pPr>
        <w:rPr>
          <w:rFonts w:ascii="Arial" w:hAnsi="Arial" w:cs="Arial"/>
          <w:b/>
          <w:bCs/>
          <w:sz w:val="18"/>
          <w:szCs w:val="18"/>
        </w:rPr>
      </w:pPr>
      <w:r w:rsidRPr="00735726">
        <w:rPr>
          <w:rFonts w:ascii="Arial" w:hAnsi="Arial" w:cs="Arial"/>
          <w:b/>
          <w:bCs/>
          <w:sz w:val="18"/>
          <w:szCs w:val="18"/>
        </w:rPr>
        <w:t>POLICY MAKERS</w:t>
      </w:r>
    </w:p>
    <w:p w14:paraId="7E5F8677" w14:textId="77777777" w:rsidR="00E020D9" w:rsidRPr="00735726" w:rsidRDefault="00E020D9" w:rsidP="00E020D9">
      <w:pPr>
        <w:rPr>
          <w:rFonts w:ascii="Arial" w:hAnsi="Arial" w:cs="Arial"/>
          <w:sz w:val="18"/>
          <w:szCs w:val="18"/>
        </w:rPr>
      </w:pPr>
      <w:r w:rsidRPr="00735726">
        <w:rPr>
          <w:rFonts w:ascii="Arial" w:hAnsi="Arial" w:cs="Arial"/>
          <w:i/>
          <w:iCs/>
          <w:sz w:val="18"/>
          <w:szCs w:val="18"/>
        </w:rPr>
        <w:t>WHO THEY ARE</w:t>
      </w:r>
      <w:r w:rsidRPr="00735726">
        <w:rPr>
          <w:rFonts w:ascii="Arial" w:hAnsi="Arial" w:cs="Arial"/>
          <w:sz w:val="18"/>
          <w:szCs w:val="18"/>
        </w:rPr>
        <w:t xml:space="preserve"> </w:t>
      </w:r>
      <w:r w:rsidRPr="00735726">
        <w:rPr>
          <w:rFonts w:ascii="Arial" w:hAnsi="Arial" w:cs="Arial"/>
          <w:sz w:val="18"/>
          <w:szCs w:val="18"/>
        </w:rPr>
        <w:br/>
        <w:t xml:space="preserve">We maintain open, transparent relationships with Defra, parliamentary committees, MPs and local authorities. Their roles in shaping the legislative and regulatory environment have become even more significant as the Government’s White Paper on water reform moves into implementation. </w:t>
      </w:r>
    </w:p>
    <w:p w14:paraId="35D890AF" w14:textId="77777777" w:rsidR="00D62E2B" w:rsidRPr="00735726" w:rsidRDefault="00D62E2B" w:rsidP="00E020D9">
      <w:pPr>
        <w:rPr>
          <w:rFonts w:ascii="Arial" w:hAnsi="Arial" w:cs="Arial"/>
          <w:i/>
          <w:iCs/>
          <w:sz w:val="18"/>
          <w:szCs w:val="18"/>
        </w:rPr>
      </w:pPr>
    </w:p>
    <w:p w14:paraId="31B67054" w14:textId="2B7B5780" w:rsidR="00E020D9" w:rsidRPr="00735726" w:rsidRDefault="00E020D9" w:rsidP="00E020D9">
      <w:pPr>
        <w:rPr>
          <w:rFonts w:ascii="Arial" w:hAnsi="Arial" w:cs="Arial"/>
          <w:i/>
          <w:iCs/>
          <w:sz w:val="18"/>
          <w:szCs w:val="18"/>
        </w:rPr>
      </w:pPr>
      <w:r w:rsidRPr="00735726">
        <w:rPr>
          <w:rFonts w:ascii="Arial" w:hAnsi="Arial" w:cs="Arial"/>
          <w:i/>
          <w:iCs/>
          <w:sz w:val="18"/>
          <w:szCs w:val="18"/>
        </w:rPr>
        <w:lastRenderedPageBreak/>
        <w:t>KEY HIGHLIGHTS</w:t>
      </w:r>
    </w:p>
    <w:p w14:paraId="68154107" w14:textId="0FA43990" w:rsidR="00E020D9" w:rsidRPr="00735726" w:rsidRDefault="00E020D9" w:rsidP="00646F4F">
      <w:pPr>
        <w:pStyle w:val="ListParagraph"/>
        <w:numPr>
          <w:ilvl w:val="0"/>
          <w:numId w:val="78"/>
        </w:numPr>
        <w:rPr>
          <w:rFonts w:ascii="Arial" w:hAnsi="Arial" w:cs="Arial"/>
          <w:sz w:val="18"/>
          <w:szCs w:val="18"/>
        </w:rPr>
      </w:pPr>
      <w:r w:rsidRPr="00735726">
        <w:rPr>
          <w:rFonts w:ascii="Arial" w:hAnsi="Arial" w:cs="Arial"/>
          <w:b/>
          <w:bCs/>
          <w:sz w:val="18"/>
          <w:szCs w:val="18"/>
        </w:rPr>
        <w:t xml:space="preserve">Bournemouth Water </w:t>
      </w:r>
      <w:r w:rsidR="006C1BA9" w:rsidRPr="00735726">
        <w:rPr>
          <w:rFonts w:ascii="Arial" w:hAnsi="Arial" w:cs="Arial"/>
          <w:b/>
          <w:bCs/>
          <w:sz w:val="18"/>
          <w:szCs w:val="18"/>
        </w:rPr>
        <w:t xml:space="preserve">- </w:t>
      </w:r>
      <w:r w:rsidRPr="00735726">
        <w:rPr>
          <w:rFonts w:ascii="Arial" w:hAnsi="Arial" w:cs="Arial"/>
          <w:b/>
          <w:bCs/>
          <w:sz w:val="18"/>
          <w:szCs w:val="18"/>
        </w:rPr>
        <w:t xml:space="preserve">Alderney </w:t>
      </w:r>
      <w:r w:rsidR="006C1BA9" w:rsidRPr="00735726">
        <w:rPr>
          <w:rFonts w:ascii="Arial" w:hAnsi="Arial" w:cs="Arial"/>
          <w:b/>
          <w:bCs/>
          <w:sz w:val="18"/>
          <w:szCs w:val="18"/>
        </w:rPr>
        <w:t xml:space="preserve">- </w:t>
      </w:r>
      <w:r w:rsidRPr="00735726">
        <w:rPr>
          <w:rFonts w:ascii="Arial" w:hAnsi="Arial" w:cs="Arial"/>
          <w:b/>
          <w:bCs/>
          <w:sz w:val="18"/>
          <w:szCs w:val="18"/>
        </w:rPr>
        <w:t xml:space="preserve">Emma Hardy MP. </w:t>
      </w:r>
      <w:r w:rsidRPr="00735726">
        <w:rPr>
          <w:rFonts w:ascii="Arial" w:hAnsi="Arial" w:cs="Arial"/>
          <w:sz w:val="18"/>
          <w:szCs w:val="18"/>
        </w:rPr>
        <w:t xml:space="preserve">The </w:t>
      </w:r>
      <w:proofErr w:type="gramStart"/>
      <w:r w:rsidRPr="00735726">
        <w:rPr>
          <w:rFonts w:ascii="Arial" w:hAnsi="Arial" w:cs="Arial"/>
          <w:sz w:val="18"/>
          <w:szCs w:val="18"/>
        </w:rPr>
        <w:t>Water Minister</w:t>
      </w:r>
      <w:proofErr w:type="gramEnd"/>
      <w:r w:rsidRPr="00735726">
        <w:rPr>
          <w:rFonts w:ascii="Arial" w:hAnsi="Arial" w:cs="Arial"/>
          <w:sz w:val="18"/>
          <w:szCs w:val="18"/>
        </w:rPr>
        <w:t xml:space="preserve"> visited our Alderney water treatment works site and welcomed the £113 million modernisation investment, including future proof technology to deliver more sustainable and ecofriendly water supplies.</w:t>
      </w:r>
    </w:p>
    <w:p w14:paraId="1E0E461C" w14:textId="1AA75DA0" w:rsidR="0060442C" w:rsidRPr="00735726" w:rsidRDefault="00E020D9" w:rsidP="00646F4F">
      <w:pPr>
        <w:pStyle w:val="ListParagraph"/>
        <w:numPr>
          <w:ilvl w:val="0"/>
          <w:numId w:val="49"/>
        </w:numPr>
        <w:rPr>
          <w:rFonts w:ascii="Arial" w:hAnsi="Arial" w:cs="Arial"/>
          <w:b/>
          <w:bCs/>
          <w:sz w:val="18"/>
          <w:szCs w:val="18"/>
        </w:rPr>
      </w:pPr>
      <w:proofErr w:type="gramStart"/>
      <w:r w:rsidRPr="00735726">
        <w:rPr>
          <w:rFonts w:ascii="Arial" w:hAnsi="Arial" w:cs="Arial"/>
          <w:b/>
          <w:bCs/>
          <w:sz w:val="18"/>
          <w:szCs w:val="18"/>
        </w:rPr>
        <w:t>South West</w:t>
      </w:r>
      <w:proofErr w:type="gramEnd"/>
      <w:r w:rsidRPr="00735726">
        <w:rPr>
          <w:rFonts w:ascii="Arial" w:hAnsi="Arial" w:cs="Arial"/>
          <w:b/>
          <w:bCs/>
          <w:sz w:val="18"/>
          <w:szCs w:val="18"/>
        </w:rPr>
        <w:t xml:space="preserve"> Water </w:t>
      </w:r>
      <w:r w:rsidR="006C1BA9" w:rsidRPr="00735726">
        <w:rPr>
          <w:rFonts w:ascii="Arial" w:hAnsi="Arial" w:cs="Arial"/>
          <w:b/>
          <w:bCs/>
          <w:sz w:val="18"/>
          <w:szCs w:val="18"/>
        </w:rPr>
        <w:t xml:space="preserve">- </w:t>
      </w:r>
      <w:r w:rsidRPr="00735726">
        <w:rPr>
          <w:rFonts w:ascii="Arial" w:hAnsi="Arial" w:cs="Arial"/>
          <w:b/>
          <w:bCs/>
          <w:sz w:val="18"/>
          <w:szCs w:val="18"/>
        </w:rPr>
        <w:t xml:space="preserve">South Milton sewage treatment works </w:t>
      </w:r>
      <w:r w:rsidR="006C1BA9" w:rsidRPr="00735726">
        <w:rPr>
          <w:rFonts w:ascii="Arial" w:hAnsi="Arial" w:cs="Arial"/>
          <w:b/>
          <w:bCs/>
          <w:sz w:val="18"/>
          <w:szCs w:val="18"/>
        </w:rPr>
        <w:t xml:space="preserve">- </w:t>
      </w:r>
      <w:r w:rsidRPr="00735726">
        <w:rPr>
          <w:rFonts w:ascii="Arial" w:hAnsi="Arial" w:cs="Arial"/>
          <w:b/>
          <w:bCs/>
          <w:sz w:val="18"/>
          <w:szCs w:val="18"/>
        </w:rPr>
        <w:t xml:space="preserve">Caroline </w:t>
      </w:r>
      <w:proofErr w:type="spellStart"/>
      <w:r w:rsidRPr="00735726">
        <w:rPr>
          <w:rFonts w:ascii="Arial" w:hAnsi="Arial" w:cs="Arial"/>
          <w:b/>
          <w:bCs/>
          <w:sz w:val="18"/>
          <w:szCs w:val="18"/>
        </w:rPr>
        <w:t>Voaden</w:t>
      </w:r>
      <w:proofErr w:type="spellEnd"/>
      <w:r w:rsidRPr="00735726">
        <w:rPr>
          <w:rFonts w:ascii="Arial" w:hAnsi="Arial" w:cs="Arial"/>
          <w:b/>
          <w:bCs/>
          <w:sz w:val="18"/>
          <w:szCs w:val="18"/>
        </w:rPr>
        <w:t xml:space="preserve"> MP. </w:t>
      </w:r>
      <w:r w:rsidR="0060442C" w:rsidRPr="00735726">
        <w:rPr>
          <w:rFonts w:ascii="Arial" w:hAnsi="Arial" w:cs="Arial"/>
          <w:sz w:val="18"/>
          <w:szCs w:val="18"/>
        </w:rPr>
        <w:t>We showcase our major investments through on-site tours, including upgraded South Milton Sewage Treatment Works.</w:t>
      </w:r>
    </w:p>
    <w:p w14:paraId="614305A3" w14:textId="4BF32410" w:rsidR="0060442C" w:rsidRPr="00735726" w:rsidRDefault="0060442C" w:rsidP="00646F4F">
      <w:pPr>
        <w:pStyle w:val="ListParagraph"/>
        <w:numPr>
          <w:ilvl w:val="0"/>
          <w:numId w:val="49"/>
        </w:numPr>
        <w:spacing w:after="160"/>
        <w:rPr>
          <w:rFonts w:ascii="Arial" w:hAnsi="Arial" w:cs="Arial"/>
          <w:sz w:val="18"/>
          <w:szCs w:val="18"/>
        </w:rPr>
      </w:pPr>
      <w:r w:rsidRPr="00735726">
        <w:rPr>
          <w:rFonts w:ascii="Arial" w:hAnsi="Arial" w:cs="Arial"/>
          <w:b/>
          <w:bCs/>
          <w:sz w:val="18"/>
          <w:szCs w:val="18"/>
        </w:rPr>
        <w:t xml:space="preserve">Bristol Water </w:t>
      </w:r>
      <w:r w:rsidR="006C1BA9" w:rsidRPr="00735726">
        <w:rPr>
          <w:rFonts w:ascii="Arial" w:hAnsi="Arial" w:cs="Arial"/>
          <w:b/>
          <w:bCs/>
          <w:sz w:val="18"/>
          <w:szCs w:val="18"/>
        </w:rPr>
        <w:t xml:space="preserve">- </w:t>
      </w:r>
      <w:r w:rsidRPr="00735726">
        <w:rPr>
          <w:rFonts w:ascii="Arial" w:hAnsi="Arial" w:cs="Arial"/>
          <w:b/>
          <w:bCs/>
          <w:sz w:val="18"/>
          <w:szCs w:val="18"/>
        </w:rPr>
        <w:t xml:space="preserve">Chew Valley Lake </w:t>
      </w:r>
      <w:r w:rsidR="006C1BA9" w:rsidRPr="00735726">
        <w:rPr>
          <w:rFonts w:ascii="Arial" w:hAnsi="Arial" w:cs="Arial"/>
          <w:b/>
          <w:bCs/>
          <w:sz w:val="18"/>
          <w:szCs w:val="18"/>
        </w:rPr>
        <w:t xml:space="preserve">- </w:t>
      </w:r>
      <w:r w:rsidRPr="00735726">
        <w:rPr>
          <w:rFonts w:ascii="Arial" w:hAnsi="Arial" w:cs="Arial"/>
          <w:b/>
          <w:bCs/>
          <w:sz w:val="18"/>
          <w:szCs w:val="18"/>
        </w:rPr>
        <w:t xml:space="preserve">Defra. </w:t>
      </w:r>
      <w:r w:rsidRPr="00735726">
        <w:rPr>
          <w:rFonts w:ascii="Arial" w:hAnsi="Arial" w:cs="Arial"/>
          <w:sz w:val="18"/>
          <w:szCs w:val="18"/>
        </w:rPr>
        <w:t>Defra, the Rivers Trust and West Country Water Resources came together at Chew Valley Lake to discuss catchment partnerships and regional planning, supporting collaborative work on future schemes including the Cheddar 2 reservoir.</w:t>
      </w:r>
    </w:p>
    <w:p w14:paraId="2255F3B0" w14:textId="1ED36636" w:rsidR="0060442C" w:rsidRPr="00735726" w:rsidRDefault="0060442C" w:rsidP="001925D9">
      <w:pPr>
        <w:spacing w:after="160"/>
        <w:rPr>
          <w:rFonts w:ascii="Arial" w:hAnsi="Arial" w:cs="Arial"/>
          <w:sz w:val="18"/>
          <w:szCs w:val="18"/>
        </w:rPr>
      </w:pPr>
      <w:r w:rsidRPr="00735726">
        <w:rPr>
          <w:i/>
          <w:iCs/>
        </w:rPr>
        <w:t xml:space="preserve">WHY WE ENGAGE </w:t>
      </w:r>
      <w:r w:rsidRPr="00735726">
        <w:rPr>
          <w:i/>
          <w:iCs/>
        </w:rPr>
        <w:br/>
      </w:r>
      <w:r w:rsidRPr="00735726">
        <w:rPr>
          <w:rFonts w:ascii="Arial" w:hAnsi="Arial" w:cs="Arial"/>
          <w:sz w:val="18"/>
          <w:szCs w:val="18"/>
        </w:rPr>
        <w:t xml:space="preserve">At the national level, we work closely with Defra and parliamentary committees, as the future priorities for water quality, resilience, customer protections, and environmental improvement are established. Our engagement has increased as the White Paper reforms progress, as we provide evidence, operational insight and regional context to help ensure policy is practical, outcomes focused and supportive of long-term investment. Our engagement remains cross-party, ensuring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values and priorities are understood across the political spectrum.</w:t>
      </w:r>
    </w:p>
    <w:p w14:paraId="670DF2FB" w14:textId="50C2E35B" w:rsidR="0060442C" w:rsidRPr="00735726" w:rsidRDefault="0060442C" w:rsidP="001925D9">
      <w:pPr>
        <w:spacing w:after="160"/>
        <w:rPr>
          <w:rFonts w:ascii="Arial" w:hAnsi="Arial" w:cs="Arial"/>
          <w:sz w:val="18"/>
          <w:szCs w:val="18"/>
        </w:rPr>
      </w:pPr>
      <w:r w:rsidRPr="00735726">
        <w:rPr>
          <w:rFonts w:ascii="Arial" w:hAnsi="Arial" w:cs="Arial"/>
          <w:sz w:val="18"/>
          <w:szCs w:val="18"/>
        </w:rPr>
        <w:t>At the local level, MPs continue to advocate for their communities, ensuring local priorities are reflected in national debates and regulatory decisions. We work with local authorities to support their role in shaping outcomes for customers and communities.</w:t>
      </w:r>
    </w:p>
    <w:p w14:paraId="5EB87539" w14:textId="49BB4B1C" w:rsidR="0060442C" w:rsidRPr="00735726" w:rsidRDefault="0060442C" w:rsidP="001925D9">
      <w:pPr>
        <w:spacing w:after="160"/>
        <w:rPr>
          <w:rFonts w:ascii="Arial" w:hAnsi="Arial" w:cs="Arial"/>
          <w:sz w:val="18"/>
          <w:szCs w:val="18"/>
        </w:rPr>
      </w:pPr>
      <w:r w:rsidRPr="00735726">
        <w:rPr>
          <w:rFonts w:ascii="Arial" w:hAnsi="Arial" w:cs="Arial"/>
          <w:sz w:val="18"/>
          <w:szCs w:val="18"/>
        </w:rPr>
        <w:t xml:space="preserve">In addition, as our parent </w:t>
      </w:r>
      <w:r w:rsidR="003B36A4" w:rsidRPr="00735726">
        <w:rPr>
          <w:rFonts w:ascii="Arial" w:hAnsi="Arial" w:cs="Arial"/>
          <w:sz w:val="18"/>
          <w:szCs w:val="18"/>
        </w:rPr>
        <w:t>C</w:t>
      </w:r>
      <w:r w:rsidRPr="00735726">
        <w:rPr>
          <w:rFonts w:ascii="Arial" w:hAnsi="Arial" w:cs="Arial"/>
          <w:sz w:val="18"/>
          <w:szCs w:val="18"/>
        </w:rPr>
        <w:t>omp</w:t>
      </w:r>
      <w:r w:rsidR="001925D9" w:rsidRPr="00735726">
        <w:rPr>
          <w:rFonts w:ascii="Arial" w:hAnsi="Arial" w:cs="Arial"/>
          <w:sz w:val="18"/>
          <w:szCs w:val="18"/>
        </w:rPr>
        <w:t xml:space="preserve">any, Pennon </w:t>
      </w:r>
      <w:r w:rsidR="007A2A6A" w:rsidRPr="00735726">
        <w:rPr>
          <w:rFonts w:ascii="Arial" w:hAnsi="Arial" w:cs="Arial"/>
          <w:sz w:val="18"/>
          <w:szCs w:val="18"/>
        </w:rPr>
        <w:t xml:space="preserve">Group plc </w:t>
      </w:r>
      <w:r w:rsidR="001925D9" w:rsidRPr="00735726">
        <w:rPr>
          <w:rFonts w:ascii="Arial" w:hAnsi="Arial" w:cs="Arial"/>
          <w:sz w:val="18"/>
          <w:szCs w:val="18"/>
        </w:rPr>
        <w:t>is a</w:t>
      </w:r>
      <w:r w:rsidRPr="00735726">
        <w:rPr>
          <w:rFonts w:ascii="Arial" w:hAnsi="Arial" w:cs="Arial"/>
          <w:sz w:val="18"/>
          <w:szCs w:val="18"/>
        </w:rPr>
        <w:t xml:space="preserve"> FTSE listed business, we also work with organisations such as the Confederation of British Industry, Chambers of Commerce and regional business groups to ensure the voice of business is represented in national policy debates, particularly on growth, infrastructure, skills, and the role of regulated utilities in supporting regional economies.</w:t>
      </w:r>
    </w:p>
    <w:p w14:paraId="7DD36C58" w14:textId="77777777" w:rsidR="00E00466" w:rsidRPr="00735726" w:rsidRDefault="001925D9" w:rsidP="00E00466">
      <w:pPr>
        <w:spacing w:after="160" w:line="259" w:lineRule="auto"/>
        <w:rPr>
          <w:rFonts w:ascii="Arial" w:hAnsi="Arial" w:cs="Arial"/>
          <w:sz w:val="18"/>
          <w:szCs w:val="18"/>
        </w:rPr>
      </w:pPr>
      <w:r w:rsidRPr="00735726">
        <w:rPr>
          <w:i/>
          <w:iCs/>
        </w:rPr>
        <w:t xml:space="preserve">HOW WE ENGAGE </w:t>
      </w:r>
      <w:r w:rsidR="003A5984" w:rsidRPr="00735726">
        <w:rPr>
          <w:i/>
          <w:iCs/>
        </w:rPr>
        <w:br/>
      </w:r>
      <w:r w:rsidR="00E00466" w:rsidRPr="00735726">
        <w:rPr>
          <w:rFonts w:ascii="Arial" w:hAnsi="Arial" w:cs="Arial"/>
          <w:sz w:val="18"/>
          <w:szCs w:val="18"/>
        </w:rPr>
        <w:t xml:space="preserve">We maintain regular dialogue with Defra and respond to government consultations on resilience, affordability, environmental improvement and the investment needed to deliver the ambitions set out in the Government’s White Paper. We continue to provide evidence to Select Committees, participate in cross-party roundtables and support All Party Parliamentary Groups to ensure the practical realities of delivering essential water and wastewater services are fully understood. </w:t>
      </w:r>
    </w:p>
    <w:p w14:paraId="22B6E783" w14:textId="2F2CF3CD" w:rsidR="00E00466" w:rsidRPr="00735726" w:rsidRDefault="00E00466" w:rsidP="00E00466">
      <w:pPr>
        <w:spacing w:after="160" w:line="259" w:lineRule="auto"/>
        <w:rPr>
          <w:rFonts w:ascii="Arial" w:hAnsi="Arial" w:cs="Arial"/>
          <w:sz w:val="18"/>
          <w:szCs w:val="18"/>
        </w:rPr>
      </w:pPr>
      <w:r w:rsidRPr="00735726">
        <w:rPr>
          <w:rFonts w:ascii="Arial" w:hAnsi="Arial" w:cs="Arial"/>
          <w:sz w:val="18"/>
          <w:szCs w:val="18"/>
        </w:rPr>
        <w:t>We work closely with local authorities and MPs across our regions. Our engagement includes regular meetings, site visits and constituency-based discussions, giving representatives direct insight into our operations, the challenges we face and the progress we are making. These interactions help ensure local priorities are clearly reflected in national debates and regulatory decisions.</w:t>
      </w:r>
    </w:p>
    <w:p w14:paraId="1411371D" w14:textId="7B477059" w:rsidR="003A5984" w:rsidRPr="00735726" w:rsidRDefault="00E00466" w:rsidP="00E00466">
      <w:pPr>
        <w:spacing w:after="160" w:line="259" w:lineRule="auto"/>
        <w:rPr>
          <w:rFonts w:ascii="Arial" w:hAnsi="Arial" w:cs="Arial"/>
          <w:sz w:val="18"/>
          <w:szCs w:val="18"/>
        </w:rPr>
      </w:pPr>
      <w:r w:rsidRPr="00735726">
        <w:rPr>
          <w:rFonts w:ascii="Arial" w:hAnsi="Arial" w:cs="Arial"/>
          <w:sz w:val="18"/>
          <w:szCs w:val="18"/>
        </w:rPr>
        <w:t xml:space="preserve">As our parent </w:t>
      </w:r>
      <w:r w:rsidR="003B36A4" w:rsidRPr="00735726">
        <w:rPr>
          <w:rFonts w:ascii="Arial" w:hAnsi="Arial" w:cs="Arial"/>
          <w:sz w:val="18"/>
          <w:szCs w:val="18"/>
        </w:rPr>
        <w:t>C</w:t>
      </w:r>
      <w:r w:rsidRPr="00735726">
        <w:rPr>
          <w:rFonts w:ascii="Arial" w:hAnsi="Arial" w:cs="Arial"/>
          <w:sz w:val="18"/>
          <w:szCs w:val="18"/>
        </w:rPr>
        <w:t>ompany, Pennon is a FTSE listed business, we also work with national and regional business organisations to ensure the voice of business is represented in wider debates on growth, skills and infrastructure.</w:t>
      </w:r>
    </w:p>
    <w:p w14:paraId="56140209" w14:textId="5DBE2D5E" w:rsidR="003A5984" w:rsidRPr="00735726" w:rsidRDefault="003A5984" w:rsidP="001B4215">
      <w:pPr>
        <w:spacing w:after="160"/>
        <w:rPr>
          <w:rFonts w:ascii="Arial" w:hAnsi="Arial" w:cs="Arial"/>
          <w:sz w:val="18"/>
          <w:szCs w:val="18"/>
        </w:rPr>
      </w:pPr>
      <w:r w:rsidRPr="00735726">
        <w:rPr>
          <w:i/>
          <w:iCs/>
        </w:rPr>
        <w:t xml:space="preserve">KEY CHALLENGES AND HOW WE ARE RESPONDING </w:t>
      </w:r>
      <w:r w:rsidRPr="00735726">
        <w:rPr>
          <w:i/>
          <w:iCs/>
        </w:rPr>
        <w:br/>
      </w:r>
      <w:r w:rsidRPr="00735726">
        <w:rPr>
          <w:rFonts w:ascii="Arial" w:hAnsi="Arial" w:cs="Arial"/>
          <w:sz w:val="18"/>
          <w:szCs w:val="18"/>
        </w:rPr>
        <w:t>Policy makers continue to take a close interest in how we are improving performance, strengthening resilience and delivering major investment. There is sustained scrutiny of customer bills, environmental outcomes, the pace of infrastructure upgrades and how we are responding to extreme weather and ageing assets. Policy makers expect clear evidence of progress, transparent communication and visible improvements.</w:t>
      </w:r>
    </w:p>
    <w:p w14:paraId="39D3A523" w14:textId="06F45341" w:rsidR="003A5984" w:rsidRPr="00735726" w:rsidRDefault="003A5984" w:rsidP="001B4215">
      <w:pPr>
        <w:spacing w:after="160"/>
        <w:rPr>
          <w:rFonts w:ascii="Arial" w:hAnsi="Arial" w:cs="Arial"/>
          <w:sz w:val="18"/>
          <w:szCs w:val="18"/>
        </w:rPr>
      </w:pPr>
      <w:r w:rsidRPr="00735726">
        <w:rPr>
          <w:rFonts w:ascii="Arial" w:hAnsi="Arial" w:cs="Arial"/>
          <w:sz w:val="18"/>
          <w:szCs w:val="18"/>
        </w:rPr>
        <w:t>Locally, we continue to build strong, constructive relationships with MPs and councillors across our regions, helping them understand our operational challenges, long-term plans and the benefits of the investment we are delivering. We respond promptly to enquiries, providing clear information to support their casework and constituent communications. We facilitate site visits so representatives can see our work first hand, including upgrades to treatment works, storm overflow improvements and drinking water resilience schemes.</w:t>
      </w:r>
      <w:r w:rsidR="00A003D3" w:rsidRPr="00735726">
        <w:rPr>
          <w:rFonts w:ascii="Arial" w:hAnsi="Arial" w:cs="Arial"/>
          <w:sz w:val="18"/>
          <w:szCs w:val="18"/>
        </w:rPr>
        <w:t xml:space="preserve"> </w:t>
      </w:r>
      <w:r w:rsidRPr="00735726">
        <w:rPr>
          <w:rFonts w:ascii="Arial" w:hAnsi="Arial" w:cs="Arial"/>
          <w:sz w:val="18"/>
          <w:szCs w:val="18"/>
        </w:rPr>
        <w:t>Local policy makers are regularly invited to our customer roadshow events, where we explain the work underway in their area and listen to local priorities.</w:t>
      </w:r>
    </w:p>
    <w:p w14:paraId="725500A8" w14:textId="2F739D8B" w:rsidR="003A5984" w:rsidRPr="00735726" w:rsidRDefault="003A5984" w:rsidP="001B4215">
      <w:pPr>
        <w:spacing w:after="160"/>
        <w:rPr>
          <w:rFonts w:ascii="Arial" w:hAnsi="Arial" w:cs="Arial"/>
          <w:sz w:val="18"/>
          <w:szCs w:val="18"/>
        </w:rPr>
      </w:pPr>
      <w:r w:rsidRPr="00735726">
        <w:rPr>
          <w:i/>
          <w:iCs/>
        </w:rPr>
        <w:t>OUTCOMES, ACHIEVEMENTS AND ACTIONS</w:t>
      </w:r>
      <w:r w:rsidRPr="00735726">
        <w:rPr>
          <w:i/>
          <w:iCs/>
        </w:rPr>
        <w:br/>
      </w:r>
      <w:r w:rsidRPr="00735726">
        <w:rPr>
          <w:rFonts w:ascii="Arial" w:hAnsi="Arial" w:cs="Arial"/>
          <w:sz w:val="18"/>
          <w:szCs w:val="18"/>
        </w:rPr>
        <w:t xml:space="preserve">We have deepened our engagement with MPs and local leaders, supporting day-to-day enquiries and providing tailored briefings on the water cycle, environmental performance and our investment programme and delivery </w:t>
      </w:r>
      <w:r w:rsidRPr="00735726">
        <w:rPr>
          <w:rFonts w:ascii="Arial" w:hAnsi="Arial" w:cs="Arial"/>
          <w:sz w:val="18"/>
          <w:szCs w:val="18"/>
        </w:rPr>
        <w:lastRenderedPageBreak/>
        <w:t>progress. We continue to hold one-to-one meetings with MPs both in Westminster and through hosted constituency-based site visits.</w:t>
      </w:r>
    </w:p>
    <w:p w14:paraId="694A7FF4" w14:textId="62001FD8" w:rsidR="0060442C" w:rsidRPr="009A2CAE" w:rsidRDefault="003A5984" w:rsidP="001B4215">
      <w:pPr>
        <w:spacing w:after="160"/>
        <w:rPr>
          <w:rFonts w:ascii="Arial" w:hAnsi="Arial" w:cs="Arial"/>
          <w:sz w:val="18"/>
          <w:szCs w:val="18"/>
        </w:rPr>
      </w:pPr>
      <w:r w:rsidRPr="00735726">
        <w:rPr>
          <w:rFonts w:ascii="Arial" w:hAnsi="Arial" w:cs="Arial"/>
          <w:sz w:val="18"/>
          <w:szCs w:val="18"/>
        </w:rPr>
        <w:t xml:space="preserve">This engagement has strengthened relationships, improved understanding of the scale and purpose of our investment, and supported MPs in communicating clearly with their constituents. It has also helped build confidence in our long-term plans, reinforced the importance of resilience and environmental improvement, and contributed to a more informed narrative around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role in delivering essential services for the region.</w:t>
      </w:r>
      <w:r w:rsidR="0060442C" w:rsidRPr="009A2CAE">
        <w:rPr>
          <w:rFonts w:ascii="Arial" w:hAnsi="Arial" w:cs="Arial"/>
          <w:sz w:val="18"/>
          <w:szCs w:val="18"/>
        </w:rPr>
        <w:br w:type="page"/>
      </w:r>
    </w:p>
    <w:p w14:paraId="03844409" w14:textId="77777777" w:rsidR="00416667" w:rsidRPr="00735726" w:rsidRDefault="001B4215" w:rsidP="00222E9F">
      <w:pPr>
        <w:spacing w:after="160"/>
        <w:rPr>
          <w:rFonts w:ascii="Arial" w:hAnsi="Arial" w:cs="Arial"/>
          <w:sz w:val="32"/>
          <w:szCs w:val="32"/>
        </w:rPr>
      </w:pPr>
      <w:r w:rsidRPr="00735726">
        <w:rPr>
          <w:rFonts w:ascii="Arial" w:hAnsi="Arial" w:cs="Arial"/>
          <w:sz w:val="32"/>
          <w:szCs w:val="32"/>
        </w:rPr>
        <w:lastRenderedPageBreak/>
        <w:t>OUR DELIVERY FRAMEWORK</w:t>
      </w:r>
    </w:p>
    <w:p w14:paraId="5A55470D" w14:textId="77777777" w:rsidR="00416667" w:rsidRPr="00735726" w:rsidRDefault="00416667" w:rsidP="00222E9F">
      <w:pPr>
        <w:spacing w:after="160"/>
        <w:rPr>
          <w:rFonts w:ascii="Arial" w:hAnsi="Arial" w:cs="Arial"/>
          <w:sz w:val="18"/>
          <w:szCs w:val="18"/>
        </w:rPr>
      </w:pPr>
      <w:r w:rsidRPr="00735726">
        <w:rPr>
          <w:rFonts w:ascii="Arial" w:hAnsi="Arial" w:cs="Arial"/>
          <w:sz w:val="18"/>
          <w:szCs w:val="18"/>
        </w:rPr>
        <w:t>Our four strategic priorities underpin and define everything we do.</w:t>
      </w:r>
    </w:p>
    <w:p w14:paraId="7AD21290" w14:textId="77777777" w:rsidR="00416667" w:rsidRPr="00735726" w:rsidRDefault="00416667" w:rsidP="00222E9F">
      <w:pPr>
        <w:spacing w:after="160"/>
        <w:rPr>
          <w:rFonts w:ascii="Arial" w:hAnsi="Arial" w:cs="Arial"/>
          <w:sz w:val="18"/>
          <w:szCs w:val="18"/>
        </w:rPr>
      </w:pPr>
      <w:r w:rsidRPr="00735726">
        <w:rPr>
          <w:rFonts w:ascii="Arial" w:hAnsi="Arial" w:cs="Arial"/>
          <w:sz w:val="18"/>
          <w:szCs w:val="18"/>
        </w:rPr>
        <w:t>Based on customer priorities, we have structured our delivery plans to 2030 to focus on what matters most, ensuring we are well positioned for long-term success. Our water business is now aligned to these priorities, enabling us to deliver for the environment, meet customer expectations, and fulfil our purpose and vision.</w:t>
      </w:r>
    </w:p>
    <w:p w14:paraId="6A3C8AAA" w14:textId="77777777" w:rsidR="00222E9F" w:rsidRPr="00735726" w:rsidRDefault="00416667" w:rsidP="00222E9F">
      <w:pPr>
        <w:spacing w:after="160"/>
        <w:rPr>
          <w:rFonts w:ascii="Arial" w:hAnsi="Arial" w:cs="Arial"/>
          <w:sz w:val="32"/>
          <w:szCs w:val="32"/>
        </w:rPr>
      </w:pPr>
      <w:r w:rsidRPr="00735726">
        <w:rPr>
          <w:rFonts w:ascii="Arial" w:hAnsi="Arial" w:cs="Arial"/>
          <w:sz w:val="32"/>
          <w:szCs w:val="32"/>
        </w:rPr>
        <w:t>BUILDING WATER RESOURCES, IMPROVING WATER QUALITY</w:t>
      </w:r>
    </w:p>
    <w:p w14:paraId="7185E621" w14:textId="77777777" w:rsidR="00222E9F" w:rsidRPr="00735726" w:rsidRDefault="00222E9F" w:rsidP="00222E9F">
      <w:pPr>
        <w:spacing w:after="160"/>
        <w:rPr>
          <w:rFonts w:ascii="Arial" w:hAnsi="Arial" w:cs="Arial"/>
          <w:sz w:val="18"/>
          <w:szCs w:val="18"/>
        </w:rPr>
      </w:pPr>
      <w:r w:rsidRPr="00735726">
        <w:rPr>
          <w:rFonts w:ascii="Arial" w:hAnsi="Arial" w:cs="Arial"/>
          <w:sz w:val="18"/>
          <w:szCs w:val="18"/>
        </w:rPr>
        <w:t>Our purpose is rooted in the sustainable stewardship of water, a resource vital to communities and ecosystems, now and for generations to come. We operate across the South of England and the Isles of Scilly, and in areas that range from densely populated cities to rural and coastal villages.</w:t>
      </w:r>
    </w:p>
    <w:p w14:paraId="68C77A70" w14:textId="17E95E76" w:rsidR="00222E9F" w:rsidRPr="00735726" w:rsidRDefault="00222E9F" w:rsidP="00222E9F">
      <w:pPr>
        <w:spacing w:after="160"/>
        <w:rPr>
          <w:rFonts w:ascii="Arial" w:hAnsi="Arial" w:cs="Arial"/>
          <w:sz w:val="18"/>
          <w:szCs w:val="18"/>
        </w:rPr>
      </w:pPr>
      <w:r w:rsidRPr="00735726">
        <w:rPr>
          <w:rFonts w:ascii="Arial" w:hAnsi="Arial" w:cs="Arial"/>
          <w:sz w:val="18"/>
          <w:szCs w:val="18"/>
        </w:rPr>
        <w:t xml:space="preserve">We know that customers rate the reliable provision of clean, safe drinking water as their number one priority. We continually strive to improve both our resilience and our water quality across all our areas; our plans aim to maintain our strong water quality record by upgrading water treatment works and replacing old lead pipes in customers’ homes; we are strengthening resilience by renewing old water mains and targeting leakage; and we are supporting customers to be water efficient </w:t>
      </w:r>
      <w:r w:rsidR="006C1BA9" w:rsidRPr="00735726">
        <w:rPr>
          <w:rFonts w:ascii="Arial" w:hAnsi="Arial" w:cs="Arial"/>
          <w:sz w:val="18"/>
          <w:szCs w:val="18"/>
        </w:rPr>
        <w:t xml:space="preserve">- </w:t>
      </w:r>
      <w:r w:rsidRPr="00735726">
        <w:rPr>
          <w:rFonts w:ascii="Arial" w:hAnsi="Arial" w:cs="Arial"/>
          <w:sz w:val="18"/>
          <w:szCs w:val="18"/>
        </w:rPr>
        <w:t xml:space="preserve">using only the water they need </w:t>
      </w:r>
      <w:r w:rsidR="006C1BA9" w:rsidRPr="00735726">
        <w:rPr>
          <w:rFonts w:ascii="Arial" w:hAnsi="Arial" w:cs="Arial"/>
          <w:sz w:val="18"/>
          <w:szCs w:val="18"/>
        </w:rPr>
        <w:t xml:space="preserve">- </w:t>
      </w:r>
      <w:r w:rsidRPr="00735726">
        <w:rPr>
          <w:rFonts w:ascii="Arial" w:hAnsi="Arial" w:cs="Arial"/>
          <w:sz w:val="18"/>
          <w:szCs w:val="18"/>
        </w:rPr>
        <w:t>through smart meters and water efficiency measures.</w:t>
      </w:r>
    </w:p>
    <w:p w14:paraId="01FED277" w14:textId="7FF0ACE4" w:rsidR="00222E9F" w:rsidRPr="00735726" w:rsidRDefault="00222E9F" w:rsidP="00222E9F">
      <w:pPr>
        <w:spacing w:after="160"/>
        <w:rPr>
          <w:rFonts w:ascii="Arial" w:hAnsi="Arial" w:cs="Arial"/>
          <w:sz w:val="18"/>
          <w:szCs w:val="18"/>
        </w:rPr>
      </w:pPr>
      <w:r w:rsidRPr="00735726">
        <w:rPr>
          <w:rFonts w:ascii="Arial" w:hAnsi="Arial" w:cs="Arial"/>
          <w:sz w:val="18"/>
          <w:szCs w:val="18"/>
        </w:rPr>
        <w:t>The 2025/26 year has demonstrated the challenges that climate change will bring; a dry spring was followed by an intensely hot August, driving high demand for water, whilst freeze-thaw conditions followed by extensive and intense rainfall over the winter increased operational challenges later in the year. We are focused on delivering our capital investment programme to ensure we improve and enhance our water infrastructure, whilst taking action to drive continuous improvements in the ways we work and services we provide.</w:t>
      </w:r>
    </w:p>
    <w:p w14:paraId="68DAE412" w14:textId="77777777" w:rsidR="00222E9F" w:rsidRPr="00735726" w:rsidRDefault="00222E9F" w:rsidP="00222E9F">
      <w:pPr>
        <w:spacing w:after="160"/>
        <w:rPr>
          <w:rFonts w:ascii="Arial" w:hAnsi="Arial" w:cs="Arial"/>
          <w:sz w:val="18"/>
          <w:szCs w:val="18"/>
        </w:rPr>
      </w:pPr>
      <w:r w:rsidRPr="00735726">
        <w:rPr>
          <w:rFonts w:ascii="Arial" w:hAnsi="Arial" w:cs="Arial"/>
          <w:sz w:val="18"/>
          <w:szCs w:val="18"/>
        </w:rPr>
        <w:t>Actions taken early to ensure refill of our reservoirs from August to the end of year have resulted in a strong water resources position as we head into the new financial year, supported by above average rainfall in the latter months of the year.</w:t>
      </w:r>
    </w:p>
    <w:p w14:paraId="72FC07CE" w14:textId="1DC216DD" w:rsidR="00222E9F" w:rsidRPr="009A2CAE" w:rsidRDefault="00222E9F" w:rsidP="00222E9F">
      <w:pPr>
        <w:spacing w:after="160"/>
        <w:rPr>
          <w:rFonts w:ascii="Arial" w:hAnsi="Arial" w:cs="Arial"/>
          <w:sz w:val="18"/>
          <w:szCs w:val="18"/>
        </w:rPr>
      </w:pPr>
      <w:r w:rsidRPr="00735726">
        <w:rPr>
          <w:rFonts w:ascii="Arial" w:hAnsi="Arial" w:cs="Arial"/>
          <w:b/>
          <w:bCs/>
          <w:sz w:val="18"/>
          <w:szCs w:val="18"/>
        </w:rPr>
        <w:t>DELIVERING RESILIENT, HIGH-QUALITY WATER SERVICES ACROSS OUR REGIONS</w:t>
      </w:r>
      <w:r w:rsidR="00D62E2B" w:rsidRPr="00735726">
        <w:rPr>
          <w:rFonts w:ascii="Arial" w:hAnsi="Arial" w:cs="Arial"/>
          <w:sz w:val="18"/>
          <w:szCs w:val="18"/>
        </w:rPr>
        <w:br/>
      </w:r>
      <w:r w:rsidRPr="00735726">
        <w:rPr>
          <w:rFonts w:ascii="Arial" w:hAnsi="Arial" w:cs="Arial"/>
          <w:sz w:val="18"/>
          <w:szCs w:val="18"/>
        </w:rPr>
        <w:t xml:space="preserve">We supply around </w:t>
      </w:r>
      <w:r w:rsidR="00591C12" w:rsidRPr="00735726">
        <w:rPr>
          <w:rFonts w:ascii="Arial" w:hAnsi="Arial" w:cs="Arial"/>
          <w:sz w:val="18"/>
          <w:szCs w:val="18"/>
        </w:rPr>
        <w:t>3.6</w:t>
      </w:r>
      <w:r w:rsidRPr="00735726">
        <w:rPr>
          <w:rFonts w:ascii="Arial" w:hAnsi="Arial" w:cs="Arial"/>
          <w:sz w:val="18"/>
          <w:szCs w:val="18"/>
        </w:rPr>
        <w:t xml:space="preserve"> million customers across all regions. With hot weather comes higher demand for water, and the investment we made following the 2022 drought has seen benefit in the current year, with all our regions, Devon, Cornwall, Isles of Scilly, Bristol and Bournemouth, operating without temporary use or ‘hosepipe’ bans despite the high demand in the hot summer period. This achievement underscores our commitment to resilience and reliability, doing the right thing for our assets to maintain their health and strengthen our performance.</w:t>
      </w:r>
    </w:p>
    <w:p w14:paraId="55DF64AF" w14:textId="420F71F9" w:rsidR="00222E9F" w:rsidRPr="00735726" w:rsidRDefault="00222E9F" w:rsidP="00222E9F">
      <w:pPr>
        <w:spacing w:after="160"/>
        <w:rPr>
          <w:rFonts w:ascii="Arial" w:hAnsi="Arial" w:cs="Arial"/>
          <w:sz w:val="18"/>
          <w:szCs w:val="18"/>
        </w:rPr>
      </w:pPr>
      <w:r w:rsidRPr="00735726">
        <w:rPr>
          <w:rFonts w:ascii="Arial" w:hAnsi="Arial" w:cs="Arial"/>
          <w:sz w:val="18"/>
          <w:szCs w:val="18"/>
        </w:rPr>
        <w:t xml:space="preserve">2025/26 presented challenges across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in particular, </w:t>
      </w:r>
      <w:proofErr w:type="gramStart"/>
      <w:r w:rsidRPr="00735726">
        <w:rPr>
          <w:rFonts w:ascii="Arial" w:hAnsi="Arial" w:cs="Arial"/>
          <w:sz w:val="18"/>
          <w:szCs w:val="18"/>
        </w:rPr>
        <w:t>as a result of</w:t>
      </w:r>
      <w:proofErr w:type="gramEnd"/>
      <w:r w:rsidRPr="00735726">
        <w:rPr>
          <w:rFonts w:ascii="Arial" w:hAnsi="Arial" w:cs="Arial"/>
          <w:sz w:val="18"/>
          <w:szCs w:val="18"/>
        </w:rPr>
        <w:t xml:space="preserve"> the variable weather conditions and high number of named storms. Notwithstanding the challenges, we maintained resilient water supplies to our customers, with over 75% of operational incidents having no impact on customers and our water quality performance remaining industry-leading for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w:t>
      </w:r>
    </w:p>
    <w:p w14:paraId="2519A99E" w14:textId="68AE6E34" w:rsidR="00222E9F" w:rsidRPr="009A2CAE" w:rsidRDefault="00222E9F" w:rsidP="00222E9F">
      <w:pPr>
        <w:spacing w:after="160"/>
        <w:rPr>
          <w:rFonts w:ascii="Arial" w:hAnsi="Arial" w:cs="Arial"/>
          <w:sz w:val="18"/>
          <w:szCs w:val="18"/>
        </w:rPr>
      </w:pPr>
      <w:r w:rsidRPr="00735726">
        <w:rPr>
          <w:rFonts w:ascii="Arial" w:hAnsi="Arial" w:cs="Arial"/>
          <w:sz w:val="18"/>
          <w:szCs w:val="18"/>
        </w:rPr>
        <w:t xml:space="preserve">However, there remains more to do in other areas, as we recognise the impact on customers of incidents when they do cause supply interruptions, and that we have not met our targets in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key measures. Targeted capital investment in water services totalling</w:t>
      </w:r>
      <w:r w:rsidR="00DF69C0" w:rsidRPr="00735726">
        <w:rPr>
          <w:rFonts w:ascii="Arial" w:hAnsi="Arial" w:cs="Arial"/>
          <w:sz w:val="18"/>
          <w:szCs w:val="18"/>
        </w:rPr>
        <w:t xml:space="preserve"> </w:t>
      </w:r>
      <w:r w:rsidRPr="00735726">
        <w:rPr>
          <w:rFonts w:ascii="Arial" w:hAnsi="Arial" w:cs="Arial"/>
          <w:sz w:val="18"/>
          <w:szCs w:val="18"/>
        </w:rPr>
        <w:t>£3</w:t>
      </w:r>
      <w:r w:rsidR="00DF69C0" w:rsidRPr="00735726">
        <w:rPr>
          <w:rFonts w:ascii="Arial" w:hAnsi="Arial" w:cs="Arial"/>
          <w:sz w:val="18"/>
          <w:szCs w:val="18"/>
        </w:rPr>
        <w:t>16.1</w:t>
      </w:r>
      <w:r w:rsidRPr="00735726">
        <w:rPr>
          <w:rFonts w:ascii="Arial" w:hAnsi="Arial" w:cs="Arial"/>
          <w:sz w:val="18"/>
          <w:szCs w:val="18"/>
        </w:rPr>
        <w:t xml:space="preserve"> million in 2025/26, alongside disciplined asset management and ongoing focus on continuous improvement and learning the lessons of any operational incidents, will enable us to meet these challenges head-on.</w:t>
      </w:r>
    </w:p>
    <w:p w14:paraId="7B5FEA50" w14:textId="760E6E14" w:rsidR="00D01922" w:rsidRPr="00735726" w:rsidRDefault="00222E9F" w:rsidP="00222E9F">
      <w:pPr>
        <w:spacing w:after="160"/>
        <w:rPr>
          <w:rFonts w:ascii="Arial" w:hAnsi="Arial" w:cs="Arial"/>
          <w:sz w:val="18"/>
          <w:szCs w:val="18"/>
        </w:rPr>
      </w:pPr>
      <w:r w:rsidRPr="00735726">
        <w:rPr>
          <w:rFonts w:ascii="Arial" w:hAnsi="Arial" w:cs="Arial"/>
          <w:sz w:val="18"/>
          <w:szCs w:val="18"/>
        </w:rPr>
        <w:t>Our strategic investments, especially those made in response to the 2022 drought, have been instrumental in strengthening operational resilience and supporting sustainable service delivery. Where performance did not meet targets, we have a clear understanding of the underlying drivers and have initiated actions to restore long-term delivery.</w:t>
      </w:r>
    </w:p>
    <w:p w14:paraId="32D6C001" w14:textId="664F2C4E" w:rsidR="0049053C" w:rsidRPr="00735726" w:rsidRDefault="0049053C" w:rsidP="0049053C">
      <w:pPr>
        <w:spacing w:after="160"/>
        <w:rPr>
          <w:rFonts w:ascii="Arial" w:hAnsi="Arial" w:cs="Arial"/>
          <w:sz w:val="18"/>
          <w:szCs w:val="18"/>
        </w:rPr>
      </w:pPr>
      <w:r w:rsidRPr="00735726">
        <w:rPr>
          <w:rFonts w:ascii="Arial" w:hAnsi="Arial" w:cs="Arial"/>
          <w:b/>
          <w:bCs/>
          <w:sz w:val="18"/>
          <w:szCs w:val="18"/>
        </w:rPr>
        <w:t>WATER QUALITY AND RESILIENCE: PROACTIVE IMPROVEMENTS AND INNOVATION</w:t>
      </w:r>
      <w:r w:rsidRPr="00735726">
        <w:rPr>
          <w:rFonts w:ascii="Arial" w:hAnsi="Arial" w:cs="Arial"/>
          <w:b/>
          <w:bCs/>
          <w:sz w:val="18"/>
          <w:szCs w:val="18"/>
        </w:rPr>
        <w:br/>
      </w:r>
      <w:r w:rsidRPr="00735726">
        <w:rPr>
          <w:rFonts w:ascii="Arial" w:hAnsi="Arial" w:cs="Arial"/>
          <w:sz w:val="18"/>
          <w:szCs w:val="18"/>
        </w:rPr>
        <w:t xml:space="preserve">Providing safe and reliable drinking water remains our highest priority, serving approximately </w:t>
      </w:r>
      <w:r w:rsidR="008C59B2" w:rsidRPr="00735726">
        <w:rPr>
          <w:rFonts w:ascii="Arial" w:hAnsi="Arial" w:cs="Arial"/>
          <w:sz w:val="18"/>
          <w:szCs w:val="18"/>
        </w:rPr>
        <w:t>3.6</w:t>
      </w:r>
      <w:r w:rsidRPr="00735726">
        <w:rPr>
          <w:rFonts w:ascii="Arial" w:hAnsi="Arial" w:cs="Arial"/>
          <w:sz w:val="18"/>
          <w:szCs w:val="18"/>
        </w:rPr>
        <w:t xml:space="preserve"> million customers across our region. Our water quality performance continues to improve year-on-year, as reflected in our water sampling results, which demonstrate improved outcomes year-on-year, a testament to our Quality First </w:t>
      </w:r>
      <w:r w:rsidRPr="00735726">
        <w:rPr>
          <w:rFonts w:ascii="Arial" w:hAnsi="Arial" w:cs="Arial"/>
          <w:sz w:val="18"/>
          <w:szCs w:val="18"/>
        </w:rPr>
        <w:lastRenderedPageBreak/>
        <w:t xml:space="preserve">approach which integrates preventative maintenance, proactive cleaning, and real-time monitoring, allowing for early detection and resolution of issues and reducing repeat failures. </w:t>
      </w:r>
    </w:p>
    <w:p w14:paraId="2891933F" w14:textId="087BBA2A" w:rsidR="0049053C" w:rsidRPr="00735726" w:rsidRDefault="0049053C" w:rsidP="0049053C">
      <w:pPr>
        <w:spacing w:after="160"/>
        <w:rPr>
          <w:rFonts w:ascii="Arial" w:hAnsi="Arial" w:cs="Arial"/>
          <w:sz w:val="18"/>
          <w:szCs w:val="18"/>
        </w:rPr>
      </w:pPr>
      <w:r w:rsidRPr="00735726">
        <w:rPr>
          <w:rFonts w:ascii="Arial" w:hAnsi="Arial" w:cs="Arial"/>
          <w:sz w:val="18"/>
          <w:szCs w:val="18"/>
        </w:rPr>
        <w:t xml:space="preserve">The Drinking Water Inspectorate measures water quality through its Compliance Risk Index (CRI).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(including Bournemouth Water, ‘SWB’) maintained a top-quartile CRI of 1.3</w:t>
      </w:r>
      <w:r w:rsidR="00A003D3" w:rsidRPr="00735726">
        <w:rPr>
          <w:rFonts w:ascii="Arial" w:hAnsi="Arial" w:cs="Arial"/>
          <w:sz w:val="18"/>
          <w:szCs w:val="18"/>
        </w:rPr>
        <w:t>7</w:t>
      </w:r>
      <w:r w:rsidRPr="00735726">
        <w:rPr>
          <w:rFonts w:ascii="Arial" w:hAnsi="Arial" w:cs="Arial"/>
          <w:sz w:val="18"/>
          <w:szCs w:val="18"/>
        </w:rPr>
        <w:t>, reflecting our long-term investments to improve water quality and ongoing operational improvements with respect to tank inspections and maintenance. Bristol Water (BRL) saw a deterioration with a CRI of 3.95, due to an isolated sample failure (equating to a score of 2.93) that were swiftly addressed through daily monitoring and thorough investigation. To further strengthen compliance, we launched a comprehensive treatment process risk review programme in Bristol, targeting sustainable improvements and reducing testing failures at our treatment works.</w:t>
      </w:r>
    </w:p>
    <w:p w14:paraId="01119440" w14:textId="10E86701" w:rsidR="0049053C" w:rsidRPr="00735726" w:rsidRDefault="007D3E6C" w:rsidP="0049053C">
      <w:pPr>
        <w:spacing w:after="160"/>
        <w:rPr>
          <w:rFonts w:ascii="Arial" w:hAnsi="Arial" w:cs="Arial"/>
          <w:sz w:val="18"/>
          <w:szCs w:val="18"/>
        </w:rPr>
      </w:pPr>
      <w:r w:rsidRPr="00735726">
        <w:rPr>
          <w:rFonts w:ascii="Arial" w:hAnsi="Arial" w:cs="Arial"/>
          <w:i/>
          <w:iCs/>
          <w:sz w:val="18"/>
          <w:szCs w:val="18"/>
        </w:rPr>
        <w:t>STRATEGIC INVESTMENT IN WATER TREATMENT WORKS</w:t>
      </w:r>
      <w:r w:rsidRPr="00735726">
        <w:rPr>
          <w:rFonts w:ascii="Arial" w:hAnsi="Arial" w:cs="Arial"/>
          <w:i/>
          <w:iCs/>
          <w:sz w:val="18"/>
          <w:szCs w:val="18"/>
        </w:rPr>
        <w:br/>
      </w:r>
      <w:r w:rsidR="0049053C" w:rsidRPr="00735726">
        <w:rPr>
          <w:rFonts w:ascii="Arial" w:hAnsi="Arial" w:cs="Arial"/>
          <w:sz w:val="18"/>
          <w:szCs w:val="18"/>
        </w:rPr>
        <w:t>We continued to build and upgrade our water treatment infrastructure, ensuring future resilience and quality. Construction at Alderney water treatment works in Bournemouth was completed in the year and with commissioning imminent, our upgraded works are set to supply high-quality water to over 250,000 customers. We are also upgrading the Knapp Mill water treatment works, which is progressing as planned, with commissioning scheduled for the next financial year.</w:t>
      </w:r>
    </w:p>
    <w:p w14:paraId="0CF8E21B" w14:textId="77777777" w:rsidR="007D3E6C" w:rsidRPr="00735726" w:rsidRDefault="0049053C" w:rsidP="0049053C">
      <w:pPr>
        <w:spacing w:after="160"/>
        <w:rPr>
          <w:rFonts w:ascii="Arial" w:hAnsi="Arial" w:cs="Arial"/>
          <w:sz w:val="18"/>
          <w:szCs w:val="18"/>
        </w:rPr>
      </w:pPr>
      <w:r w:rsidRPr="00735726">
        <w:rPr>
          <w:rFonts w:ascii="Arial" w:hAnsi="Arial" w:cs="Arial"/>
          <w:sz w:val="18"/>
          <w:szCs w:val="18"/>
        </w:rPr>
        <w:t xml:space="preserve">In Bristol, design work has commenced for upgrades at </w:t>
      </w:r>
      <w:proofErr w:type="spellStart"/>
      <w:r w:rsidRPr="00735726">
        <w:rPr>
          <w:rFonts w:ascii="Arial" w:hAnsi="Arial" w:cs="Arial"/>
          <w:sz w:val="18"/>
          <w:szCs w:val="18"/>
        </w:rPr>
        <w:t>Stowey</w:t>
      </w:r>
      <w:proofErr w:type="spellEnd"/>
      <w:r w:rsidRPr="00735726">
        <w:rPr>
          <w:rFonts w:ascii="Arial" w:hAnsi="Arial" w:cs="Arial"/>
          <w:sz w:val="18"/>
          <w:szCs w:val="18"/>
        </w:rPr>
        <w:t>, Cheddar, and Littleton water treatment works, with delivery targeted by 2030. Notably, at Littleton, we are piloting innovative filtration technology, successfully used in Singapore and Japan, for the first time in the UK, reinforcing our commitment to operational excellence and innovation.</w:t>
      </w:r>
    </w:p>
    <w:p w14:paraId="5DC18EE1" w14:textId="23D4D85A" w:rsidR="007D3E6C" w:rsidRPr="00735726" w:rsidRDefault="007D3E6C" w:rsidP="007D3E6C">
      <w:pPr>
        <w:spacing w:after="160"/>
        <w:rPr>
          <w:rFonts w:ascii="Arial" w:hAnsi="Arial" w:cs="Arial"/>
          <w:sz w:val="18"/>
          <w:szCs w:val="18"/>
        </w:rPr>
      </w:pPr>
      <w:r w:rsidRPr="00735726">
        <w:rPr>
          <w:rFonts w:ascii="Arial" w:hAnsi="Arial" w:cs="Arial"/>
          <w:i/>
          <w:iCs/>
          <w:sz w:val="18"/>
          <w:szCs w:val="18"/>
        </w:rPr>
        <w:t>ENHANCING CUSTOMER CONFIDENCE: TASTE, SMELL AND APPEARANCE IMPROVEMENTS</w:t>
      </w:r>
      <w:r w:rsidRPr="00735726">
        <w:rPr>
          <w:rFonts w:ascii="Arial" w:hAnsi="Arial" w:cs="Arial"/>
          <w:i/>
          <w:iCs/>
          <w:sz w:val="18"/>
          <w:szCs w:val="18"/>
        </w:rPr>
        <w:br/>
      </w:r>
      <w:r w:rsidRPr="00735726">
        <w:rPr>
          <w:rFonts w:ascii="Arial" w:hAnsi="Arial" w:cs="Arial"/>
          <w:sz w:val="18"/>
          <w:szCs w:val="18"/>
        </w:rPr>
        <w:t xml:space="preserve">Maintaining customer trust in water quality is essential. Building on our ongoing commitment to water quality and customer satisfaction, we continued to make progress across all regions, as reflected in our performance against Taste, Smell, and Appearance targets. Whilst we have more to do to reach the stretching targets set for AMP8, in the </w:t>
      </w:r>
      <w:proofErr w:type="gramStart"/>
      <w:r w:rsidRPr="00735726">
        <w:rPr>
          <w:rFonts w:ascii="Arial" w:hAnsi="Arial" w:cs="Arial"/>
          <w:sz w:val="18"/>
          <w:szCs w:val="18"/>
        </w:rPr>
        <w:t>South West</w:t>
      </w:r>
      <w:proofErr w:type="gramEnd"/>
      <w:r w:rsidRPr="00735726">
        <w:rPr>
          <w:rFonts w:ascii="Arial" w:hAnsi="Arial" w:cs="Arial"/>
          <w:sz w:val="18"/>
          <w:szCs w:val="18"/>
        </w:rPr>
        <w:t>, customer contacts regarding taste, smell, and appearance have reduced year-on-year, with performance in 2025/26 reducing to 1.55 contacts per 1,000 customers. This improvement stems from our ongoing focus on process optimisation and proactive engagement across each region. Looking ahead, we remain dedicated to further enhancing water quality and customer experience, implementing region-specific initiatives and leveraging technology to drive continuous improvement.</w:t>
      </w:r>
      <w:r w:rsidR="00213512" w:rsidRPr="00735726">
        <w:rPr>
          <w:rFonts w:ascii="Arial" w:hAnsi="Arial" w:cs="Arial"/>
          <w:sz w:val="18"/>
          <w:szCs w:val="18"/>
        </w:rPr>
        <w:t xml:space="preserve"> </w:t>
      </w:r>
      <w:r w:rsidRPr="00735726">
        <w:rPr>
          <w:rFonts w:ascii="Arial" w:hAnsi="Arial" w:cs="Arial"/>
          <w:sz w:val="18"/>
          <w:szCs w:val="18"/>
        </w:rPr>
        <w:t xml:space="preserve">Bristol Water (BRL) recorded 0.97 contacts per 1,000 customers, compared to the target of 0.76, positioning the company within the top half of the industry. </w:t>
      </w:r>
    </w:p>
    <w:p w14:paraId="285C962D" w14:textId="4422C8CB" w:rsidR="007D3E6C" w:rsidRPr="00735726" w:rsidRDefault="007D3E6C" w:rsidP="007D3E6C">
      <w:pPr>
        <w:spacing w:after="160"/>
        <w:rPr>
          <w:rFonts w:ascii="Arial" w:hAnsi="Arial" w:cs="Arial"/>
          <w:sz w:val="18"/>
          <w:szCs w:val="18"/>
        </w:rPr>
      </w:pPr>
      <w:r w:rsidRPr="00735726">
        <w:rPr>
          <w:rFonts w:ascii="Arial" w:hAnsi="Arial" w:cs="Arial"/>
          <w:sz w:val="18"/>
          <w:szCs w:val="18"/>
        </w:rPr>
        <w:t>Investment in manganese removal schemes across Cornwall, Devon, and Bournemouth, alongside upgrades at Alderney and Knapp Mill, are expected to further reduce discolouration-related contacts.</w:t>
      </w:r>
    </w:p>
    <w:p w14:paraId="0CA352E3" w14:textId="0DA19169" w:rsidR="008C59B2" w:rsidRPr="009A2CAE" w:rsidRDefault="00213512" w:rsidP="008C59B2">
      <w:pPr>
        <w:spacing w:after="160"/>
        <w:rPr>
          <w:rFonts w:ascii="Arial" w:hAnsi="Arial" w:cs="Arial"/>
          <w:sz w:val="18"/>
          <w:szCs w:val="18"/>
        </w:rPr>
      </w:pPr>
      <w:r w:rsidRPr="00735726">
        <w:rPr>
          <w:rFonts w:ascii="Arial" w:hAnsi="Arial" w:cs="Arial"/>
          <w:i/>
          <w:iCs/>
          <w:sz w:val="18"/>
          <w:szCs w:val="18"/>
        </w:rPr>
        <w:t>LEAD PIPES</w:t>
      </w:r>
      <w:r w:rsidRPr="00735726">
        <w:rPr>
          <w:rFonts w:ascii="Arial" w:hAnsi="Arial" w:cs="Arial"/>
          <w:i/>
          <w:iCs/>
          <w:sz w:val="18"/>
          <w:szCs w:val="18"/>
        </w:rPr>
        <w:br/>
      </w:r>
      <w:r w:rsidRPr="00735726">
        <w:rPr>
          <w:rFonts w:ascii="Arial" w:hAnsi="Arial" w:cs="Arial"/>
          <w:sz w:val="18"/>
          <w:szCs w:val="18"/>
        </w:rPr>
        <w:t xml:space="preserve">Around 80,000 lead pipes remain in our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and Bournemouth (SWB) regional network, with c.120,000 in Bristol (BRL). </w:t>
      </w:r>
    </w:p>
    <w:p w14:paraId="53899BD1" w14:textId="27FF946F" w:rsidR="00213512" w:rsidRPr="009A2CAE" w:rsidRDefault="008C59B2" w:rsidP="008C59B2">
      <w:pPr>
        <w:spacing w:after="160"/>
        <w:rPr>
          <w:rFonts w:ascii="Arial" w:hAnsi="Arial" w:cs="Arial"/>
          <w:sz w:val="18"/>
          <w:szCs w:val="18"/>
        </w:rPr>
      </w:pPr>
      <w:r w:rsidRPr="00735726">
        <w:rPr>
          <w:rFonts w:ascii="Arial" w:hAnsi="Arial" w:cs="Arial"/>
          <w:sz w:val="18"/>
          <w:szCs w:val="18"/>
        </w:rPr>
        <w:t>Whilst we treat water to mitigate the health risk this would otherwise prevent, we are focused on progressively removing these pipes from water infrastructure in our regions</w:t>
      </w:r>
      <w:r w:rsidR="00213512" w:rsidRPr="00735726">
        <w:rPr>
          <w:rFonts w:ascii="Arial" w:hAnsi="Arial" w:cs="Arial"/>
          <w:sz w:val="18"/>
          <w:szCs w:val="18"/>
        </w:rPr>
        <w:t>. As a result, we have progressed on our plans to replace c.40,000 lead pipes across our regions by 2030, with c.4,000 replaced in the current year.</w:t>
      </w:r>
    </w:p>
    <w:p w14:paraId="04594E5E" w14:textId="77777777" w:rsidR="008F3CEC" w:rsidRPr="00735726" w:rsidRDefault="00213512" w:rsidP="00FD6EEE">
      <w:pPr>
        <w:spacing w:after="160"/>
        <w:rPr>
          <w:rFonts w:ascii="Arial" w:hAnsi="Arial" w:cs="Arial"/>
          <w:sz w:val="18"/>
          <w:szCs w:val="18"/>
        </w:rPr>
      </w:pPr>
      <w:r w:rsidRPr="00735726">
        <w:rPr>
          <w:rFonts w:ascii="Arial" w:hAnsi="Arial" w:cs="Arial"/>
          <w:sz w:val="18"/>
          <w:szCs w:val="18"/>
        </w:rPr>
        <w:t>We are also working with CREWW, our innovation partnership with Exeter University, to utilise modelling and machine learning to inform our delivery programmes and target areas with high prevalence, supporting our long-term ambition to eliminate lead pipes.</w:t>
      </w:r>
    </w:p>
    <w:p w14:paraId="1CF14B51" w14:textId="39F3CB91" w:rsidR="00FD6EEE" w:rsidRPr="00735726" w:rsidRDefault="00F63956" w:rsidP="00FD6EEE">
      <w:pPr>
        <w:spacing w:after="160"/>
        <w:rPr>
          <w:rFonts w:ascii="Arial" w:hAnsi="Arial" w:cs="Arial"/>
          <w:sz w:val="18"/>
          <w:szCs w:val="18"/>
        </w:rPr>
      </w:pPr>
      <w:r w:rsidRPr="00735726">
        <w:rPr>
          <w:rFonts w:ascii="Arial" w:hAnsi="Arial" w:cs="Arial"/>
          <w:b/>
          <w:bCs/>
          <w:sz w:val="18"/>
          <w:szCs w:val="18"/>
        </w:rPr>
        <w:t>WATER RESOURCES, SECURITY AND CLIMATE RESILIENCE</w:t>
      </w:r>
      <w:r w:rsidR="00D62E2B" w:rsidRPr="00735726">
        <w:rPr>
          <w:rFonts w:ascii="Arial" w:hAnsi="Arial" w:cs="Arial"/>
          <w:sz w:val="18"/>
          <w:szCs w:val="18"/>
        </w:rPr>
        <w:br/>
      </w:r>
      <w:r w:rsidR="00FD6EEE" w:rsidRPr="00735726">
        <w:rPr>
          <w:rFonts w:ascii="Arial" w:hAnsi="Arial" w:cs="Arial"/>
          <w:sz w:val="18"/>
          <w:szCs w:val="18"/>
        </w:rPr>
        <w:t>Water resources were under significant pressure during 2025 following the warmest spring in England since 1884. Reservoir storage in some areas fell to exceptionally low levels by late summer.</w:t>
      </w:r>
    </w:p>
    <w:p w14:paraId="4BB0E5F9" w14:textId="58D544C1" w:rsidR="00FD6EEE" w:rsidRPr="00735726" w:rsidRDefault="00FD6EEE" w:rsidP="00FD6EEE">
      <w:pPr>
        <w:spacing w:after="160"/>
        <w:rPr>
          <w:rFonts w:ascii="Arial" w:hAnsi="Arial" w:cs="Arial"/>
          <w:sz w:val="18"/>
          <w:szCs w:val="18"/>
        </w:rPr>
      </w:pPr>
      <w:r w:rsidRPr="00735726">
        <w:rPr>
          <w:rFonts w:ascii="Arial" w:hAnsi="Arial" w:cs="Arial"/>
          <w:sz w:val="18"/>
          <w:szCs w:val="18"/>
        </w:rPr>
        <w:t xml:space="preserve">We activated our drought plans, but did not need to impose any customer supply restrictions or drought orders; by March 2026, the action we took to ensure operational resilience, coupled with rainfall across the winter months, meant that storage levels finished the year well ahead of anticipated needs across the coming summer, with storage recovered to </w:t>
      </w:r>
      <w:r w:rsidR="001C3F13" w:rsidRPr="00735726">
        <w:rPr>
          <w:rFonts w:ascii="Arial" w:hAnsi="Arial" w:cs="Arial"/>
          <w:sz w:val="18"/>
          <w:szCs w:val="18"/>
        </w:rPr>
        <w:t>c.</w:t>
      </w:r>
      <w:r w:rsidRPr="00735726">
        <w:rPr>
          <w:rFonts w:ascii="Arial" w:hAnsi="Arial" w:cs="Arial"/>
          <w:sz w:val="18"/>
          <w:szCs w:val="18"/>
        </w:rPr>
        <w:t>9</w:t>
      </w:r>
      <w:r w:rsidR="001C3F13" w:rsidRPr="00735726">
        <w:rPr>
          <w:rFonts w:ascii="Arial" w:hAnsi="Arial" w:cs="Arial"/>
          <w:sz w:val="18"/>
          <w:szCs w:val="18"/>
        </w:rPr>
        <w:t>7</w:t>
      </w:r>
      <w:r w:rsidRPr="00735726">
        <w:rPr>
          <w:rFonts w:ascii="Arial" w:hAnsi="Arial" w:cs="Arial"/>
          <w:sz w:val="18"/>
          <w:szCs w:val="18"/>
        </w:rPr>
        <w:t xml:space="preserve">% and groundwater levels remaining above average in some areas. </w:t>
      </w:r>
    </w:p>
    <w:p w14:paraId="017FE133" w14:textId="76318C51" w:rsidR="00FD6EEE" w:rsidRPr="00735726" w:rsidRDefault="00FD6EEE" w:rsidP="001E6B7C">
      <w:pPr>
        <w:spacing w:after="160"/>
        <w:rPr>
          <w:rFonts w:ascii="Arial" w:hAnsi="Arial" w:cs="Arial"/>
          <w:sz w:val="18"/>
          <w:szCs w:val="18"/>
        </w:rPr>
      </w:pPr>
      <w:r w:rsidRPr="00735726">
        <w:rPr>
          <w:rFonts w:ascii="Arial" w:hAnsi="Arial" w:cs="Arial"/>
          <w:i/>
          <w:iCs/>
          <w:sz w:val="18"/>
          <w:szCs w:val="18"/>
        </w:rPr>
        <w:t>LEAKAGE AND NETWORK EFFICIENCY</w:t>
      </w:r>
      <w:r w:rsidRPr="00735726">
        <w:rPr>
          <w:rFonts w:ascii="Arial" w:hAnsi="Arial" w:cs="Arial"/>
          <w:i/>
          <w:iCs/>
          <w:sz w:val="18"/>
          <w:szCs w:val="18"/>
        </w:rPr>
        <w:br/>
      </w:r>
      <w:r w:rsidRPr="00735726">
        <w:rPr>
          <w:rFonts w:ascii="Arial" w:hAnsi="Arial" w:cs="Arial"/>
          <w:sz w:val="18"/>
          <w:szCs w:val="18"/>
        </w:rPr>
        <w:t xml:space="preserve">Reducing leakage remains central to long-term supply resilience. The year presented significant challenges, particularly 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due to dry ground conditions leading to record soil moisture deficits during late spring and summer 2025. This was followed by several freeze-thaw events and severe storms across the winter </w:t>
      </w:r>
      <w:r w:rsidRPr="00735726">
        <w:rPr>
          <w:rFonts w:ascii="Arial" w:hAnsi="Arial" w:cs="Arial"/>
          <w:sz w:val="18"/>
          <w:szCs w:val="18"/>
        </w:rPr>
        <w:lastRenderedPageBreak/>
        <w:t xml:space="preserve">period. These conditions increase pressure on our </w:t>
      </w:r>
      <w:proofErr w:type="gramStart"/>
      <w:r w:rsidRPr="00735726">
        <w:rPr>
          <w:rFonts w:ascii="Arial" w:hAnsi="Arial" w:cs="Arial"/>
          <w:sz w:val="18"/>
          <w:szCs w:val="18"/>
        </w:rPr>
        <w:t>networks</w:t>
      </w:r>
      <w:proofErr w:type="gramEnd"/>
      <w:r w:rsidRPr="00735726">
        <w:rPr>
          <w:rFonts w:ascii="Arial" w:hAnsi="Arial" w:cs="Arial"/>
          <w:sz w:val="18"/>
          <w:szCs w:val="18"/>
        </w:rPr>
        <w:t xml:space="preserve"> and we experienced higher burst frequency across our networks.</w:t>
      </w:r>
    </w:p>
    <w:p w14:paraId="6E75DE99" w14:textId="39E4C60D" w:rsidR="00FD6EEE" w:rsidRPr="00735726" w:rsidRDefault="00FD6EEE" w:rsidP="001E6B7C">
      <w:pPr>
        <w:spacing w:after="160"/>
        <w:rPr>
          <w:rFonts w:ascii="Arial" w:hAnsi="Arial" w:cs="Arial"/>
          <w:sz w:val="18"/>
          <w:szCs w:val="18"/>
        </w:rPr>
      </w:pPr>
      <w:r w:rsidRPr="00735726">
        <w:rPr>
          <w:rFonts w:ascii="Arial" w:hAnsi="Arial" w:cs="Arial"/>
          <w:sz w:val="18"/>
          <w:szCs w:val="18"/>
        </w:rPr>
        <w:t xml:space="preserve">Our teams remained focused on fixing leaks across our networks, notwithstanding the challenging weather conditions with which they were presented. Bristol Water and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efforts were impacted by these weather conditions.</w:t>
      </w:r>
    </w:p>
    <w:p w14:paraId="68B39F52" w14:textId="3211D817" w:rsidR="00FD6EEE" w:rsidRPr="00735726" w:rsidRDefault="00FD6EEE" w:rsidP="001E6B7C">
      <w:pPr>
        <w:spacing w:after="160"/>
        <w:rPr>
          <w:rFonts w:ascii="Arial" w:hAnsi="Arial" w:cs="Arial"/>
          <w:sz w:val="18"/>
          <w:szCs w:val="18"/>
        </w:rPr>
      </w:pPr>
      <w:r w:rsidRPr="00735726">
        <w:rPr>
          <w:rFonts w:ascii="Arial" w:hAnsi="Arial" w:cs="Arial"/>
          <w:sz w:val="18"/>
          <w:szCs w:val="18"/>
        </w:rPr>
        <w:t xml:space="preserve">Bristol Water continues to operate on the industry leakage ‘frontier’, making finding and fixing leaks more challenging and less cost-effective. Despite these challenges, Bristol Water reduced leakage by a further 11% in 2025/26, achieving 34.0 </w:t>
      </w:r>
      <w:proofErr w:type="spellStart"/>
      <w:r w:rsidRPr="00735726">
        <w:rPr>
          <w:rFonts w:ascii="Arial" w:hAnsi="Arial" w:cs="Arial"/>
          <w:sz w:val="18"/>
          <w:szCs w:val="18"/>
        </w:rPr>
        <w:t>Ml</w:t>
      </w:r>
      <w:proofErr w:type="spellEnd"/>
      <w:r w:rsidRPr="00735726">
        <w:rPr>
          <w:rFonts w:ascii="Arial" w:hAnsi="Arial" w:cs="Arial"/>
          <w:sz w:val="18"/>
          <w:szCs w:val="18"/>
        </w:rPr>
        <w:t>/d, its lowest ever level and maintained its position among the lowest in the industry. Although slightly above the three-year rolling regulatory target, forward plans are in place to meet targets through the end of the regulatory period.</w:t>
      </w:r>
    </w:p>
    <w:p w14:paraId="28347BB8" w14:textId="6ED99EBE" w:rsidR="00FD6EEE" w:rsidRPr="00735726" w:rsidRDefault="00FD6EEE" w:rsidP="001E6B7C">
      <w:pPr>
        <w:spacing w:after="160"/>
        <w:rPr>
          <w:rFonts w:ascii="Arial" w:hAnsi="Arial" w:cs="Arial"/>
          <w:sz w:val="18"/>
          <w:szCs w:val="18"/>
        </w:rPr>
      </w:pPr>
      <w:r w:rsidRPr="00735726">
        <w:rPr>
          <w:rFonts w:ascii="Arial" w:hAnsi="Arial" w:cs="Arial"/>
          <w:sz w:val="18"/>
          <w:szCs w:val="18"/>
        </w:rPr>
        <w:t xml:space="preserve">In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and Bournemouth, the unusual weather conditions hindered significant leakage reduction over </w:t>
      </w:r>
      <w:r w:rsidR="00D65D8A" w:rsidRPr="00735726">
        <w:rPr>
          <w:rFonts w:ascii="Arial" w:hAnsi="Arial" w:cs="Arial"/>
          <w:sz w:val="18"/>
          <w:szCs w:val="18"/>
        </w:rPr>
        <w:t>the</w:t>
      </w:r>
      <w:r w:rsidRPr="00735726">
        <w:rPr>
          <w:rFonts w:ascii="Arial" w:hAnsi="Arial" w:cs="Arial"/>
          <w:sz w:val="18"/>
          <w:szCs w:val="18"/>
        </w:rPr>
        <w:t xml:space="preserve"> summer, with high volumes of work required to maintain leakage levels across the hot weather period and during the freeze-thaw weather in November and December. Record activity in leak detection and repair was achieved, with more fixes carried out than ever before. Leakage levels of 113.5 </w:t>
      </w:r>
      <w:proofErr w:type="spellStart"/>
      <w:r w:rsidRPr="00735726">
        <w:rPr>
          <w:rFonts w:ascii="Arial" w:hAnsi="Arial" w:cs="Arial"/>
          <w:sz w:val="18"/>
          <w:szCs w:val="18"/>
        </w:rPr>
        <w:t>Ml</w:t>
      </w:r>
      <w:proofErr w:type="spellEnd"/>
      <w:r w:rsidRPr="00735726">
        <w:rPr>
          <w:rFonts w:ascii="Arial" w:hAnsi="Arial" w:cs="Arial"/>
          <w:sz w:val="18"/>
          <w:szCs w:val="18"/>
        </w:rPr>
        <w:t>/d in 2025/26, returned to those of the previous year, but fell short of the in-year target to close the gap on the rolling average. This will impact on our ability to achieve the regulatory three-year average leakage measure, albeit plans are in place to return to target in the middle year of the current regulatory period.</w:t>
      </w:r>
    </w:p>
    <w:p w14:paraId="51BD2A07" w14:textId="77777777" w:rsidR="001E6B7C" w:rsidRPr="00735726" w:rsidRDefault="00FD6EEE" w:rsidP="001E6B7C">
      <w:pPr>
        <w:spacing w:after="160"/>
        <w:rPr>
          <w:rFonts w:ascii="Arial" w:hAnsi="Arial" w:cs="Arial"/>
          <w:sz w:val="18"/>
          <w:szCs w:val="18"/>
        </w:rPr>
      </w:pPr>
      <w:r w:rsidRPr="00735726">
        <w:rPr>
          <w:rFonts w:ascii="Arial" w:hAnsi="Arial" w:cs="Arial"/>
          <w:i/>
          <w:iCs/>
          <w:sz w:val="18"/>
          <w:szCs w:val="18"/>
        </w:rPr>
        <w:t>SUPPLY INTERRUPTIONS AND NETWORK RELIABILITY</w:t>
      </w:r>
      <w:r w:rsidRPr="00735726">
        <w:rPr>
          <w:rFonts w:ascii="Arial" w:hAnsi="Arial" w:cs="Arial"/>
          <w:i/>
          <w:iCs/>
          <w:sz w:val="18"/>
          <w:szCs w:val="18"/>
        </w:rPr>
        <w:br/>
      </w:r>
      <w:r w:rsidRPr="00735726">
        <w:rPr>
          <w:rFonts w:ascii="Arial" w:hAnsi="Arial" w:cs="Arial"/>
          <w:sz w:val="18"/>
          <w:szCs w:val="18"/>
        </w:rPr>
        <w:t xml:space="preserve">The impact of weather on leakage also had a consequential impact on our supply interruption performance, </w:t>
      </w:r>
      <w:proofErr w:type="gramStart"/>
      <w:r w:rsidRPr="00735726">
        <w:rPr>
          <w:rFonts w:ascii="Arial" w:hAnsi="Arial" w:cs="Arial"/>
          <w:sz w:val="18"/>
          <w:szCs w:val="18"/>
        </w:rPr>
        <w:t>as a result of</w:t>
      </w:r>
      <w:proofErr w:type="gramEnd"/>
      <w:r w:rsidRPr="00735726">
        <w:rPr>
          <w:rFonts w:ascii="Arial" w:hAnsi="Arial" w:cs="Arial"/>
          <w:sz w:val="18"/>
          <w:szCs w:val="18"/>
        </w:rPr>
        <w:t xml:space="preserve"> an increase in burst pipes. Despite these challenges, our operational teams ensured that around three-quarters of bursts resulted in no impact to customer supply. </w:t>
      </w:r>
    </w:p>
    <w:p w14:paraId="7E826440" w14:textId="47F2F8E7" w:rsidR="00FD6EEE" w:rsidRPr="00735726" w:rsidRDefault="00FD6EEE" w:rsidP="001E6B7C">
      <w:pPr>
        <w:spacing w:after="160"/>
        <w:rPr>
          <w:rFonts w:ascii="Arial" w:hAnsi="Arial" w:cs="Arial"/>
          <w:sz w:val="18"/>
          <w:szCs w:val="18"/>
        </w:rPr>
      </w:pPr>
      <w:r w:rsidRPr="00735726">
        <w:rPr>
          <w:rFonts w:ascii="Arial" w:hAnsi="Arial" w:cs="Arial"/>
          <w:sz w:val="18"/>
          <w:szCs w:val="18"/>
        </w:rPr>
        <w:t xml:space="preserve">Supply interruptions remained a challenging measure for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and Bournemouth; interruptions to supply resulted in a total 1 hour, 9 minutes and 14 seconds of customer impact, compared with a long-term average of around 9 minutes 30 seconds and a target of 5 minutes. More than half of the time lost was attributable to two</w:t>
      </w:r>
      <w:r w:rsidR="001E6B7C" w:rsidRPr="00735726">
        <w:rPr>
          <w:rFonts w:ascii="Arial" w:hAnsi="Arial" w:cs="Arial"/>
          <w:sz w:val="18"/>
          <w:szCs w:val="18"/>
        </w:rPr>
        <w:t xml:space="preserve"> </w:t>
      </w:r>
      <w:r w:rsidRPr="00735726">
        <w:rPr>
          <w:rFonts w:ascii="Arial" w:hAnsi="Arial" w:cs="Arial"/>
          <w:sz w:val="18"/>
          <w:szCs w:val="18"/>
        </w:rPr>
        <w:t xml:space="preserve">major incidents: an unplanned outage at </w:t>
      </w:r>
      <w:proofErr w:type="spellStart"/>
      <w:r w:rsidRPr="00735726">
        <w:rPr>
          <w:rFonts w:ascii="Arial" w:hAnsi="Arial" w:cs="Arial"/>
          <w:sz w:val="18"/>
          <w:szCs w:val="18"/>
        </w:rPr>
        <w:t>Dousland</w:t>
      </w:r>
      <w:proofErr w:type="spellEnd"/>
      <w:r w:rsidR="001E6B7C" w:rsidRPr="00735726">
        <w:rPr>
          <w:rFonts w:ascii="Arial" w:hAnsi="Arial" w:cs="Arial"/>
          <w:sz w:val="18"/>
          <w:szCs w:val="18"/>
        </w:rPr>
        <w:t xml:space="preserve"> </w:t>
      </w:r>
      <w:r w:rsidRPr="00735726">
        <w:rPr>
          <w:rFonts w:ascii="Arial" w:hAnsi="Arial" w:cs="Arial"/>
          <w:sz w:val="18"/>
          <w:szCs w:val="18"/>
        </w:rPr>
        <w:t xml:space="preserve">water treatment works and storm damage at </w:t>
      </w:r>
      <w:proofErr w:type="spellStart"/>
      <w:r w:rsidRPr="00735726">
        <w:rPr>
          <w:rFonts w:ascii="Arial" w:hAnsi="Arial" w:cs="Arial"/>
          <w:sz w:val="18"/>
          <w:szCs w:val="18"/>
        </w:rPr>
        <w:t>Wendron</w:t>
      </w:r>
      <w:proofErr w:type="spellEnd"/>
      <w:r w:rsidR="001E6B7C" w:rsidRPr="00735726">
        <w:rPr>
          <w:rFonts w:ascii="Arial" w:hAnsi="Arial" w:cs="Arial"/>
          <w:sz w:val="18"/>
          <w:szCs w:val="18"/>
        </w:rPr>
        <w:t xml:space="preserve"> </w:t>
      </w:r>
      <w:r w:rsidRPr="00735726">
        <w:rPr>
          <w:rFonts w:ascii="Arial" w:hAnsi="Arial" w:cs="Arial"/>
          <w:sz w:val="18"/>
          <w:szCs w:val="18"/>
        </w:rPr>
        <w:t>water treatment works during the red weather warning</w:t>
      </w:r>
      <w:r w:rsidR="001E6B7C" w:rsidRPr="00735726">
        <w:rPr>
          <w:rFonts w:ascii="Arial" w:hAnsi="Arial" w:cs="Arial"/>
          <w:sz w:val="18"/>
          <w:szCs w:val="18"/>
        </w:rPr>
        <w:t xml:space="preserve"> </w:t>
      </w:r>
      <w:r w:rsidRPr="00735726">
        <w:rPr>
          <w:rFonts w:ascii="Arial" w:hAnsi="Arial" w:cs="Arial"/>
          <w:sz w:val="18"/>
          <w:szCs w:val="18"/>
        </w:rPr>
        <w:t>storm, Goretti, where much of Cornwall was without</w:t>
      </w:r>
      <w:r w:rsidR="001E6B7C" w:rsidRPr="00735726">
        <w:rPr>
          <w:rFonts w:ascii="Arial" w:hAnsi="Arial" w:cs="Arial"/>
          <w:sz w:val="18"/>
          <w:szCs w:val="18"/>
        </w:rPr>
        <w:t xml:space="preserve"> </w:t>
      </w:r>
      <w:r w:rsidRPr="00735726">
        <w:rPr>
          <w:rFonts w:ascii="Arial" w:hAnsi="Arial" w:cs="Arial"/>
          <w:sz w:val="18"/>
          <w:szCs w:val="18"/>
        </w:rPr>
        <w:t xml:space="preserve">power for an extended </w:t>
      </w:r>
      <w:proofErr w:type="gramStart"/>
      <w:r w:rsidRPr="00735726">
        <w:rPr>
          <w:rFonts w:ascii="Arial" w:hAnsi="Arial" w:cs="Arial"/>
          <w:sz w:val="18"/>
          <w:szCs w:val="18"/>
        </w:rPr>
        <w:t>period of time</w:t>
      </w:r>
      <w:proofErr w:type="gramEnd"/>
      <w:r w:rsidRPr="00735726">
        <w:rPr>
          <w:rFonts w:ascii="Arial" w:hAnsi="Arial" w:cs="Arial"/>
          <w:sz w:val="18"/>
          <w:szCs w:val="18"/>
        </w:rPr>
        <w:t xml:space="preserve">. </w:t>
      </w:r>
    </w:p>
    <w:p w14:paraId="60870E78" w14:textId="77777777" w:rsidR="001E6B7C" w:rsidRPr="00735726" w:rsidRDefault="00FD6EEE" w:rsidP="001E6B7C">
      <w:pPr>
        <w:spacing w:after="160"/>
        <w:rPr>
          <w:rFonts w:ascii="Arial" w:hAnsi="Arial" w:cs="Arial"/>
          <w:sz w:val="18"/>
          <w:szCs w:val="18"/>
        </w:rPr>
      </w:pPr>
      <w:r w:rsidRPr="00735726">
        <w:rPr>
          <w:rFonts w:ascii="Arial" w:hAnsi="Arial" w:cs="Arial"/>
          <w:sz w:val="18"/>
          <w:szCs w:val="18"/>
        </w:rPr>
        <w:t>Bristol Water’s performance saw interruptions increase to</w:t>
      </w:r>
      <w:r w:rsidR="001E6B7C" w:rsidRPr="00735726">
        <w:rPr>
          <w:rFonts w:ascii="Arial" w:hAnsi="Arial" w:cs="Arial"/>
          <w:sz w:val="18"/>
          <w:szCs w:val="18"/>
        </w:rPr>
        <w:t xml:space="preserve"> </w:t>
      </w:r>
      <w:r w:rsidRPr="00735726">
        <w:rPr>
          <w:rFonts w:ascii="Arial" w:hAnsi="Arial" w:cs="Arial"/>
          <w:sz w:val="18"/>
          <w:szCs w:val="18"/>
        </w:rPr>
        <w:t>33 minutes and 42 seconds, compared with a four-year</w:t>
      </w:r>
      <w:r w:rsidR="001E6B7C" w:rsidRPr="00735726">
        <w:rPr>
          <w:rFonts w:ascii="Arial" w:hAnsi="Arial" w:cs="Arial"/>
          <w:sz w:val="18"/>
          <w:szCs w:val="18"/>
        </w:rPr>
        <w:t xml:space="preserve"> </w:t>
      </w:r>
      <w:r w:rsidRPr="00735726">
        <w:rPr>
          <w:rFonts w:ascii="Arial" w:hAnsi="Arial" w:cs="Arial"/>
          <w:sz w:val="18"/>
          <w:szCs w:val="18"/>
        </w:rPr>
        <w:t>average of 6 minutes 30 seconds. In response, supply</w:t>
      </w:r>
      <w:r w:rsidR="001E6B7C" w:rsidRPr="00735726">
        <w:rPr>
          <w:rFonts w:ascii="Arial" w:hAnsi="Arial" w:cs="Arial"/>
          <w:sz w:val="18"/>
          <w:szCs w:val="18"/>
        </w:rPr>
        <w:t xml:space="preserve"> </w:t>
      </w:r>
      <w:r w:rsidRPr="00735726">
        <w:rPr>
          <w:rFonts w:ascii="Arial" w:hAnsi="Arial" w:cs="Arial"/>
          <w:sz w:val="18"/>
          <w:szCs w:val="18"/>
        </w:rPr>
        <w:t>interruptions delivery plans have been reviewed to drive</w:t>
      </w:r>
      <w:r w:rsidR="001E6B7C" w:rsidRPr="00735726">
        <w:rPr>
          <w:rFonts w:ascii="Arial" w:hAnsi="Arial" w:cs="Arial"/>
          <w:sz w:val="18"/>
          <w:szCs w:val="18"/>
        </w:rPr>
        <w:t xml:space="preserve"> </w:t>
      </w:r>
      <w:r w:rsidRPr="00735726">
        <w:rPr>
          <w:rFonts w:ascii="Arial" w:hAnsi="Arial" w:cs="Arial"/>
          <w:sz w:val="18"/>
          <w:szCs w:val="18"/>
        </w:rPr>
        <w:t>improvement, leveraging AI-based burst prediction,</w:t>
      </w:r>
      <w:r w:rsidR="001E6B7C" w:rsidRPr="00735726">
        <w:rPr>
          <w:rFonts w:ascii="Arial" w:hAnsi="Arial" w:cs="Arial"/>
          <w:sz w:val="18"/>
          <w:szCs w:val="18"/>
        </w:rPr>
        <w:t xml:space="preserve"> </w:t>
      </w:r>
      <w:r w:rsidRPr="00735726">
        <w:rPr>
          <w:rFonts w:ascii="Arial" w:hAnsi="Arial" w:cs="Arial"/>
          <w:sz w:val="18"/>
          <w:szCs w:val="18"/>
        </w:rPr>
        <w:t>smarter operational technology, and targeted pipe</w:t>
      </w:r>
      <w:r w:rsidR="001E6B7C" w:rsidRPr="00735726">
        <w:rPr>
          <w:rFonts w:ascii="Arial" w:hAnsi="Arial" w:cs="Arial"/>
          <w:sz w:val="18"/>
          <w:szCs w:val="18"/>
        </w:rPr>
        <w:t xml:space="preserve"> </w:t>
      </w:r>
      <w:r w:rsidRPr="00735726">
        <w:rPr>
          <w:rFonts w:ascii="Arial" w:hAnsi="Arial" w:cs="Arial"/>
          <w:sz w:val="18"/>
          <w:szCs w:val="18"/>
        </w:rPr>
        <w:t xml:space="preserve">replacement. </w:t>
      </w:r>
    </w:p>
    <w:p w14:paraId="44586A4E" w14:textId="362F3F5A" w:rsidR="001E6B7C" w:rsidRPr="00735726" w:rsidRDefault="001E6B7C" w:rsidP="007E0423">
      <w:pPr>
        <w:spacing w:after="160"/>
        <w:rPr>
          <w:rFonts w:ascii="Arial" w:hAnsi="Arial" w:cs="Arial"/>
          <w:sz w:val="18"/>
          <w:szCs w:val="18"/>
        </w:rPr>
      </w:pPr>
      <w:r w:rsidRPr="00735726">
        <w:rPr>
          <w:rFonts w:ascii="Arial" w:hAnsi="Arial" w:cs="Arial"/>
          <w:i/>
          <w:iCs/>
          <w:sz w:val="18"/>
          <w:szCs w:val="18"/>
        </w:rPr>
        <w:t xml:space="preserve">ISLES OF SCILLY </w:t>
      </w:r>
      <w:r w:rsidR="006C1BA9" w:rsidRPr="00735726">
        <w:rPr>
          <w:rFonts w:ascii="Arial" w:hAnsi="Arial" w:cs="Arial"/>
          <w:i/>
          <w:iCs/>
          <w:sz w:val="18"/>
          <w:szCs w:val="18"/>
        </w:rPr>
        <w:t xml:space="preserve">- </w:t>
      </w:r>
      <w:r w:rsidRPr="00735726">
        <w:rPr>
          <w:rFonts w:ascii="Arial" w:hAnsi="Arial" w:cs="Arial"/>
          <w:i/>
          <w:iCs/>
          <w:sz w:val="18"/>
          <w:szCs w:val="18"/>
        </w:rPr>
        <w:t>RESILIENCE</w:t>
      </w:r>
      <w:r w:rsidRPr="00735726">
        <w:rPr>
          <w:rFonts w:ascii="Arial" w:hAnsi="Arial" w:cs="Arial"/>
          <w:i/>
          <w:iCs/>
          <w:sz w:val="18"/>
          <w:szCs w:val="18"/>
        </w:rPr>
        <w:br/>
      </w:r>
      <w:r w:rsidRPr="00735726">
        <w:rPr>
          <w:rFonts w:ascii="Arial" w:hAnsi="Arial" w:cs="Arial"/>
          <w:sz w:val="18"/>
          <w:szCs w:val="18"/>
        </w:rPr>
        <w:t>In January 2026, Storm Goretti caused major</w:t>
      </w:r>
      <w:r w:rsidR="007E0423" w:rsidRPr="00735726">
        <w:rPr>
          <w:rFonts w:ascii="Arial" w:hAnsi="Arial" w:cs="Arial"/>
          <w:sz w:val="18"/>
          <w:szCs w:val="18"/>
        </w:rPr>
        <w:t xml:space="preserve"> </w:t>
      </w:r>
      <w:r w:rsidRPr="00735726">
        <w:rPr>
          <w:rFonts w:ascii="Arial" w:hAnsi="Arial" w:cs="Arial"/>
          <w:sz w:val="18"/>
          <w:szCs w:val="18"/>
        </w:rPr>
        <w:t xml:space="preserve">destruction across our </w:t>
      </w:r>
      <w:r w:rsidR="00B27C31" w:rsidRPr="00735726">
        <w:rPr>
          <w:rFonts w:ascii="Arial" w:hAnsi="Arial" w:cs="Arial"/>
          <w:sz w:val="18"/>
          <w:szCs w:val="18"/>
        </w:rPr>
        <w:t>region,</w:t>
      </w:r>
      <w:r w:rsidRPr="00735726">
        <w:rPr>
          <w:rFonts w:ascii="Arial" w:hAnsi="Arial" w:cs="Arial"/>
          <w:sz w:val="18"/>
          <w:szCs w:val="18"/>
        </w:rPr>
        <w:t xml:space="preserve"> but the Isles of Scilly</w:t>
      </w:r>
      <w:r w:rsidR="007E0423" w:rsidRPr="00735726">
        <w:rPr>
          <w:rFonts w:ascii="Arial" w:hAnsi="Arial" w:cs="Arial"/>
          <w:sz w:val="18"/>
          <w:szCs w:val="18"/>
        </w:rPr>
        <w:t xml:space="preserve"> </w:t>
      </w:r>
      <w:r w:rsidRPr="00735726">
        <w:rPr>
          <w:rFonts w:ascii="Arial" w:hAnsi="Arial" w:cs="Arial"/>
          <w:sz w:val="18"/>
          <w:szCs w:val="18"/>
        </w:rPr>
        <w:t>were the first and worst hit. Winds of up to 99mph hit</w:t>
      </w:r>
      <w:r w:rsidR="007E0423" w:rsidRPr="00735726">
        <w:rPr>
          <w:rFonts w:ascii="Arial" w:hAnsi="Arial" w:cs="Arial"/>
          <w:sz w:val="18"/>
          <w:szCs w:val="18"/>
        </w:rPr>
        <w:t xml:space="preserve"> </w:t>
      </w:r>
      <w:r w:rsidRPr="00735726">
        <w:rPr>
          <w:rFonts w:ascii="Arial" w:hAnsi="Arial" w:cs="Arial"/>
          <w:sz w:val="18"/>
          <w:szCs w:val="18"/>
        </w:rPr>
        <w:t>the five islands, 28 miles off the coast of Cornwall, with</w:t>
      </w:r>
      <w:r w:rsidR="007E0423" w:rsidRPr="00735726">
        <w:rPr>
          <w:rFonts w:ascii="Arial" w:hAnsi="Arial" w:cs="Arial"/>
          <w:sz w:val="18"/>
          <w:szCs w:val="18"/>
        </w:rPr>
        <w:t xml:space="preserve"> </w:t>
      </w:r>
      <w:r w:rsidRPr="00735726">
        <w:rPr>
          <w:rFonts w:ascii="Arial" w:hAnsi="Arial" w:cs="Arial"/>
          <w:sz w:val="18"/>
          <w:szCs w:val="18"/>
        </w:rPr>
        <w:t>hundreds of trees uprooted, severing water supplies</w:t>
      </w:r>
      <w:r w:rsidR="007E0423" w:rsidRPr="00735726">
        <w:rPr>
          <w:rFonts w:ascii="Arial" w:hAnsi="Arial" w:cs="Arial"/>
          <w:sz w:val="18"/>
          <w:szCs w:val="18"/>
        </w:rPr>
        <w:t xml:space="preserve"> </w:t>
      </w:r>
      <w:r w:rsidRPr="00735726">
        <w:rPr>
          <w:rFonts w:ascii="Arial" w:hAnsi="Arial" w:cs="Arial"/>
          <w:sz w:val="18"/>
          <w:szCs w:val="18"/>
        </w:rPr>
        <w:t>to these remote communities. A red weather warning</w:t>
      </w:r>
      <w:r w:rsidR="007E0423" w:rsidRPr="00735726">
        <w:rPr>
          <w:rFonts w:ascii="Arial" w:hAnsi="Arial" w:cs="Arial"/>
          <w:sz w:val="18"/>
          <w:szCs w:val="18"/>
        </w:rPr>
        <w:t xml:space="preserve"> </w:t>
      </w:r>
      <w:r w:rsidRPr="00735726">
        <w:rPr>
          <w:rFonts w:ascii="Arial" w:hAnsi="Arial" w:cs="Arial"/>
          <w:sz w:val="18"/>
          <w:szCs w:val="18"/>
        </w:rPr>
        <w:t>for wind was issued on</w:t>
      </w:r>
      <w:r w:rsidR="007E0423" w:rsidRPr="00735726">
        <w:rPr>
          <w:rFonts w:ascii="Arial" w:hAnsi="Arial" w:cs="Arial"/>
          <w:sz w:val="18"/>
          <w:szCs w:val="18"/>
        </w:rPr>
        <w:t xml:space="preserve"> </w:t>
      </w:r>
      <w:r w:rsidRPr="00735726">
        <w:rPr>
          <w:rFonts w:ascii="Arial" w:hAnsi="Arial" w:cs="Arial"/>
          <w:sz w:val="18"/>
          <w:szCs w:val="18"/>
        </w:rPr>
        <w:t>the afternoon of 8 January,</w:t>
      </w:r>
      <w:r w:rsidR="007E0423" w:rsidRPr="00735726">
        <w:rPr>
          <w:rFonts w:ascii="Arial" w:hAnsi="Arial" w:cs="Arial"/>
          <w:sz w:val="18"/>
          <w:szCs w:val="18"/>
        </w:rPr>
        <w:t xml:space="preserve"> </w:t>
      </w:r>
      <w:r w:rsidRPr="00735726">
        <w:rPr>
          <w:rFonts w:ascii="Arial" w:hAnsi="Arial" w:cs="Arial"/>
          <w:sz w:val="18"/>
          <w:szCs w:val="18"/>
        </w:rPr>
        <w:t>instructing everyone to stay indoors given danger to</w:t>
      </w:r>
      <w:r w:rsidR="007E0423" w:rsidRPr="00735726">
        <w:rPr>
          <w:rFonts w:ascii="Arial" w:hAnsi="Arial" w:cs="Arial"/>
          <w:sz w:val="18"/>
          <w:szCs w:val="18"/>
        </w:rPr>
        <w:t xml:space="preserve"> </w:t>
      </w:r>
      <w:r w:rsidRPr="00735726">
        <w:rPr>
          <w:rFonts w:ascii="Arial" w:hAnsi="Arial" w:cs="Arial"/>
          <w:sz w:val="18"/>
          <w:szCs w:val="18"/>
        </w:rPr>
        <w:t>life associated with the storm.</w:t>
      </w:r>
    </w:p>
    <w:p w14:paraId="72500C00" w14:textId="4A305C09" w:rsidR="001E6B7C" w:rsidRPr="00735726" w:rsidRDefault="001E6B7C" w:rsidP="007E0423">
      <w:pPr>
        <w:spacing w:after="160"/>
        <w:rPr>
          <w:rFonts w:ascii="Arial" w:hAnsi="Arial" w:cs="Arial"/>
          <w:sz w:val="18"/>
          <w:szCs w:val="18"/>
        </w:rPr>
      </w:pPr>
      <w:r w:rsidRPr="00735726">
        <w:rPr>
          <w:rFonts w:ascii="Arial" w:hAnsi="Arial" w:cs="Arial"/>
          <w:sz w:val="18"/>
          <w:szCs w:val="18"/>
        </w:rPr>
        <w:t>Our 10-strong water operations team mobilised in the</w:t>
      </w:r>
      <w:r w:rsidR="007E0423" w:rsidRPr="00735726">
        <w:rPr>
          <w:rFonts w:ascii="Arial" w:hAnsi="Arial" w:cs="Arial"/>
          <w:sz w:val="18"/>
          <w:szCs w:val="18"/>
        </w:rPr>
        <w:t xml:space="preserve"> </w:t>
      </w:r>
      <w:r w:rsidRPr="00735726">
        <w:rPr>
          <w:rFonts w:ascii="Arial" w:hAnsi="Arial" w:cs="Arial"/>
          <w:sz w:val="18"/>
          <w:szCs w:val="18"/>
        </w:rPr>
        <w:t>early hours of the following morning, working around</w:t>
      </w:r>
      <w:r w:rsidR="007E0423" w:rsidRPr="00735726">
        <w:rPr>
          <w:rFonts w:ascii="Arial" w:hAnsi="Arial" w:cs="Arial"/>
          <w:sz w:val="18"/>
          <w:szCs w:val="18"/>
        </w:rPr>
        <w:t xml:space="preserve"> </w:t>
      </w:r>
      <w:r w:rsidRPr="00735726">
        <w:rPr>
          <w:rFonts w:ascii="Arial" w:hAnsi="Arial" w:cs="Arial"/>
          <w:sz w:val="18"/>
          <w:szCs w:val="18"/>
        </w:rPr>
        <w:t>the clock as part of a huge community response. With</w:t>
      </w:r>
      <w:r w:rsidR="007E0423" w:rsidRPr="00735726">
        <w:rPr>
          <w:rFonts w:ascii="Arial" w:hAnsi="Arial" w:cs="Arial"/>
          <w:sz w:val="18"/>
          <w:szCs w:val="18"/>
        </w:rPr>
        <w:t xml:space="preserve"> </w:t>
      </w:r>
      <w:r w:rsidRPr="00735726">
        <w:rPr>
          <w:rFonts w:ascii="Arial" w:hAnsi="Arial" w:cs="Arial"/>
          <w:sz w:val="18"/>
          <w:szCs w:val="18"/>
        </w:rPr>
        <w:t>widespread loss of power and mobile signal across</w:t>
      </w:r>
      <w:r w:rsidR="007E0423" w:rsidRPr="00735726">
        <w:rPr>
          <w:rFonts w:ascii="Arial" w:hAnsi="Arial" w:cs="Arial"/>
          <w:sz w:val="18"/>
          <w:szCs w:val="18"/>
        </w:rPr>
        <w:t xml:space="preserve"> </w:t>
      </w:r>
      <w:r w:rsidRPr="00735726">
        <w:rPr>
          <w:rFonts w:ascii="Arial" w:hAnsi="Arial" w:cs="Arial"/>
          <w:sz w:val="18"/>
          <w:szCs w:val="18"/>
        </w:rPr>
        <w:t>the Islands and significant transport disruption, the</w:t>
      </w:r>
      <w:r w:rsidR="007E0423" w:rsidRPr="00735726">
        <w:rPr>
          <w:rFonts w:ascii="Arial" w:hAnsi="Arial" w:cs="Arial"/>
          <w:sz w:val="18"/>
          <w:szCs w:val="18"/>
        </w:rPr>
        <w:t xml:space="preserve"> </w:t>
      </w:r>
      <w:r w:rsidRPr="00735726">
        <w:rPr>
          <w:rFonts w:ascii="Arial" w:hAnsi="Arial" w:cs="Arial"/>
          <w:sz w:val="18"/>
          <w:szCs w:val="18"/>
        </w:rPr>
        <w:t>team, working with support from our supply chain and</w:t>
      </w:r>
      <w:r w:rsidR="007E0423" w:rsidRPr="00735726">
        <w:rPr>
          <w:rFonts w:ascii="Arial" w:hAnsi="Arial" w:cs="Arial"/>
          <w:sz w:val="18"/>
          <w:szCs w:val="18"/>
        </w:rPr>
        <w:t xml:space="preserve"> </w:t>
      </w:r>
      <w:r w:rsidRPr="00735726">
        <w:rPr>
          <w:rFonts w:ascii="Arial" w:hAnsi="Arial" w:cs="Arial"/>
          <w:sz w:val="18"/>
          <w:szCs w:val="18"/>
        </w:rPr>
        <w:t>working in</w:t>
      </w:r>
      <w:r w:rsidR="007E0423" w:rsidRPr="00735726">
        <w:rPr>
          <w:rFonts w:ascii="Arial" w:hAnsi="Arial" w:cs="Arial"/>
          <w:sz w:val="18"/>
          <w:szCs w:val="18"/>
        </w:rPr>
        <w:t xml:space="preserve"> </w:t>
      </w:r>
      <w:r w:rsidRPr="00735726">
        <w:rPr>
          <w:rFonts w:ascii="Arial" w:hAnsi="Arial" w:cs="Arial"/>
          <w:sz w:val="18"/>
          <w:szCs w:val="18"/>
        </w:rPr>
        <w:t>partnership with the Duchy of Cornwall,</w:t>
      </w:r>
      <w:r w:rsidR="007E0423" w:rsidRPr="00735726">
        <w:rPr>
          <w:rFonts w:ascii="Arial" w:hAnsi="Arial" w:cs="Arial"/>
          <w:sz w:val="18"/>
          <w:szCs w:val="18"/>
        </w:rPr>
        <w:t xml:space="preserve"> </w:t>
      </w:r>
      <w:r w:rsidRPr="00735726">
        <w:rPr>
          <w:rFonts w:ascii="Arial" w:hAnsi="Arial" w:cs="Arial"/>
          <w:sz w:val="18"/>
          <w:szCs w:val="18"/>
        </w:rPr>
        <w:t xml:space="preserve">the Council of the Isles of Scilly, </w:t>
      </w:r>
      <w:proofErr w:type="spellStart"/>
      <w:r w:rsidRPr="00735726">
        <w:rPr>
          <w:rFonts w:ascii="Arial" w:hAnsi="Arial" w:cs="Arial"/>
          <w:sz w:val="18"/>
          <w:szCs w:val="18"/>
        </w:rPr>
        <w:t>Tresco</w:t>
      </w:r>
      <w:proofErr w:type="spellEnd"/>
      <w:r w:rsidRPr="00735726">
        <w:rPr>
          <w:rFonts w:ascii="Arial" w:hAnsi="Arial" w:cs="Arial"/>
          <w:sz w:val="18"/>
          <w:szCs w:val="18"/>
        </w:rPr>
        <w:t xml:space="preserve"> Estates and</w:t>
      </w:r>
      <w:r w:rsidR="007E0423" w:rsidRPr="00735726">
        <w:rPr>
          <w:rFonts w:ascii="Arial" w:hAnsi="Arial" w:cs="Arial"/>
          <w:sz w:val="18"/>
          <w:szCs w:val="18"/>
        </w:rPr>
        <w:t xml:space="preserve"> </w:t>
      </w:r>
      <w:r w:rsidRPr="00735726">
        <w:rPr>
          <w:rFonts w:ascii="Arial" w:hAnsi="Arial" w:cs="Arial"/>
          <w:sz w:val="18"/>
          <w:szCs w:val="18"/>
        </w:rPr>
        <w:t>other utilities</w:t>
      </w:r>
      <w:r w:rsidR="007E0423" w:rsidRPr="00735726">
        <w:rPr>
          <w:rFonts w:ascii="Arial" w:hAnsi="Arial" w:cs="Arial"/>
          <w:sz w:val="18"/>
          <w:szCs w:val="18"/>
        </w:rPr>
        <w:t xml:space="preserve"> </w:t>
      </w:r>
      <w:r w:rsidRPr="00735726">
        <w:rPr>
          <w:rFonts w:ascii="Arial" w:hAnsi="Arial" w:cs="Arial"/>
          <w:sz w:val="18"/>
          <w:szCs w:val="18"/>
        </w:rPr>
        <w:t>enabled temporary repairs to be made</w:t>
      </w:r>
      <w:r w:rsidR="007E0423" w:rsidRPr="00735726">
        <w:rPr>
          <w:rFonts w:ascii="Arial" w:hAnsi="Arial" w:cs="Arial"/>
          <w:sz w:val="18"/>
          <w:szCs w:val="18"/>
        </w:rPr>
        <w:t xml:space="preserve"> </w:t>
      </w:r>
      <w:r w:rsidRPr="00735726">
        <w:rPr>
          <w:rFonts w:ascii="Arial" w:hAnsi="Arial" w:cs="Arial"/>
          <w:sz w:val="18"/>
          <w:szCs w:val="18"/>
        </w:rPr>
        <w:t>to the damaged water pipes, with all supplies restored</w:t>
      </w:r>
      <w:r w:rsidR="007E0423" w:rsidRPr="00735726">
        <w:rPr>
          <w:rFonts w:ascii="Arial" w:hAnsi="Arial" w:cs="Arial"/>
          <w:sz w:val="18"/>
          <w:szCs w:val="18"/>
        </w:rPr>
        <w:t xml:space="preserve"> </w:t>
      </w:r>
      <w:r w:rsidRPr="00735726">
        <w:rPr>
          <w:rFonts w:ascii="Arial" w:hAnsi="Arial" w:cs="Arial"/>
          <w:sz w:val="18"/>
          <w:szCs w:val="18"/>
        </w:rPr>
        <w:t>by 9am on 11 January. During this time bottled water</w:t>
      </w:r>
      <w:r w:rsidR="007E0423" w:rsidRPr="00735726">
        <w:rPr>
          <w:rFonts w:ascii="Arial" w:hAnsi="Arial" w:cs="Arial"/>
          <w:sz w:val="18"/>
          <w:szCs w:val="18"/>
        </w:rPr>
        <w:t xml:space="preserve"> </w:t>
      </w:r>
      <w:r w:rsidRPr="00735726">
        <w:rPr>
          <w:rFonts w:ascii="Arial" w:hAnsi="Arial" w:cs="Arial"/>
          <w:sz w:val="18"/>
          <w:szCs w:val="18"/>
        </w:rPr>
        <w:t>stations supplies were set up, with local people</w:t>
      </w:r>
      <w:r w:rsidR="007E0423" w:rsidRPr="00735726">
        <w:rPr>
          <w:rFonts w:ascii="Arial" w:hAnsi="Arial" w:cs="Arial"/>
          <w:sz w:val="18"/>
          <w:szCs w:val="18"/>
        </w:rPr>
        <w:t xml:space="preserve"> </w:t>
      </w:r>
      <w:r w:rsidRPr="00735726">
        <w:rPr>
          <w:rFonts w:ascii="Arial" w:hAnsi="Arial" w:cs="Arial"/>
          <w:sz w:val="18"/>
          <w:szCs w:val="18"/>
        </w:rPr>
        <w:t>contributing to the recovery efforts and caring for</w:t>
      </w:r>
      <w:r w:rsidR="007E0423" w:rsidRPr="00735726">
        <w:rPr>
          <w:rFonts w:ascii="Arial" w:hAnsi="Arial" w:cs="Arial"/>
          <w:sz w:val="18"/>
          <w:szCs w:val="18"/>
        </w:rPr>
        <w:t xml:space="preserve"> </w:t>
      </w:r>
      <w:r w:rsidRPr="00735726">
        <w:rPr>
          <w:rFonts w:ascii="Arial" w:hAnsi="Arial" w:cs="Arial"/>
          <w:sz w:val="18"/>
          <w:szCs w:val="18"/>
        </w:rPr>
        <w:t>those who needed extra support.</w:t>
      </w:r>
    </w:p>
    <w:p w14:paraId="19F639F6" w14:textId="144FBB21" w:rsidR="001E6B7C" w:rsidRPr="00735726" w:rsidRDefault="001E6B7C" w:rsidP="007E0423">
      <w:pPr>
        <w:spacing w:after="160"/>
        <w:rPr>
          <w:rFonts w:ascii="Arial" w:hAnsi="Arial" w:cs="Arial"/>
          <w:sz w:val="18"/>
          <w:szCs w:val="18"/>
        </w:rPr>
      </w:pPr>
      <w:r w:rsidRPr="00735726">
        <w:rPr>
          <w:rFonts w:ascii="Arial" w:hAnsi="Arial" w:cs="Arial"/>
          <w:sz w:val="18"/>
          <w:szCs w:val="18"/>
        </w:rPr>
        <w:t>We were delighted that Isles of Scilly Operations</w:t>
      </w:r>
      <w:r w:rsidR="007E0423" w:rsidRPr="00735726">
        <w:rPr>
          <w:rFonts w:ascii="Arial" w:hAnsi="Arial" w:cs="Arial"/>
          <w:sz w:val="18"/>
          <w:szCs w:val="18"/>
        </w:rPr>
        <w:t xml:space="preserve"> </w:t>
      </w:r>
      <w:r w:rsidRPr="00735726">
        <w:rPr>
          <w:rFonts w:ascii="Arial" w:hAnsi="Arial" w:cs="Arial"/>
          <w:sz w:val="18"/>
          <w:szCs w:val="18"/>
        </w:rPr>
        <w:t>Manager, Helen Richards, was recognised for the</w:t>
      </w:r>
      <w:r w:rsidR="007E0423" w:rsidRPr="00735726">
        <w:rPr>
          <w:rFonts w:ascii="Arial" w:hAnsi="Arial" w:cs="Arial"/>
          <w:sz w:val="18"/>
          <w:szCs w:val="18"/>
        </w:rPr>
        <w:t xml:space="preserve"> </w:t>
      </w:r>
      <w:r w:rsidRPr="00735726">
        <w:rPr>
          <w:rFonts w:ascii="Arial" w:hAnsi="Arial" w:cs="Arial"/>
          <w:sz w:val="18"/>
          <w:szCs w:val="18"/>
        </w:rPr>
        <w:t>crucial role she and her team, all of whom also live</w:t>
      </w:r>
      <w:r w:rsidR="007E0423" w:rsidRPr="00735726">
        <w:rPr>
          <w:rFonts w:ascii="Arial" w:hAnsi="Arial" w:cs="Arial"/>
          <w:sz w:val="18"/>
          <w:szCs w:val="18"/>
        </w:rPr>
        <w:t xml:space="preserve"> </w:t>
      </w:r>
      <w:r w:rsidRPr="00735726">
        <w:rPr>
          <w:rFonts w:ascii="Arial" w:hAnsi="Arial" w:cs="Arial"/>
          <w:sz w:val="18"/>
          <w:szCs w:val="18"/>
        </w:rPr>
        <w:t>on the Islands, played in the aftermath of the storm</w:t>
      </w:r>
      <w:r w:rsidR="007E0423" w:rsidRPr="00735726">
        <w:rPr>
          <w:rFonts w:ascii="Arial" w:hAnsi="Arial" w:cs="Arial"/>
          <w:sz w:val="18"/>
          <w:szCs w:val="18"/>
        </w:rPr>
        <w:t xml:space="preserve"> </w:t>
      </w:r>
      <w:r w:rsidRPr="00735726">
        <w:rPr>
          <w:rFonts w:ascii="Arial" w:hAnsi="Arial" w:cs="Arial"/>
          <w:sz w:val="18"/>
          <w:szCs w:val="18"/>
        </w:rPr>
        <w:t>to restore vital services to homes and businesses, as</w:t>
      </w:r>
      <w:r w:rsidR="007E0423" w:rsidRPr="00735726">
        <w:rPr>
          <w:rFonts w:ascii="Arial" w:hAnsi="Arial" w:cs="Arial"/>
          <w:sz w:val="18"/>
          <w:szCs w:val="18"/>
        </w:rPr>
        <w:t xml:space="preserve"> </w:t>
      </w:r>
      <w:r w:rsidRPr="00735726">
        <w:rPr>
          <w:rFonts w:ascii="Arial" w:hAnsi="Arial" w:cs="Arial"/>
          <w:sz w:val="18"/>
          <w:szCs w:val="18"/>
        </w:rPr>
        <w:t>well as the many years in which they have supported</w:t>
      </w:r>
      <w:r w:rsidR="007E0423" w:rsidRPr="00735726">
        <w:rPr>
          <w:rFonts w:ascii="Arial" w:hAnsi="Arial" w:cs="Arial"/>
          <w:sz w:val="18"/>
          <w:szCs w:val="18"/>
        </w:rPr>
        <w:t xml:space="preserve"> </w:t>
      </w:r>
      <w:r w:rsidRPr="00735726">
        <w:rPr>
          <w:rFonts w:ascii="Arial" w:hAnsi="Arial" w:cs="Arial"/>
          <w:sz w:val="18"/>
          <w:szCs w:val="18"/>
        </w:rPr>
        <w:t>the Islands. Helen attended the King’s Garden party</w:t>
      </w:r>
      <w:r w:rsidR="007E0423" w:rsidRPr="00735726">
        <w:rPr>
          <w:rFonts w:ascii="Arial" w:hAnsi="Arial" w:cs="Arial"/>
          <w:sz w:val="18"/>
          <w:szCs w:val="18"/>
        </w:rPr>
        <w:t xml:space="preserve"> </w:t>
      </w:r>
      <w:r w:rsidRPr="00735726">
        <w:rPr>
          <w:rFonts w:ascii="Arial" w:hAnsi="Arial" w:cs="Arial"/>
          <w:sz w:val="18"/>
          <w:szCs w:val="18"/>
        </w:rPr>
        <w:t>at Buckingham Palace on 8 May 2026, alongside</w:t>
      </w:r>
      <w:r w:rsidR="007E0423" w:rsidRPr="00735726">
        <w:rPr>
          <w:rFonts w:ascii="Arial" w:hAnsi="Arial" w:cs="Arial"/>
          <w:sz w:val="18"/>
          <w:szCs w:val="18"/>
        </w:rPr>
        <w:t xml:space="preserve"> </w:t>
      </w:r>
      <w:r w:rsidRPr="00735726">
        <w:rPr>
          <w:rFonts w:ascii="Arial" w:hAnsi="Arial" w:cs="Arial"/>
          <w:sz w:val="18"/>
          <w:szCs w:val="18"/>
        </w:rPr>
        <w:t>representatives from other organisations involved in</w:t>
      </w:r>
      <w:r w:rsidR="007E0423" w:rsidRPr="00735726">
        <w:rPr>
          <w:rFonts w:ascii="Arial" w:hAnsi="Arial" w:cs="Arial"/>
          <w:sz w:val="18"/>
          <w:szCs w:val="18"/>
        </w:rPr>
        <w:t xml:space="preserve"> </w:t>
      </w:r>
      <w:r w:rsidRPr="00735726">
        <w:rPr>
          <w:rFonts w:ascii="Arial" w:hAnsi="Arial" w:cs="Arial"/>
          <w:sz w:val="18"/>
          <w:szCs w:val="18"/>
        </w:rPr>
        <w:t>the UK wide response to the storm.</w:t>
      </w:r>
    </w:p>
    <w:p w14:paraId="457F979F" w14:textId="5363496C" w:rsidR="00BE010F" w:rsidRPr="00735726" w:rsidRDefault="001E6B7C" w:rsidP="007E0423">
      <w:pPr>
        <w:spacing w:after="160"/>
        <w:rPr>
          <w:rFonts w:ascii="Arial" w:hAnsi="Arial" w:cs="Arial"/>
          <w:sz w:val="18"/>
          <w:szCs w:val="18"/>
        </w:rPr>
      </w:pPr>
      <w:r w:rsidRPr="00735726">
        <w:rPr>
          <w:rFonts w:ascii="Arial" w:hAnsi="Arial" w:cs="Arial"/>
          <w:sz w:val="18"/>
          <w:szCs w:val="18"/>
        </w:rPr>
        <w:t>We are proud of supplying water to such a unique</w:t>
      </w:r>
      <w:r w:rsidR="007E0423" w:rsidRPr="00735726">
        <w:rPr>
          <w:rFonts w:ascii="Arial" w:hAnsi="Arial" w:cs="Arial"/>
          <w:sz w:val="18"/>
          <w:szCs w:val="18"/>
        </w:rPr>
        <w:t xml:space="preserve"> </w:t>
      </w:r>
      <w:r w:rsidRPr="00735726">
        <w:rPr>
          <w:rFonts w:ascii="Arial" w:hAnsi="Arial" w:cs="Arial"/>
          <w:sz w:val="18"/>
          <w:szCs w:val="18"/>
        </w:rPr>
        <w:t xml:space="preserve">place as the Isles of Scilly;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became</w:t>
      </w:r>
      <w:r w:rsidR="007E0423" w:rsidRPr="00735726">
        <w:rPr>
          <w:rFonts w:ascii="Arial" w:hAnsi="Arial" w:cs="Arial"/>
          <w:sz w:val="18"/>
          <w:szCs w:val="18"/>
        </w:rPr>
        <w:t xml:space="preserve"> </w:t>
      </w:r>
      <w:r w:rsidRPr="00735726">
        <w:rPr>
          <w:rFonts w:ascii="Arial" w:hAnsi="Arial" w:cs="Arial"/>
          <w:sz w:val="18"/>
          <w:szCs w:val="18"/>
        </w:rPr>
        <w:t>responsible for water and wastewater services on the</w:t>
      </w:r>
      <w:r w:rsidR="007E0423" w:rsidRPr="00735726">
        <w:rPr>
          <w:rFonts w:ascii="Arial" w:hAnsi="Arial" w:cs="Arial"/>
          <w:sz w:val="18"/>
          <w:szCs w:val="18"/>
        </w:rPr>
        <w:t xml:space="preserve"> </w:t>
      </w:r>
      <w:r w:rsidRPr="00735726">
        <w:rPr>
          <w:rFonts w:ascii="Arial" w:hAnsi="Arial" w:cs="Arial"/>
          <w:sz w:val="18"/>
          <w:szCs w:val="18"/>
        </w:rPr>
        <w:t>Islands in April 2020, with Helen involved both shortly</w:t>
      </w:r>
      <w:r w:rsidR="007E0423" w:rsidRPr="00735726">
        <w:rPr>
          <w:rFonts w:ascii="Arial" w:hAnsi="Arial" w:cs="Arial"/>
          <w:sz w:val="18"/>
          <w:szCs w:val="18"/>
        </w:rPr>
        <w:t xml:space="preserve"> </w:t>
      </w:r>
      <w:r w:rsidRPr="00735726">
        <w:rPr>
          <w:rFonts w:ascii="Arial" w:hAnsi="Arial" w:cs="Arial"/>
          <w:sz w:val="18"/>
          <w:szCs w:val="18"/>
        </w:rPr>
        <w:t>before and after the transfer. She has since built</w:t>
      </w:r>
      <w:r w:rsidR="007E0423" w:rsidRPr="00735726">
        <w:rPr>
          <w:rFonts w:ascii="Arial" w:hAnsi="Arial" w:cs="Arial"/>
          <w:sz w:val="18"/>
          <w:szCs w:val="18"/>
        </w:rPr>
        <w:t xml:space="preserve"> </w:t>
      </w:r>
      <w:r w:rsidRPr="00735726">
        <w:rPr>
          <w:rFonts w:ascii="Arial" w:hAnsi="Arial" w:cs="Arial"/>
          <w:sz w:val="18"/>
          <w:szCs w:val="18"/>
        </w:rPr>
        <w:t>her team, most of whom were recruited locally and</w:t>
      </w:r>
      <w:r w:rsidR="007E0423" w:rsidRPr="00735726">
        <w:rPr>
          <w:rFonts w:ascii="Arial" w:hAnsi="Arial" w:cs="Arial"/>
          <w:sz w:val="18"/>
          <w:szCs w:val="18"/>
        </w:rPr>
        <w:t xml:space="preserve"> </w:t>
      </w:r>
      <w:r w:rsidRPr="00735726">
        <w:rPr>
          <w:rFonts w:ascii="Arial" w:hAnsi="Arial" w:cs="Arial"/>
          <w:sz w:val="18"/>
          <w:szCs w:val="18"/>
        </w:rPr>
        <w:t xml:space="preserve">upskilled, </w:t>
      </w:r>
      <w:r w:rsidRPr="00735726">
        <w:rPr>
          <w:rFonts w:ascii="Arial" w:hAnsi="Arial" w:cs="Arial"/>
          <w:sz w:val="18"/>
          <w:szCs w:val="18"/>
        </w:rPr>
        <w:lastRenderedPageBreak/>
        <w:t>and are all part of the Islands’ community.</w:t>
      </w:r>
      <w:r w:rsidR="00BE010F" w:rsidRPr="00735726">
        <w:rPr>
          <w:rFonts w:ascii="Arial" w:hAnsi="Arial" w:cs="Arial"/>
          <w:sz w:val="18"/>
          <w:szCs w:val="18"/>
        </w:rPr>
        <w:t xml:space="preserve"> </w:t>
      </w:r>
      <w:r w:rsidRPr="00735726">
        <w:rPr>
          <w:rFonts w:ascii="Arial" w:hAnsi="Arial" w:cs="Arial"/>
          <w:sz w:val="18"/>
          <w:szCs w:val="18"/>
        </w:rPr>
        <w:t>The small team cover all aspects of the job from water</w:t>
      </w:r>
      <w:r w:rsidR="007E0423" w:rsidRPr="00735726">
        <w:rPr>
          <w:rFonts w:ascii="Arial" w:hAnsi="Arial" w:cs="Arial"/>
          <w:sz w:val="18"/>
          <w:szCs w:val="18"/>
        </w:rPr>
        <w:t xml:space="preserve"> </w:t>
      </w:r>
      <w:r w:rsidRPr="00735726">
        <w:rPr>
          <w:rFonts w:ascii="Arial" w:hAnsi="Arial" w:cs="Arial"/>
          <w:sz w:val="18"/>
          <w:szCs w:val="18"/>
        </w:rPr>
        <w:t>resources to metering and from sewerage collection</w:t>
      </w:r>
      <w:r w:rsidR="007E0423" w:rsidRPr="00735726">
        <w:rPr>
          <w:rFonts w:ascii="Arial" w:hAnsi="Arial" w:cs="Arial"/>
          <w:sz w:val="18"/>
          <w:szCs w:val="18"/>
        </w:rPr>
        <w:t xml:space="preserve"> </w:t>
      </w:r>
      <w:r w:rsidRPr="00735726">
        <w:rPr>
          <w:rFonts w:ascii="Arial" w:hAnsi="Arial" w:cs="Arial"/>
          <w:sz w:val="18"/>
          <w:szCs w:val="18"/>
        </w:rPr>
        <w:t>to treatment where mains drainage is in place. Around</w:t>
      </w:r>
      <w:r w:rsidR="007E0423" w:rsidRPr="00735726">
        <w:rPr>
          <w:rFonts w:ascii="Arial" w:hAnsi="Arial" w:cs="Arial"/>
          <w:sz w:val="18"/>
          <w:szCs w:val="18"/>
        </w:rPr>
        <w:t xml:space="preserve"> </w:t>
      </w:r>
      <w:r w:rsidRPr="00735726">
        <w:rPr>
          <w:rFonts w:ascii="Arial" w:hAnsi="Arial" w:cs="Arial"/>
          <w:sz w:val="18"/>
          <w:szCs w:val="18"/>
        </w:rPr>
        <w:t>2,500 people live on the five inhabited islands, with</w:t>
      </w:r>
      <w:r w:rsidR="007E0423" w:rsidRPr="00735726">
        <w:rPr>
          <w:rFonts w:ascii="Arial" w:hAnsi="Arial" w:cs="Arial"/>
          <w:sz w:val="18"/>
          <w:szCs w:val="18"/>
        </w:rPr>
        <w:t xml:space="preserve"> </w:t>
      </w:r>
      <w:r w:rsidRPr="00735726">
        <w:rPr>
          <w:rFonts w:ascii="Arial" w:hAnsi="Arial" w:cs="Arial"/>
          <w:sz w:val="18"/>
          <w:szCs w:val="18"/>
        </w:rPr>
        <w:t>tourism doubling this in the summer months, putting</w:t>
      </w:r>
      <w:r w:rsidR="007E0423" w:rsidRPr="00735726">
        <w:rPr>
          <w:rFonts w:ascii="Arial" w:hAnsi="Arial" w:cs="Arial"/>
          <w:sz w:val="18"/>
          <w:szCs w:val="18"/>
        </w:rPr>
        <w:t xml:space="preserve"> </w:t>
      </w:r>
      <w:r w:rsidRPr="00735726">
        <w:rPr>
          <w:rFonts w:ascii="Arial" w:hAnsi="Arial" w:cs="Arial"/>
          <w:sz w:val="18"/>
          <w:szCs w:val="18"/>
        </w:rPr>
        <w:t>pressure on the water resources and highlighting the</w:t>
      </w:r>
      <w:r w:rsidR="007E0423" w:rsidRPr="00735726">
        <w:rPr>
          <w:rFonts w:ascii="Arial" w:hAnsi="Arial" w:cs="Arial"/>
          <w:sz w:val="18"/>
          <w:szCs w:val="18"/>
        </w:rPr>
        <w:t xml:space="preserve"> </w:t>
      </w:r>
      <w:r w:rsidRPr="00735726">
        <w:rPr>
          <w:rFonts w:ascii="Arial" w:hAnsi="Arial" w:cs="Arial"/>
          <w:sz w:val="18"/>
          <w:szCs w:val="18"/>
        </w:rPr>
        <w:t>importance of using water efficiently.</w:t>
      </w:r>
    </w:p>
    <w:p w14:paraId="1FBD52B2" w14:textId="744C133B" w:rsidR="00BE010F" w:rsidRPr="00735726" w:rsidRDefault="001E6B7C" w:rsidP="007E0423">
      <w:pPr>
        <w:spacing w:after="160"/>
        <w:rPr>
          <w:rFonts w:ascii="Arial" w:hAnsi="Arial" w:cs="Arial"/>
          <w:sz w:val="18"/>
          <w:szCs w:val="18"/>
        </w:rPr>
      </w:pPr>
      <w:r w:rsidRPr="00735726">
        <w:rPr>
          <w:rFonts w:ascii="Arial" w:hAnsi="Arial" w:cs="Arial"/>
          <w:sz w:val="18"/>
          <w:szCs w:val="18"/>
        </w:rPr>
        <w:t>Our programme to 2030 includes significant</w:t>
      </w:r>
      <w:r w:rsidR="007E0423" w:rsidRPr="00735726">
        <w:rPr>
          <w:rFonts w:ascii="Arial" w:hAnsi="Arial" w:cs="Arial"/>
          <w:sz w:val="18"/>
          <w:szCs w:val="18"/>
        </w:rPr>
        <w:t xml:space="preserve"> </w:t>
      </w:r>
      <w:r w:rsidRPr="00735726">
        <w:rPr>
          <w:rFonts w:ascii="Arial" w:hAnsi="Arial" w:cs="Arial"/>
          <w:sz w:val="18"/>
          <w:szCs w:val="18"/>
        </w:rPr>
        <w:t>investment to build new desalination plants on each</w:t>
      </w:r>
      <w:r w:rsidR="007E0423" w:rsidRPr="00735726">
        <w:rPr>
          <w:rFonts w:ascii="Arial" w:hAnsi="Arial" w:cs="Arial"/>
          <w:sz w:val="18"/>
          <w:szCs w:val="18"/>
        </w:rPr>
        <w:t xml:space="preserve"> </w:t>
      </w:r>
      <w:r w:rsidRPr="00735726">
        <w:rPr>
          <w:rFonts w:ascii="Arial" w:hAnsi="Arial" w:cs="Arial"/>
          <w:sz w:val="18"/>
          <w:szCs w:val="18"/>
        </w:rPr>
        <w:t>of the Islands to provide resilience to drought as well</w:t>
      </w:r>
      <w:r w:rsidR="007E0423" w:rsidRPr="00735726">
        <w:rPr>
          <w:rFonts w:ascii="Arial" w:hAnsi="Arial" w:cs="Arial"/>
          <w:sz w:val="18"/>
          <w:szCs w:val="18"/>
        </w:rPr>
        <w:t xml:space="preserve"> </w:t>
      </w:r>
      <w:r w:rsidRPr="00735726">
        <w:rPr>
          <w:rFonts w:ascii="Arial" w:hAnsi="Arial" w:cs="Arial"/>
          <w:sz w:val="18"/>
          <w:szCs w:val="18"/>
        </w:rPr>
        <w:t>as to upgrade the wastewater treatment on St Mary</w:t>
      </w:r>
      <w:r w:rsidR="006A5A97" w:rsidRPr="00735726">
        <w:rPr>
          <w:rFonts w:ascii="Arial" w:hAnsi="Arial" w:cs="Arial"/>
          <w:sz w:val="18"/>
          <w:szCs w:val="18"/>
        </w:rPr>
        <w:t>’</w:t>
      </w:r>
      <w:r w:rsidRPr="00735726">
        <w:rPr>
          <w:rFonts w:ascii="Arial" w:hAnsi="Arial" w:cs="Arial"/>
          <w:sz w:val="18"/>
          <w:szCs w:val="18"/>
        </w:rPr>
        <w:t>s</w:t>
      </w:r>
      <w:r w:rsidR="007E0423" w:rsidRPr="00735726">
        <w:rPr>
          <w:rFonts w:ascii="Arial" w:hAnsi="Arial" w:cs="Arial"/>
          <w:sz w:val="18"/>
          <w:szCs w:val="18"/>
        </w:rPr>
        <w:t xml:space="preserve"> </w:t>
      </w:r>
      <w:r w:rsidRPr="00735726">
        <w:rPr>
          <w:rFonts w:ascii="Arial" w:hAnsi="Arial" w:cs="Arial"/>
          <w:sz w:val="18"/>
          <w:szCs w:val="18"/>
        </w:rPr>
        <w:t xml:space="preserve">and </w:t>
      </w:r>
      <w:proofErr w:type="spellStart"/>
      <w:r w:rsidRPr="00735726">
        <w:rPr>
          <w:rFonts w:ascii="Arial" w:hAnsi="Arial" w:cs="Arial"/>
          <w:sz w:val="18"/>
          <w:szCs w:val="18"/>
        </w:rPr>
        <w:t>Tresco</w:t>
      </w:r>
      <w:proofErr w:type="spellEnd"/>
      <w:r w:rsidRPr="00735726">
        <w:rPr>
          <w:rFonts w:ascii="Arial" w:hAnsi="Arial" w:cs="Arial"/>
          <w:sz w:val="18"/>
          <w:szCs w:val="18"/>
        </w:rPr>
        <w:t>, providing benefit to customers and the</w:t>
      </w:r>
      <w:r w:rsidR="007E0423" w:rsidRPr="00735726">
        <w:rPr>
          <w:rFonts w:ascii="Arial" w:hAnsi="Arial" w:cs="Arial"/>
          <w:sz w:val="18"/>
          <w:szCs w:val="18"/>
        </w:rPr>
        <w:t xml:space="preserve"> </w:t>
      </w:r>
      <w:r w:rsidRPr="00735726">
        <w:rPr>
          <w:rFonts w:ascii="Arial" w:hAnsi="Arial" w:cs="Arial"/>
          <w:sz w:val="18"/>
          <w:szCs w:val="18"/>
        </w:rPr>
        <w:t xml:space="preserve">environment. </w:t>
      </w:r>
    </w:p>
    <w:p w14:paraId="4AA0F1B5" w14:textId="1B658F4A" w:rsidR="00BE010F" w:rsidRPr="00735726" w:rsidRDefault="00BE010F" w:rsidP="007E0423">
      <w:pPr>
        <w:spacing w:after="160"/>
        <w:rPr>
          <w:rFonts w:ascii="Arial" w:hAnsi="Arial" w:cs="Arial"/>
          <w:b/>
          <w:bCs/>
          <w:sz w:val="18"/>
          <w:szCs w:val="18"/>
        </w:rPr>
      </w:pPr>
      <w:r w:rsidRPr="00735726">
        <w:rPr>
          <w:rFonts w:ascii="Arial" w:hAnsi="Arial" w:cs="Arial"/>
          <w:b/>
          <w:bCs/>
          <w:sz w:val="18"/>
          <w:szCs w:val="18"/>
        </w:rPr>
        <w:t>MANAGING DEMAND AND ENSURING EFFICIENCY</w:t>
      </w:r>
    </w:p>
    <w:p w14:paraId="5250A665" w14:textId="4EAE308F" w:rsidR="00BE010F" w:rsidRPr="00735726" w:rsidRDefault="00BE010F" w:rsidP="00BE010F">
      <w:pPr>
        <w:spacing w:after="160"/>
        <w:rPr>
          <w:rFonts w:ascii="Arial" w:hAnsi="Arial" w:cs="Arial"/>
          <w:sz w:val="18"/>
          <w:szCs w:val="18"/>
        </w:rPr>
      </w:pPr>
      <w:r w:rsidRPr="00735726">
        <w:rPr>
          <w:rFonts w:ascii="Arial" w:hAnsi="Arial" w:cs="Arial"/>
          <w:i/>
          <w:iCs/>
          <w:sz w:val="18"/>
          <w:szCs w:val="18"/>
        </w:rPr>
        <w:t>HOUSEHOLD DEMAND</w:t>
      </w:r>
      <w:r w:rsidRPr="00735726">
        <w:rPr>
          <w:rFonts w:ascii="Arial" w:hAnsi="Arial" w:cs="Arial"/>
          <w:i/>
          <w:iCs/>
          <w:sz w:val="18"/>
          <w:szCs w:val="18"/>
        </w:rPr>
        <w:br/>
      </w:r>
      <w:r w:rsidRPr="00735726">
        <w:rPr>
          <w:rFonts w:ascii="Arial" w:hAnsi="Arial" w:cs="Arial"/>
          <w:sz w:val="18"/>
          <w:szCs w:val="18"/>
        </w:rPr>
        <w:t>Reducing household demand remains a strategic objective, balancing affordability and environmental outcomes. The government target is to reduce per capita consumption to 110 litres per person per day by 2045.</w:t>
      </w:r>
    </w:p>
    <w:p w14:paraId="07052617" w14:textId="48E9FBC3" w:rsidR="00BE010F" w:rsidRPr="00735726" w:rsidRDefault="00BE010F" w:rsidP="00BE010F">
      <w:pPr>
        <w:spacing w:after="160"/>
        <w:rPr>
          <w:rFonts w:ascii="Arial" w:hAnsi="Arial" w:cs="Arial"/>
          <w:sz w:val="18"/>
          <w:szCs w:val="18"/>
        </w:rPr>
      </w:pPr>
      <w:r w:rsidRPr="00735726">
        <w:rPr>
          <w:rFonts w:ascii="Arial" w:hAnsi="Arial" w:cs="Arial"/>
          <w:sz w:val="18"/>
          <w:szCs w:val="18"/>
        </w:rPr>
        <w:t xml:space="preserve">Prolonged dry weather in spring and summer 2025 resulted in increased consumption, and targets remain challenging across the sector. We continued our </w:t>
      </w:r>
      <w:r w:rsidR="006A5A97" w:rsidRPr="00735726">
        <w:rPr>
          <w:rFonts w:ascii="Arial" w:hAnsi="Arial" w:cs="Arial"/>
          <w:sz w:val="18"/>
          <w:szCs w:val="18"/>
        </w:rPr>
        <w:t>‘</w:t>
      </w:r>
      <w:r w:rsidRPr="00735726">
        <w:rPr>
          <w:rFonts w:ascii="Arial" w:hAnsi="Arial" w:cs="Arial"/>
          <w:sz w:val="18"/>
          <w:szCs w:val="18"/>
        </w:rPr>
        <w:t>Water is Precious</w:t>
      </w:r>
      <w:r w:rsidR="006A5A97" w:rsidRPr="00735726">
        <w:rPr>
          <w:rFonts w:ascii="Arial" w:hAnsi="Arial" w:cs="Arial"/>
          <w:sz w:val="18"/>
          <w:szCs w:val="18"/>
        </w:rPr>
        <w:t>’</w:t>
      </w:r>
      <w:r w:rsidRPr="00735726">
        <w:rPr>
          <w:rFonts w:ascii="Arial" w:hAnsi="Arial" w:cs="Arial"/>
          <w:sz w:val="18"/>
          <w:szCs w:val="18"/>
        </w:rPr>
        <w:t xml:space="preserve"> behavioural campaign, with notable engagement in Bristol where our free water efficiency devices, through our ‘Get Water Fit’ platform, which saw increased uptake, and household water audits commenced in January 2026.</w:t>
      </w:r>
    </w:p>
    <w:p w14:paraId="4895FC42" w14:textId="77777777" w:rsidR="00BE010F" w:rsidRPr="00735726" w:rsidRDefault="00BE010F" w:rsidP="00BE010F">
      <w:pPr>
        <w:spacing w:after="160"/>
        <w:rPr>
          <w:rFonts w:ascii="Arial" w:hAnsi="Arial" w:cs="Arial"/>
          <w:sz w:val="18"/>
          <w:szCs w:val="18"/>
        </w:rPr>
      </w:pPr>
      <w:r w:rsidRPr="00735726">
        <w:rPr>
          <w:rFonts w:ascii="Arial" w:hAnsi="Arial" w:cs="Arial"/>
          <w:sz w:val="18"/>
          <w:szCs w:val="18"/>
        </w:rPr>
        <w:t xml:space="preserve">Ofwat’s nationwide behavioural programme launches this year, funded through a levy in customer bills, and we anticipate its positive impact on customer behaviour and consumption reduction. </w:t>
      </w:r>
    </w:p>
    <w:p w14:paraId="3E2BF417" w14:textId="5157D1F5" w:rsidR="00BE010F" w:rsidRPr="00735726" w:rsidRDefault="00BE010F" w:rsidP="00BE010F">
      <w:pPr>
        <w:spacing w:after="160"/>
        <w:rPr>
          <w:rFonts w:ascii="Arial" w:hAnsi="Arial" w:cs="Arial"/>
          <w:sz w:val="18"/>
          <w:szCs w:val="18"/>
        </w:rPr>
      </w:pPr>
      <w:r w:rsidRPr="00735726">
        <w:rPr>
          <w:rFonts w:ascii="Arial" w:hAnsi="Arial" w:cs="Arial"/>
          <w:sz w:val="18"/>
          <w:szCs w:val="18"/>
        </w:rPr>
        <w:t xml:space="preserve">Our smart metering programme is progressing, aiming to significantly expand coverage by 2030, supported by preparatory work during this regulatory year. Data from installed smart meters will facilitate customer engagement and help identify customer-side leakage. Additionally, tariff trials 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are ongoing, designed to incentivise reduced consumption and ensure fairer charging. Early results are promising, demonstrating reductions in household consumption and supporting our commitment to sustainable water management.</w:t>
      </w:r>
    </w:p>
    <w:p w14:paraId="00A9D895" w14:textId="7B6E1E63" w:rsidR="00C27A4F" w:rsidRPr="00735726" w:rsidRDefault="00C27A4F" w:rsidP="00C27A4F">
      <w:pPr>
        <w:spacing w:after="160"/>
        <w:rPr>
          <w:rFonts w:ascii="Arial" w:hAnsi="Arial" w:cs="Arial"/>
          <w:sz w:val="18"/>
          <w:szCs w:val="18"/>
        </w:rPr>
      </w:pPr>
      <w:r w:rsidRPr="00735726">
        <w:rPr>
          <w:rFonts w:ascii="Arial" w:hAnsi="Arial" w:cs="Arial"/>
          <w:i/>
          <w:iCs/>
          <w:sz w:val="18"/>
          <w:szCs w:val="18"/>
        </w:rPr>
        <w:t>CHEDDAR 2 STRATEGIC RESOURCE OPTION (SRO)</w:t>
      </w:r>
      <w:r w:rsidRPr="00735726">
        <w:rPr>
          <w:rFonts w:ascii="Arial" w:hAnsi="Arial" w:cs="Arial"/>
          <w:sz w:val="18"/>
          <w:szCs w:val="18"/>
        </w:rPr>
        <w:t xml:space="preserve"> </w:t>
      </w:r>
      <w:r w:rsidRPr="00735726">
        <w:rPr>
          <w:rFonts w:ascii="Arial" w:hAnsi="Arial" w:cs="Arial"/>
          <w:sz w:val="18"/>
          <w:szCs w:val="18"/>
        </w:rPr>
        <w:br/>
        <w:t xml:space="preserve">With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facing the dual challenges of climate change and above-average population growth, we are working with Wessex Water to assess the Strategic Resource Options available to provide resilient supply for the entire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region. One option being considered is the Cheddar 2 Reservoir and Transfer Project which could play a key role in meeting future water needs across the region. The project is investigating the option to build a second reservoir, adjacent to the existing Cheddar reservoir, and would be designed to reduce reliance on natural water sources, supporting environmental resilience by helping to protect these ecosystems </w:t>
      </w:r>
      <w:r w:rsidR="006C1BA9" w:rsidRPr="00735726">
        <w:rPr>
          <w:rFonts w:ascii="Arial" w:hAnsi="Arial" w:cs="Arial"/>
          <w:sz w:val="18"/>
          <w:szCs w:val="18"/>
        </w:rPr>
        <w:t xml:space="preserve">- </w:t>
      </w:r>
      <w:r w:rsidRPr="00735726">
        <w:rPr>
          <w:rFonts w:ascii="Arial" w:hAnsi="Arial" w:cs="Arial"/>
          <w:sz w:val="18"/>
          <w:szCs w:val="18"/>
        </w:rPr>
        <w:t>particularly during drought conditions.</w:t>
      </w:r>
    </w:p>
    <w:p w14:paraId="658F2EF8" w14:textId="77777777" w:rsidR="009311B2" w:rsidRPr="00735726" w:rsidRDefault="00C27A4F" w:rsidP="00C27A4F">
      <w:pPr>
        <w:spacing w:after="160"/>
        <w:rPr>
          <w:rFonts w:ascii="Arial" w:hAnsi="Arial" w:cs="Arial"/>
          <w:sz w:val="18"/>
          <w:szCs w:val="18"/>
        </w:rPr>
      </w:pPr>
      <w:r w:rsidRPr="00735726">
        <w:rPr>
          <w:rFonts w:ascii="Arial" w:hAnsi="Arial" w:cs="Arial"/>
          <w:sz w:val="18"/>
          <w:szCs w:val="18"/>
        </w:rPr>
        <w:t>The reservoir would be designed to mitigate drought</w:t>
      </w:r>
      <w:r w:rsidR="009311B2" w:rsidRPr="00735726">
        <w:rPr>
          <w:rFonts w:ascii="Arial" w:hAnsi="Arial" w:cs="Arial"/>
          <w:sz w:val="18"/>
          <w:szCs w:val="18"/>
        </w:rPr>
        <w:t xml:space="preserve"> </w:t>
      </w:r>
      <w:r w:rsidRPr="00735726">
        <w:rPr>
          <w:rFonts w:ascii="Arial" w:hAnsi="Arial" w:cs="Arial"/>
          <w:sz w:val="18"/>
          <w:szCs w:val="18"/>
        </w:rPr>
        <w:t xml:space="preserve">risks in the </w:t>
      </w:r>
      <w:proofErr w:type="gramStart"/>
      <w:r w:rsidRPr="00735726">
        <w:rPr>
          <w:rFonts w:ascii="Arial" w:hAnsi="Arial" w:cs="Arial"/>
          <w:sz w:val="18"/>
          <w:szCs w:val="18"/>
        </w:rPr>
        <w:t>South West</w:t>
      </w:r>
      <w:proofErr w:type="gramEnd"/>
      <w:r w:rsidRPr="00735726">
        <w:rPr>
          <w:rFonts w:ascii="Arial" w:hAnsi="Arial" w:cs="Arial"/>
          <w:sz w:val="18"/>
          <w:szCs w:val="18"/>
        </w:rPr>
        <w:t>, by enabling water to be stored</w:t>
      </w:r>
      <w:r w:rsidR="009311B2" w:rsidRPr="00735726">
        <w:rPr>
          <w:rFonts w:ascii="Arial" w:hAnsi="Arial" w:cs="Arial"/>
          <w:sz w:val="18"/>
          <w:szCs w:val="18"/>
        </w:rPr>
        <w:t xml:space="preserve"> </w:t>
      </w:r>
      <w:r w:rsidRPr="00735726">
        <w:rPr>
          <w:rFonts w:ascii="Arial" w:hAnsi="Arial" w:cs="Arial"/>
          <w:sz w:val="18"/>
          <w:szCs w:val="18"/>
        </w:rPr>
        <w:t>and then transferred south - through Wessex Water’s</w:t>
      </w:r>
      <w:r w:rsidR="009311B2" w:rsidRPr="00735726">
        <w:rPr>
          <w:rFonts w:ascii="Arial" w:hAnsi="Arial" w:cs="Arial"/>
          <w:sz w:val="18"/>
          <w:szCs w:val="18"/>
        </w:rPr>
        <w:t xml:space="preserve"> </w:t>
      </w:r>
      <w:r w:rsidRPr="00735726">
        <w:rPr>
          <w:rFonts w:ascii="Arial" w:hAnsi="Arial" w:cs="Arial"/>
          <w:sz w:val="18"/>
          <w:szCs w:val="18"/>
        </w:rPr>
        <w:t xml:space="preserve">network and into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 to provide</w:t>
      </w:r>
      <w:r w:rsidR="009311B2" w:rsidRPr="00735726">
        <w:rPr>
          <w:rFonts w:ascii="Arial" w:hAnsi="Arial" w:cs="Arial"/>
          <w:sz w:val="18"/>
          <w:szCs w:val="18"/>
        </w:rPr>
        <w:t xml:space="preserve"> </w:t>
      </w:r>
      <w:r w:rsidRPr="00735726">
        <w:rPr>
          <w:rFonts w:ascii="Arial" w:hAnsi="Arial" w:cs="Arial"/>
          <w:sz w:val="18"/>
          <w:szCs w:val="18"/>
        </w:rPr>
        <w:t>resilient supplies for customers in Devon.</w:t>
      </w:r>
      <w:r w:rsidR="009311B2" w:rsidRPr="00735726">
        <w:rPr>
          <w:rFonts w:ascii="Arial" w:hAnsi="Arial" w:cs="Arial"/>
          <w:sz w:val="18"/>
          <w:szCs w:val="18"/>
        </w:rPr>
        <w:t xml:space="preserve"> </w:t>
      </w:r>
    </w:p>
    <w:p w14:paraId="32CF8FC7" w14:textId="39AFBD7A" w:rsidR="00C27A4F" w:rsidRPr="00735726" w:rsidRDefault="00C27A4F" w:rsidP="00C27A4F">
      <w:pPr>
        <w:spacing w:after="160"/>
        <w:rPr>
          <w:rFonts w:ascii="Arial" w:hAnsi="Arial" w:cs="Arial"/>
          <w:sz w:val="18"/>
          <w:szCs w:val="18"/>
        </w:rPr>
      </w:pPr>
      <w:r w:rsidRPr="00735726">
        <w:rPr>
          <w:rFonts w:ascii="Arial" w:hAnsi="Arial" w:cs="Arial"/>
          <w:sz w:val="18"/>
          <w:szCs w:val="18"/>
        </w:rPr>
        <w:t>If the project is approved, it is anticipated construction</w:t>
      </w:r>
      <w:r w:rsidR="009311B2" w:rsidRPr="00735726">
        <w:rPr>
          <w:rFonts w:ascii="Arial" w:hAnsi="Arial" w:cs="Arial"/>
          <w:sz w:val="18"/>
          <w:szCs w:val="18"/>
        </w:rPr>
        <w:t xml:space="preserve"> </w:t>
      </w:r>
      <w:r w:rsidRPr="00735726">
        <w:rPr>
          <w:rFonts w:ascii="Arial" w:hAnsi="Arial" w:cs="Arial"/>
          <w:sz w:val="18"/>
          <w:szCs w:val="18"/>
        </w:rPr>
        <w:t>would commence during the next regulatory period.</w:t>
      </w:r>
      <w:r w:rsidR="009311B2" w:rsidRPr="00735726">
        <w:rPr>
          <w:rFonts w:ascii="Arial" w:hAnsi="Arial" w:cs="Arial"/>
          <w:sz w:val="18"/>
          <w:szCs w:val="18"/>
        </w:rPr>
        <w:t xml:space="preserve"> </w:t>
      </w:r>
      <w:r w:rsidRPr="00735726">
        <w:rPr>
          <w:rFonts w:ascii="Arial" w:hAnsi="Arial" w:cs="Arial"/>
          <w:sz w:val="18"/>
          <w:szCs w:val="18"/>
        </w:rPr>
        <w:t>The scheme would form part of national and regional</w:t>
      </w:r>
      <w:r w:rsidR="009311B2" w:rsidRPr="00735726">
        <w:rPr>
          <w:rFonts w:ascii="Arial" w:hAnsi="Arial" w:cs="Arial"/>
          <w:sz w:val="18"/>
          <w:szCs w:val="18"/>
        </w:rPr>
        <w:t xml:space="preserve"> </w:t>
      </w:r>
      <w:r w:rsidRPr="00735726">
        <w:rPr>
          <w:rFonts w:ascii="Arial" w:hAnsi="Arial" w:cs="Arial"/>
          <w:sz w:val="18"/>
          <w:szCs w:val="18"/>
        </w:rPr>
        <w:t>water resource management plans, to help balance</w:t>
      </w:r>
      <w:r w:rsidR="009311B2" w:rsidRPr="00735726">
        <w:rPr>
          <w:rFonts w:ascii="Arial" w:hAnsi="Arial" w:cs="Arial"/>
          <w:sz w:val="18"/>
          <w:szCs w:val="18"/>
        </w:rPr>
        <w:t xml:space="preserve"> </w:t>
      </w:r>
      <w:r w:rsidRPr="00735726">
        <w:rPr>
          <w:rFonts w:ascii="Arial" w:hAnsi="Arial" w:cs="Arial"/>
          <w:sz w:val="18"/>
          <w:szCs w:val="18"/>
        </w:rPr>
        <w:t>supply and demand by enabling transfers from areas</w:t>
      </w:r>
      <w:r w:rsidR="009311B2" w:rsidRPr="00735726">
        <w:rPr>
          <w:rFonts w:ascii="Arial" w:hAnsi="Arial" w:cs="Arial"/>
          <w:sz w:val="18"/>
          <w:szCs w:val="18"/>
        </w:rPr>
        <w:t xml:space="preserve"> </w:t>
      </w:r>
      <w:r w:rsidRPr="00735726">
        <w:rPr>
          <w:rFonts w:ascii="Arial" w:hAnsi="Arial" w:cs="Arial"/>
          <w:sz w:val="18"/>
          <w:szCs w:val="18"/>
        </w:rPr>
        <w:t>of relative surplus.</w:t>
      </w:r>
    </w:p>
    <w:p w14:paraId="16D1EB15" w14:textId="77777777" w:rsidR="00D43F85" w:rsidRPr="00735726" w:rsidRDefault="00C27A4F" w:rsidP="00C27A4F">
      <w:pPr>
        <w:spacing w:after="160"/>
        <w:rPr>
          <w:rFonts w:ascii="Arial" w:hAnsi="Arial" w:cs="Arial"/>
          <w:sz w:val="18"/>
          <w:szCs w:val="18"/>
        </w:rPr>
      </w:pPr>
      <w:r w:rsidRPr="00735726">
        <w:rPr>
          <w:rFonts w:ascii="Arial" w:hAnsi="Arial" w:cs="Arial"/>
          <w:sz w:val="18"/>
          <w:szCs w:val="18"/>
        </w:rPr>
        <w:t>Engagement with local stakeholders has started, and</w:t>
      </w:r>
      <w:r w:rsidR="009311B2" w:rsidRPr="00735726">
        <w:rPr>
          <w:rFonts w:ascii="Arial" w:hAnsi="Arial" w:cs="Arial"/>
          <w:sz w:val="18"/>
          <w:szCs w:val="18"/>
        </w:rPr>
        <w:t xml:space="preserve"> </w:t>
      </w:r>
      <w:r w:rsidRPr="00735726">
        <w:rPr>
          <w:rFonts w:ascii="Arial" w:hAnsi="Arial" w:cs="Arial"/>
          <w:sz w:val="18"/>
          <w:szCs w:val="18"/>
        </w:rPr>
        <w:t>our teams are working to ensure we maximise the</w:t>
      </w:r>
      <w:r w:rsidR="009311B2" w:rsidRPr="00735726">
        <w:rPr>
          <w:rFonts w:ascii="Arial" w:hAnsi="Arial" w:cs="Arial"/>
          <w:sz w:val="18"/>
          <w:szCs w:val="18"/>
        </w:rPr>
        <w:t xml:space="preserve"> </w:t>
      </w:r>
      <w:r w:rsidRPr="00735726">
        <w:rPr>
          <w:rFonts w:ascii="Arial" w:hAnsi="Arial" w:cs="Arial"/>
          <w:sz w:val="18"/>
          <w:szCs w:val="18"/>
        </w:rPr>
        <w:t>opportunity to protect local biodiversity and enhance</w:t>
      </w:r>
      <w:r w:rsidR="009311B2" w:rsidRPr="00735726">
        <w:rPr>
          <w:rFonts w:ascii="Arial" w:hAnsi="Arial" w:cs="Arial"/>
          <w:sz w:val="18"/>
          <w:szCs w:val="18"/>
        </w:rPr>
        <w:t xml:space="preserve"> </w:t>
      </w:r>
      <w:r w:rsidRPr="00735726">
        <w:rPr>
          <w:rFonts w:ascii="Arial" w:hAnsi="Arial" w:cs="Arial"/>
          <w:sz w:val="18"/>
          <w:szCs w:val="18"/>
        </w:rPr>
        <w:t xml:space="preserve">the natural environment. </w:t>
      </w:r>
    </w:p>
    <w:p w14:paraId="7F498E72" w14:textId="7285E6CF" w:rsidR="00AF4273" w:rsidRPr="009A2CAE" w:rsidRDefault="00D43F85" w:rsidP="00277639">
      <w:pPr>
        <w:spacing w:after="160"/>
        <w:rPr>
          <w:rFonts w:ascii="Arial" w:hAnsi="Arial" w:cs="Arial"/>
          <w:sz w:val="18"/>
          <w:szCs w:val="18"/>
        </w:rPr>
      </w:pPr>
      <w:r w:rsidRPr="00735726">
        <w:rPr>
          <w:rFonts w:ascii="Arial" w:hAnsi="Arial" w:cs="Arial"/>
          <w:b/>
          <w:bCs/>
          <w:sz w:val="18"/>
          <w:szCs w:val="18"/>
        </w:rPr>
        <w:t>OPERATIONAL KPIs</w:t>
      </w:r>
      <w:r w:rsidR="00D62E2B" w:rsidRPr="00735726">
        <w:rPr>
          <w:rFonts w:ascii="Arial" w:hAnsi="Arial" w:cs="Arial"/>
          <w:sz w:val="18"/>
          <w:szCs w:val="18"/>
        </w:rPr>
        <w:br/>
      </w:r>
      <w:r w:rsidR="00AF4273" w:rsidRPr="00735726">
        <w:rPr>
          <w:rFonts w:ascii="Arial" w:hAnsi="Arial" w:cs="Arial"/>
          <w:sz w:val="18"/>
          <w:szCs w:val="18"/>
        </w:rPr>
        <w:t xml:space="preserve">More information can be found in Pennon Group </w:t>
      </w:r>
      <w:r w:rsidR="0078265F" w:rsidRPr="00735726">
        <w:rPr>
          <w:rFonts w:ascii="Arial" w:hAnsi="Arial" w:cs="Arial"/>
          <w:sz w:val="18"/>
          <w:szCs w:val="18"/>
        </w:rPr>
        <w:t xml:space="preserve">plc </w:t>
      </w:r>
      <w:r w:rsidR="00AF4273" w:rsidRPr="00735726">
        <w:rPr>
          <w:rFonts w:ascii="Arial" w:hAnsi="Arial" w:cs="Arial"/>
          <w:sz w:val="18"/>
          <w:szCs w:val="18"/>
        </w:rPr>
        <w:t xml:space="preserve">Annual Report and Accounts 2026 </w:t>
      </w:r>
      <w:r w:rsidR="00AF4273" w:rsidRPr="009A2CAE">
        <w:rPr>
          <w:rFonts w:ascii="Arial" w:hAnsi="Arial" w:cs="Arial"/>
          <w:sz w:val="18"/>
          <w:szCs w:val="18"/>
        </w:rPr>
        <w:t xml:space="preserve">pages </w:t>
      </w:r>
      <w:r w:rsidR="003D1633" w:rsidRPr="009A2CAE">
        <w:rPr>
          <w:rFonts w:ascii="Arial" w:hAnsi="Arial" w:cs="Arial"/>
          <w:sz w:val="18"/>
          <w:szCs w:val="18"/>
        </w:rPr>
        <w:t>34 to 35</w:t>
      </w:r>
      <w:r w:rsidR="00AF4273" w:rsidRPr="009A2CAE">
        <w:rPr>
          <w:rFonts w:ascii="Arial" w:hAnsi="Arial" w:cs="Arial"/>
          <w:sz w:val="18"/>
          <w:szCs w:val="18"/>
        </w:rPr>
        <w:t>.</w:t>
      </w:r>
    </w:p>
    <w:p w14:paraId="5709FF3B" w14:textId="43EA94EA" w:rsidR="00D43F85" w:rsidRPr="00735726" w:rsidRDefault="00D43F85" w:rsidP="00D43F85">
      <w:pPr>
        <w:spacing w:after="0"/>
        <w:rPr>
          <w:rFonts w:ascii="Arial" w:hAnsi="Arial" w:cs="Arial"/>
          <w:i/>
          <w:iCs/>
          <w:sz w:val="18"/>
          <w:szCs w:val="18"/>
        </w:rPr>
      </w:pPr>
      <w:r w:rsidRPr="00735726">
        <w:rPr>
          <w:rFonts w:ascii="Arial" w:hAnsi="Arial" w:cs="Arial"/>
          <w:i/>
          <w:iCs/>
          <w:sz w:val="18"/>
          <w:szCs w:val="18"/>
        </w:rPr>
        <w:t>WATER QUALITY (CRI SCORE)</w:t>
      </w:r>
    </w:p>
    <w:p w14:paraId="788E88B3" w14:textId="4A65A88C" w:rsidR="008026B6" w:rsidRPr="00735726" w:rsidRDefault="00D43F85" w:rsidP="008026B6">
      <w:pPr>
        <w:spacing w:after="160"/>
        <w:rPr>
          <w:rFonts w:ascii="Arial" w:hAnsi="Arial" w:cs="Arial"/>
          <w:sz w:val="18"/>
          <w:szCs w:val="18"/>
        </w:rPr>
      </w:pPr>
      <w:r w:rsidRPr="00735726">
        <w:rPr>
          <w:rFonts w:ascii="Arial" w:hAnsi="Arial" w:cs="Arial"/>
          <w:sz w:val="18"/>
          <w:szCs w:val="18"/>
        </w:rPr>
        <w:t xml:space="preserve">The Compliance Risk Index (CRI) is the Drinking Water Inspectorate’s (DWI) measure of water quality. </w:t>
      </w:r>
      <w:r w:rsidR="008026B6" w:rsidRPr="00735726">
        <w:rPr>
          <w:rFonts w:ascii="Arial" w:hAnsi="Arial" w:cs="Arial"/>
          <w:sz w:val="18"/>
          <w:szCs w:val="18"/>
        </w:rPr>
        <w:t xml:space="preserve">For the SWB region (consisting of </w:t>
      </w:r>
      <w:proofErr w:type="gramStart"/>
      <w:r w:rsidR="008026B6" w:rsidRPr="00735726">
        <w:rPr>
          <w:rFonts w:ascii="Arial" w:hAnsi="Arial" w:cs="Arial"/>
          <w:sz w:val="18"/>
          <w:szCs w:val="18"/>
        </w:rPr>
        <w:t>South West</w:t>
      </w:r>
      <w:proofErr w:type="gramEnd"/>
      <w:r w:rsidR="008026B6" w:rsidRPr="00735726">
        <w:rPr>
          <w:rFonts w:ascii="Arial" w:hAnsi="Arial" w:cs="Arial"/>
          <w:sz w:val="18"/>
          <w:szCs w:val="18"/>
        </w:rPr>
        <w:t xml:space="preserve"> Water and Bournemouth Water), 2025 saw a CRI outturn of 1.3</w:t>
      </w:r>
      <w:r w:rsidR="00902BBA" w:rsidRPr="00735726">
        <w:rPr>
          <w:rFonts w:ascii="Arial" w:hAnsi="Arial" w:cs="Arial"/>
          <w:sz w:val="18"/>
          <w:szCs w:val="18"/>
        </w:rPr>
        <w:t>7</w:t>
      </w:r>
      <w:r w:rsidR="008026B6" w:rsidRPr="00735726">
        <w:rPr>
          <w:rFonts w:ascii="Arial" w:hAnsi="Arial" w:cs="Arial"/>
          <w:sz w:val="18"/>
          <w:szCs w:val="18"/>
        </w:rPr>
        <w:t>, well within the regulatory deadband and maintaining our top quartile industry performance.</w:t>
      </w:r>
    </w:p>
    <w:p w14:paraId="74D629AE" w14:textId="4987D8ED" w:rsidR="00D43F85" w:rsidRPr="00735726" w:rsidRDefault="008026B6" w:rsidP="008026B6">
      <w:pPr>
        <w:spacing w:after="160"/>
        <w:rPr>
          <w:rFonts w:ascii="Arial" w:hAnsi="Arial" w:cs="Arial"/>
          <w:b/>
          <w:bCs/>
          <w:sz w:val="18"/>
          <w:szCs w:val="18"/>
        </w:rPr>
      </w:pPr>
      <w:r w:rsidRPr="00735726">
        <w:rPr>
          <w:rFonts w:ascii="Arial" w:hAnsi="Arial" w:cs="Arial"/>
          <w:sz w:val="18"/>
          <w:szCs w:val="18"/>
        </w:rPr>
        <w:t>Bristol Water performance was recorded at 3.95, above target but reflecting the ongoing improvement compared to recent years (2022-24).</w:t>
      </w:r>
    </w:p>
    <w:p w14:paraId="5E279C2F" w14:textId="77777777" w:rsidR="00D62E2B" w:rsidRPr="00735726" w:rsidRDefault="00D62E2B" w:rsidP="008026B6">
      <w:pPr>
        <w:spacing w:after="0"/>
        <w:rPr>
          <w:rFonts w:ascii="Arial" w:hAnsi="Arial" w:cs="Arial"/>
          <w:i/>
          <w:iCs/>
          <w:sz w:val="18"/>
          <w:szCs w:val="18"/>
        </w:rPr>
      </w:pPr>
    </w:p>
    <w:p w14:paraId="082BDFA9" w14:textId="77777777" w:rsidR="00D62E2B" w:rsidRPr="00735726" w:rsidRDefault="00D62E2B" w:rsidP="008026B6">
      <w:pPr>
        <w:spacing w:after="0"/>
        <w:rPr>
          <w:rFonts w:ascii="Arial" w:hAnsi="Arial" w:cs="Arial"/>
          <w:i/>
          <w:iCs/>
          <w:sz w:val="18"/>
          <w:szCs w:val="18"/>
        </w:rPr>
      </w:pPr>
    </w:p>
    <w:p w14:paraId="59EEDBA7" w14:textId="2B5F7583" w:rsidR="008026B6" w:rsidRPr="00735726" w:rsidRDefault="008026B6" w:rsidP="008026B6">
      <w:pPr>
        <w:spacing w:after="0"/>
        <w:rPr>
          <w:rFonts w:ascii="Arial" w:hAnsi="Arial" w:cs="Arial"/>
          <w:i/>
          <w:iCs/>
          <w:sz w:val="18"/>
          <w:szCs w:val="18"/>
        </w:rPr>
      </w:pPr>
      <w:r w:rsidRPr="00735726">
        <w:rPr>
          <w:rFonts w:ascii="Arial" w:hAnsi="Arial" w:cs="Arial"/>
          <w:i/>
          <w:iCs/>
          <w:sz w:val="18"/>
          <w:szCs w:val="18"/>
        </w:rPr>
        <w:lastRenderedPageBreak/>
        <w:t>TASTE, SMELL AND COLOUR (CONTACT PER 1,000 POPULATION)</w:t>
      </w:r>
    </w:p>
    <w:p w14:paraId="4AA31549" w14:textId="71CFE9B3" w:rsidR="00AF4273" w:rsidRPr="00735726" w:rsidRDefault="00AF4273" w:rsidP="00AF4273">
      <w:pPr>
        <w:spacing w:after="160"/>
        <w:rPr>
          <w:rFonts w:ascii="Arial" w:hAnsi="Arial" w:cs="Arial"/>
          <w:sz w:val="18"/>
          <w:szCs w:val="18"/>
        </w:rPr>
      </w:pPr>
      <w:r w:rsidRPr="00735726">
        <w:rPr>
          <w:rFonts w:ascii="Arial" w:hAnsi="Arial" w:cs="Arial"/>
          <w:sz w:val="18"/>
          <w:szCs w:val="18"/>
        </w:rPr>
        <w:t xml:space="preserve">For SWB, customer contacts relating to taste, smell and appearance improved from 1.87 in 2024 to 1.55 contacts per 1,000 population in 2025. Performance remains above the target of 1.33 but continues to improve </w:t>
      </w:r>
      <w:proofErr w:type="gramStart"/>
      <w:r w:rsidRPr="00735726">
        <w:rPr>
          <w:rFonts w:ascii="Arial" w:hAnsi="Arial" w:cs="Arial"/>
          <w:sz w:val="18"/>
          <w:szCs w:val="18"/>
        </w:rPr>
        <w:t>as a result of</w:t>
      </w:r>
      <w:proofErr w:type="gramEnd"/>
      <w:r w:rsidRPr="00735726">
        <w:rPr>
          <w:rFonts w:ascii="Arial" w:hAnsi="Arial" w:cs="Arial"/>
          <w:sz w:val="18"/>
          <w:szCs w:val="18"/>
        </w:rPr>
        <w:t xml:space="preserve"> our enhanced network maintenance programme.</w:t>
      </w:r>
    </w:p>
    <w:p w14:paraId="7E426BDB" w14:textId="77777777" w:rsidR="00AF4273" w:rsidRPr="00735726" w:rsidRDefault="00AF4273" w:rsidP="00AF4273">
      <w:pPr>
        <w:spacing w:after="160"/>
        <w:rPr>
          <w:rFonts w:ascii="Arial" w:hAnsi="Arial" w:cs="Arial"/>
          <w:sz w:val="18"/>
          <w:szCs w:val="18"/>
        </w:rPr>
      </w:pPr>
      <w:r w:rsidRPr="00735726">
        <w:rPr>
          <w:rFonts w:ascii="Arial" w:hAnsi="Arial" w:cs="Arial"/>
          <w:sz w:val="18"/>
          <w:szCs w:val="18"/>
        </w:rPr>
        <w:t>For Bristol Water, contacts were 0.97 per 1,000 customers, compared with a target of 0.76, positioning performance in the top half of the industry.</w:t>
      </w:r>
    </w:p>
    <w:p w14:paraId="4A18CB69" w14:textId="77777777" w:rsidR="00AF4273" w:rsidRPr="00735726" w:rsidRDefault="00AF4273" w:rsidP="00AF4273">
      <w:pPr>
        <w:spacing w:after="160"/>
        <w:rPr>
          <w:rFonts w:ascii="Arial" w:hAnsi="Arial" w:cs="Arial"/>
          <w:sz w:val="18"/>
          <w:szCs w:val="18"/>
        </w:rPr>
      </w:pPr>
      <w:r w:rsidRPr="00735726">
        <w:rPr>
          <w:rFonts w:ascii="Arial" w:hAnsi="Arial" w:cs="Arial"/>
          <w:i/>
          <w:iCs/>
          <w:sz w:val="18"/>
          <w:szCs w:val="18"/>
        </w:rPr>
        <w:t xml:space="preserve">UNPLANNED OUTAGES (%) </w:t>
      </w:r>
      <w:r w:rsidRPr="00735726">
        <w:rPr>
          <w:rFonts w:ascii="Arial" w:hAnsi="Arial" w:cs="Arial"/>
          <w:i/>
          <w:iCs/>
          <w:sz w:val="18"/>
          <w:szCs w:val="18"/>
        </w:rPr>
        <w:br/>
      </w:r>
      <w:r w:rsidRPr="00735726">
        <w:rPr>
          <w:rFonts w:ascii="Arial" w:hAnsi="Arial" w:cs="Arial"/>
          <w:sz w:val="18"/>
          <w:szCs w:val="18"/>
        </w:rPr>
        <w:t xml:space="preserve">In respect of unplanned outage, Bristol Water comfortably outperformed with a rate of 1.93% against a target of 2.78%. SWB was marginally above its performance target of 2.14% with a rate of 2.39%. 58% of this impact was caused by an unplanned outage of a slow sand filter (SSF) at Bournemouth’s Knapp Mill water treatment works. That SSF will be returned to service in </w:t>
      </w:r>
      <w:proofErr w:type="gramStart"/>
      <w:r w:rsidRPr="00735726">
        <w:rPr>
          <w:rFonts w:ascii="Arial" w:hAnsi="Arial" w:cs="Arial"/>
          <w:sz w:val="18"/>
          <w:szCs w:val="18"/>
        </w:rPr>
        <w:t>2026/27</w:t>
      </w:r>
      <w:proofErr w:type="gramEnd"/>
      <w:r w:rsidRPr="00735726">
        <w:rPr>
          <w:rFonts w:ascii="Arial" w:hAnsi="Arial" w:cs="Arial"/>
          <w:sz w:val="18"/>
          <w:szCs w:val="18"/>
        </w:rPr>
        <w:t xml:space="preserve"> and we expect SWB performance to return to underlying levels this year, on or ahead of target.</w:t>
      </w:r>
    </w:p>
    <w:p w14:paraId="6A38FB77" w14:textId="77777777" w:rsidR="00AF4273" w:rsidRPr="00735726" w:rsidRDefault="00AF4273" w:rsidP="00AF4273">
      <w:pPr>
        <w:spacing w:after="0"/>
        <w:rPr>
          <w:rFonts w:ascii="Arial" w:hAnsi="Arial" w:cs="Arial"/>
          <w:i/>
          <w:iCs/>
          <w:sz w:val="18"/>
          <w:szCs w:val="18"/>
        </w:rPr>
      </w:pPr>
      <w:r w:rsidRPr="00735726">
        <w:rPr>
          <w:rFonts w:ascii="Arial" w:hAnsi="Arial" w:cs="Arial"/>
          <w:i/>
          <w:iCs/>
          <w:sz w:val="18"/>
          <w:szCs w:val="18"/>
        </w:rPr>
        <w:t>SUPPLY INTERRUPTIONS (DURATION PER PROPERTY PER YEAR)</w:t>
      </w:r>
    </w:p>
    <w:p w14:paraId="5AD6002C" w14:textId="0FAE22AB" w:rsidR="00D40E5A" w:rsidRPr="00735726" w:rsidRDefault="00D40E5A" w:rsidP="00D40E5A">
      <w:pPr>
        <w:spacing w:after="160"/>
        <w:rPr>
          <w:rFonts w:ascii="Arial" w:hAnsi="Arial" w:cs="Arial"/>
          <w:sz w:val="18"/>
          <w:szCs w:val="18"/>
        </w:rPr>
      </w:pPr>
      <w:r w:rsidRPr="00735726">
        <w:rPr>
          <w:rFonts w:ascii="Arial" w:hAnsi="Arial" w:cs="Arial"/>
          <w:sz w:val="18"/>
          <w:szCs w:val="18"/>
        </w:rPr>
        <w:t xml:space="preserve">Supply interruptions is a critical measure to ensure we are providing resilient water supplies to our customers. Whilst c.75% of operational incidents have no impact to our </w:t>
      </w:r>
      <w:proofErr w:type="gramStart"/>
      <w:r w:rsidRPr="00735726">
        <w:rPr>
          <w:rFonts w:ascii="Arial" w:hAnsi="Arial" w:cs="Arial"/>
          <w:sz w:val="18"/>
          <w:szCs w:val="18"/>
        </w:rPr>
        <w:t>customers,</w:t>
      </w:r>
      <w:proofErr w:type="gramEnd"/>
      <w:r w:rsidRPr="00735726">
        <w:rPr>
          <w:rFonts w:ascii="Arial" w:hAnsi="Arial" w:cs="Arial"/>
          <w:sz w:val="18"/>
          <w:szCs w:val="18"/>
        </w:rPr>
        <w:t xml:space="preserve"> supply interruptions performance is impacted by extreme weather conditions as well as other events such as asset impacts or third-party events.</w:t>
      </w:r>
    </w:p>
    <w:p w14:paraId="63F6DD89" w14:textId="77777777" w:rsidR="00D40E5A" w:rsidRPr="00735726" w:rsidRDefault="00D40E5A" w:rsidP="00D40E5A">
      <w:pPr>
        <w:spacing w:after="160"/>
        <w:rPr>
          <w:rFonts w:ascii="Arial" w:hAnsi="Arial" w:cs="Arial"/>
          <w:sz w:val="18"/>
          <w:szCs w:val="18"/>
        </w:rPr>
      </w:pPr>
      <w:r w:rsidRPr="00735726">
        <w:rPr>
          <w:rFonts w:ascii="Arial" w:hAnsi="Arial" w:cs="Arial"/>
          <w:sz w:val="18"/>
          <w:szCs w:val="18"/>
        </w:rPr>
        <w:t xml:space="preserve">Weather impacted supply interruptions in the year, particularly during the named storms, resulting in significant interruptions to supply. In addition, a single incident in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in April 2025 resulted in a material impact on the measure. This year’s performance is against a trend of clear improvement in SWB over AMP7, with performance in three of the five years above the average performance for the sector of 10 minutes.</w:t>
      </w:r>
    </w:p>
    <w:p w14:paraId="109DC8E2" w14:textId="4A90BF8A" w:rsidR="00D40E5A" w:rsidRPr="00735726" w:rsidRDefault="00D40E5A" w:rsidP="00D40E5A">
      <w:pPr>
        <w:spacing w:after="0"/>
        <w:rPr>
          <w:rFonts w:ascii="Arial" w:hAnsi="Arial" w:cs="Arial"/>
          <w:i/>
          <w:iCs/>
          <w:sz w:val="18"/>
          <w:szCs w:val="18"/>
        </w:rPr>
      </w:pPr>
      <w:r w:rsidRPr="00735726">
        <w:rPr>
          <w:rFonts w:ascii="Arial" w:hAnsi="Arial" w:cs="Arial"/>
          <w:i/>
          <w:iCs/>
          <w:sz w:val="18"/>
          <w:szCs w:val="18"/>
        </w:rPr>
        <w:t xml:space="preserve">LEAKAGE (3-YEAR AVERAGE </w:t>
      </w:r>
      <w:r w:rsidR="006C1BA9" w:rsidRPr="00735726">
        <w:rPr>
          <w:rFonts w:ascii="Arial" w:hAnsi="Arial" w:cs="Arial"/>
          <w:i/>
          <w:iCs/>
          <w:sz w:val="18"/>
          <w:szCs w:val="18"/>
        </w:rPr>
        <w:t xml:space="preserve">- </w:t>
      </w:r>
      <w:r w:rsidRPr="00735726">
        <w:rPr>
          <w:rFonts w:ascii="Arial" w:hAnsi="Arial" w:cs="Arial"/>
          <w:i/>
          <w:iCs/>
          <w:sz w:val="18"/>
          <w:szCs w:val="18"/>
        </w:rPr>
        <w:t>MEGALITRES PER DAY)</w:t>
      </w:r>
    </w:p>
    <w:p w14:paraId="67C6A842" w14:textId="026EEC73" w:rsidR="00A52F82" w:rsidRPr="00735726" w:rsidRDefault="00A52F82" w:rsidP="00A52F82">
      <w:pPr>
        <w:spacing w:after="160"/>
        <w:rPr>
          <w:rFonts w:ascii="Arial" w:hAnsi="Arial" w:cs="Arial"/>
          <w:sz w:val="18"/>
          <w:szCs w:val="18"/>
        </w:rPr>
      </w:pPr>
      <w:r w:rsidRPr="00735726">
        <w:rPr>
          <w:rFonts w:ascii="Arial" w:hAnsi="Arial" w:cs="Arial"/>
          <w:sz w:val="18"/>
          <w:szCs w:val="18"/>
        </w:rPr>
        <w:t>Reducing leakage from both our own and customers’ pipes is a critical component of ensuring a sustainable water supply. A dry spring, hot summer and several freeze-thaw events (rapid and extreme changes in temperature) coupled with storm events over the winter made 2025/26 a challenging year to drive down leakage across the water sector. Increased mains bursts increased leakage whilst also impacting supply interruptions and mains repairs measures across the period.</w:t>
      </w:r>
    </w:p>
    <w:p w14:paraId="0B296223" w14:textId="55BC3B02" w:rsidR="00A52F82" w:rsidRPr="00735726" w:rsidRDefault="00A52F82" w:rsidP="00A52F82">
      <w:pPr>
        <w:spacing w:after="160"/>
        <w:rPr>
          <w:rFonts w:ascii="Arial" w:hAnsi="Arial" w:cs="Arial"/>
          <w:sz w:val="18"/>
          <w:szCs w:val="18"/>
        </w:rPr>
      </w:pPr>
      <w:r w:rsidRPr="00735726">
        <w:rPr>
          <w:rFonts w:ascii="Arial" w:hAnsi="Arial" w:cs="Arial"/>
          <w:sz w:val="18"/>
          <w:szCs w:val="18"/>
        </w:rPr>
        <w:t xml:space="preserve">Notwithstanding the challenges, Bristol Water remains on the industry leakage ‘frontier’ despite not meeting the </w:t>
      </w:r>
      <w:r w:rsidR="00EE74A5" w:rsidRPr="00735726">
        <w:rPr>
          <w:rFonts w:ascii="Arial" w:hAnsi="Arial" w:cs="Arial"/>
          <w:sz w:val="18"/>
          <w:szCs w:val="18"/>
        </w:rPr>
        <w:t>three-year</w:t>
      </w:r>
      <w:r w:rsidRPr="00735726">
        <w:rPr>
          <w:rFonts w:ascii="Arial" w:hAnsi="Arial" w:cs="Arial"/>
          <w:sz w:val="18"/>
          <w:szCs w:val="18"/>
        </w:rPr>
        <w:t xml:space="preserve"> rolling target, whilst there remains more to do in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to ensure leakage reduction targets are achieved.</w:t>
      </w:r>
    </w:p>
    <w:p w14:paraId="6B8C44EE" w14:textId="15F499D9" w:rsidR="00A52F82" w:rsidRPr="00735726" w:rsidRDefault="00A52F82" w:rsidP="00A52F82">
      <w:pPr>
        <w:spacing w:after="160"/>
        <w:rPr>
          <w:rFonts w:ascii="Arial" w:hAnsi="Arial" w:cs="Arial"/>
          <w:sz w:val="18"/>
          <w:szCs w:val="18"/>
        </w:rPr>
      </w:pPr>
      <w:r w:rsidRPr="00735726">
        <w:rPr>
          <w:rFonts w:ascii="Arial" w:hAnsi="Arial" w:cs="Arial"/>
          <w:sz w:val="18"/>
          <w:szCs w:val="18"/>
        </w:rPr>
        <w:t xml:space="preserve">The early months of 2026 were challenging, with five named storms, including Storm Goretti. Following freeze thaw conditions in late 2025, this had a significant impact on our water networks 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with a significant increase in mains bursts, and consequential impacts on both leakage and supply interruptions. Our teams mobilised in challenging conditions, focusing on supporting our customers </w:t>
      </w:r>
      <w:r w:rsidR="006C1BA9" w:rsidRPr="00735726">
        <w:rPr>
          <w:rFonts w:ascii="Arial" w:hAnsi="Arial" w:cs="Arial"/>
          <w:sz w:val="18"/>
          <w:szCs w:val="18"/>
        </w:rPr>
        <w:t xml:space="preserve">- </w:t>
      </w:r>
      <w:r w:rsidRPr="00735726">
        <w:rPr>
          <w:rFonts w:ascii="Arial" w:hAnsi="Arial" w:cs="Arial"/>
          <w:sz w:val="18"/>
          <w:szCs w:val="18"/>
        </w:rPr>
        <w:t xml:space="preserve">also suffering with widespread power outages and impacts to roads and transport links from the weather </w:t>
      </w:r>
      <w:r w:rsidR="006C1BA9" w:rsidRPr="00735726">
        <w:rPr>
          <w:rFonts w:ascii="Arial" w:hAnsi="Arial" w:cs="Arial"/>
          <w:sz w:val="18"/>
          <w:szCs w:val="18"/>
        </w:rPr>
        <w:t xml:space="preserve">- </w:t>
      </w:r>
      <w:r w:rsidRPr="00735726">
        <w:rPr>
          <w:rFonts w:ascii="Arial" w:hAnsi="Arial" w:cs="Arial"/>
          <w:sz w:val="18"/>
          <w:szCs w:val="18"/>
        </w:rPr>
        <w:t>and ensuring we restored supplies whilst also supporting our vulnerable customers during this time.</w:t>
      </w:r>
    </w:p>
    <w:p w14:paraId="22A1E403" w14:textId="63BEDD0A" w:rsidR="00D01922" w:rsidRPr="00735726" w:rsidRDefault="00A52F82" w:rsidP="00A52F82">
      <w:pPr>
        <w:spacing w:after="160"/>
        <w:rPr>
          <w:rFonts w:ascii="Arial" w:hAnsi="Arial" w:cs="Arial"/>
          <w:sz w:val="18"/>
          <w:szCs w:val="18"/>
        </w:rPr>
      </w:pPr>
      <w:r w:rsidRPr="00735726">
        <w:rPr>
          <w:rFonts w:ascii="Arial" w:hAnsi="Arial" w:cs="Arial"/>
          <w:i/>
          <w:iCs/>
          <w:sz w:val="18"/>
          <w:szCs w:val="18"/>
        </w:rPr>
        <w:t>MAINS REPAIRS (NUMBER OF REPAIRS PER 1,000KM)</w:t>
      </w:r>
      <w:r w:rsidRPr="00735726">
        <w:rPr>
          <w:rFonts w:ascii="Arial" w:hAnsi="Arial" w:cs="Arial"/>
          <w:i/>
          <w:iCs/>
          <w:sz w:val="18"/>
          <w:szCs w:val="18"/>
        </w:rPr>
        <w:br/>
      </w:r>
      <w:r w:rsidRPr="00735726">
        <w:rPr>
          <w:rFonts w:ascii="Arial" w:hAnsi="Arial" w:cs="Arial"/>
          <w:sz w:val="18"/>
          <w:szCs w:val="18"/>
        </w:rPr>
        <w:t xml:space="preserve">Mains repairs for SWB </w:t>
      </w:r>
      <w:proofErr w:type="gramStart"/>
      <w:r w:rsidRPr="00735726">
        <w:rPr>
          <w:rFonts w:ascii="Arial" w:hAnsi="Arial" w:cs="Arial"/>
          <w:sz w:val="18"/>
          <w:szCs w:val="18"/>
        </w:rPr>
        <w:t>is</w:t>
      </w:r>
      <w:proofErr w:type="gramEnd"/>
      <w:r w:rsidRPr="00735726">
        <w:rPr>
          <w:rFonts w:ascii="Arial" w:hAnsi="Arial" w:cs="Arial"/>
          <w:sz w:val="18"/>
          <w:szCs w:val="18"/>
        </w:rPr>
        <w:t xml:space="preserve"> 169.3 and for BRL is 150.3. Asset health is essential for ensuring a robust supply of water to our customers. As with leakage, unusual weather conditions impacted on our operational performance with increased numbers of mains repairs required, as we focused on fixing the impact of storm conditions or hot weather on our network, as well as on driving down leakage across all our regions. </w:t>
      </w:r>
    </w:p>
    <w:p w14:paraId="4DC6DDE5" w14:textId="77777777" w:rsidR="00AF4E2E" w:rsidRPr="00735726" w:rsidRDefault="00AF4E2E">
      <w:pPr>
        <w:spacing w:after="160" w:line="259" w:lineRule="auto"/>
        <w:rPr>
          <w:rFonts w:ascii="Arial" w:hAnsi="Arial" w:cs="Arial"/>
          <w:sz w:val="32"/>
          <w:szCs w:val="32"/>
        </w:rPr>
      </w:pPr>
      <w:r w:rsidRPr="00735726">
        <w:rPr>
          <w:rFonts w:ascii="Arial" w:hAnsi="Arial" w:cs="Arial"/>
          <w:sz w:val="32"/>
          <w:szCs w:val="32"/>
        </w:rPr>
        <w:br w:type="page"/>
      </w:r>
    </w:p>
    <w:p w14:paraId="3ABB82A2" w14:textId="76F27030" w:rsidR="001770A0" w:rsidRPr="00735726" w:rsidRDefault="001770A0" w:rsidP="001770A0">
      <w:pPr>
        <w:spacing w:after="160"/>
        <w:rPr>
          <w:rFonts w:ascii="Arial" w:hAnsi="Arial" w:cs="Arial"/>
          <w:sz w:val="32"/>
          <w:szCs w:val="32"/>
        </w:rPr>
      </w:pPr>
      <w:r w:rsidRPr="00735726">
        <w:rPr>
          <w:rFonts w:ascii="Arial" w:hAnsi="Arial" w:cs="Arial"/>
          <w:sz w:val="32"/>
          <w:szCs w:val="32"/>
        </w:rPr>
        <w:lastRenderedPageBreak/>
        <w:t xml:space="preserve">TACKLING STORM OVERFLOWS AND POLLUTIONS </w:t>
      </w:r>
    </w:p>
    <w:p w14:paraId="51A9B194" w14:textId="7D645881" w:rsidR="001B4215" w:rsidRPr="00735726" w:rsidRDefault="001770A0" w:rsidP="00D57C16">
      <w:pPr>
        <w:spacing w:after="160"/>
        <w:rPr>
          <w:rFonts w:ascii="Arial" w:hAnsi="Arial" w:cs="Arial"/>
          <w:sz w:val="18"/>
          <w:szCs w:val="18"/>
        </w:rPr>
      </w:pPr>
      <w:r w:rsidRPr="00735726">
        <w:rPr>
          <w:rFonts w:ascii="Arial" w:hAnsi="Arial" w:cs="Arial"/>
          <w:sz w:val="18"/>
          <w:szCs w:val="18"/>
        </w:rPr>
        <w:t>Reducing storm overflow spills and pollution incidents is a priority, focusing on the places that matter most to customers and local communities.</w:t>
      </w:r>
    </w:p>
    <w:p w14:paraId="2D43AB46" w14:textId="61038762" w:rsidR="001770A0" w:rsidRPr="00735726" w:rsidRDefault="001770A0" w:rsidP="00D57C16">
      <w:pPr>
        <w:spacing w:after="160"/>
        <w:rPr>
          <w:rFonts w:ascii="Arial" w:hAnsi="Arial" w:cs="Arial"/>
          <w:sz w:val="18"/>
          <w:szCs w:val="18"/>
        </w:rPr>
      </w:pPr>
      <w:r w:rsidRPr="00735726">
        <w:rPr>
          <w:rFonts w:ascii="Arial" w:hAnsi="Arial" w:cs="Arial"/>
          <w:sz w:val="18"/>
          <w:szCs w:val="18"/>
        </w:rPr>
        <w:t>Our plans to 2030 put reducing environmental impact at their heart, with ambitious targets to improve performance on pollution incidents and reduce the need to operate storm overflows, starting with investment at bathing waters and other sensitive catchments.</w:t>
      </w:r>
    </w:p>
    <w:p w14:paraId="196AABE3" w14:textId="5A70E1CF" w:rsidR="001770A0" w:rsidRPr="00735726" w:rsidRDefault="001770A0" w:rsidP="00D57C16">
      <w:pPr>
        <w:spacing w:after="160"/>
        <w:rPr>
          <w:rFonts w:ascii="Arial" w:hAnsi="Arial" w:cs="Arial"/>
          <w:sz w:val="18"/>
          <w:szCs w:val="18"/>
        </w:rPr>
      </w:pPr>
      <w:r w:rsidRPr="00735726">
        <w:rPr>
          <w:rFonts w:ascii="Arial" w:hAnsi="Arial" w:cs="Arial"/>
          <w:sz w:val="18"/>
          <w:szCs w:val="18"/>
        </w:rPr>
        <w:t xml:space="preserve">We maintain and operate more than 25,000km of sewers across the </w:t>
      </w:r>
      <w:proofErr w:type="gramStart"/>
      <w:r w:rsidRPr="00735726">
        <w:rPr>
          <w:rFonts w:ascii="Arial" w:hAnsi="Arial" w:cs="Arial"/>
          <w:sz w:val="18"/>
          <w:szCs w:val="18"/>
        </w:rPr>
        <w:t>South West</w:t>
      </w:r>
      <w:proofErr w:type="gramEnd"/>
      <w:r w:rsidRPr="00735726">
        <w:rPr>
          <w:rFonts w:ascii="Arial" w:hAnsi="Arial" w:cs="Arial"/>
          <w:sz w:val="18"/>
          <w:szCs w:val="18"/>
        </w:rPr>
        <w:t>, removing wastewater from homes and businesses. Tackling storm overflows and reducing spills is of critical importance to us, helping to protect the environment and meet the expectations of our customers and communities.</w:t>
      </w:r>
    </w:p>
    <w:p w14:paraId="08126BD0" w14:textId="09591669" w:rsidR="001770A0" w:rsidRPr="00735726" w:rsidRDefault="001770A0" w:rsidP="00D57C16">
      <w:pPr>
        <w:spacing w:after="160"/>
        <w:rPr>
          <w:rFonts w:ascii="Arial" w:hAnsi="Arial" w:cs="Arial"/>
          <w:sz w:val="18"/>
          <w:szCs w:val="18"/>
        </w:rPr>
      </w:pPr>
      <w:r w:rsidRPr="00735726">
        <w:rPr>
          <w:rFonts w:ascii="Arial" w:hAnsi="Arial" w:cs="Arial"/>
          <w:sz w:val="18"/>
          <w:szCs w:val="18"/>
        </w:rPr>
        <w:t xml:space="preserve">During the year we enhanced our strategy for wastewater performance and compliance, targeting improvements across the region. Our four-phase approach </w:t>
      </w:r>
      <w:r w:rsidR="006C1BA9" w:rsidRPr="00735726">
        <w:rPr>
          <w:rFonts w:ascii="Arial" w:hAnsi="Arial" w:cs="Arial"/>
          <w:sz w:val="18"/>
          <w:szCs w:val="18"/>
        </w:rPr>
        <w:t xml:space="preserve">- </w:t>
      </w:r>
      <w:r w:rsidRPr="00735726">
        <w:rPr>
          <w:rFonts w:ascii="Arial" w:hAnsi="Arial" w:cs="Arial"/>
          <w:sz w:val="18"/>
          <w:szCs w:val="18"/>
        </w:rPr>
        <w:t xml:space="preserve">Identify, Investigate, Remediate and Validate </w:t>
      </w:r>
      <w:r w:rsidR="006C1BA9" w:rsidRPr="00735726">
        <w:rPr>
          <w:rFonts w:ascii="Arial" w:hAnsi="Arial" w:cs="Arial"/>
          <w:sz w:val="18"/>
          <w:szCs w:val="18"/>
        </w:rPr>
        <w:t xml:space="preserve">- </w:t>
      </w:r>
      <w:r w:rsidRPr="00735726">
        <w:rPr>
          <w:rFonts w:ascii="Arial" w:hAnsi="Arial" w:cs="Arial"/>
          <w:sz w:val="18"/>
          <w:szCs w:val="18"/>
        </w:rPr>
        <w:t>supplements existing processes and ensures a holistic approach to operational improvement and investment decision-making.</w:t>
      </w:r>
    </w:p>
    <w:p w14:paraId="7B2C030D" w14:textId="77777777" w:rsidR="00D57C16" w:rsidRPr="00735726" w:rsidRDefault="00D57C16" w:rsidP="00326FD9">
      <w:pPr>
        <w:spacing w:after="160"/>
        <w:rPr>
          <w:rFonts w:ascii="Arial" w:hAnsi="Arial" w:cs="Arial"/>
          <w:sz w:val="18"/>
          <w:szCs w:val="18"/>
        </w:rPr>
      </w:pPr>
      <w:r w:rsidRPr="00735726">
        <w:rPr>
          <w:rFonts w:ascii="Arial" w:hAnsi="Arial" w:cs="Arial"/>
          <w:b/>
          <w:bCs/>
          <w:sz w:val="18"/>
          <w:szCs w:val="18"/>
        </w:rPr>
        <w:t>STORM OVERFLOWS</w:t>
      </w:r>
      <w:r w:rsidRPr="00735726">
        <w:rPr>
          <w:rFonts w:ascii="Arial" w:hAnsi="Arial" w:cs="Arial"/>
          <w:b/>
          <w:bCs/>
          <w:sz w:val="18"/>
          <w:szCs w:val="18"/>
        </w:rPr>
        <w:br/>
      </w:r>
      <w:r w:rsidRPr="00735726">
        <w:rPr>
          <w:rFonts w:ascii="Arial" w:hAnsi="Arial" w:cs="Arial"/>
          <w:sz w:val="18"/>
          <w:szCs w:val="18"/>
        </w:rPr>
        <w:t xml:space="preserve">We are focused on fewer spills, of shorter duration with targeted investment where it will have the greatest impact. This year’s 17% reduction in spills, with 25% reduction in spill duration, was delivered despite continued weather challenges, including above-average rainfall and increased rainfall intensity, reinforcing the challenges presented by climate change. </w:t>
      </w:r>
    </w:p>
    <w:p w14:paraId="4A23F29C" w14:textId="1C71A57E" w:rsidR="00D57C16" w:rsidRPr="00735726" w:rsidRDefault="00D57C16" w:rsidP="00326FD9">
      <w:pPr>
        <w:spacing w:after="160"/>
        <w:rPr>
          <w:rFonts w:ascii="Arial" w:hAnsi="Arial" w:cs="Arial"/>
          <w:sz w:val="18"/>
          <w:szCs w:val="18"/>
        </w:rPr>
      </w:pPr>
      <w:r w:rsidRPr="00735726">
        <w:rPr>
          <w:rFonts w:ascii="Arial" w:hAnsi="Arial" w:cs="Arial"/>
          <w:sz w:val="18"/>
          <w:szCs w:val="18"/>
        </w:rPr>
        <w:t xml:space="preserve">In 2025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experienced 15% higher rainfall than normal and 62% more rainfall than the national average. Where across the UK, rainfall was below seasonal normals. Even with these conditions, storm overflow spills reduced by 17% and overall spill duration was 25% lower than the previous year.</w:t>
      </w:r>
    </w:p>
    <w:p w14:paraId="6AEF847B" w14:textId="191B5689" w:rsidR="00D57C16" w:rsidRPr="00735726" w:rsidRDefault="00D57C16" w:rsidP="00326FD9">
      <w:pPr>
        <w:spacing w:after="160"/>
        <w:rPr>
          <w:rFonts w:ascii="Arial" w:hAnsi="Arial" w:cs="Arial"/>
          <w:sz w:val="18"/>
          <w:szCs w:val="18"/>
        </w:rPr>
      </w:pPr>
      <w:r w:rsidRPr="00735726">
        <w:rPr>
          <w:rFonts w:ascii="Arial" w:hAnsi="Arial" w:cs="Arial"/>
          <w:sz w:val="18"/>
          <w:szCs w:val="18"/>
        </w:rPr>
        <w:t>The final quarter of 2025 was particularly wet, with 46% of annual storm overflow spills occurring in the last three months of the year, during periods of sustained heavy rainfall of up to 150% of the long-term average.</w:t>
      </w:r>
    </w:p>
    <w:p w14:paraId="04AF9AEB" w14:textId="35D51F65" w:rsidR="00C56B1A" w:rsidRPr="00735726" w:rsidRDefault="00D57C16" w:rsidP="00326FD9">
      <w:pPr>
        <w:spacing w:after="160"/>
        <w:rPr>
          <w:rFonts w:ascii="Arial" w:hAnsi="Arial" w:cs="Arial"/>
          <w:sz w:val="18"/>
          <w:szCs w:val="18"/>
        </w:rPr>
      </w:pPr>
      <w:r w:rsidRPr="00735726">
        <w:rPr>
          <w:rFonts w:ascii="Arial" w:hAnsi="Arial" w:cs="Arial"/>
          <w:sz w:val="18"/>
          <w:szCs w:val="18"/>
        </w:rPr>
        <w:t xml:space="preserve">Alongside our AMP8 programme </w:t>
      </w:r>
      <w:r w:rsidR="006C1BA9" w:rsidRPr="00735726">
        <w:rPr>
          <w:rFonts w:ascii="Arial" w:hAnsi="Arial" w:cs="Arial"/>
          <w:sz w:val="18"/>
          <w:szCs w:val="18"/>
        </w:rPr>
        <w:t xml:space="preserve">- </w:t>
      </w:r>
      <w:r w:rsidRPr="00735726">
        <w:rPr>
          <w:rFonts w:ascii="Arial" w:hAnsi="Arial" w:cs="Arial"/>
          <w:sz w:val="18"/>
          <w:szCs w:val="18"/>
        </w:rPr>
        <w:t xml:space="preserve">targeting investment at all bathing beaches by 2030 </w:t>
      </w:r>
      <w:r w:rsidR="006C1BA9" w:rsidRPr="00735726">
        <w:rPr>
          <w:rFonts w:ascii="Arial" w:hAnsi="Arial" w:cs="Arial"/>
          <w:sz w:val="18"/>
          <w:szCs w:val="18"/>
        </w:rPr>
        <w:t xml:space="preserve">- </w:t>
      </w:r>
      <w:r w:rsidRPr="00735726">
        <w:rPr>
          <w:rFonts w:ascii="Arial" w:hAnsi="Arial" w:cs="Arial"/>
          <w:sz w:val="18"/>
          <w:szCs w:val="18"/>
        </w:rPr>
        <w:t xml:space="preserve">we also focused on targeted interventions at our highest spilling sites. During the 2025 bathing season, storm overflow operation at bathing water sites reduced by more than 25% compared with 2024. Across the full year we reduced spills by 50% at our top five spilling sites following targeted interventions, and our analysis indicates that more than 8,300 spills have been prevented as a direct result of investment and operational improvements. </w:t>
      </w:r>
    </w:p>
    <w:p w14:paraId="5A4658CF" w14:textId="4DD535E6" w:rsidR="00C56B1A" w:rsidRPr="00735726" w:rsidRDefault="00C56B1A" w:rsidP="00326FD9">
      <w:pPr>
        <w:spacing w:after="160"/>
        <w:rPr>
          <w:rFonts w:ascii="Arial" w:hAnsi="Arial" w:cs="Arial"/>
          <w:i/>
          <w:iCs/>
          <w:sz w:val="18"/>
          <w:szCs w:val="18"/>
        </w:rPr>
      </w:pPr>
      <w:r w:rsidRPr="00735726">
        <w:rPr>
          <w:rFonts w:ascii="Arial" w:hAnsi="Arial" w:cs="Arial"/>
          <w:i/>
          <w:iCs/>
          <w:sz w:val="18"/>
          <w:szCs w:val="18"/>
        </w:rPr>
        <w:t>INVESTMENT AND OPERATIONAL IMPROVEMENTS DELIVERED DURING THE YEAR INCLUDED:</w:t>
      </w:r>
    </w:p>
    <w:p w14:paraId="11C07FC2" w14:textId="720F53EB" w:rsidR="00C56B1A" w:rsidRPr="00735726" w:rsidRDefault="00C56B1A" w:rsidP="00646F4F">
      <w:pPr>
        <w:pStyle w:val="ListParagraph"/>
        <w:numPr>
          <w:ilvl w:val="0"/>
          <w:numId w:val="79"/>
        </w:numPr>
        <w:spacing w:after="160"/>
        <w:rPr>
          <w:rFonts w:ascii="Arial" w:hAnsi="Arial" w:cs="Arial"/>
          <w:sz w:val="18"/>
          <w:szCs w:val="18"/>
        </w:rPr>
      </w:pPr>
      <w:r w:rsidRPr="00735726">
        <w:rPr>
          <w:rFonts w:ascii="Arial" w:hAnsi="Arial" w:cs="Arial"/>
          <w:sz w:val="18"/>
          <w:szCs w:val="18"/>
        </w:rPr>
        <w:t>Targeted interventions at the highest spilling sites to reduce non-sewage flows, increase treatment capacity, optimise pumping, install additional storage and improve sewer condition.</w:t>
      </w:r>
    </w:p>
    <w:p w14:paraId="7E096D36" w14:textId="0B8D7726" w:rsidR="00C56B1A" w:rsidRPr="00735726" w:rsidRDefault="00C56B1A" w:rsidP="00646F4F">
      <w:pPr>
        <w:pStyle w:val="ListParagraph"/>
        <w:numPr>
          <w:ilvl w:val="0"/>
          <w:numId w:val="79"/>
        </w:numPr>
        <w:spacing w:after="160"/>
        <w:rPr>
          <w:rFonts w:ascii="Arial" w:hAnsi="Arial" w:cs="Arial"/>
          <w:sz w:val="18"/>
          <w:szCs w:val="18"/>
        </w:rPr>
      </w:pPr>
      <w:r w:rsidRPr="00735726">
        <w:rPr>
          <w:rFonts w:ascii="Arial" w:hAnsi="Arial" w:cs="Arial"/>
          <w:sz w:val="18"/>
          <w:szCs w:val="18"/>
        </w:rPr>
        <w:t>Operational changes to improve performance during periods of intense rainfall.</w:t>
      </w:r>
    </w:p>
    <w:p w14:paraId="5013E623" w14:textId="71D0BE47" w:rsidR="00C56B1A" w:rsidRPr="00735726" w:rsidRDefault="00C56B1A" w:rsidP="00646F4F">
      <w:pPr>
        <w:pStyle w:val="ListParagraph"/>
        <w:numPr>
          <w:ilvl w:val="0"/>
          <w:numId w:val="79"/>
        </w:numPr>
        <w:spacing w:after="160"/>
        <w:rPr>
          <w:rFonts w:ascii="Arial" w:hAnsi="Arial" w:cs="Arial"/>
          <w:sz w:val="18"/>
          <w:szCs w:val="18"/>
        </w:rPr>
      </w:pPr>
      <w:r w:rsidRPr="00735726">
        <w:rPr>
          <w:rFonts w:ascii="Arial" w:hAnsi="Arial" w:cs="Arial"/>
          <w:sz w:val="18"/>
          <w:szCs w:val="18"/>
        </w:rPr>
        <w:t>Enhanced monitoring and data-led decision-making to prioritise investigation and remediation activity.</w:t>
      </w:r>
    </w:p>
    <w:p w14:paraId="684A6A59" w14:textId="1D3FAF11" w:rsidR="00C56B1A" w:rsidRPr="00735726" w:rsidRDefault="00C56B1A" w:rsidP="00326FD9">
      <w:pPr>
        <w:spacing w:after="160"/>
        <w:rPr>
          <w:rFonts w:ascii="Arial" w:hAnsi="Arial" w:cs="Arial"/>
          <w:sz w:val="18"/>
          <w:szCs w:val="18"/>
        </w:rPr>
      </w:pPr>
      <w:r w:rsidRPr="00735726">
        <w:rPr>
          <w:rFonts w:ascii="Arial" w:hAnsi="Arial" w:cs="Arial"/>
          <w:i/>
          <w:iCs/>
          <w:sz w:val="18"/>
          <w:szCs w:val="18"/>
        </w:rPr>
        <w:t>MONITORING AND TRANSPARENCY</w:t>
      </w:r>
      <w:r w:rsidR="00D62E2B" w:rsidRPr="00735726">
        <w:rPr>
          <w:rFonts w:ascii="Arial" w:hAnsi="Arial" w:cs="Arial"/>
          <w:sz w:val="18"/>
          <w:szCs w:val="18"/>
        </w:rPr>
        <w:br/>
      </w:r>
      <w:r w:rsidRPr="00735726">
        <w:rPr>
          <w:rFonts w:ascii="Arial" w:hAnsi="Arial" w:cs="Arial"/>
          <w:sz w:val="18"/>
          <w:szCs w:val="18"/>
        </w:rPr>
        <w:t xml:space="preserve">We recognise the importance to customers of improving transparency and performance in this highly sensitive area. 100% of our overflows </w:t>
      </w:r>
      <w:r w:rsidR="006C1BA9" w:rsidRPr="00735726">
        <w:rPr>
          <w:rFonts w:ascii="Arial" w:hAnsi="Arial" w:cs="Arial"/>
          <w:sz w:val="18"/>
          <w:szCs w:val="18"/>
        </w:rPr>
        <w:t xml:space="preserve">- </w:t>
      </w:r>
      <w:r w:rsidRPr="00735726">
        <w:rPr>
          <w:rFonts w:ascii="Arial" w:hAnsi="Arial" w:cs="Arial"/>
          <w:sz w:val="18"/>
          <w:szCs w:val="18"/>
        </w:rPr>
        <w:t xml:space="preserve">storm and emergency </w:t>
      </w:r>
      <w:r w:rsidR="006C1BA9" w:rsidRPr="00735726">
        <w:rPr>
          <w:rFonts w:ascii="Arial" w:hAnsi="Arial" w:cs="Arial"/>
          <w:sz w:val="18"/>
          <w:szCs w:val="18"/>
        </w:rPr>
        <w:t xml:space="preserve">- </w:t>
      </w:r>
      <w:r w:rsidRPr="00735726">
        <w:rPr>
          <w:rFonts w:ascii="Arial" w:hAnsi="Arial" w:cs="Arial"/>
          <w:sz w:val="18"/>
          <w:szCs w:val="18"/>
        </w:rPr>
        <w:t>have enhanced Event Duration Monitoring (EDM) in place. Despite the challenging locations in which many assets operate, EDM operability was 96.7%, the second highest in the industry and significantly above the industry average of 92.7%.</w:t>
      </w:r>
    </w:p>
    <w:p w14:paraId="48AF0BD5" w14:textId="77777777" w:rsidR="00326FD9" w:rsidRPr="00735726" w:rsidRDefault="00C56B1A" w:rsidP="00326FD9">
      <w:pPr>
        <w:spacing w:after="160"/>
        <w:rPr>
          <w:rFonts w:ascii="Arial" w:hAnsi="Arial" w:cs="Arial"/>
          <w:sz w:val="18"/>
          <w:szCs w:val="18"/>
        </w:rPr>
      </w:pPr>
      <w:r w:rsidRPr="00735726">
        <w:rPr>
          <w:rFonts w:ascii="Arial" w:hAnsi="Arial" w:cs="Arial"/>
          <w:sz w:val="18"/>
          <w:szCs w:val="18"/>
        </w:rPr>
        <w:t>Our EDMs capture data to a high standard, scanning every</w:t>
      </w:r>
      <w:r w:rsidR="00326FD9" w:rsidRPr="00735726">
        <w:rPr>
          <w:rFonts w:ascii="Arial" w:hAnsi="Arial" w:cs="Arial"/>
          <w:sz w:val="18"/>
          <w:szCs w:val="18"/>
        </w:rPr>
        <w:t xml:space="preserve"> </w:t>
      </w:r>
      <w:r w:rsidRPr="00735726">
        <w:rPr>
          <w:rFonts w:ascii="Arial" w:hAnsi="Arial" w:cs="Arial"/>
          <w:sz w:val="18"/>
          <w:szCs w:val="18"/>
        </w:rPr>
        <w:t>10 seconds and recording at two-minute intervals across</w:t>
      </w:r>
      <w:r w:rsidR="00326FD9" w:rsidRPr="00735726">
        <w:rPr>
          <w:rFonts w:ascii="Arial" w:hAnsi="Arial" w:cs="Arial"/>
          <w:sz w:val="18"/>
          <w:szCs w:val="18"/>
        </w:rPr>
        <w:t xml:space="preserve"> </w:t>
      </w:r>
      <w:r w:rsidRPr="00735726">
        <w:rPr>
          <w:rFonts w:ascii="Arial" w:hAnsi="Arial" w:cs="Arial"/>
          <w:sz w:val="18"/>
          <w:szCs w:val="18"/>
        </w:rPr>
        <w:t>all sites, exceeding the minimum 15-minute standard. We</w:t>
      </w:r>
      <w:r w:rsidR="00326FD9" w:rsidRPr="00735726">
        <w:rPr>
          <w:rFonts w:ascii="Arial" w:hAnsi="Arial" w:cs="Arial"/>
          <w:sz w:val="18"/>
          <w:szCs w:val="18"/>
        </w:rPr>
        <w:t xml:space="preserve"> </w:t>
      </w:r>
      <w:r w:rsidRPr="00735726">
        <w:rPr>
          <w:rFonts w:ascii="Arial" w:hAnsi="Arial" w:cs="Arial"/>
          <w:sz w:val="18"/>
          <w:szCs w:val="18"/>
        </w:rPr>
        <w:t>also continue to support transparency through real-time</w:t>
      </w:r>
      <w:r w:rsidR="00326FD9" w:rsidRPr="00735726">
        <w:rPr>
          <w:rFonts w:ascii="Arial" w:hAnsi="Arial" w:cs="Arial"/>
          <w:sz w:val="18"/>
          <w:szCs w:val="18"/>
        </w:rPr>
        <w:t xml:space="preserve"> </w:t>
      </w:r>
      <w:r w:rsidRPr="00735726">
        <w:rPr>
          <w:rFonts w:ascii="Arial" w:hAnsi="Arial" w:cs="Arial"/>
          <w:sz w:val="18"/>
          <w:szCs w:val="18"/>
        </w:rPr>
        <w:t xml:space="preserve">reporting to the national database and our </w:t>
      </w:r>
      <w:proofErr w:type="spellStart"/>
      <w:r w:rsidRPr="00735726">
        <w:rPr>
          <w:rFonts w:ascii="Arial" w:hAnsi="Arial" w:cs="Arial"/>
          <w:sz w:val="18"/>
          <w:szCs w:val="18"/>
        </w:rPr>
        <w:t>WaterFit</w:t>
      </w:r>
      <w:proofErr w:type="spellEnd"/>
      <w:r w:rsidRPr="00735726">
        <w:rPr>
          <w:rFonts w:ascii="Arial" w:hAnsi="Arial" w:cs="Arial"/>
          <w:sz w:val="18"/>
          <w:szCs w:val="18"/>
        </w:rPr>
        <w:t xml:space="preserve"> Live</w:t>
      </w:r>
      <w:r w:rsidR="00326FD9" w:rsidRPr="00735726">
        <w:rPr>
          <w:rFonts w:ascii="Arial" w:hAnsi="Arial" w:cs="Arial"/>
          <w:sz w:val="18"/>
          <w:szCs w:val="18"/>
        </w:rPr>
        <w:t xml:space="preserve"> </w:t>
      </w:r>
      <w:r w:rsidRPr="00735726">
        <w:rPr>
          <w:rFonts w:ascii="Arial" w:hAnsi="Arial" w:cs="Arial"/>
          <w:sz w:val="18"/>
          <w:szCs w:val="18"/>
        </w:rPr>
        <w:t>website, which provides up-to-date information on storm</w:t>
      </w:r>
      <w:r w:rsidR="00326FD9" w:rsidRPr="00735726">
        <w:rPr>
          <w:rFonts w:ascii="Arial" w:hAnsi="Arial" w:cs="Arial"/>
          <w:sz w:val="18"/>
          <w:szCs w:val="18"/>
        </w:rPr>
        <w:t xml:space="preserve"> </w:t>
      </w:r>
      <w:r w:rsidRPr="00735726">
        <w:rPr>
          <w:rFonts w:ascii="Arial" w:hAnsi="Arial" w:cs="Arial"/>
          <w:sz w:val="18"/>
          <w:szCs w:val="18"/>
        </w:rPr>
        <w:t>overflow activity at bathing beaches. During the year we</w:t>
      </w:r>
      <w:r w:rsidR="00326FD9" w:rsidRPr="00735726">
        <w:rPr>
          <w:rFonts w:ascii="Arial" w:hAnsi="Arial" w:cs="Arial"/>
          <w:sz w:val="18"/>
          <w:szCs w:val="18"/>
        </w:rPr>
        <w:t xml:space="preserve"> </w:t>
      </w:r>
      <w:r w:rsidRPr="00735726">
        <w:rPr>
          <w:rFonts w:ascii="Arial" w:hAnsi="Arial" w:cs="Arial"/>
          <w:sz w:val="18"/>
          <w:szCs w:val="18"/>
        </w:rPr>
        <w:t>also agreed to extended direct reporting of real-time data</w:t>
      </w:r>
      <w:r w:rsidR="00326FD9" w:rsidRPr="00735726">
        <w:rPr>
          <w:rFonts w:ascii="Arial" w:hAnsi="Arial" w:cs="Arial"/>
          <w:sz w:val="18"/>
          <w:szCs w:val="18"/>
        </w:rPr>
        <w:t xml:space="preserve"> </w:t>
      </w:r>
      <w:r w:rsidRPr="00735726">
        <w:rPr>
          <w:rFonts w:ascii="Arial" w:hAnsi="Arial" w:cs="Arial"/>
          <w:sz w:val="18"/>
          <w:szCs w:val="18"/>
        </w:rPr>
        <w:t>to Surfers Against Sewage (SAS) to improve accessibility</w:t>
      </w:r>
      <w:r w:rsidR="00326FD9" w:rsidRPr="00735726">
        <w:rPr>
          <w:rFonts w:ascii="Arial" w:hAnsi="Arial" w:cs="Arial"/>
          <w:sz w:val="18"/>
          <w:szCs w:val="18"/>
        </w:rPr>
        <w:t xml:space="preserve"> </w:t>
      </w:r>
      <w:r w:rsidRPr="00735726">
        <w:rPr>
          <w:rFonts w:ascii="Arial" w:hAnsi="Arial" w:cs="Arial"/>
          <w:sz w:val="18"/>
          <w:szCs w:val="18"/>
        </w:rPr>
        <w:t xml:space="preserve">of information for communities. </w:t>
      </w:r>
    </w:p>
    <w:p w14:paraId="6CEE7338" w14:textId="37A9453C" w:rsidR="00841342" w:rsidRPr="00735726" w:rsidRDefault="00326FD9" w:rsidP="00326FD9">
      <w:pPr>
        <w:spacing w:after="160"/>
        <w:rPr>
          <w:rFonts w:ascii="Arial" w:hAnsi="Arial" w:cs="Arial"/>
          <w:sz w:val="18"/>
          <w:szCs w:val="18"/>
        </w:rPr>
      </w:pPr>
      <w:r w:rsidRPr="00735726">
        <w:rPr>
          <w:rFonts w:ascii="Arial" w:hAnsi="Arial" w:cs="Arial"/>
          <w:i/>
          <w:iCs/>
          <w:sz w:val="18"/>
          <w:szCs w:val="18"/>
        </w:rPr>
        <w:t>BATHING WATERS</w:t>
      </w:r>
      <w:r w:rsidR="001C3F13" w:rsidRPr="00735726">
        <w:rPr>
          <w:rFonts w:ascii="Arial" w:hAnsi="Arial" w:cs="Arial"/>
          <w:sz w:val="18"/>
          <w:szCs w:val="18"/>
        </w:rPr>
        <w:br/>
      </w:r>
      <w:r w:rsidRPr="00735726">
        <w:rPr>
          <w:rFonts w:ascii="Arial" w:hAnsi="Arial" w:cs="Arial"/>
          <w:sz w:val="18"/>
          <w:szCs w:val="18"/>
        </w:rPr>
        <w:t xml:space="preserve">Bathing waters across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remain among the cleanest in England. In the 2025 annual bathing water assessments, 96.2% of bathing waters were classified as Excellent or Good.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maintained 100% bathing water compliance for the fifth consecutive year</w:t>
      </w:r>
      <w:r w:rsidRPr="00735726">
        <w:rPr>
          <w:rStyle w:val="FootnoteReference"/>
          <w:rFonts w:ascii="Arial" w:hAnsi="Arial" w:cs="Arial"/>
          <w:sz w:val="18"/>
          <w:szCs w:val="18"/>
        </w:rPr>
        <w:footnoteReference w:id="8"/>
      </w:r>
      <w:r w:rsidRPr="00735726">
        <w:rPr>
          <w:rFonts w:ascii="Arial" w:hAnsi="Arial" w:cs="Arial"/>
          <w:sz w:val="18"/>
          <w:szCs w:val="18"/>
        </w:rPr>
        <w:t xml:space="preserve">. </w:t>
      </w:r>
    </w:p>
    <w:p w14:paraId="7DC70459" w14:textId="6B95CD36" w:rsidR="00326FD9" w:rsidRPr="00735726" w:rsidRDefault="00326FD9" w:rsidP="00326FD9">
      <w:pPr>
        <w:spacing w:after="160"/>
        <w:rPr>
          <w:rFonts w:ascii="Arial" w:hAnsi="Arial" w:cs="Arial"/>
          <w:sz w:val="18"/>
          <w:szCs w:val="18"/>
        </w:rPr>
      </w:pPr>
      <w:r w:rsidRPr="00735726">
        <w:rPr>
          <w:rFonts w:ascii="Arial" w:hAnsi="Arial" w:cs="Arial"/>
          <w:sz w:val="18"/>
          <w:szCs w:val="18"/>
        </w:rPr>
        <w:lastRenderedPageBreak/>
        <w:t xml:space="preserve">Water quality can be influenced by a range of factors beyond our control, including agriculture, wildlife and climate-related weather patterns. We are prioritising investment at bathing waters and using enhanced monitoring and operational insight to identify where changes can deliver the greatest positive impact. For bathing waters designated in 2024, two out of six met the minimum standards; we have investment plans in place for </w:t>
      </w:r>
      <w:proofErr w:type="gramStart"/>
      <w:r w:rsidRPr="00735726">
        <w:rPr>
          <w:rFonts w:ascii="Arial" w:hAnsi="Arial" w:cs="Arial"/>
          <w:sz w:val="18"/>
          <w:szCs w:val="18"/>
        </w:rPr>
        <w:t>all of</w:t>
      </w:r>
      <w:proofErr w:type="gramEnd"/>
      <w:r w:rsidRPr="00735726">
        <w:rPr>
          <w:rFonts w:ascii="Arial" w:hAnsi="Arial" w:cs="Arial"/>
          <w:sz w:val="18"/>
          <w:szCs w:val="18"/>
        </w:rPr>
        <w:t xml:space="preserve"> these sites, alongside wider catchment activity with partners. </w:t>
      </w:r>
    </w:p>
    <w:p w14:paraId="4F1C48B9" w14:textId="5D15B7A3" w:rsidR="00326FD9" w:rsidRPr="00735726" w:rsidRDefault="00326FD9" w:rsidP="00326FD9">
      <w:pPr>
        <w:spacing w:after="160"/>
        <w:rPr>
          <w:rFonts w:ascii="Arial" w:hAnsi="Arial" w:cs="Arial"/>
          <w:sz w:val="18"/>
          <w:szCs w:val="18"/>
        </w:rPr>
      </w:pPr>
      <w:r w:rsidRPr="00735726">
        <w:rPr>
          <w:rFonts w:ascii="Arial" w:hAnsi="Arial" w:cs="Arial"/>
          <w:b/>
          <w:bCs/>
          <w:sz w:val="18"/>
          <w:szCs w:val="18"/>
        </w:rPr>
        <w:t xml:space="preserve">POLLUTION INCIDENTS </w:t>
      </w:r>
      <w:r w:rsidRPr="00735726">
        <w:rPr>
          <w:rFonts w:ascii="Arial" w:hAnsi="Arial" w:cs="Arial"/>
          <w:b/>
          <w:bCs/>
          <w:sz w:val="18"/>
          <w:szCs w:val="18"/>
        </w:rPr>
        <w:br/>
      </w:r>
      <w:r w:rsidRPr="00735726">
        <w:rPr>
          <w:rFonts w:ascii="Arial" w:hAnsi="Arial" w:cs="Arial"/>
          <w:sz w:val="18"/>
          <w:szCs w:val="18"/>
        </w:rPr>
        <w:t>We remain focused on improving performance on pollution incidents to watercourses, as measured by the Environment Agency. In April 2025 we published our Pollution Incident Reduction Plan (PIRP) to drive a step-change in performance. We updated and republished the plan in March 2026 to reflect learning from incidents and operational events, and to incorporate our latest priorities and areas of focus.</w:t>
      </w:r>
    </w:p>
    <w:p w14:paraId="0B1EB8F4" w14:textId="77777777" w:rsidR="00326FD9" w:rsidRPr="00735726" w:rsidRDefault="00326FD9" w:rsidP="00326FD9">
      <w:pPr>
        <w:spacing w:after="160"/>
        <w:rPr>
          <w:rFonts w:ascii="Arial" w:hAnsi="Arial" w:cs="Arial"/>
          <w:sz w:val="18"/>
          <w:szCs w:val="18"/>
        </w:rPr>
      </w:pPr>
      <w:r w:rsidRPr="00735726">
        <w:rPr>
          <w:rFonts w:ascii="Arial" w:hAnsi="Arial" w:cs="Arial"/>
          <w:sz w:val="18"/>
          <w:szCs w:val="18"/>
        </w:rPr>
        <w:t>Our PIRP in 2025 was underpinned by five pillars:</w:t>
      </w:r>
    </w:p>
    <w:p w14:paraId="4D763621" w14:textId="2F2BEEC0" w:rsidR="00326FD9" w:rsidRPr="00735726" w:rsidRDefault="00326FD9" w:rsidP="00646F4F">
      <w:pPr>
        <w:pStyle w:val="ListParagraph"/>
        <w:numPr>
          <w:ilvl w:val="0"/>
          <w:numId w:val="80"/>
        </w:numPr>
        <w:spacing w:after="160"/>
        <w:rPr>
          <w:rFonts w:ascii="Arial" w:hAnsi="Arial" w:cs="Arial"/>
          <w:sz w:val="18"/>
          <w:szCs w:val="18"/>
        </w:rPr>
      </w:pPr>
      <w:r w:rsidRPr="00735726">
        <w:rPr>
          <w:rFonts w:ascii="Arial" w:hAnsi="Arial" w:cs="Arial"/>
          <w:b/>
          <w:bCs/>
          <w:sz w:val="18"/>
          <w:szCs w:val="18"/>
        </w:rPr>
        <w:t>People and culture</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approximately 50 managers completed dedicated training and over 200 colleagues completed mandatory training covering chemicals and site drainage. A business-wide campaign ‘The Great Big Sparkle Challenge’, received over 1,000 entries to drive improvements across wastewater operations.</w:t>
      </w:r>
    </w:p>
    <w:p w14:paraId="219B2F4D" w14:textId="437311D8" w:rsidR="00326FD9" w:rsidRPr="00735726" w:rsidRDefault="00326FD9" w:rsidP="00646F4F">
      <w:pPr>
        <w:pStyle w:val="ListParagraph"/>
        <w:numPr>
          <w:ilvl w:val="0"/>
          <w:numId w:val="80"/>
        </w:numPr>
        <w:spacing w:after="160"/>
        <w:rPr>
          <w:rFonts w:ascii="Arial" w:hAnsi="Arial" w:cs="Arial"/>
          <w:sz w:val="18"/>
          <w:szCs w:val="18"/>
        </w:rPr>
      </w:pPr>
      <w:r w:rsidRPr="00735726">
        <w:rPr>
          <w:rFonts w:ascii="Arial" w:hAnsi="Arial" w:cs="Arial"/>
          <w:b/>
          <w:bCs/>
          <w:sz w:val="18"/>
          <w:szCs w:val="18"/>
        </w:rPr>
        <w:t>Customer and community engagement</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delivery of our</w:t>
      </w:r>
      <w:r w:rsidR="00656C64" w:rsidRPr="00735726">
        <w:rPr>
          <w:rFonts w:ascii="Arial" w:hAnsi="Arial" w:cs="Arial"/>
          <w:sz w:val="18"/>
          <w:szCs w:val="18"/>
        </w:rPr>
        <w:t xml:space="preserve"> </w:t>
      </w:r>
      <w:r w:rsidRPr="00735726">
        <w:rPr>
          <w:rFonts w:ascii="Arial" w:hAnsi="Arial" w:cs="Arial"/>
          <w:sz w:val="18"/>
          <w:szCs w:val="18"/>
        </w:rPr>
        <w:t xml:space="preserve">sewer misuse campaign, </w:t>
      </w:r>
      <w:r w:rsidR="003406A0" w:rsidRPr="00735726">
        <w:rPr>
          <w:rFonts w:ascii="Arial" w:hAnsi="Arial" w:cs="Arial"/>
          <w:sz w:val="18"/>
          <w:szCs w:val="18"/>
        </w:rPr>
        <w:t>‘</w:t>
      </w:r>
      <w:r w:rsidRPr="00735726">
        <w:rPr>
          <w:rFonts w:ascii="Arial" w:hAnsi="Arial" w:cs="Arial"/>
          <w:sz w:val="18"/>
          <w:szCs w:val="18"/>
        </w:rPr>
        <w:t>Bin It Don’t Block It</w:t>
      </w:r>
      <w:r w:rsidR="003406A0" w:rsidRPr="00735726">
        <w:rPr>
          <w:rFonts w:ascii="Arial" w:hAnsi="Arial" w:cs="Arial"/>
          <w:sz w:val="18"/>
          <w:szCs w:val="18"/>
        </w:rPr>
        <w:t>’</w:t>
      </w:r>
      <w:r w:rsidRPr="00735726">
        <w:rPr>
          <w:rFonts w:ascii="Arial" w:hAnsi="Arial" w:cs="Arial"/>
          <w:sz w:val="18"/>
          <w:szCs w:val="18"/>
        </w:rPr>
        <w:t>, alongside</w:t>
      </w:r>
      <w:r w:rsidR="00656C64" w:rsidRPr="00735726">
        <w:rPr>
          <w:rFonts w:ascii="Arial" w:hAnsi="Arial" w:cs="Arial"/>
          <w:sz w:val="18"/>
          <w:szCs w:val="18"/>
        </w:rPr>
        <w:t xml:space="preserve"> </w:t>
      </w:r>
      <w:r w:rsidRPr="00735726">
        <w:rPr>
          <w:rFonts w:ascii="Arial" w:hAnsi="Arial" w:cs="Arial"/>
          <w:sz w:val="18"/>
          <w:szCs w:val="18"/>
        </w:rPr>
        <w:t>approximately 5,500 visits to misuse hotspots.</w:t>
      </w:r>
    </w:p>
    <w:p w14:paraId="11B37542" w14:textId="308059FF" w:rsidR="00326FD9" w:rsidRPr="00735726" w:rsidRDefault="00326FD9" w:rsidP="00646F4F">
      <w:pPr>
        <w:pStyle w:val="ListParagraph"/>
        <w:numPr>
          <w:ilvl w:val="0"/>
          <w:numId w:val="80"/>
        </w:numPr>
        <w:spacing w:after="160"/>
        <w:rPr>
          <w:rFonts w:ascii="Arial" w:hAnsi="Arial" w:cs="Arial"/>
          <w:sz w:val="18"/>
          <w:szCs w:val="18"/>
        </w:rPr>
      </w:pPr>
      <w:r w:rsidRPr="00735726">
        <w:rPr>
          <w:rFonts w:ascii="Arial" w:hAnsi="Arial" w:cs="Arial"/>
          <w:b/>
          <w:bCs/>
          <w:sz w:val="18"/>
          <w:szCs w:val="18"/>
        </w:rPr>
        <w:t>Smarter operations</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development of an enhanced</w:t>
      </w:r>
      <w:r w:rsidR="00656C64" w:rsidRPr="00735726">
        <w:rPr>
          <w:rFonts w:ascii="Arial" w:hAnsi="Arial" w:cs="Arial"/>
          <w:sz w:val="18"/>
          <w:szCs w:val="18"/>
        </w:rPr>
        <w:t xml:space="preserve"> </w:t>
      </w:r>
      <w:r w:rsidRPr="00735726">
        <w:rPr>
          <w:rFonts w:ascii="Arial" w:hAnsi="Arial" w:cs="Arial"/>
          <w:sz w:val="18"/>
          <w:szCs w:val="18"/>
        </w:rPr>
        <w:t>catchment-based sewer cleansing programme, with</w:t>
      </w:r>
      <w:r w:rsidR="00656C64" w:rsidRPr="00735726">
        <w:rPr>
          <w:rFonts w:ascii="Arial" w:hAnsi="Arial" w:cs="Arial"/>
          <w:sz w:val="18"/>
          <w:szCs w:val="18"/>
        </w:rPr>
        <w:t xml:space="preserve"> </w:t>
      </w:r>
      <w:r w:rsidRPr="00735726">
        <w:rPr>
          <w:rFonts w:ascii="Arial" w:hAnsi="Arial" w:cs="Arial"/>
          <w:sz w:val="18"/>
          <w:szCs w:val="18"/>
        </w:rPr>
        <w:t>114km of sewers cleansed, alongside enhanced</w:t>
      </w:r>
      <w:r w:rsidR="00656C64" w:rsidRPr="00735726">
        <w:rPr>
          <w:rFonts w:ascii="Arial" w:hAnsi="Arial" w:cs="Arial"/>
          <w:sz w:val="18"/>
          <w:szCs w:val="18"/>
        </w:rPr>
        <w:t xml:space="preserve"> </w:t>
      </w:r>
      <w:r w:rsidRPr="00735726">
        <w:rPr>
          <w:rFonts w:ascii="Arial" w:hAnsi="Arial" w:cs="Arial"/>
          <w:sz w:val="18"/>
          <w:szCs w:val="18"/>
        </w:rPr>
        <w:t>pumping station maintenance.</w:t>
      </w:r>
    </w:p>
    <w:p w14:paraId="2F249FD0" w14:textId="47094CE6" w:rsidR="00326FD9" w:rsidRPr="00735726" w:rsidRDefault="00326FD9" w:rsidP="00646F4F">
      <w:pPr>
        <w:pStyle w:val="ListParagraph"/>
        <w:numPr>
          <w:ilvl w:val="0"/>
          <w:numId w:val="80"/>
        </w:numPr>
        <w:spacing w:after="160"/>
        <w:rPr>
          <w:rFonts w:ascii="Arial" w:hAnsi="Arial" w:cs="Arial"/>
          <w:sz w:val="18"/>
          <w:szCs w:val="18"/>
        </w:rPr>
      </w:pPr>
      <w:r w:rsidRPr="00735726">
        <w:rPr>
          <w:rFonts w:ascii="Arial" w:hAnsi="Arial" w:cs="Arial"/>
          <w:b/>
          <w:bCs/>
          <w:sz w:val="18"/>
          <w:szCs w:val="18"/>
        </w:rPr>
        <w:t>Asset health and investment</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targeted investment to</w:t>
      </w:r>
      <w:r w:rsidR="00656C64" w:rsidRPr="00735726">
        <w:rPr>
          <w:rFonts w:ascii="Arial" w:hAnsi="Arial" w:cs="Arial"/>
          <w:sz w:val="18"/>
          <w:szCs w:val="18"/>
        </w:rPr>
        <w:t xml:space="preserve"> </w:t>
      </w:r>
      <w:r w:rsidRPr="00735726">
        <w:rPr>
          <w:rFonts w:ascii="Arial" w:hAnsi="Arial" w:cs="Arial"/>
          <w:sz w:val="18"/>
          <w:szCs w:val="18"/>
        </w:rPr>
        <w:t>address known risks and improve resilience, informed</w:t>
      </w:r>
      <w:r w:rsidR="00656C64" w:rsidRPr="00735726">
        <w:rPr>
          <w:rFonts w:ascii="Arial" w:hAnsi="Arial" w:cs="Arial"/>
          <w:sz w:val="18"/>
          <w:szCs w:val="18"/>
        </w:rPr>
        <w:t xml:space="preserve"> </w:t>
      </w:r>
      <w:r w:rsidRPr="00735726">
        <w:rPr>
          <w:rFonts w:ascii="Arial" w:hAnsi="Arial" w:cs="Arial"/>
          <w:sz w:val="18"/>
          <w:szCs w:val="18"/>
        </w:rPr>
        <w:t>by incident learning and performance data; for example,</w:t>
      </w:r>
      <w:r w:rsidR="00656C64" w:rsidRPr="00735726">
        <w:rPr>
          <w:rFonts w:ascii="Arial" w:hAnsi="Arial" w:cs="Arial"/>
          <w:sz w:val="18"/>
          <w:szCs w:val="18"/>
        </w:rPr>
        <w:t xml:space="preserve"> </w:t>
      </w:r>
      <w:r w:rsidRPr="00735726">
        <w:rPr>
          <w:rFonts w:ascii="Arial" w:hAnsi="Arial" w:cs="Arial"/>
          <w:sz w:val="18"/>
          <w:szCs w:val="18"/>
        </w:rPr>
        <w:t xml:space="preserve">replacement of a high-risk rising main at </w:t>
      </w:r>
      <w:proofErr w:type="spellStart"/>
      <w:r w:rsidRPr="00735726">
        <w:rPr>
          <w:rFonts w:ascii="Arial" w:hAnsi="Arial" w:cs="Arial"/>
          <w:sz w:val="18"/>
          <w:szCs w:val="18"/>
        </w:rPr>
        <w:t>Dunkeswell</w:t>
      </w:r>
      <w:proofErr w:type="spellEnd"/>
      <w:r w:rsidRPr="00735726">
        <w:rPr>
          <w:rFonts w:ascii="Arial" w:hAnsi="Arial" w:cs="Arial"/>
          <w:sz w:val="18"/>
          <w:szCs w:val="18"/>
        </w:rPr>
        <w:t xml:space="preserve">. </w:t>
      </w:r>
    </w:p>
    <w:p w14:paraId="329C3AF9" w14:textId="4AD7F569" w:rsidR="00326FD9" w:rsidRPr="00735726" w:rsidRDefault="00326FD9" w:rsidP="00646F4F">
      <w:pPr>
        <w:pStyle w:val="ListParagraph"/>
        <w:numPr>
          <w:ilvl w:val="0"/>
          <w:numId w:val="80"/>
        </w:numPr>
        <w:spacing w:after="160"/>
        <w:rPr>
          <w:rFonts w:ascii="Arial" w:hAnsi="Arial" w:cs="Arial"/>
          <w:sz w:val="18"/>
          <w:szCs w:val="18"/>
        </w:rPr>
      </w:pPr>
      <w:r w:rsidRPr="00735726">
        <w:rPr>
          <w:rFonts w:ascii="Arial" w:hAnsi="Arial" w:cs="Arial"/>
          <w:b/>
          <w:bCs/>
          <w:sz w:val="18"/>
          <w:szCs w:val="18"/>
        </w:rPr>
        <w:t>Data, insight and assurance</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improved monitoring,</w:t>
      </w:r>
      <w:r w:rsidR="00656C64" w:rsidRPr="00735726">
        <w:rPr>
          <w:rFonts w:ascii="Arial" w:hAnsi="Arial" w:cs="Arial"/>
          <w:sz w:val="18"/>
          <w:szCs w:val="18"/>
        </w:rPr>
        <w:t xml:space="preserve"> </w:t>
      </w:r>
      <w:r w:rsidRPr="00735726">
        <w:rPr>
          <w:rFonts w:ascii="Arial" w:hAnsi="Arial" w:cs="Arial"/>
          <w:sz w:val="18"/>
          <w:szCs w:val="18"/>
        </w:rPr>
        <w:t>investigation and reporting to support faster</w:t>
      </w:r>
      <w:r w:rsidR="00656C64" w:rsidRPr="00735726">
        <w:rPr>
          <w:rFonts w:ascii="Arial" w:hAnsi="Arial" w:cs="Arial"/>
          <w:sz w:val="18"/>
          <w:szCs w:val="18"/>
        </w:rPr>
        <w:t xml:space="preserve"> </w:t>
      </w:r>
      <w:r w:rsidRPr="00735726">
        <w:rPr>
          <w:rFonts w:ascii="Arial" w:hAnsi="Arial" w:cs="Arial"/>
          <w:sz w:val="18"/>
          <w:szCs w:val="18"/>
        </w:rPr>
        <w:t>interventions and sustained performance improvement.</w:t>
      </w:r>
      <w:r w:rsidR="00656C64" w:rsidRPr="00735726">
        <w:rPr>
          <w:rFonts w:ascii="Arial" w:hAnsi="Arial" w:cs="Arial"/>
          <w:sz w:val="18"/>
          <w:szCs w:val="18"/>
        </w:rPr>
        <w:t xml:space="preserve">  </w:t>
      </w:r>
      <w:r w:rsidRPr="00735726">
        <w:rPr>
          <w:rFonts w:ascii="Arial" w:hAnsi="Arial" w:cs="Arial"/>
          <w:sz w:val="18"/>
          <w:szCs w:val="18"/>
        </w:rPr>
        <w:t>We have seen a 76% success rate using AI driven alerts</w:t>
      </w:r>
      <w:r w:rsidR="00656C64" w:rsidRPr="00735726">
        <w:rPr>
          <w:rFonts w:ascii="Arial" w:hAnsi="Arial" w:cs="Arial"/>
          <w:sz w:val="18"/>
          <w:szCs w:val="18"/>
        </w:rPr>
        <w:t xml:space="preserve"> </w:t>
      </w:r>
      <w:r w:rsidRPr="00735726">
        <w:rPr>
          <w:rFonts w:ascii="Arial" w:hAnsi="Arial" w:cs="Arial"/>
          <w:sz w:val="18"/>
          <w:szCs w:val="18"/>
        </w:rPr>
        <w:t>from 12,000 sewer level monitors, to drive positive and</w:t>
      </w:r>
      <w:r w:rsidR="00656C64" w:rsidRPr="00735726">
        <w:rPr>
          <w:rFonts w:ascii="Arial" w:hAnsi="Arial" w:cs="Arial"/>
          <w:sz w:val="18"/>
          <w:szCs w:val="18"/>
        </w:rPr>
        <w:t xml:space="preserve"> </w:t>
      </w:r>
      <w:r w:rsidRPr="00735726">
        <w:rPr>
          <w:rFonts w:ascii="Arial" w:hAnsi="Arial" w:cs="Arial"/>
          <w:sz w:val="18"/>
          <w:szCs w:val="18"/>
        </w:rPr>
        <w:t>timely interventions in our network.</w:t>
      </w:r>
    </w:p>
    <w:p w14:paraId="231A165B" w14:textId="59EE9F86" w:rsidR="00326FD9" w:rsidRPr="00735726" w:rsidRDefault="00326FD9" w:rsidP="00326FD9">
      <w:pPr>
        <w:spacing w:after="160"/>
        <w:rPr>
          <w:rFonts w:ascii="Arial" w:hAnsi="Arial" w:cs="Arial"/>
          <w:sz w:val="18"/>
          <w:szCs w:val="18"/>
        </w:rPr>
      </w:pPr>
      <w:r w:rsidRPr="00735726">
        <w:rPr>
          <w:rFonts w:ascii="Arial" w:hAnsi="Arial" w:cs="Arial"/>
          <w:sz w:val="18"/>
          <w:szCs w:val="18"/>
        </w:rPr>
        <w:t>Delivery of PIRP initiatives contributed to a 34% reduction</w:t>
      </w:r>
      <w:r w:rsidR="00656C64" w:rsidRPr="00735726">
        <w:rPr>
          <w:rFonts w:ascii="Arial" w:hAnsi="Arial" w:cs="Arial"/>
          <w:sz w:val="18"/>
          <w:szCs w:val="18"/>
        </w:rPr>
        <w:t xml:space="preserve"> </w:t>
      </w:r>
      <w:r w:rsidRPr="00735726">
        <w:rPr>
          <w:rFonts w:ascii="Arial" w:hAnsi="Arial" w:cs="Arial"/>
          <w:sz w:val="18"/>
          <w:szCs w:val="18"/>
        </w:rPr>
        <w:t>in Category 1-3 incidents, alongside a 60% reduction</w:t>
      </w:r>
      <w:r w:rsidR="00656C64" w:rsidRPr="00735726">
        <w:rPr>
          <w:rFonts w:ascii="Arial" w:hAnsi="Arial" w:cs="Arial"/>
          <w:sz w:val="18"/>
          <w:szCs w:val="18"/>
        </w:rPr>
        <w:t xml:space="preserve"> </w:t>
      </w:r>
      <w:r w:rsidRPr="00735726">
        <w:rPr>
          <w:rFonts w:ascii="Arial" w:hAnsi="Arial" w:cs="Arial"/>
          <w:sz w:val="18"/>
          <w:szCs w:val="18"/>
        </w:rPr>
        <w:t>in repeat pollution incidents. Root cause analysis has</w:t>
      </w:r>
      <w:r w:rsidR="00656C64" w:rsidRPr="00735726">
        <w:rPr>
          <w:rFonts w:ascii="Arial" w:hAnsi="Arial" w:cs="Arial"/>
          <w:sz w:val="18"/>
          <w:szCs w:val="18"/>
        </w:rPr>
        <w:t xml:space="preserve"> </w:t>
      </w:r>
      <w:r w:rsidRPr="00735726">
        <w:rPr>
          <w:rFonts w:ascii="Arial" w:hAnsi="Arial" w:cs="Arial"/>
          <w:sz w:val="18"/>
          <w:szCs w:val="18"/>
        </w:rPr>
        <w:t xml:space="preserve">helped us target interventions more effectively </w:t>
      </w:r>
      <w:r w:rsidR="006C1BA9" w:rsidRPr="00735726">
        <w:rPr>
          <w:rFonts w:ascii="Arial" w:hAnsi="Arial" w:cs="Arial"/>
          <w:sz w:val="18"/>
          <w:szCs w:val="18"/>
        </w:rPr>
        <w:t xml:space="preserve">- </w:t>
      </w:r>
      <w:r w:rsidRPr="00735726">
        <w:rPr>
          <w:rFonts w:ascii="Arial" w:hAnsi="Arial" w:cs="Arial"/>
          <w:sz w:val="18"/>
          <w:szCs w:val="18"/>
        </w:rPr>
        <w:t>through</w:t>
      </w:r>
      <w:r w:rsidR="00656C64" w:rsidRPr="00735726">
        <w:rPr>
          <w:rFonts w:ascii="Arial" w:hAnsi="Arial" w:cs="Arial"/>
          <w:sz w:val="18"/>
          <w:szCs w:val="18"/>
        </w:rPr>
        <w:t xml:space="preserve"> </w:t>
      </w:r>
      <w:r w:rsidRPr="00735726">
        <w:rPr>
          <w:rFonts w:ascii="Arial" w:hAnsi="Arial" w:cs="Arial"/>
          <w:sz w:val="18"/>
          <w:szCs w:val="18"/>
        </w:rPr>
        <w:t>asset upgrades, smarter monitoring and operational</w:t>
      </w:r>
      <w:r w:rsidR="00656C64" w:rsidRPr="00735726">
        <w:rPr>
          <w:rFonts w:ascii="Arial" w:hAnsi="Arial" w:cs="Arial"/>
          <w:sz w:val="18"/>
          <w:szCs w:val="18"/>
        </w:rPr>
        <w:t xml:space="preserve"> </w:t>
      </w:r>
      <w:r w:rsidRPr="00735726">
        <w:rPr>
          <w:rFonts w:ascii="Arial" w:hAnsi="Arial" w:cs="Arial"/>
          <w:sz w:val="18"/>
          <w:szCs w:val="18"/>
        </w:rPr>
        <w:t>improvements, and behavioural campaigns to reduce</w:t>
      </w:r>
      <w:r w:rsidR="00656C64" w:rsidRPr="00735726">
        <w:rPr>
          <w:rFonts w:ascii="Arial" w:hAnsi="Arial" w:cs="Arial"/>
          <w:sz w:val="18"/>
          <w:szCs w:val="18"/>
        </w:rPr>
        <w:t xml:space="preserve"> </w:t>
      </w:r>
      <w:r w:rsidRPr="00735726">
        <w:rPr>
          <w:rFonts w:ascii="Arial" w:hAnsi="Arial" w:cs="Arial"/>
          <w:sz w:val="18"/>
          <w:szCs w:val="18"/>
        </w:rPr>
        <w:t>misuse of the network.</w:t>
      </w:r>
    </w:p>
    <w:p w14:paraId="5A17BBE2" w14:textId="377AC5A3" w:rsidR="00326FD9" w:rsidRPr="00735726" w:rsidRDefault="00326FD9" w:rsidP="00326FD9">
      <w:pPr>
        <w:spacing w:after="160"/>
        <w:rPr>
          <w:rFonts w:ascii="Arial" w:hAnsi="Arial" w:cs="Arial"/>
          <w:sz w:val="18"/>
          <w:szCs w:val="18"/>
        </w:rPr>
      </w:pPr>
      <w:r w:rsidRPr="00735726">
        <w:rPr>
          <w:rFonts w:ascii="Arial" w:hAnsi="Arial" w:cs="Arial"/>
          <w:sz w:val="18"/>
          <w:szCs w:val="18"/>
        </w:rPr>
        <w:t xml:space="preserve">During the year, disappointingly, one event in </w:t>
      </w:r>
      <w:proofErr w:type="spellStart"/>
      <w:r w:rsidRPr="00735726">
        <w:rPr>
          <w:rFonts w:ascii="Arial" w:hAnsi="Arial" w:cs="Arial"/>
          <w:sz w:val="18"/>
          <w:szCs w:val="18"/>
        </w:rPr>
        <w:t>Menagwins</w:t>
      </w:r>
      <w:proofErr w:type="spellEnd"/>
      <w:r w:rsidR="00656C64" w:rsidRPr="00735726">
        <w:rPr>
          <w:rFonts w:ascii="Arial" w:hAnsi="Arial" w:cs="Arial"/>
          <w:sz w:val="18"/>
          <w:szCs w:val="18"/>
        </w:rPr>
        <w:t xml:space="preserve"> </w:t>
      </w:r>
      <w:r w:rsidRPr="00735726">
        <w:rPr>
          <w:rFonts w:ascii="Arial" w:hAnsi="Arial" w:cs="Arial"/>
          <w:sz w:val="18"/>
          <w:szCs w:val="18"/>
        </w:rPr>
        <w:t xml:space="preserve">resulted in a Category 1 incident </w:t>
      </w:r>
      <w:r w:rsidR="006C1BA9" w:rsidRPr="00735726">
        <w:rPr>
          <w:rFonts w:ascii="Arial" w:hAnsi="Arial" w:cs="Arial"/>
          <w:sz w:val="18"/>
          <w:szCs w:val="18"/>
        </w:rPr>
        <w:t xml:space="preserve">- </w:t>
      </w:r>
      <w:r w:rsidRPr="00735726">
        <w:rPr>
          <w:rFonts w:ascii="Arial" w:hAnsi="Arial" w:cs="Arial"/>
          <w:sz w:val="18"/>
          <w:szCs w:val="18"/>
        </w:rPr>
        <w:t>our first since 2018</w:t>
      </w:r>
      <w:r w:rsidR="00656C64"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following a chemical spillage caused by a structural defect</w:t>
      </w:r>
      <w:r w:rsidR="00656C64" w:rsidRPr="00735726">
        <w:rPr>
          <w:rFonts w:ascii="Arial" w:hAnsi="Arial" w:cs="Arial"/>
          <w:sz w:val="18"/>
          <w:szCs w:val="18"/>
        </w:rPr>
        <w:t xml:space="preserve"> </w:t>
      </w:r>
      <w:r w:rsidRPr="00735726">
        <w:rPr>
          <w:rFonts w:ascii="Arial" w:hAnsi="Arial" w:cs="Arial"/>
          <w:sz w:val="18"/>
          <w:szCs w:val="18"/>
        </w:rPr>
        <w:t>in a third-party tanker hose and the failure of a bung</w:t>
      </w:r>
      <w:r w:rsidR="00656C64" w:rsidRPr="00735726">
        <w:rPr>
          <w:rFonts w:ascii="Arial" w:hAnsi="Arial" w:cs="Arial"/>
          <w:sz w:val="18"/>
          <w:szCs w:val="18"/>
        </w:rPr>
        <w:t xml:space="preserve"> </w:t>
      </w:r>
      <w:r w:rsidRPr="00735726">
        <w:rPr>
          <w:rFonts w:ascii="Arial" w:hAnsi="Arial" w:cs="Arial"/>
          <w:sz w:val="18"/>
          <w:szCs w:val="18"/>
        </w:rPr>
        <w:t>within the site drainage system. There were two Category</w:t>
      </w:r>
      <w:r w:rsidR="00656C64" w:rsidRPr="00735726">
        <w:rPr>
          <w:rFonts w:ascii="Arial" w:hAnsi="Arial" w:cs="Arial"/>
          <w:sz w:val="18"/>
          <w:szCs w:val="18"/>
        </w:rPr>
        <w:t xml:space="preserve"> </w:t>
      </w:r>
      <w:r w:rsidRPr="00735726">
        <w:rPr>
          <w:rFonts w:ascii="Arial" w:hAnsi="Arial" w:cs="Arial"/>
          <w:sz w:val="18"/>
          <w:szCs w:val="18"/>
        </w:rPr>
        <w:t>2 incidents, a reduction from four in the prior year.</w:t>
      </w:r>
    </w:p>
    <w:p w14:paraId="2962BBD0" w14:textId="77777777" w:rsidR="00656C64" w:rsidRPr="00735726" w:rsidRDefault="00326FD9" w:rsidP="00326FD9">
      <w:pPr>
        <w:spacing w:after="160"/>
        <w:rPr>
          <w:rFonts w:ascii="Arial" w:hAnsi="Arial" w:cs="Arial"/>
          <w:sz w:val="18"/>
          <w:szCs w:val="18"/>
        </w:rPr>
      </w:pPr>
      <w:r w:rsidRPr="00735726">
        <w:rPr>
          <w:rFonts w:ascii="Arial" w:hAnsi="Arial" w:cs="Arial"/>
          <w:sz w:val="18"/>
          <w:szCs w:val="18"/>
        </w:rPr>
        <w:t>The positive improvement in the number of pollution</w:t>
      </w:r>
      <w:r w:rsidR="00656C64" w:rsidRPr="00735726">
        <w:rPr>
          <w:rFonts w:ascii="Arial" w:hAnsi="Arial" w:cs="Arial"/>
          <w:sz w:val="18"/>
          <w:szCs w:val="18"/>
        </w:rPr>
        <w:t xml:space="preserve"> </w:t>
      </w:r>
      <w:r w:rsidRPr="00735726">
        <w:rPr>
          <w:rFonts w:ascii="Arial" w:hAnsi="Arial" w:cs="Arial"/>
          <w:sz w:val="18"/>
          <w:szCs w:val="18"/>
        </w:rPr>
        <w:t>incidents means we have the lowest number of absolute</w:t>
      </w:r>
      <w:r w:rsidR="00656C64" w:rsidRPr="00735726">
        <w:rPr>
          <w:rFonts w:ascii="Arial" w:hAnsi="Arial" w:cs="Arial"/>
          <w:sz w:val="18"/>
          <w:szCs w:val="18"/>
        </w:rPr>
        <w:t xml:space="preserve"> </w:t>
      </w:r>
      <w:r w:rsidRPr="00735726">
        <w:rPr>
          <w:rFonts w:ascii="Arial" w:hAnsi="Arial" w:cs="Arial"/>
          <w:sz w:val="18"/>
          <w:szCs w:val="18"/>
        </w:rPr>
        <w:t xml:space="preserve">incidents in the </w:t>
      </w:r>
      <w:proofErr w:type="gramStart"/>
      <w:r w:rsidRPr="00735726">
        <w:rPr>
          <w:rFonts w:ascii="Arial" w:hAnsi="Arial" w:cs="Arial"/>
          <w:sz w:val="18"/>
          <w:szCs w:val="18"/>
        </w:rPr>
        <w:t>sector, and</w:t>
      </w:r>
      <w:proofErr w:type="gramEnd"/>
      <w:r w:rsidRPr="00735726">
        <w:rPr>
          <w:rFonts w:ascii="Arial" w:hAnsi="Arial" w:cs="Arial"/>
          <w:sz w:val="18"/>
          <w:szCs w:val="18"/>
        </w:rPr>
        <w:t xml:space="preserve"> following the recognition of</w:t>
      </w:r>
      <w:r w:rsidR="00656C64" w:rsidRPr="00735726">
        <w:rPr>
          <w:rFonts w:ascii="Arial" w:hAnsi="Arial" w:cs="Arial"/>
          <w:sz w:val="18"/>
          <w:szCs w:val="18"/>
        </w:rPr>
        <w:t xml:space="preserve"> </w:t>
      </w:r>
      <w:r w:rsidRPr="00735726">
        <w:rPr>
          <w:rFonts w:ascii="Arial" w:hAnsi="Arial" w:cs="Arial"/>
          <w:sz w:val="18"/>
          <w:szCs w:val="18"/>
        </w:rPr>
        <w:t>our increased sewer length by the Environment Agency,</w:t>
      </w:r>
      <w:r w:rsidR="00656C64" w:rsidRPr="00735726">
        <w:rPr>
          <w:rFonts w:ascii="Arial" w:hAnsi="Arial" w:cs="Arial"/>
          <w:sz w:val="18"/>
          <w:szCs w:val="18"/>
        </w:rPr>
        <w:t xml:space="preserve"> </w:t>
      </w:r>
      <w:r w:rsidRPr="00735726">
        <w:rPr>
          <w:rFonts w:ascii="Arial" w:hAnsi="Arial" w:cs="Arial"/>
          <w:sz w:val="18"/>
          <w:szCs w:val="18"/>
        </w:rPr>
        <w:t>our normalised pollution incidents reduced by 53%</w:t>
      </w:r>
      <w:r w:rsidR="00656C64" w:rsidRPr="00735726">
        <w:rPr>
          <w:rFonts w:ascii="Arial" w:hAnsi="Arial" w:cs="Arial"/>
          <w:sz w:val="18"/>
          <w:szCs w:val="18"/>
        </w:rPr>
        <w:t xml:space="preserve"> </w:t>
      </w:r>
      <w:r w:rsidRPr="00735726">
        <w:rPr>
          <w:rFonts w:ascii="Arial" w:hAnsi="Arial" w:cs="Arial"/>
          <w:sz w:val="18"/>
          <w:szCs w:val="18"/>
        </w:rPr>
        <w:t>year-on-year. When considered against draft industry</w:t>
      </w:r>
      <w:r w:rsidR="00656C64" w:rsidRPr="00735726">
        <w:rPr>
          <w:rFonts w:ascii="Arial" w:hAnsi="Arial" w:cs="Arial"/>
          <w:sz w:val="18"/>
          <w:szCs w:val="18"/>
        </w:rPr>
        <w:t xml:space="preserve"> </w:t>
      </w:r>
      <w:r w:rsidRPr="00735726">
        <w:rPr>
          <w:rFonts w:ascii="Arial" w:hAnsi="Arial" w:cs="Arial"/>
          <w:sz w:val="18"/>
          <w:szCs w:val="18"/>
        </w:rPr>
        <w:t xml:space="preserve">performance,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is no longer an outlier in</w:t>
      </w:r>
      <w:r w:rsidR="00656C64" w:rsidRPr="00735726">
        <w:rPr>
          <w:rFonts w:ascii="Arial" w:hAnsi="Arial" w:cs="Arial"/>
          <w:sz w:val="18"/>
          <w:szCs w:val="18"/>
        </w:rPr>
        <w:t xml:space="preserve"> </w:t>
      </w:r>
      <w:r w:rsidRPr="00735726">
        <w:rPr>
          <w:rFonts w:ascii="Arial" w:hAnsi="Arial" w:cs="Arial"/>
          <w:sz w:val="18"/>
          <w:szCs w:val="18"/>
        </w:rPr>
        <w:t xml:space="preserve">this measure for the first time. </w:t>
      </w:r>
    </w:p>
    <w:p w14:paraId="7363EC9F" w14:textId="73D1DDC5" w:rsidR="00656C64" w:rsidRPr="00735726" w:rsidRDefault="00656C64" w:rsidP="00656C64">
      <w:pPr>
        <w:spacing w:after="160"/>
        <w:rPr>
          <w:rFonts w:ascii="Arial" w:hAnsi="Arial" w:cs="Arial"/>
          <w:sz w:val="18"/>
          <w:szCs w:val="18"/>
        </w:rPr>
      </w:pPr>
      <w:r w:rsidRPr="00735726">
        <w:rPr>
          <w:rFonts w:ascii="Arial" w:hAnsi="Arial" w:cs="Arial"/>
          <w:i/>
          <w:iCs/>
          <w:sz w:val="18"/>
          <w:szCs w:val="18"/>
        </w:rPr>
        <w:t>SPILL REDUCTION</w:t>
      </w:r>
      <w:r w:rsidR="00D62E2B" w:rsidRPr="00735726">
        <w:rPr>
          <w:rFonts w:ascii="Arial" w:hAnsi="Arial" w:cs="Arial"/>
          <w:sz w:val="18"/>
          <w:szCs w:val="18"/>
        </w:rPr>
        <w:br/>
      </w:r>
      <w:r w:rsidRPr="00735726">
        <w:rPr>
          <w:rFonts w:ascii="Arial" w:hAnsi="Arial" w:cs="Arial"/>
          <w:sz w:val="18"/>
          <w:szCs w:val="18"/>
        </w:rPr>
        <w:t>50% spill reduction at the top five spillers. Among our most important interventions in 2025 to reduce spills were actions taken at our top five spilling sites. We achieved a 50% reduction in spills from these sites through a combination of removing sources of non-sewage flows entering the network, increasing treatment capacity, optimising pumping, installing additional storm storage and improving sewer condition through lining.</w:t>
      </w:r>
    </w:p>
    <w:p w14:paraId="7CA16419" w14:textId="77777777" w:rsidR="00656C64" w:rsidRPr="00735726" w:rsidRDefault="00656C64" w:rsidP="00656C64">
      <w:pPr>
        <w:spacing w:after="160"/>
        <w:rPr>
          <w:rFonts w:ascii="Arial" w:hAnsi="Arial" w:cs="Arial"/>
          <w:sz w:val="18"/>
          <w:szCs w:val="18"/>
        </w:rPr>
      </w:pPr>
      <w:r w:rsidRPr="00735726">
        <w:rPr>
          <w:rFonts w:ascii="Arial" w:hAnsi="Arial" w:cs="Arial"/>
          <w:sz w:val="18"/>
          <w:szCs w:val="18"/>
        </w:rPr>
        <w:t xml:space="preserve">There is more to do at these sites to reduce spills further and to ensure they meet the long-term future targets of not spilling on average more than 10 times per year; however, this progress demonstrates that our approach is delivering results. </w:t>
      </w:r>
    </w:p>
    <w:tbl>
      <w:tblPr>
        <w:tblStyle w:val="TableGrid"/>
        <w:tblW w:w="0" w:type="auto"/>
        <w:tblLook w:val="04A0" w:firstRow="1" w:lastRow="0" w:firstColumn="1" w:lastColumn="0" w:noHBand="0" w:noVBand="1"/>
      </w:tblPr>
      <w:tblGrid>
        <w:gridCol w:w="3005"/>
        <w:gridCol w:w="3005"/>
        <w:gridCol w:w="3006"/>
      </w:tblGrid>
      <w:tr w:rsidR="00656C64" w:rsidRPr="00735726" w14:paraId="26256C5B" w14:textId="77777777" w:rsidTr="00656C64">
        <w:tc>
          <w:tcPr>
            <w:tcW w:w="3005" w:type="dxa"/>
            <w:shd w:val="clear" w:color="auto" w:fill="002060"/>
          </w:tcPr>
          <w:p w14:paraId="6AD1B825" w14:textId="39DA02D0" w:rsidR="00656C64" w:rsidRPr="00735726" w:rsidRDefault="00656C64" w:rsidP="00656C64">
            <w:pPr>
              <w:spacing w:after="160"/>
              <w:rPr>
                <w:rFonts w:ascii="Arial" w:hAnsi="Arial" w:cs="Arial"/>
                <w:sz w:val="18"/>
                <w:szCs w:val="18"/>
              </w:rPr>
            </w:pPr>
            <w:r w:rsidRPr="00735726">
              <w:rPr>
                <w:rFonts w:ascii="Arial" w:hAnsi="Arial" w:cs="Arial"/>
                <w:sz w:val="18"/>
                <w:szCs w:val="18"/>
              </w:rPr>
              <w:t>2024 rank</w:t>
            </w:r>
          </w:p>
        </w:tc>
        <w:tc>
          <w:tcPr>
            <w:tcW w:w="3005" w:type="dxa"/>
            <w:shd w:val="clear" w:color="auto" w:fill="002060"/>
          </w:tcPr>
          <w:p w14:paraId="0A925CC1" w14:textId="3460E416" w:rsidR="00656C64" w:rsidRPr="00735726" w:rsidRDefault="00656C64" w:rsidP="00656C64">
            <w:pPr>
              <w:spacing w:after="160"/>
              <w:rPr>
                <w:rFonts w:ascii="Arial" w:hAnsi="Arial" w:cs="Arial"/>
                <w:sz w:val="18"/>
                <w:szCs w:val="18"/>
              </w:rPr>
            </w:pPr>
            <w:r w:rsidRPr="00735726">
              <w:rPr>
                <w:rFonts w:ascii="Arial" w:hAnsi="Arial" w:cs="Arial"/>
                <w:sz w:val="18"/>
                <w:szCs w:val="18"/>
              </w:rPr>
              <w:t>Spilling overflows</w:t>
            </w:r>
          </w:p>
        </w:tc>
        <w:tc>
          <w:tcPr>
            <w:tcW w:w="3006" w:type="dxa"/>
            <w:shd w:val="clear" w:color="auto" w:fill="002060"/>
          </w:tcPr>
          <w:p w14:paraId="2BFD0E96" w14:textId="09C24C48" w:rsidR="00656C64" w:rsidRPr="00735726" w:rsidRDefault="00656C64" w:rsidP="00656C64">
            <w:pPr>
              <w:spacing w:after="160"/>
              <w:rPr>
                <w:rFonts w:ascii="Arial" w:hAnsi="Arial" w:cs="Arial"/>
                <w:sz w:val="18"/>
                <w:szCs w:val="18"/>
              </w:rPr>
            </w:pPr>
            <w:r w:rsidRPr="00735726">
              <w:rPr>
                <w:rFonts w:ascii="Arial" w:hAnsi="Arial" w:cs="Arial"/>
                <w:sz w:val="18"/>
                <w:szCs w:val="18"/>
              </w:rPr>
              <w:t>2025 spills</w:t>
            </w:r>
          </w:p>
        </w:tc>
      </w:tr>
      <w:tr w:rsidR="00656C64" w:rsidRPr="00735726" w14:paraId="72BF080D" w14:textId="77777777" w:rsidTr="00656C64">
        <w:tc>
          <w:tcPr>
            <w:tcW w:w="3005" w:type="dxa"/>
          </w:tcPr>
          <w:p w14:paraId="04BAAD10" w14:textId="55EEAD28" w:rsidR="00656C64" w:rsidRPr="00735726" w:rsidRDefault="00656C64" w:rsidP="00656C64">
            <w:pPr>
              <w:spacing w:after="160"/>
              <w:rPr>
                <w:rFonts w:ascii="Arial" w:hAnsi="Arial" w:cs="Arial"/>
                <w:sz w:val="18"/>
                <w:szCs w:val="18"/>
              </w:rPr>
            </w:pPr>
            <w:r w:rsidRPr="00735726">
              <w:rPr>
                <w:rFonts w:ascii="Arial" w:hAnsi="Arial" w:cs="Arial"/>
                <w:sz w:val="18"/>
                <w:szCs w:val="18"/>
              </w:rPr>
              <w:t>1</w:t>
            </w:r>
          </w:p>
        </w:tc>
        <w:tc>
          <w:tcPr>
            <w:tcW w:w="3005" w:type="dxa"/>
          </w:tcPr>
          <w:p w14:paraId="088DF5AA" w14:textId="62B773D6" w:rsidR="00656C64" w:rsidRPr="00735726" w:rsidRDefault="00656C64" w:rsidP="00656C64">
            <w:pPr>
              <w:spacing w:after="160"/>
              <w:rPr>
                <w:rFonts w:ascii="Arial" w:hAnsi="Arial" w:cs="Arial"/>
                <w:sz w:val="18"/>
                <w:szCs w:val="18"/>
              </w:rPr>
            </w:pPr>
            <w:r w:rsidRPr="00735726">
              <w:rPr>
                <w:rFonts w:ascii="Arial" w:hAnsi="Arial" w:cs="Arial"/>
                <w:sz w:val="18"/>
                <w:szCs w:val="18"/>
              </w:rPr>
              <w:t>Salcombe Regis STW</w:t>
            </w:r>
          </w:p>
        </w:tc>
        <w:tc>
          <w:tcPr>
            <w:tcW w:w="3006" w:type="dxa"/>
          </w:tcPr>
          <w:p w14:paraId="49162CBC" w14:textId="6ACC29FE" w:rsidR="00656C64" w:rsidRPr="00735726" w:rsidRDefault="00656C64" w:rsidP="00656C64">
            <w:pPr>
              <w:spacing w:after="160"/>
              <w:rPr>
                <w:rFonts w:ascii="Arial" w:hAnsi="Arial" w:cs="Arial"/>
                <w:sz w:val="18"/>
                <w:szCs w:val="18"/>
              </w:rPr>
            </w:pPr>
            <w:r w:rsidRPr="00735726">
              <w:rPr>
                <w:rFonts w:ascii="Arial" w:hAnsi="Arial" w:cs="Arial"/>
                <w:sz w:val="18"/>
                <w:szCs w:val="18"/>
              </w:rPr>
              <w:t>Down 36%</w:t>
            </w:r>
          </w:p>
        </w:tc>
      </w:tr>
      <w:tr w:rsidR="00656C64" w:rsidRPr="00735726" w14:paraId="3FEA0250" w14:textId="77777777" w:rsidTr="00656C64">
        <w:tc>
          <w:tcPr>
            <w:tcW w:w="3005" w:type="dxa"/>
          </w:tcPr>
          <w:p w14:paraId="25A4E02C" w14:textId="6AEB1D89" w:rsidR="00656C64" w:rsidRPr="00735726" w:rsidRDefault="00656C64" w:rsidP="00656C64">
            <w:pPr>
              <w:spacing w:after="160"/>
              <w:rPr>
                <w:rFonts w:ascii="Arial" w:hAnsi="Arial" w:cs="Arial"/>
                <w:sz w:val="18"/>
                <w:szCs w:val="18"/>
              </w:rPr>
            </w:pPr>
            <w:r w:rsidRPr="00735726">
              <w:rPr>
                <w:rFonts w:ascii="Arial" w:hAnsi="Arial" w:cs="Arial"/>
                <w:sz w:val="18"/>
                <w:szCs w:val="18"/>
              </w:rPr>
              <w:t>2</w:t>
            </w:r>
          </w:p>
        </w:tc>
        <w:tc>
          <w:tcPr>
            <w:tcW w:w="3005" w:type="dxa"/>
          </w:tcPr>
          <w:p w14:paraId="4138BECB" w14:textId="2B383B84" w:rsidR="00656C64" w:rsidRPr="00735726" w:rsidRDefault="00656C64" w:rsidP="00656C64">
            <w:pPr>
              <w:spacing w:after="160"/>
              <w:rPr>
                <w:rFonts w:ascii="Arial" w:hAnsi="Arial" w:cs="Arial"/>
                <w:sz w:val="18"/>
                <w:szCs w:val="18"/>
              </w:rPr>
            </w:pPr>
            <w:r w:rsidRPr="00735726">
              <w:rPr>
                <w:rFonts w:ascii="Arial" w:hAnsi="Arial" w:cs="Arial"/>
                <w:sz w:val="18"/>
                <w:szCs w:val="18"/>
              </w:rPr>
              <w:t>Abbotsham STW</w:t>
            </w:r>
          </w:p>
        </w:tc>
        <w:tc>
          <w:tcPr>
            <w:tcW w:w="3006" w:type="dxa"/>
          </w:tcPr>
          <w:p w14:paraId="38FC3E2C" w14:textId="2BDBC21E" w:rsidR="00656C64" w:rsidRPr="00735726" w:rsidRDefault="00656C64" w:rsidP="00656C64">
            <w:pPr>
              <w:spacing w:after="160"/>
              <w:rPr>
                <w:rFonts w:ascii="Arial" w:hAnsi="Arial" w:cs="Arial"/>
                <w:sz w:val="18"/>
                <w:szCs w:val="18"/>
              </w:rPr>
            </w:pPr>
            <w:r w:rsidRPr="00735726">
              <w:rPr>
                <w:rFonts w:ascii="Arial" w:hAnsi="Arial" w:cs="Arial"/>
                <w:sz w:val="18"/>
                <w:szCs w:val="18"/>
              </w:rPr>
              <w:t>Down 40%</w:t>
            </w:r>
          </w:p>
        </w:tc>
      </w:tr>
      <w:tr w:rsidR="00656C64" w:rsidRPr="00735726" w14:paraId="3CE34E9F" w14:textId="77777777" w:rsidTr="00656C64">
        <w:tc>
          <w:tcPr>
            <w:tcW w:w="3005" w:type="dxa"/>
          </w:tcPr>
          <w:p w14:paraId="0F679939" w14:textId="58D8EEBF" w:rsidR="00656C64" w:rsidRPr="00735726" w:rsidRDefault="00656C64" w:rsidP="00656C64">
            <w:pPr>
              <w:spacing w:after="160"/>
              <w:rPr>
                <w:rFonts w:ascii="Arial" w:hAnsi="Arial" w:cs="Arial"/>
                <w:sz w:val="18"/>
                <w:szCs w:val="18"/>
              </w:rPr>
            </w:pPr>
            <w:r w:rsidRPr="00735726">
              <w:rPr>
                <w:rFonts w:ascii="Arial" w:hAnsi="Arial" w:cs="Arial"/>
                <w:sz w:val="18"/>
                <w:szCs w:val="18"/>
              </w:rPr>
              <w:t>3</w:t>
            </w:r>
          </w:p>
        </w:tc>
        <w:tc>
          <w:tcPr>
            <w:tcW w:w="3005" w:type="dxa"/>
          </w:tcPr>
          <w:p w14:paraId="146DD13D" w14:textId="18E550AA" w:rsidR="00656C64" w:rsidRPr="00735726" w:rsidRDefault="00656C64" w:rsidP="00656C64">
            <w:pPr>
              <w:spacing w:after="160"/>
              <w:rPr>
                <w:rFonts w:ascii="Arial" w:hAnsi="Arial" w:cs="Arial"/>
                <w:sz w:val="18"/>
                <w:szCs w:val="18"/>
              </w:rPr>
            </w:pPr>
            <w:proofErr w:type="spellStart"/>
            <w:r w:rsidRPr="00735726">
              <w:rPr>
                <w:rFonts w:ascii="Arial" w:hAnsi="Arial" w:cs="Arial"/>
                <w:sz w:val="18"/>
                <w:szCs w:val="18"/>
              </w:rPr>
              <w:t>Roborough</w:t>
            </w:r>
            <w:proofErr w:type="spellEnd"/>
            <w:r w:rsidRPr="00735726">
              <w:rPr>
                <w:rFonts w:ascii="Arial" w:hAnsi="Arial" w:cs="Arial"/>
                <w:sz w:val="18"/>
                <w:szCs w:val="18"/>
              </w:rPr>
              <w:t xml:space="preserve"> STW</w:t>
            </w:r>
          </w:p>
        </w:tc>
        <w:tc>
          <w:tcPr>
            <w:tcW w:w="3006" w:type="dxa"/>
          </w:tcPr>
          <w:p w14:paraId="5400C71C" w14:textId="13B17229" w:rsidR="00656C64" w:rsidRPr="00735726" w:rsidRDefault="00656C64" w:rsidP="00656C64">
            <w:pPr>
              <w:spacing w:after="160"/>
              <w:rPr>
                <w:rFonts w:ascii="Arial" w:hAnsi="Arial" w:cs="Arial"/>
                <w:sz w:val="18"/>
                <w:szCs w:val="18"/>
              </w:rPr>
            </w:pPr>
            <w:r w:rsidRPr="00735726">
              <w:rPr>
                <w:rFonts w:ascii="Arial" w:hAnsi="Arial" w:cs="Arial"/>
                <w:sz w:val="18"/>
                <w:szCs w:val="18"/>
              </w:rPr>
              <w:t>Down 56%</w:t>
            </w:r>
          </w:p>
        </w:tc>
      </w:tr>
      <w:tr w:rsidR="00656C64" w:rsidRPr="00735726" w14:paraId="117533B2" w14:textId="77777777" w:rsidTr="00656C64">
        <w:tc>
          <w:tcPr>
            <w:tcW w:w="3005" w:type="dxa"/>
          </w:tcPr>
          <w:p w14:paraId="774BEE3E" w14:textId="154C0542" w:rsidR="00656C64" w:rsidRPr="00735726" w:rsidRDefault="00656C64" w:rsidP="00656C64">
            <w:pPr>
              <w:spacing w:after="160"/>
              <w:rPr>
                <w:rFonts w:ascii="Arial" w:hAnsi="Arial" w:cs="Arial"/>
                <w:sz w:val="18"/>
                <w:szCs w:val="18"/>
              </w:rPr>
            </w:pPr>
            <w:r w:rsidRPr="00735726">
              <w:rPr>
                <w:rFonts w:ascii="Arial" w:hAnsi="Arial" w:cs="Arial"/>
                <w:sz w:val="18"/>
                <w:szCs w:val="18"/>
              </w:rPr>
              <w:lastRenderedPageBreak/>
              <w:t>4</w:t>
            </w:r>
          </w:p>
        </w:tc>
        <w:tc>
          <w:tcPr>
            <w:tcW w:w="3005" w:type="dxa"/>
          </w:tcPr>
          <w:p w14:paraId="36FFC17A" w14:textId="6D56FD4A" w:rsidR="00656C64" w:rsidRPr="00735726" w:rsidRDefault="00656C64" w:rsidP="00656C64">
            <w:pPr>
              <w:spacing w:after="160"/>
              <w:rPr>
                <w:rFonts w:ascii="Arial" w:hAnsi="Arial" w:cs="Arial"/>
                <w:sz w:val="18"/>
                <w:szCs w:val="18"/>
              </w:rPr>
            </w:pPr>
            <w:proofErr w:type="spellStart"/>
            <w:r w:rsidRPr="00735726">
              <w:rPr>
                <w:rFonts w:ascii="Arial" w:hAnsi="Arial" w:cs="Arial"/>
                <w:sz w:val="18"/>
                <w:szCs w:val="18"/>
              </w:rPr>
              <w:t>Dulford</w:t>
            </w:r>
            <w:proofErr w:type="spellEnd"/>
            <w:r w:rsidRPr="00735726">
              <w:rPr>
                <w:rFonts w:ascii="Arial" w:hAnsi="Arial" w:cs="Arial"/>
                <w:sz w:val="18"/>
                <w:szCs w:val="18"/>
              </w:rPr>
              <w:t xml:space="preserve"> SPST</w:t>
            </w:r>
          </w:p>
        </w:tc>
        <w:tc>
          <w:tcPr>
            <w:tcW w:w="3006" w:type="dxa"/>
          </w:tcPr>
          <w:p w14:paraId="0CAE3007" w14:textId="1158BD9B" w:rsidR="00656C64" w:rsidRPr="00735726" w:rsidRDefault="00656C64" w:rsidP="00656C64">
            <w:pPr>
              <w:spacing w:after="160"/>
              <w:rPr>
                <w:rFonts w:ascii="Arial" w:hAnsi="Arial" w:cs="Arial"/>
                <w:sz w:val="18"/>
                <w:szCs w:val="18"/>
              </w:rPr>
            </w:pPr>
            <w:r w:rsidRPr="00735726">
              <w:rPr>
                <w:rFonts w:ascii="Arial" w:hAnsi="Arial" w:cs="Arial"/>
                <w:sz w:val="18"/>
                <w:szCs w:val="18"/>
              </w:rPr>
              <w:t>Down 53%</w:t>
            </w:r>
          </w:p>
        </w:tc>
      </w:tr>
      <w:tr w:rsidR="00656C64" w:rsidRPr="00735726" w14:paraId="1A51A470" w14:textId="77777777" w:rsidTr="00656C64">
        <w:tc>
          <w:tcPr>
            <w:tcW w:w="3005" w:type="dxa"/>
          </w:tcPr>
          <w:p w14:paraId="1D91E5AF" w14:textId="20726FB9" w:rsidR="00656C64" w:rsidRPr="00735726" w:rsidRDefault="00656C64" w:rsidP="00656C64">
            <w:pPr>
              <w:spacing w:after="160"/>
              <w:rPr>
                <w:rFonts w:ascii="Arial" w:hAnsi="Arial" w:cs="Arial"/>
                <w:sz w:val="18"/>
                <w:szCs w:val="18"/>
              </w:rPr>
            </w:pPr>
            <w:r w:rsidRPr="00735726">
              <w:rPr>
                <w:rFonts w:ascii="Arial" w:hAnsi="Arial" w:cs="Arial"/>
                <w:sz w:val="18"/>
                <w:szCs w:val="18"/>
              </w:rPr>
              <w:t>5</w:t>
            </w:r>
          </w:p>
        </w:tc>
        <w:tc>
          <w:tcPr>
            <w:tcW w:w="3005" w:type="dxa"/>
          </w:tcPr>
          <w:p w14:paraId="01252CE4" w14:textId="6DC801F7" w:rsidR="00656C64" w:rsidRPr="00735726" w:rsidRDefault="00656C64" w:rsidP="00656C64">
            <w:pPr>
              <w:spacing w:after="160"/>
              <w:rPr>
                <w:rFonts w:ascii="Arial" w:hAnsi="Arial" w:cs="Arial"/>
                <w:sz w:val="18"/>
                <w:szCs w:val="18"/>
              </w:rPr>
            </w:pPr>
            <w:proofErr w:type="spellStart"/>
            <w:r w:rsidRPr="00735726">
              <w:rPr>
                <w:rFonts w:ascii="Arial" w:hAnsi="Arial" w:cs="Arial"/>
                <w:sz w:val="18"/>
                <w:szCs w:val="18"/>
              </w:rPr>
              <w:t>Payhembury</w:t>
            </w:r>
            <w:proofErr w:type="spellEnd"/>
            <w:r w:rsidRPr="00735726">
              <w:rPr>
                <w:rFonts w:ascii="Arial" w:hAnsi="Arial" w:cs="Arial"/>
                <w:sz w:val="18"/>
                <w:szCs w:val="18"/>
              </w:rPr>
              <w:t xml:space="preserve"> STW</w:t>
            </w:r>
          </w:p>
        </w:tc>
        <w:tc>
          <w:tcPr>
            <w:tcW w:w="3006" w:type="dxa"/>
          </w:tcPr>
          <w:p w14:paraId="0A37D0CB" w14:textId="3B94332E" w:rsidR="00656C64" w:rsidRPr="00735726" w:rsidRDefault="00656C64" w:rsidP="00656C64">
            <w:pPr>
              <w:spacing w:after="160"/>
              <w:rPr>
                <w:rFonts w:ascii="Arial" w:hAnsi="Arial" w:cs="Arial"/>
                <w:sz w:val="18"/>
                <w:szCs w:val="18"/>
              </w:rPr>
            </w:pPr>
            <w:r w:rsidRPr="00735726">
              <w:rPr>
                <w:rFonts w:ascii="Arial" w:hAnsi="Arial" w:cs="Arial"/>
                <w:sz w:val="18"/>
                <w:szCs w:val="18"/>
              </w:rPr>
              <w:t>Down 57%</w:t>
            </w:r>
          </w:p>
        </w:tc>
      </w:tr>
    </w:tbl>
    <w:p w14:paraId="7C0A8D8E" w14:textId="77777777" w:rsidR="008319EC" w:rsidRPr="009A2CAE" w:rsidRDefault="008319EC" w:rsidP="00656C64">
      <w:pPr>
        <w:spacing w:after="160"/>
        <w:rPr>
          <w:rFonts w:ascii="Arial" w:hAnsi="Arial" w:cs="Arial"/>
          <w:sz w:val="18"/>
          <w:szCs w:val="18"/>
        </w:rPr>
      </w:pPr>
    </w:p>
    <w:p w14:paraId="42CD5448" w14:textId="7D3ADD18" w:rsidR="008319EC" w:rsidRPr="00735726" w:rsidRDefault="008319EC" w:rsidP="008319EC">
      <w:pPr>
        <w:spacing w:after="160"/>
        <w:rPr>
          <w:rFonts w:ascii="Arial" w:hAnsi="Arial" w:cs="Arial"/>
          <w:sz w:val="18"/>
          <w:szCs w:val="18"/>
        </w:rPr>
      </w:pPr>
      <w:r w:rsidRPr="00735726">
        <w:rPr>
          <w:rFonts w:ascii="Arial" w:hAnsi="Arial" w:cs="Arial"/>
          <w:b/>
          <w:bCs/>
          <w:sz w:val="18"/>
          <w:szCs w:val="18"/>
        </w:rPr>
        <w:t>OPERATIONAL COMPLIANCE</w:t>
      </w:r>
      <w:r w:rsidRPr="00735726">
        <w:rPr>
          <w:rFonts w:ascii="Arial" w:hAnsi="Arial" w:cs="Arial"/>
          <w:b/>
          <w:bCs/>
          <w:sz w:val="18"/>
          <w:szCs w:val="18"/>
        </w:rPr>
        <w:br/>
      </w:r>
      <w:r w:rsidRPr="00735726">
        <w:rPr>
          <w:rFonts w:ascii="Arial" w:hAnsi="Arial" w:cs="Arial"/>
          <w:sz w:val="18"/>
          <w:szCs w:val="18"/>
        </w:rPr>
        <w:t>In August 2025, we agreed enforcement undertakings</w:t>
      </w:r>
      <w:r w:rsidR="00F078CB" w:rsidRPr="00735726">
        <w:rPr>
          <w:rFonts w:ascii="Arial" w:hAnsi="Arial" w:cs="Arial"/>
          <w:sz w:val="18"/>
          <w:szCs w:val="18"/>
        </w:rPr>
        <w:t xml:space="preserve"> </w:t>
      </w:r>
      <w:r w:rsidRPr="00735726">
        <w:rPr>
          <w:rFonts w:ascii="Arial" w:hAnsi="Arial" w:cs="Arial"/>
          <w:sz w:val="18"/>
          <w:szCs w:val="18"/>
        </w:rPr>
        <w:t>with Ofwat in relation to our historical wastewater</w:t>
      </w:r>
      <w:r w:rsidR="00F078CB" w:rsidRPr="00735726">
        <w:rPr>
          <w:rFonts w:ascii="Arial" w:hAnsi="Arial" w:cs="Arial"/>
          <w:sz w:val="18"/>
          <w:szCs w:val="18"/>
        </w:rPr>
        <w:t xml:space="preserve"> </w:t>
      </w:r>
      <w:r w:rsidRPr="00735726">
        <w:rPr>
          <w:rFonts w:ascii="Arial" w:hAnsi="Arial" w:cs="Arial"/>
          <w:sz w:val="18"/>
          <w:szCs w:val="18"/>
        </w:rPr>
        <w:t>operations. Alongside the rest of the sector, we recognise</w:t>
      </w:r>
      <w:r w:rsidR="00F078CB" w:rsidRPr="00735726">
        <w:rPr>
          <w:rFonts w:ascii="Arial" w:hAnsi="Arial" w:cs="Arial"/>
          <w:sz w:val="18"/>
          <w:szCs w:val="18"/>
        </w:rPr>
        <w:t xml:space="preserve"> </w:t>
      </w:r>
      <w:r w:rsidRPr="00735726">
        <w:rPr>
          <w:rFonts w:ascii="Arial" w:hAnsi="Arial" w:cs="Arial"/>
          <w:sz w:val="18"/>
          <w:szCs w:val="18"/>
        </w:rPr>
        <w:t>the need for an increased focus on compliance with</w:t>
      </w:r>
      <w:r w:rsidR="00F078CB" w:rsidRPr="00735726">
        <w:rPr>
          <w:rFonts w:ascii="Arial" w:hAnsi="Arial" w:cs="Arial"/>
          <w:sz w:val="18"/>
          <w:szCs w:val="18"/>
        </w:rPr>
        <w:t xml:space="preserve"> </w:t>
      </w:r>
      <w:r w:rsidRPr="00735726">
        <w:rPr>
          <w:rFonts w:ascii="Arial" w:hAnsi="Arial" w:cs="Arial"/>
          <w:sz w:val="18"/>
          <w:szCs w:val="18"/>
        </w:rPr>
        <w:t>relevant permits and obligations. In parallel with</w:t>
      </w:r>
      <w:r w:rsidR="00F078CB" w:rsidRPr="00735726">
        <w:rPr>
          <w:rFonts w:ascii="Arial" w:hAnsi="Arial" w:cs="Arial"/>
          <w:sz w:val="18"/>
          <w:szCs w:val="18"/>
        </w:rPr>
        <w:t xml:space="preserve"> </w:t>
      </w:r>
      <w:r w:rsidRPr="00735726">
        <w:rPr>
          <w:rFonts w:ascii="Arial" w:hAnsi="Arial" w:cs="Arial"/>
          <w:sz w:val="18"/>
          <w:szCs w:val="18"/>
        </w:rPr>
        <w:t>investment to reduce pollution incidents and minimise</w:t>
      </w:r>
      <w:r w:rsidR="00F078CB" w:rsidRPr="00735726">
        <w:rPr>
          <w:rFonts w:ascii="Arial" w:hAnsi="Arial" w:cs="Arial"/>
          <w:sz w:val="18"/>
          <w:szCs w:val="18"/>
        </w:rPr>
        <w:t xml:space="preserve"> </w:t>
      </w:r>
      <w:r w:rsidRPr="00735726">
        <w:rPr>
          <w:rFonts w:ascii="Arial" w:hAnsi="Arial" w:cs="Arial"/>
          <w:sz w:val="18"/>
          <w:szCs w:val="18"/>
        </w:rPr>
        <w:t>storm overflow operation, we are strengthening the</w:t>
      </w:r>
      <w:r w:rsidR="00F078CB" w:rsidRPr="00735726">
        <w:rPr>
          <w:rFonts w:ascii="Arial" w:hAnsi="Arial" w:cs="Arial"/>
          <w:sz w:val="18"/>
          <w:szCs w:val="18"/>
        </w:rPr>
        <w:t xml:space="preserve"> </w:t>
      </w:r>
      <w:r w:rsidRPr="00735726">
        <w:rPr>
          <w:rFonts w:ascii="Arial" w:hAnsi="Arial" w:cs="Arial"/>
          <w:sz w:val="18"/>
          <w:szCs w:val="18"/>
        </w:rPr>
        <w:t>systems, processes and controls that support compliance</w:t>
      </w:r>
      <w:r w:rsidR="00F078CB" w:rsidRPr="00735726">
        <w:rPr>
          <w:rFonts w:ascii="Arial" w:hAnsi="Arial" w:cs="Arial"/>
          <w:sz w:val="18"/>
          <w:szCs w:val="18"/>
        </w:rPr>
        <w:t xml:space="preserve"> </w:t>
      </w:r>
      <w:r w:rsidRPr="00735726">
        <w:rPr>
          <w:rFonts w:ascii="Arial" w:hAnsi="Arial" w:cs="Arial"/>
          <w:sz w:val="18"/>
          <w:szCs w:val="18"/>
        </w:rPr>
        <w:t>across our wastewater activities.</w:t>
      </w:r>
    </w:p>
    <w:p w14:paraId="21A18C10" w14:textId="58F97166" w:rsidR="008319EC" w:rsidRPr="00735726" w:rsidRDefault="008319EC" w:rsidP="008319EC">
      <w:pPr>
        <w:spacing w:after="160"/>
        <w:rPr>
          <w:rFonts w:ascii="Arial" w:hAnsi="Arial" w:cs="Arial"/>
          <w:b/>
          <w:bCs/>
          <w:sz w:val="18"/>
          <w:szCs w:val="18"/>
        </w:rPr>
      </w:pPr>
      <w:r w:rsidRPr="00735726">
        <w:rPr>
          <w:rFonts w:ascii="Arial" w:hAnsi="Arial" w:cs="Arial"/>
          <w:sz w:val="18"/>
          <w:szCs w:val="18"/>
        </w:rPr>
        <w:t>Our numeric compliance performance for the period</w:t>
      </w:r>
      <w:r w:rsidR="00F078CB" w:rsidRPr="00735726">
        <w:rPr>
          <w:rFonts w:ascii="Arial" w:hAnsi="Arial" w:cs="Arial"/>
          <w:sz w:val="18"/>
          <w:szCs w:val="18"/>
        </w:rPr>
        <w:t xml:space="preserve"> </w:t>
      </w:r>
      <w:r w:rsidRPr="00735726">
        <w:rPr>
          <w:rFonts w:ascii="Arial" w:hAnsi="Arial" w:cs="Arial"/>
          <w:sz w:val="18"/>
          <w:szCs w:val="18"/>
        </w:rPr>
        <w:t>was 98.1%, with six of our wastewater treatment works</w:t>
      </w:r>
      <w:r w:rsidR="00F078CB" w:rsidRPr="00735726">
        <w:rPr>
          <w:rFonts w:ascii="Arial" w:hAnsi="Arial" w:cs="Arial"/>
          <w:sz w:val="18"/>
          <w:szCs w:val="18"/>
        </w:rPr>
        <w:t xml:space="preserve"> </w:t>
      </w:r>
      <w:r w:rsidRPr="00735726">
        <w:rPr>
          <w:rFonts w:ascii="Arial" w:hAnsi="Arial" w:cs="Arial"/>
          <w:sz w:val="18"/>
          <w:szCs w:val="18"/>
        </w:rPr>
        <w:t>experiencing failures. We have continued to enhance</w:t>
      </w:r>
      <w:r w:rsidR="00F078CB" w:rsidRPr="00735726">
        <w:rPr>
          <w:rFonts w:ascii="Arial" w:hAnsi="Arial" w:cs="Arial"/>
          <w:sz w:val="18"/>
          <w:szCs w:val="18"/>
        </w:rPr>
        <w:t xml:space="preserve"> </w:t>
      </w:r>
      <w:r w:rsidRPr="00735726">
        <w:rPr>
          <w:rFonts w:ascii="Arial" w:hAnsi="Arial" w:cs="Arial"/>
          <w:sz w:val="18"/>
          <w:szCs w:val="18"/>
        </w:rPr>
        <w:t>our action plans, working closely with the Environment</w:t>
      </w:r>
      <w:r w:rsidR="00F078CB" w:rsidRPr="00735726">
        <w:rPr>
          <w:rFonts w:ascii="Arial" w:hAnsi="Arial" w:cs="Arial"/>
          <w:sz w:val="18"/>
          <w:szCs w:val="18"/>
        </w:rPr>
        <w:t xml:space="preserve"> </w:t>
      </w:r>
      <w:r w:rsidRPr="00735726">
        <w:rPr>
          <w:rFonts w:ascii="Arial" w:hAnsi="Arial" w:cs="Arial"/>
          <w:sz w:val="18"/>
          <w:szCs w:val="18"/>
        </w:rPr>
        <w:t>Agency through regular performance and compliance</w:t>
      </w:r>
      <w:r w:rsidR="00F078CB" w:rsidRPr="00735726">
        <w:rPr>
          <w:rFonts w:ascii="Arial" w:hAnsi="Arial" w:cs="Arial"/>
          <w:sz w:val="18"/>
          <w:szCs w:val="18"/>
        </w:rPr>
        <w:t xml:space="preserve"> </w:t>
      </w:r>
      <w:r w:rsidRPr="00735726">
        <w:rPr>
          <w:rFonts w:ascii="Arial" w:hAnsi="Arial" w:cs="Arial"/>
          <w:sz w:val="18"/>
          <w:szCs w:val="18"/>
        </w:rPr>
        <w:t>reviews. We continue to support the Agency’s inspections</w:t>
      </w:r>
      <w:r w:rsidR="00F078CB" w:rsidRPr="00735726">
        <w:rPr>
          <w:rFonts w:ascii="Arial" w:hAnsi="Arial" w:cs="Arial"/>
          <w:sz w:val="18"/>
          <w:szCs w:val="18"/>
        </w:rPr>
        <w:t xml:space="preserve"> </w:t>
      </w:r>
      <w:r w:rsidRPr="00735726">
        <w:rPr>
          <w:rFonts w:ascii="Arial" w:hAnsi="Arial" w:cs="Arial"/>
          <w:sz w:val="18"/>
          <w:szCs w:val="18"/>
        </w:rPr>
        <w:t>and compliance visits. We have seen a four-fold increase</w:t>
      </w:r>
      <w:r w:rsidR="00F078CB" w:rsidRPr="00735726">
        <w:rPr>
          <w:rFonts w:ascii="Arial" w:hAnsi="Arial" w:cs="Arial"/>
          <w:sz w:val="18"/>
          <w:szCs w:val="18"/>
        </w:rPr>
        <w:t xml:space="preserve"> </w:t>
      </w:r>
      <w:r w:rsidRPr="00735726">
        <w:rPr>
          <w:rFonts w:ascii="Arial" w:hAnsi="Arial" w:cs="Arial"/>
          <w:sz w:val="18"/>
          <w:szCs w:val="18"/>
        </w:rPr>
        <w:t>in the number of site visits over the past two years,</w:t>
      </w:r>
      <w:r w:rsidR="00F078CB" w:rsidRPr="00735726">
        <w:rPr>
          <w:rFonts w:ascii="Arial" w:hAnsi="Arial" w:cs="Arial"/>
          <w:sz w:val="18"/>
          <w:szCs w:val="18"/>
        </w:rPr>
        <w:t xml:space="preserve"> </w:t>
      </w:r>
      <w:r w:rsidRPr="00735726">
        <w:rPr>
          <w:rFonts w:ascii="Arial" w:hAnsi="Arial" w:cs="Arial"/>
          <w:sz w:val="18"/>
          <w:szCs w:val="18"/>
        </w:rPr>
        <w:t>providing additional scrutiny of our operations. We are</w:t>
      </w:r>
      <w:r w:rsidR="00F078CB" w:rsidRPr="00735726">
        <w:rPr>
          <w:rFonts w:ascii="Arial" w:hAnsi="Arial" w:cs="Arial"/>
          <w:sz w:val="18"/>
          <w:szCs w:val="18"/>
        </w:rPr>
        <w:t xml:space="preserve"> </w:t>
      </w:r>
      <w:r w:rsidRPr="00735726">
        <w:rPr>
          <w:rFonts w:ascii="Arial" w:hAnsi="Arial" w:cs="Arial"/>
          <w:sz w:val="18"/>
          <w:szCs w:val="18"/>
        </w:rPr>
        <w:t>pleased that three out of every four inspections resulted</w:t>
      </w:r>
      <w:r w:rsidR="00F078CB" w:rsidRPr="00735726">
        <w:rPr>
          <w:rFonts w:ascii="Arial" w:hAnsi="Arial" w:cs="Arial"/>
          <w:sz w:val="18"/>
          <w:szCs w:val="18"/>
        </w:rPr>
        <w:t xml:space="preserve"> </w:t>
      </w:r>
      <w:r w:rsidRPr="00735726">
        <w:rPr>
          <w:rFonts w:ascii="Arial" w:hAnsi="Arial" w:cs="Arial"/>
          <w:sz w:val="18"/>
          <w:szCs w:val="18"/>
        </w:rPr>
        <w:t>in a fully compliant assessment, with the remaining</w:t>
      </w:r>
      <w:r w:rsidR="00F078CB" w:rsidRPr="00735726">
        <w:rPr>
          <w:rFonts w:ascii="Arial" w:hAnsi="Arial" w:cs="Arial"/>
          <w:sz w:val="18"/>
          <w:szCs w:val="18"/>
        </w:rPr>
        <w:t xml:space="preserve"> </w:t>
      </w:r>
      <w:r w:rsidRPr="00735726">
        <w:rPr>
          <w:rFonts w:ascii="Arial" w:hAnsi="Arial" w:cs="Arial"/>
          <w:sz w:val="18"/>
          <w:szCs w:val="18"/>
        </w:rPr>
        <w:t>inspections identifying minor issues for remediation. All</w:t>
      </w:r>
      <w:r w:rsidR="00F078CB" w:rsidRPr="00735726">
        <w:rPr>
          <w:rFonts w:ascii="Arial" w:hAnsi="Arial" w:cs="Arial"/>
          <w:sz w:val="18"/>
          <w:szCs w:val="18"/>
        </w:rPr>
        <w:t xml:space="preserve"> </w:t>
      </w:r>
      <w:r w:rsidRPr="00735726">
        <w:rPr>
          <w:rFonts w:ascii="Arial" w:hAnsi="Arial" w:cs="Arial"/>
          <w:sz w:val="18"/>
          <w:szCs w:val="18"/>
        </w:rPr>
        <w:t>actions are tracked, monitored and remediated as part of</w:t>
      </w:r>
      <w:r w:rsidR="00F078CB" w:rsidRPr="00735726">
        <w:rPr>
          <w:rFonts w:ascii="Arial" w:hAnsi="Arial" w:cs="Arial"/>
          <w:sz w:val="18"/>
          <w:szCs w:val="18"/>
        </w:rPr>
        <w:t xml:space="preserve"> </w:t>
      </w:r>
      <w:r w:rsidRPr="00735726">
        <w:rPr>
          <w:rFonts w:ascii="Arial" w:hAnsi="Arial" w:cs="Arial"/>
          <w:sz w:val="18"/>
          <w:szCs w:val="18"/>
        </w:rPr>
        <w:t>our ongoing drive for 100% compliance.</w:t>
      </w:r>
      <w:r w:rsidRPr="00735726">
        <w:rPr>
          <w:rFonts w:ascii="Arial" w:hAnsi="Arial" w:cs="Arial"/>
          <w:b/>
          <w:bCs/>
          <w:sz w:val="18"/>
          <w:szCs w:val="18"/>
        </w:rPr>
        <w:t xml:space="preserve"> </w:t>
      </w:r>
    </w:p>
    <w:p w14:paraId="5DF661B9" w14:textId="7BFCDE7F" w:rsidR="008319EC" w:rsidRPr="00735726" w:rsidRDefault="008319EC" w:rsidP="008319EC">
      <w:pPr>
        <w:spacing w:after="160"/>
        <w:rPr>
          <w:rFonts w:ascii="Arial" w:hAnsi="Arial" w:cs="Arial"/>
          <w:sz w:val="18"/>
          <w:szCs w:val="18"/>
        </w:rPr>
      </w:pPr>
      <w:r w:rsidRPr="00735726">
        <w:rPr>
          <w:rFonts w:ascii="Arial" w:hAnsi="Arial" w:cs="Arial"/>
          <w:b/>
          <w:bCs/>
          <w:sz w:val="18"/>
          <w:szCs w:val="18"/>
        </w:rPr>
        <w:t>SEWER FLOODING AND NETWORK PERFORMANCE</w:t>
      </w:r>
      <w:r w:rsidR="00D62E2B" w:rsidRPr="00735726">
        <w:rPr>
          <w:rFonts w:ascii="Arial" w:hAnsi="Arial" w:cs="Arial"/>
          <w:sz w:val="18"/>
          <w:szCs w:val="18"/>
        </w:rPr>
        <w:br/>
      </w:r>
      <w:r w:rsidRPr="00735726">
        <w:rPr>
          <w:rFonts w:ascii="Arial" w:hAnsi="Arial" w:cs="Arial"/>
          <w:sz w:val="18"/>
          <w:szCs w:val="18"/>
        </w:rPr>
        <w:t xml:space="preserve">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experienced exceptionally high rainfall</w:t>
      </w:r>
      <w:r w:rsidR="00F078CB" w:rsidRPr="00735726">
        <w:rPr>
          <w:rFonts w:ascii="Arial" w:hAnsi="Arial" w:cs="Arial"/>
          <w:sz w:val="18"/>
          <w:szCs w:val="18"/>
        </w:rPr>
        <w:t xml:space="preserve"> </w:t>
      </w:r>
      <w:r w:rsidRPr="00735726">
        <w:rPr>
          <w:rFonts w:ascii="Arial" w:hAnsi="Arial" w:cs="Arial"/>
          <w:sz w:val="18"/>
          <w:szCs w:val="18"/>
        </w:rPr>
        <w:t xml:space="preserve">between November 2025 and February 2026 </w:t>
      </w:r>
      <w:r w:rsidR="006C1BA9" w:rsidRPr="00735726">
        <w:rPr>
          <w:rFonts w:ascii="Arial" w:hAnsi="Arial" w:cs="Arial"/>
          <w:sz w:val="18"/>
          <w:szCs w:val="18"/>
        </w:rPr>
        <w:t xml:space="preserve">- </w:t>
      </w:r>
      <w:r w:rsidRPr="00735726">
        <w:rPr>
          <w:rFonts w:ascii="Arial" w:hAnsi="Arial" w:cs="Arial"/>
          <w:sz w:val="18"/>
          <w:szCs w:val="18"/>
        </w:rPr>
        <w:t>nearly</w:t>
      </w:r>
      <w:r w:rsidR="00F078CB" w:rsidRPr="00735726">
        <w:rPr>
          <w:rFonts w:ascii="Arial" w:hAnsi="Arial" w:cs="Arial"/>
          <w:sz w:val="18"/>
          <w:szCs w:val="18"/>
        </w:rPr>
        <w:t xml:space="preserve"> d</w:t>
      </w:r>
      <w:r w:rsidRPr="00735726">
        <w:rPr>
          <w:rFonts w:ascii="Arial" w:hAnsi="Arial" w:cs="Arial"/>
          <w:sz w:val="18"/>
          <w:szCs w:val="18"/>
        </w:rPr>
        <w:t>ouble the usual average for these winter months.</w:t>
      </w:r>
      <w:r w:rsidR="00F078CB" w:rsidRPr="00735726">
        <w:rPr>
          <w:rFonts w:ascii="Arial" w:hAnsi="Arial" w:cs="Arial"/>
          <w:sz w:val="18"/>
          <w:szCs w:val="18"/>
        </w:rPr>
        <w:t xml:space="preserve"> </w:t>
      </w:r>
      <w:r w:rsidRPr="00735726">
        <w:rPr>
          <w:rFonts w:ascii="Arial" w:hAnsi="Arial" w:cs="Arial"/>
          <w:sz w:val="18"/>
          <w:szCs w:val="18"/>
        </w:rPr>
        <w:t>Cornwall experienced the wettest winter on record,</w:t>
      </w:r>
      <w:r w:rsidR="00F078CB" w:rsidRPr="00735726">
        <w:rPr>
          <w:rFonts w:ascii="Arial" w:hAnsi="Arial" w:cs="Arial"/>
          <w:sz w:val="18"/>
          <w:szCs w:val="18"/>
        </w:rPr>
        <w:t xml:space="preserve"> </w:t>
      </w:r>
      <w:r w:rsidRPr="00735726">
        <w:rPr>
          <w:rFonts w:ascii="Arial" w:hAnsi="Arial" w:cs="Arial"/>
          <w:sz w:val="18"/>
          <w:szCs w:val="18"/>
        </w:rPr>
        <w:t>and there were named storms in early 2026, including</w:t>
      </w:r>
      <w:r w:rsidR="00F078CB" w:rsidRPr="00735726">
        <w:rPr>
          <w:rFonts w:ascii="Arial" w:hAnsi="Arial" w:cs="Arial"/>
          <w:sz w:val="18"/>
          <w:szCs w:val="18"/>
        </w:rPr>
        <w:t xml:space="preserve"> </w:t>
      </w:r>
      <w:r w:rsidRPr="00735726">
        <w:rPr>
          <w:rFonts w:ascii="Arial" w:hAnsi="Arial" w:cs="Arial"/>
          <w:sz w:val="18"/>
          <w:szCs w:val="18"/>
        </w:rPr>
        <w:t>Storm Goretti, with winds recording 99 miles per hour</w:t>
      </w:r>
      <w:r w:rsidR="00F078CB" w:rsidRPr="00735726">
        <w:rPr>
          <w:rFonts w:ascii="Arial" w:hAnsi="Arial" w:cs="Arial"/>
          <w:sz w:val="18"/>
          <w:szCs w:val="18"/>
        </w:rPr>
        <w:t xml:space="preserve"> </w:t>
      </w:r>
      <w:r w:rsidRPr="00735726">
        <w:rPr>
          <w:rFonts w:ascii="Arial" w:hAnsi="Arial" w:cs="Arial"/>
          <w:sz w:val="18"/>
          <w:szCs w:val="18"/>
        </w:rPr>
        <w:t>and causing significant power outages, also impacting</w:t>
      </w:r>
      <w:r w:rsidR="00F078CB" w:rsidRPr="00735726">
        <w:rPr>
          <w:rFonts w:ascii="Arial" w:hAnsi="Arial" w:cs="Arial"/>
          <w:sz w:val="18"/>
          <w:szCs w:val="18"/>
        </w:rPr>
        <w:t xml:space="preserve"> </w:t>
      </w:r>
      <w:r w:rsidRPr="00735726">
        <w:rPr>
          <w:rFonts w:ascii="Arial" w:hAnsi="Arial" w:cs="Arial"/>
          <w:sz w:val="18"/>
          <w:szCs w:val="18"/>
        </w:rPr>
        <w:t>performance.</w:t>
      </w:r>
    </w:p>
    <w:p w14:paraId="097D4904" w14:textId="426D9387" w:rsidR="008319EC" w:rsidRPr="00735726" w:rsidRDefault="008319EC" w:rsidP="008319EC">
      <w:pPr>
        <w:spacing w:after="160"/>
        <w:rPr>
          <w:rFonts w:ascii="Arial" w:hAnsi="Arial" w:cs="Arial"/>
          <w:sz w:val="18"/>
          <w:szCs w:val="18"/>
        </w:rPr>
      </w:pPr>
      <w:r w:rsidRPr="00735726">
        <w:rPr>
          <w:rFonts w:ascii="Arial" w:hAnsi="Arial" w:cs="Arial"/>
          <w:sz w:val="18"/>
          <w:szCs w:val="18"/>
        </w:rPr>
        <w:t>Internal sewer flooding incidents increased to 1.20 per</w:t>
      </w:r>
      <w:r w:rsidR="00F078CB" w:rsidRPr="00735726">
        <w:rPr>
          <w:rFonts w:ascii="Arial" w:hAnsi="Arial" w:cs="Arial"/>
          <w:sz w:val="18"/>
          <w:szCs w:val="18"/>
        </w:rPr>
        <w:t xml:space="preserve"> </w:t>
      </w:r>
      <w:r w:rsidRPr="00735726">
        <w:rPr>
          <w:rFonts w:ascii="Arial" w:hAnsi="Arial" w:cs="Arial"/>
          <w:sz w:val="18"/>
          <w:szCs w:val="18"/>
        </w:rPr>
        <w:t>10,000 connections, with almost double the number of</w:t>
      </w:r>
      <w:r w:rsidR="00F078CB" w:rsidRPr="00735726">
        <w:rPr>
          <w:rFonts w:ascii="Arial" w:hAnsi="Arial" w:cs="Arial"/>
          <w:sz w:val="18"/>
          <w:szCs w:val="18"/>
        </w:rPr>
        <w:t xml:space="preserve"> i</w:t>
      </w:r>
      <w:r w:rsidRPr="00735726">
        <w:rPr>
          <w:rFonts w:ascii="Arial" w:hAnsi="Arial" w:cs="Arial"/>
          <w:sz w:val="18"/>
          <w:szCs w:val="18"/>
        </w:rPr>
        <w:t>ncidents in January 2026 and February 2026. While</w:t>
      </w:r>
      <w:r w:rsidR="00F078CB" w:rsidRPr="00735726">
        <w:rPr>
          <w:rFonts w:ascii="Arial" w:hAnsi="Arial" w:cs="Arial"/>
          <w:sz w:val="18"/>
          <w:szCs w:val="18"/>
        </w:rPr>
        <w:t xml:space="preserve"> </w:t>
      </w:r>
      <w:r w:rsidRPr="00735726">
        <w:rPr>
          <w:rFonts w:ascii="Arial" w:hAnsi="Arial" w:cs="Arial"/>
          <w:sz w:val="18"/>
          <w:szCs w:val="18"/>
        </w:rPr>
        <w:t>this is an increase year-on-year, it remained below the</w:t>
      </w:r>
      <w:r w:rsidR="00F078CB" w:rsidRPr="00735726">
        <w:rPr>
          <w:rFonts w:ascii="Arial" w:hAnsi="Arial" w:cs="Arial"/>
          <w:sz w:val="18"/>
          <w:szCs w:val="18"/>
        </w:rPr>
        <w:t xml:space="preserve"> </w:t>
      </w:r>
      <w:r w:rsidRPr="00735726">
        <w:rPr>
          <w:rFonts w:ascii="Arial" w:hAnsi="Arial" w:cs="Arial"/>
          <w:sz w:val="18"/>
          <w:szCs w:val="18"/>
        </w:rPr>
        <w:t>target of 1.34 and we expect it to remain a strong position</w:t>
      </w:r>
      <w:r w:rsidR="00F078CB" w:rsidRPr="00735726">
        <w:rPr>
          <w:rFonts w:ascii="Arial" w:hAnsi="Arial" w:cs="Arial"/>
          <w:sz w:val="18"/>
          <w:szCs w:val="18"/>
        </w:rPr>
        <w:t xml:space="preserve"> </w:t>
      </w:r>
      <w:r w:rsidRPr="00735726">
        <w:rPr>
          <w:rFonts w:ascii="Arial" w:hAnsi="Arial" w:cs="Arial"/>
          <w:sz w:val="18"/>
          <w:szCs w:val="18"/>
        </w:rPr>
        <w:t>compared with industry performance. External sewer</w:t>
      </w:r>
      <w:r w:rsidR="00F078CB" w:rsidRPr="00735726">
        <w:rPr>
          <w:rFonts w:ascii="Arial" w:hAnsi="Arial" w:cs="Arial"/>
          <w:sz w:val="18"/>
          <w:szCs w:val="18"/>
        </w:rPr>
        <w:t xml:space="preserve"> </w:t>
      </w:r>
      <w:r w:rsidRPr="00735726">
        <w:rPr>
          <w:rFonts w:ascii="Arial" w:hAnsi="Arial" w:cs="Arial"/>
          <w:sz w:val="18"/>
          <w:szCs w:val="18"/>
        </w:rPr>
        <w:t>flooding incidents reduced to 1,442 (2024/25: 1,465) and</w:t>
      </w:r>
      <w:r w:rsidR="00F078CB" w:rsidRPr="00735726">
        <w:rPr>
          <w:rFonts w:ascii="Arial" w:hAnsi="Arial" w:cs="Arial"/>
          <w:sz w:val="18"/>
          <w:szCs w:val="18"/>
        </w:rPr>
        <w:t xml:space="preserve"> </w:t>
      </w:r>
      <w:r w:rsidRPr="00735726">
        <w:rPr>
          <w:rFonts w:ascii="Arial" w:hAnsi="Arial" w:cs="Arial"/>
          <w:sz w:val="18"/>
          <w:szCs w:val="18"/>
        </w:rPr>
        <w:t>were ahead of target. Sewer collapses reduced by 33%</w:t>
      </w:r>
      <w:r w:rsidR="00F078CB" w:rsidRPr="00735726">
        <w:rPr>
          <w:rFonts w:ascii="Arial" w:hAnsi="Arial" w:cs="Arial"/>
          <w:sz w:val="18"/>
          <w:szCs w:val="18"/>
        </w:rPr>
        <w:t xml:space="preserve"> </w:t>
      </w:r>
      <w:r w:rsidRPr="00735726">
        <w:rPr>
          <w:rFonts w:ascii="Arial" w:hAnsi="Arial" w:cs="Arial"/>
          <w:sz w:val="18"/>
          <w:szCs w:val="18"/>
        </w:rPr>
        <w:t>year-on-year, reflecting targeted network activity to</w:t>
      </w:r>
      <w:r w:rsidR="00F078CB" w:rsidRPr="00735726">
        <w:rPr>
          <w:rFonts w:ascii="Arial" w:hAnsi="Arial" w:cs="Arial"/>
          <w:sz w:val="18"/>
          <w:szCs w:val="18"/>
        </w:rPr>
        <w:t xml:space="preserve"> </w:t>
      </w:r>
      <w:r w:rsidRPr="00735726">
        <w:rPr>
          <w:rFonts w:ascii="Arial" w:hAnsi="Arial" w:cs="Arial"/>
          <w:sz w:val="18"/>
          <w:szCs w:val="18"/>
        </w:rPr>
        <w:t>reduce blockages and improve performance.</w:t>
      </w:r>
    </w:p>
    <w:p w14:paraId="3AF4C259" w14:textId="0FA12F5A" w:rsidR="008319EC" w:rsidRPr="00735726" w:rsidRDefault="008319EC" w:rsidP="008319EC">
      <w:pPr>
        <w:spacing w:after="160"/>
        <w:rPr>
          <w:rFonts w:ascii="Arial" w:hAnsi="Arial" w:cs="Arial"/>
          <w:sz w:val="18"/>
          <w:szCs w:val="18"/>
        </w:rPr>
      </w:pPr>
      <w:r w:rsidRPr="00735726">
        <w:rPr>
          <w:rFonts w:ascii="Arial" w:hAnsi="Arial" w:cs="Arial"/>
          <w:sz w:val="18"/>
          <w:szCs w:val="18"/>
        </w:rPr>
        <w:t>We recognise the significant impact sewer flooding</w:t>
      </w:r>
      <w:r w:rsidR="00F078CB" w:rsidRPr="00735726">
        <w:rPr>
          <w:rFonts w:ascii="Arial" w:hAnsi="Arial" w:cs="Arial"/>
          <w:sz w:val="18"/>
          <w:szCs w:val="18"/>
        </w:rPr>
        <w:t xml:space="preserve"> </w:t>
      </w:r>
      <w:r w:rsidRPr="00735726">
        <w:rPr>
          <w:rFonts w:ascii="Arial" w:hAnsi="Arial" w:cs="Arial"/>
          <w:sz w:val="18"/>
          <w:szCs w:val="18"/>
        </w:rPr>
        <w:t>can have on customers when homes, businesses and</w:t>
      </w:r>
      <w:r w:rsidR="00F078CB" w:rsidRPr="00735726">
        <w:rPr>
          <w:rFonts w:ascii="Arial" w:hAnsi="Arial" w:cs="Arial"/>
          <w:sz w:val="18"/>
          <w:szCs w:val="18"/>
        </w:rPr>
        <w:t xml:space="preserve"> </w:t>
      </w:r>
      <w:r w:rsidRPr="00735726">
        <w:rPr>
          <w:rFonts w:ascii="Arial" w:hAnsi="Arial" w:cs="Arial"/>
          <w:sz w:val="18"/>
          <w:szCs w:val="18"/>
        </w:rPr>
        <w:t>properties are affected. We have prioritised activity</w:t>
      </w:r>
      <w:r w:rsidR="00F078CB" w:rsidRPr="00735726">
        <w:rPr>
          <w:rFonts w:ascii="Arial" w:hAnsi="Arial" w:cs="Arial"/>
          <w:sz w:val="18"/>
          <w:szCs w:val="18"/>
        </w:rPr>
        <w:t xml:space="preserve"> </w:t>
      </w:r>
      <w:r w:rsidRPr="00735726">
        <w:rPr>
          <w:rFonts w:ascii="Arial" w:hAnsi="Arial" w:cs="Arial"/>
          <w:sz w:val="18"/>
          <w:szCs w:val="18"/>
        </w:rPr>
        <w:t>to reduce sewer flooding incidents, while continuing</w:t>
      </w:r>
      <w:r w:rsidR="00F078CB" w:rsidRPr="00735726">
        <w:rPr>
          <w:rFonts w:ascii="Arial" w:hAnsi="Arial" w:cs="Arial"/>
          <w:sz w:val="18"/>
          <w:szCs w:val="18"/>
        </w:rPr>
        <w:t xml:space="preserve"> </w:t>
      </w:r>
      <w:r w:rsidRPr="00735726">
        <w:rPr>
          <w:rFonts w:ascii="Arial" w:hAnsi="Arial" w:cs="Arial"/>
          <w:sz w:val="18"/>
          <w:szCs w:val="18"/>
        </w:rPr>
        <w:t>to target resilient network performance and reduce</w:t>
      </w:r>
      <w:r w:rsidR="00F078CB" w:rsidRPr="00735726">
        <w:rPr>
          <w:rFonts w:ascii="Arial" w:hAnsi="Arial" w:cs="Arial"/>
          <w:sz w:val="18"/>
          <w:szCs w:val="18"/>
        </w:rPr>
        <w:t xml:space="preserve"> </w:t>
      </w:r>
      <w:r w:rsidRPr="00735726">
        <w:rPr>
          <w:rFonts w:ascii="Arial" w:hAnsi="Arial" w:cs="Arial"/>
          <w:sz w:val="18"/>
          <w:szCs w:val="18"/>
        </w:rPr>
        <w:t>blockages and collapses.</w:t>
      </w:r>
    </w:p>
    <w:p w14:paraId="0EA4F39F" w14:textId="2C7F0617" w:rsidR="008319EC" w:rsidRPr="00735726" w:rsidRDefault="008319EC" w:rsidP="008319EC">
      <w:pPr>
        <w:spacing w:after="160"/>
        <w:rPr>
          <w:rFonts w:ascii="Arial" w:hAnsi="Arial" w:cs="Arial"/>
          <w:sz w:val="18"/>
          <w:szCs w:val="18"/>
        </w:rPr>
      </w:pPr>
      <w:r w:rsidRPr="00735726">
        <w:rPr>
          <w:rFonts w:ascii="Arial" w:hAnsi="Arial" w:cs="Arial"/>
          <w:sz w:val="18"/>
          <w:szCs w:val="18"/>
        </w:rPr>
        <w:t>During the year we enhanced the compensation we</w:t>
      </w:r>
      <w:r w:rsidR="00F078CB" w:rsidRPr="00735726">
        <w:rPr>
          <w:rFonts w:ascii="Arial" w:hAnsi="Arial" w:cs="Arial"/>
          <w:sz w:val="18"/>
          <w:szCs w:val="18"/>
        </w:rPr>
        <w:t xml:space="preserve"> </w:t>
      </w:r>
      <w:r w:rsidRPr="00735726">
        <w:rPr>
          <w:rFonts w:ascii="Arial" w:hAnsi="Arial" w:cs="Arial"/>
          <w:sz w:val="18"/>
          <w:szCs w:val="18"/>
        </w:rPr>
        <w:t>provide when internal flooding occurs by:</w:t>
      </w:r>
    </w:p>
    <w:p w14:paraId="6922D534" w14:textId="0991C2F2" w:rsidR="008319EC" w:rsidRPr="00735726" w:rsidRDefault="008319EC" w:rsidP="00646F4F">
      <w:pPr>
        <w:pStyle w:val="ListParagraph"/>
        <w:numPr>
          <w:ilvl w:val="0"/>
          <w:numId w:val="81"/>
        </w:numPr>
        <w:spacing w:after="160"/>
        <w:rPr>
          <w:rFonts w:ascii="Arial" w:hAnsi="Arial" w:cs="Arial"/>
          <w:sz w:val="18"/>
          <w:szCs w:val="18"/>
        </w:rPr>
      </w:pPr>
      <w:r w:rsidRPr="00735726">
        <w:rPr>
          <w:rFonts w:ascii="Arial" w:hAnsi="Arial" w:cs="Arial"/>
          <w:sz w:val="18"/>
          <w:szCs w:val="18"/>
        </w:rPr>
        <w:t>doubling the minimum payment available,</w:t>
      </w:r>
    </w:p>
    <w:p w14:paraId="3482FB9A" w14:textId="2467E53F" w:rsidR="008319EC" w:rsidRPr="00735726" w:rsidRDefault="008319EC" w:rsidP="00646F4F">
      <w:pPr>
        <w:pStyle w:val="ListParagraph"/>
        <w:numPr>
          <w:ilvl w:val="0"/>
          <w:numId w:val="81"/>
        </w:numPr>
        <w:spacing w:after="160"/>
        <w:rPr>
          <w:rFonts w:ascii="Arial" w:hAnsi="Arial" w:cs="Arial"/>
          <w:sz w:val="18"/>
          <w:szCs w:val="18"/>
        </w:rPr>
      </w:pPr>
      <w:r w:rsidRPr="00735726">
        <w:rPr>
          <w:rFonts w:ascii="Arial" w:hAnsi="Arial" w:cs="Arial"/>
          <w:sz w:val="18"/>
          <w:szCs w:val="18"/>
        </w:rPr>
        <w:t>uplifting allowances for repeat incidents in addition to</w:t>
      </w:r>
      <w:r w:rsidR="00F078CB" w:rsidRPr="00735726">
        <w:rPr>
          <w:rFonts w:ascii="Arial" w:hAnsi="Arial" w:cs="Arial"/>
          <w:sz w:val="18"/>
          <w:szCs w:val="18"/>
        </w:rPr>
        <w:t xml:space="preserve"> </w:t>
      </w:r>
      <w:r w:rsidRPr="00735726">
        <w:rPr>
          <w:rFonts w:ascii="Arial" w:hAnsi="Arial" w:cs="Arial"/>
          <w:sz w:val="18"/>
          <w:szCs w:val="18"/>
        </w:rPr>
        <w:t>standard payments, and</w:t>
      </w:r>
    </w:p>
    <w:p w14:paraId="14CA410F" w14:textId="77777777" w:rsidR="00F078CB" w:rsidRPr="00735726" w:rsidRDefault="008319EC" w:rsidP="00646F4F">
      <w:pPr>
        <w:pStyle w:val="ListParagraph"/>
        <w:numPr>
          <w:ilvl w:val="0"/>
          <w:numId w:val="81"/>
        </w:numPr>
        <w:spacing w:after="160"/>
        <w:rPr>
          <w:rFonts w:ascii="Arial" w:hAnsi="Arial" w:cs="Arial"/>
          <w:sz w:val="18"/>
          <w:szCs w:val="18"/>
        </w:rPr>
      </w:pPr>
      <w:r w:rsidRPr="00735726">
        <w:rPr>
          <w:rFonts w:ascii="Arial" w:hAnsi="Arial" w:cs="Arial"/>
          <w:sz w:val="18"/>
          <w:szCs w:val="18"/>
        </w:rPr>
        <w:t>ensuring compensation is paid automatically, and within</w:t>
      </w:r>
      <w:r w:rsidR="00F078CB" w:rsidRPr="00735726">
        <w:rPr>
          <w:rFonts w:ascii="Arial" w:hAnsi="Arial" w:cs="Arial"/>
          <w:sz w:val="18"/>
          <w:szCs w:val="18"/>
        </w:rPr>
        <w:t xml:space="preserve"> </w:t>
      </w:r>
      <w:r w:rsidRPr="00735726">
        <w:rPr>
          <w:rFonts w:ascii="Arial" w:hAnsi="Arial" w:cs="Arial"/>
          <w:sz w:val="18"/>
          <w:szCs w:val="18"/>
        </w:rPr>
        <w:t xml:space="preserve">20 days. </w:t>
      </w:r>
    </w:p>
    <w:p w14:paraId="40687FE6" w14:textId="1B289141" w:rsidR="00F078CB" w:rsidRPr="00735726" w:rsidRDefault="00F078CB" w:rsidP="00F078CB">
      <w:pPr>
        <w:spacing w:after="160"/>
        <w:rPr>
          <w:rFonts w:ascii="Arial" w:hAnsi="Arial" w:cs="Arial"/>
          <w:sz w:val="18"/>
          <w:szCs w:val="18"/>
        </w:rPr>
      </w:pPr>
      <w:r w:rsidRPr="00735726">
        <w:rPr>
          <w:rFonts w:ascii="Arial" w:hAnsi="Arial" w:cs="Arial"/>
          <w:b/>
          <w:bCs/>
          <w:sz w:val="18"/>
          <w:szCs w:val="18"/>
        </w:rPr>
        <w:t>ENVIRONMENT PERFORMANCE ASSESSMENT (EPA) AND WINEP DELIVERY</w:t>
      </w:r>
      <w:r w:rsidR="00D62E2B" w:rsidRPr="00735726">
        <w:rPr>
          <w:rFonts w:ascii="Arial" w:hAnsi="Arial" w:cs="Arial"/>
          <w:sz w:val="18"/>
          <w:szCs w:val="18"/>
        </w:rPr>
        <w:br/>
      </w:r>
      <w:r w:rsidRPr="00735726">
        <w:rPr>
          <w:rFonts w:ascii="Arial" w:hAnsi="Arial" w:cs="Arial"/>
          <w:sz w:val="18"/>
          <w:szCs w:val="18"/>
        </w:rPr>
        <w:t>The Environment Performance Assessment (EPA) is the Environment Agency’s annual assessment of environmental performance across the water sector. Companies are rated against a range of measures, with an overall rating of up to four stars.</w:t>
      </w:r>
    </w:p>
    <w:p w14:paraId="3CFFBBF0" w14:textId="2EF097A3" w:rsidR="00F078CB" w:rsidRPr="00735726" w:rsidRDefault="00F078CB" w:rsidP="00F078CB">
      <w:pPr>
        <w:spacing w:after="160"/>
        <w:rPr>
          <w:rFonts w:ascii="Arial" w:hAnsi="Arial" w:cs="Arial"/>
          <w:sz w:val="18"/>
          <w:szCs w:val="18"/>
        </w:rPr>
      </w:pPr>
      <w:r w:rsidRPr="00735726">
        <w:rPr>
          <w:rFonts w:ascii="Arial" w:hAnsi="Arial" w:cs="Arial"/>
          <w:sz w:val="18"/>
          <w:szCs w:val="18"/>
        </w:rPr>
        <w:t xml:space="preserve">Whilst we have made progress in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measures monitored by the EPA, disappointingly, our provisional assessment for the provisional 2025 EPA rating is 1*. This reduction year</w:t>
      </w:r>
      <w:r w:rsidR="0038147D" w:rsidRPr="00735726">
        <w:rPr>
          <w:rFonts w:ascii="Arial" w:hAnsi="Arial" w:cs="Arial"/>
          <w:sz w:val="18"/>
          <w:szCs w:val="18"/>
        </w:rPr>
        <w:t>-</w:t>
      </w:r>
      <w:r w:rsidRPr="00735726">
        <w:rPr>
          <w:rFonts w:ascii="Arial" w:hAnsi="Arial" w:cs="Arial"/>
          <w:sz w:val="18"/>
          <w:szCs w:val="18"/>
        </w:rPr>
        <w:t>on</w:t>
      </w:r>
      <w:r w:rsidR="0038147D" w:rsidRPr="00735726">
        <w:rPr>
          <w:rFonts w:ascii="Arial" w:hAnsi="Arial" w:cs="Arial"/>
          <w:sz w:val="18"/>
          <w:szCs w:val="18"/>
        </w:rPr>
        <w:t>-</w:t>
      </w:r>
      <w:r w:rsidRPr="00735726">
        <w:rPr>
          <w:rFonts w:ascii="Arial" w:hAnsi="Arial" w:cs="Arial"/>
          <w:sz w:val="18"/>
          <w:szCs w:val="18"/>
        </w:rPr>
        <w:t xml:space="preserve">year results from improving performance against operational measures such as pollutions, although with more to do to achieve amber and/or green status. However, progress against our WINEP capital programme has resulted in a deterioration in the EPA score year-on-year; we achieved 18 out of 19 of our Year 1 </w:t>
      </w:r>
      <w:proofErr w:type="gramStart"/>
      <w:r w:rsidRPr="00735726">
        <w:rPr>
          <w:rFonts w:ascii="Arial" w:hAnsi="Arial" w:cs="Arial"/>
          <w:sz w:val="18"/>
          <w:szCs w:val="18"/>
        </w:rPr>
        <w:t>deliverables, and</w:t>
      </w:r>
      <w:proofErr w:type="gramEnd"/>
      <w:r w:rsidRPr="00735726">
        <w:rPr>
          <w:rFonts w:ascii="Arial" w:hAnsi="Arial" w:cs="Arial"/>
          <w:sz w:val="18"/>
          <w:szCs w:val="18"/>
        </w:rPr>
        <w:t xml:space="preserve"> delivered 30 wastewater investigations earlier than required. However, to achieve amber status or better, 98% of projects must be delivered, including any outstanding AMP7 programmes. </w:t>
      </w:r>
      <w:r w:rsidR="003406A0" w:rsidRPr="00735726">
        <w:rPr>
          <w:rFonts w:ascii="Arial" w:hAnsi="Arial" w:cs="Arial"/>
          <w:sz w:val="18"/>
          <w:szCs w:val="18"/>
        </w:rPr>
        <w:t>Nine</w:t>
      </w:r>
      <w:r w:rsidRPr="00735726">
        <w:rPr>
          <w:rFonts w:ascii="Arial" w:hAnsi="Arial" w:cs="Arial"/>
          <w:sz w:val="18"/>
          <w:szCs w:val="18"/>
        </w:rPr>
        <w:t xml:space="preserve"> AMP7 projects had dates due for completion </w:t>
      </w:r>
      <w:r w:rsidR="00F52603" w:rsidRPr="00735726">
        <w:rPr>
          <w:rFonts w:ascii="Arial" w:hAnsi="Arial" w:cs="Arial"/>
          <w:sz w:val="18"/>
          <w:szCs w:val="18"/>
        </w:rPr>
        <w:t>by March</w:t>
      </w:r>
      <w:r w:rsidRPr="00735726">
        <w:rPr>
          <w:rFonts w:ascii="Arial" w:hAnsi="Arial" w:cs="Arial"/>
          <w:sz w:val="18"/>
          <w:szCs w:val="18"/>
        </w:rPr>
        <w:t xml:space="preserve"> 2026; we delivered </w:t>
      </w:r>
      <w:r w:rsidR="003406A0" w:rsidRPr="00735726">
        <w:rPr>
          <w:rFonts w:ascii="Arial" w:hAnsi="Arial" w:cs="Arial"/>
          <w:sz w:val="18"/>
          <w:szCs w:val="18"/>
        </w:rPr>
        <w:t>six</w:t>
      </w:r>
      <w:r w:rsidRPr="00735726">
        <w:rPr>
          <w:rFonts w:ascii="Arial" w:hAnsi="Arial" w:cs="Arial"/>
          <w:sz w:val="18"/>
          <w:szCs w:val="18"/>
        </w:rPr>
        <w:t xml:space="preserve"> of these, with one completed since 31 March and two deliverables under discussion with the Environment Agency. Any single failure would have resulted in a red metric for the EPA given the relatively low level of projects due for completion and we remain focused on delivering all elements of the programme on time as we progress through the delivery period. </w:t>
      </w:r>
    </w:p>
    <w:p w14:paraId="45FB873C" w14:textId="77777777" w:rsidR="003406A0" w:rsidRPr="00735726" w:rsidRDefault="003406A0" w:rsidP="00F078CB">
      <w:pPr>
        <w:spacing w:after="160"/>
        <w:rPr>
          <w:rFonts w:ascii="Arial" w:hAnsi="Arial" w:cs="Arial"/>
          <w:sz w:val="18"/>
          <w:szCs w:val="18"/>
        </w:rPr>
      </w:pPr>
    </w:p>
    <w:p w14:paraId="3FCCA8F4" w14:textId="5ED5AA85" w:rsidR="00F078CB" w:rsidRPr="00735726" w:rsidRDefault="00F078CB" w:rsidP="00F078CB">
      <w:pPr>
        <w:spacing w:after="160"/>
        <w:rPr>
          <w:rFonts w:ascii="Arial" w:hAnsi="Arial" w:cs="Arial"/>
          <w:sz w:val="18"/>
          <w:szCs w:val="18"/>
        </w:rPr>
      </w:pPr>
      <w:r w:rsidRPr="00735726">
        <w:rPr>
          <w:rFonts w:ascii="Arial" w:hAnsi="Arial" w:cs="Arial"/>
          <w:sz w:val="18"/>
          <w:szCs w:val="18"/>
        </w:rPr>
        <w:lastRenderedPageBreak/>
        <w:t>Our operational measures showed improvement year</w:t>
      </w:r>
      <w:r w:rsidR="00FF610A" w:rsidRPr="00735726">
        <w:rPr>
          <w:rFonts w:ascii="Arial" w:hAnsi="Arial" w:cs="Arial"/>
          <w:sz w:val="18"/>
          <w:szCs w:val="18"/>
        </w:rPr>
        <w:t>-</w:t>
      </w:r>
      <w:r w:rsidRPr="00735726">
        <w:rPr>
          <w:rFonts w:ascii="Arial" w:hAnsi="Arial" w:cs="Arial"/>
          <w:sz w:val="18"/>
          <w:szCs w:val="18"/>
        </w:rPr>
        <w:t>on</w:t>
      </w:r>
      <w:r w:rsidR="00FF610A" w:rsidRPr="00735726">
        <w:rPr>
          <w:rFonts w:ascii="Arial" w:hAnsi="Arial" w:cs="Arial"/>
          <w:sz w:val="18"/>
          <w:szCs w:val="18"/>
        </w:rPr>
        <w:t>-</w:t>
      </w:r>
      <w:r w:rsidRPr="00735726">
        <w:rPr>
          <w:rFonts w:ascii="Arial" w:hAnsi="Arial" w:cs="Arial"/>
          <w:sz w:val="18"/>
          <w:szCs w:val="18"/>
        </w:rPr>
        <w:t>year including:</w:t>
      </w:r>
    </w:p>
    <w:p w14:paraId="475C9159" w14:textId="5EF61876" w:rsidR="00F078CB" w:rsidRPr="00735726" w:rsidRDefault="00F078CB" w:rsidP="00646F4F">
      <w:pPr>
        <w:pStyle w:val="ListParagraph"/>
        <w:numPr>
          <w:ilvl w:val="0"/>
          <w:numId w:val="82"/>
        </w:numPr>
        <w:spacing w:after="160"/>
        <w:rPr>
          <w:rFonts w:ascii="Arial" w:hAnsi="Arial" w:cs="Arial"/>
          <w:sz w:val="18"/>
          <w:szCs w:val="18"/>
        </w:rPr>
      </w:pPr>
      <w:r w:rsidRPr="00735726">
        <w:rPr>
          <w:rFonts w:ascii="Arial" w:hAnsi="Arial" w:cs="Arial"/>
          <w:sz w:val="18"/>
          <w:szCs w:val="18"/>
        </w:rPr>
        <w:t xml:space="preserve">Pollution incidents </w:t>
      </w:r>
      <w:r w:rsidR="006C1BA9" w:rsidRPr="00735726">
        <w:rPr>
          <w:rFonts w:ascii="Arial" w:hAnsi="Arial" w:cs="Arial"/>
          <w:sz w:val="18"/>
          <w:szCs w:val="18"/>
        </w:rPr>
        <w:t xml:space="preserve">- </w:t>
      </w:r>
      <w:r w:rsidRPr="00735726">
        <w:rPr>
          <w:rFonts w:ascii="Arial" w:hAnsi="Arial" w:cs="Arial"/>
          <w:sz w:val="18"/>
          <w:szCs w:val="18"/>
        </w:rPr>
        <w:t>total pollution incidents per</w:t>
      </w:r>
      <w:r w:rsidR="006E7BCC" w:rsidRPr="00735726">
        <w:rPr>
          <w:rFonts w:ascii="Arial" w:hAnsi="Arial" w:cs="Arial"/>
          <w:sz w:val="18"/>
          <w:szCs w:val="18"/>
        </w:rPr>
        <w:t xml:space="preserve"> </w:t>
      </w:r>
      <w:r w:rsidRPr="00735726">
        <w:rPr>
          <w:rFonts w:ascii="Arial" w:hAnsi="Arial" w:cs="Arial"/>
          <w:sz w:val="18"/>
          <w:szCs w:val="18"/>
        </w:rPr>
        <w:t>10,000km of sewer main reduced to 51, a 53%</w:t>
      </w:r>
      <w:r w:rsidR="006E7BCC" w:rsidRPr="00735726">
        <w:rPr>
          <w:rFonts w:ascii="Arial" w:hAnsi="Arial" w:cs="Arial"/>
          <w:sz w:val="18"/>
          <w:szCs w:val="18"/>
        </w:rPr>
        <w:t xml:space="preserve"> </w:t>
      </w:r>
      <w:r w:rsidRPr="00735726">
        <w:rPr>
          <w:rFonts w:ascii="Arial" w:hAnsi="Arial" w:cs="Arial"/>
          <w:sz w:val="18"/>
          <w:szCs w:val="18"/>
        </w:rPr>
        <w:t>improvement compared with 2024, reflecting both the</w:t>
      </w:r>
      <w:r w:rsidR="006E7BCC" w:rsidRPr="00735726">
        <w:rPr>
          <w:rFonts w:ascii="Arial" w:hAnsi="Arial" w:cs="Arial"/>
          <w:sz w:val="18"/>
          <w:szCs w:val="18"/>
        </w:rPr>
        <w:t xml:space="preserve"> </w:t>
      </w:r>
      <w:r w:rsidRPr="00735726">
        <w:rPr>
          <w:rFonts w:ascii="Arial" w:hAnsi="Arial" w:cs="Arial"/>
          <w:sz w:val="18"/>
          <w:szCs w:val="18"/>
        </w:rPr>
        <w:t>reduction in the number of incidents and recognition</w:t>
      </w:r>
      <w:r w:rsidR="006E7BCC" w:rsidRPr="00735726">
        <w:rPr>
          <w:rFonts w:ascii="Arial" w:hAnsi="Arial" w:cs="Arial"/>
          <w:sz w:val="18"/>
          <w:szCs w:val="18"/>
        </w:rPr>
        <w:t xml:space="preserve"> </w:t>
      </w:r>
      <w:r w:rsidRPr="00735726">
        <w:rPr>
          <w:rFonts w:ascii="Arial" w:hAnsi="Arial" w:cs="Arial"/>
          <w:sz w:val="18"/>
          <w:szCs w:val="18"/>
        </w:rPr>
        <w:t>by the Environment agency</w:t>
      </w:r>
      <w:r w:rsidR="006E7BCC" w:rsidRPr="00735726">
        <w:rPr>
          <w:rFonts w:ascii="Arial" w:hAnsi="Arial" w:cs="Arial"/>
          <w:sz w:val="18"/>
          <w:szCs w:val="18"/>
        </w:rPr>
        <w:t xml:space="preserve"> </w:t>
      </w:r>
      <w:r w:rsidRPr="00735726">
        <w:rPr>
          <w:rFonts w:ascii="Arial" w:hAnsi="Arial" w:cs="Arial"/>
          <w:sz w:val="18"/>
          <w:szCs w:val="18"/>
        </w:rPr>
        <w:t>of a revised sewer length.</w:t>
      </w:r>
      <w:r w:rsidR="00D63FDE" w:rsidRPr="00735726">
        <w:rPr>
          <w:rFonts w:ascii="Arial" w:hAnsi="Arial" w:cs="Arial"/>
          <w:sz w:val="18"/>
          <w:szCs w:val="18"/>
        </w:rPr>
        <w:t xml:space="preserve"> </w:t>
      </w:r>
      <w:r w:rsidRPr="00735726">
        <w:rPr>
          <w:rFonts w:ascii="Arial" w:hAnsi="Arial" w:cs="Arial"/>
          <w:sz w:val="18"/>
          <w:szCs w:val="18"/>
        </w:rPr>
        <w:t>Given our topography and proximity to watercourses,</w:t>
      </w:r>
      <w:r w:rsidR="006E7BCC" w:rsidRPr="00735726">
        <w:rPr>
          <w:rFonts w:ascii="Arial" w:hAnsi="Arial" w:cs="Arial"/>
          <w:sz w:val="18"/>
          <w:szCs w:val="18"/>
        </w:rPr>
        <w:t xml:space="preserve"> </w:t>
      </w:r>
      <w:r w:rsidRPr="00735726">
        <w:rPr>
          <w:rFonts w:ascii="Arial" w:hAnsi="Arial" w:cs="Arial"/>
          <w:sz w:val="18"/>
          <w:szCs w:val="18"/>
        </w:rPr>
        <w:t>despite this material reduction, this measure remains</w:t>
      </w:r>
      <w:r w:rsidR="00D63FDE" w:rsidRPr="00735726">
        <w:rPr>
          <w:rFonts w:ascii="Arial" w:hAnsi="Arial" w:cs="Arial"/>
          <w:sz w:val="18"/>
          <w:szCs w:val="18"/>
        </w:rPr>
        <w:t xml:space="preserve"> </w:t>
      </w:r>
      <w:r w:rsidRPr="00735726">
        <w:rPr>
          <w:rFonts w:ascii="Arial" w:hAnsi="Arial" w:cs="Arial"/>
          <w:sz w:val="18"/>
          <w:szCs w:val="18"/>
        </w:rPr>
        <w:t>challenging to achieve the targets set by the EPA.</w:t>
      </w:r>
    </w:p>
    <w:p w14:paraId="39B40559" w14:textId="22155550" w:rsidR="00F078CB" w:rsidRPr="00735726" w:rsidRDefault="00F078CB" w:rsidP="00646F4F">
      <w:pPr>
        <w:pStyle w:val="ListParagraph"/>
        <w:numPr>
          <w:ilvl w:val="0"/>
          <w:numId w:val="82"/>
        </w:numPr>
        <w:spacing w:after="160"/>
        <w:rPr>
          <w:rFonts w:ascii="Arial" w:hAnsi="Arial" w:cs="Arial"/>
          <w:sz w:val="18"/>
          <w:szCs w:val="18"/>
        </w:rPr>
      </w:pPr>
      <w:r w:rsidRPr="00735726">
        <w:rPr>
          <w:rFonts w:ascii="Arial" w:hAnsi="Arial" w:cs="Arial"/>
          <w:sz w:val="18"/>
          <w:szCs w:val="18"/>
        </w:rPr>
        <w:t xml:space="preserve">Serious pollution incidents </w:t>
      </w:r>
      <w:r w:rsidR="006C1BA9" w:rsidRPr="00735726">
        <w:rPr>
          <w:rFonts w:ascii="Arial" w:hAnsi="Arial" w:cs="Arial"/>
          <w:sz w:val="18"/>
          <w:szCs w:val="18"/>
        </w:rPr>
        <w:t xml:space="preserve">- </w:t>
      </w:r>
      <w:r w:rsidRPr="00735726">
        <w:rPr>
          <w:rFonts w:ascii="Arial" w:hAnsi="Arial" w:cs="Arial"/>
          <w:sz w:val="18"/>
          <w:szCs w:val="18"/>
        </w:rPr>
        <w:t>Category 1-2 pollution</w:t>
      </w:r>
      <w:r w:rsidR="00D63FDE" w:rsidRPr="00735726">
        <w:rPr>
          <w:rFonts w:ascii="Arial" w:hAnsi="Arial" w:cs="Arial"/>
          <w:sz w:val="18"/>
          <w:szCs w:val="18"/>
        </w:rPr>
        <w:t xml:space="preserve"> </w:t>
      </w:r>
      <w:r w:rsidRPr="00735726">
        <w:rPr>
          <w:rFonts w:ascii="Arial" w:hAnsi="Arial" w:cs="Arial"/>
          <w:sz w:val="18"/>
          <w:szCs w:val="18"/>
        </w:rPr>
        <w:t>incidents reduced from four to three but remain</w:t>
      </w:r>
      <w:r w:rsidR="00D63FDE" w:rsidRPr="00735726">
        <w:rPr>
          <w:rFonts w:ascii="Arial" w:hAnsi="Arial" w:cs="Arial"/>
          <w:sz w:val="18"/>
          <w:szCs w:val="18"/>
        </w:rPr>
        <w:t xml:space="preserve"> </w:t>
      </w:r>
      <w:proofErr w:type="gramStart"/>
      <w:r w:rsidRPr="00735726">
        <w:rPr>
          <w:rFonts w:ascii="Arial" w:hAnsi="Arial" w:cs="Arial"/>
          <w:sz w:val="18"/>
          <w:szCs w:val="18"/>
        </w:rPr>
        <w:t>adverse</w:t>
      </w:r>
      <w:proofErr w:type="gramEnd"/>
      <w:r w:rsidRPr="00735726">
        <w:rPr>
          <w:rFonts w:ascii="Arial" w:hAnsi="Arial" w:cs="Arial"/>
          <w:sz w:val="18"/>
          <w:szCs w:val="18"/>
        </w:rPr>
        <w:t xml:space="preserve"> to the EPA target.</w:t>
      </w:r>
    </w:p>
    <w:p w14:paraId="4A3DEE4A" w14:textId="2776ADDD" w:rsidR="00F078CB" w:rsidRPr="00735726" w:rsidRDefault="00F078CB" w:rsidP="00646F4F">
      <w:pPr>
        <w:pStyle w:val="ListParagraph"/>
        <w:numPr>
          <w:ilvl w:val="0"/>
          <w:numId w:val="82"/>
        </w:numPr>
        <w:spacing w:after="160"/>
        <w:rPr>
          <w:rFonts w:ascii="Arial" w:hAnsi="Arial" w:cs="Arial"/>
          <w:sz w:val="18"/>
          <w:szCs w:val="18"/>
        </w:rPr>
      </w:pPr>
      <w:r w:rsidRPr="00735726">
        <w:rPr>
          <w:rFonts w:ascii="Arial" w:hAnsi="Arial" w:cs="Arial"/>
          <w:sz w:val="18"/>
          <w:szCs w:val="18"/>
        </w:rPr>
        <w:t xml:space="preserve">Sludge compliance </w:t>
      </w:r>
      <w:r w:rsidR="006C1BA9" w:rsidRPr="00735726">
        <w:rPr>
          <w:rFonts w:ascii="Arial" w:hAnsi="Arial" w:cs="Arial"/>
          <w:sz w:val="18"/>
          <w:szCs w:val="18"/>
        </w:rPr>
        <w:t xml:space="preserve">- </w:t>
      </w:r>
      <w:r w:rsidRPr="00735726">
        <w:rPr>
          <w:rFonts w:ascii="Arial" w:hAnsi="Arial" w:cs="Arial"/>
          <w:sz w:val="18"/>
          <w:szCs w:val="18"/>
        </w:rPr>
        <w:t>maintained at 100%</w:t>
      </w:r>
    </w:p>
    <w:p w14:paraId="15E4B7FA" w14:textId="0EF8BBEC" w:rsidR="00F078CB" w:rsidRPr="00735726" w:rsidRDefault="00F078CB" w:rsidP="00646F4F">
      <w:pPr>
        <w:pStyle w:val="ListParagraph"/>
        <w:numPr>
          <w:ilvl w:val="0"/>
          <w:numId w:val="82"/>
        </w:numPr>
        <w:spacing w:after="160"/>
        <w:rPr>
          <w:rFonts w:ascii="Arial" w:hAnsi="Arial" w:cs="Arial"/>
          <w:sz w:val="18"/>
          <w:szCs w:val="18"/>
        </w:rPr>
      </w:pPr>
      <w:r w:rsidRPr="00735726">
        <w:rPr>
          <w:rFonts w:ascii="Arial" w:hAnsi="Arial" w:cs="Arial"/>
          <w:sz w:val="18"/>
          <w:szCs w:val="18"/>
        </w:rPr>
        <w:t xml:space="preserve">Numeric compliance </w:t>
      </w:r>
      <w:r w:rsidR="006C1BA9" w:rsidRPr="00735726">
        <w:rPr>
          <w:rFonts w:ascii="Arial" w:hAnsi="Arial" w:cs="Arial"/>
          <w:sz w:val="18"/>
          <w:szCs w:val="18"/>
        </w:rPr>
        <w:t xml:space="preserve">- </w:t>
      </w:r>
      <w:r w:rsidRPr="00735726">
        <w:rPr>
          <w:rFonts w:ascii="Arial" w:hAnsi="Arial" w:cs="Arial"/>
          <w:sz w:val="18"/>
          <w:szCs w:val="18"/>
        </w:rPr>
        <w:t>maintained at 98.1%, achieving</w:t>
      </w:r>
      <w:r w:rsidR="00D63FDE" w:rsidRPr="00735726">
        <w:rPr>
          <w:rFonts w:ascii="Arial" w:hAnsi="Arial" w:cs="Arial"/>
          <w:sz w:val="18"/>
          <w:szCs w:val="18"/>
        </w:rPr>
        <w:t xml:space="preserve"> </w:t>
      </w:r>
      <w:r w:rsidRPr="00735726">
        <w:rPr>
          <w:rFonts w:ascii="Arial" w:hAnsi="Arial" w:cs="Arial"/>
          <w:sz w:val="18"/>
          <w:szCs w:val="18"/>
        </w:rPr>
        <w:t>‘amber’ status.</w:t>
      </w:r>
    </w:p>
    <w:p w14:paraId="028DEC33" w14:textId="2584F08A" w:rsidR="00D63FDE" w:rsidRPr="00735726" w:rsidRDefault="00F078CB" w:rsidP="00D63FDE">
      <w:pPr>
        <w:spacing w:after="160"/>
        <w:rPr>
          <w:rFonts w:ascii="Arial" w:hAnsi="Arial" w:cs="Arial"/>
          <w:sz w:val="18"/>
          <w:szCs w:val="18"/>
        </w:rPr>
      </w:pPr>
      <w:r w:rsidRPr="00735726">
        <w:rPr>
          <w:rFonts w:ascii="Arial" w:hAnsi="Arial" w:cs="Arial"/>
          <w:sz w:val="18"/>
          <w:szCs w:val="18"/>
        </w:rPr>
        <w:t>We remain focused on reducing both pollutions and</w:t>
      </w:r>
      <w:r w:rsidR="00D63FDE" w:rsidRPr="00735726">
        <w:rPr>
          <w:rFonts w:ascii="Arial" w:hAnsi="Arial" w:cs="Arial"/>
          <w:sz w:val="18"/>
          <w:szCs w:val="18"/>
        </w:rPr>
        <w:t xml:space="preserve"> </w:t>
      </w:r>
      <w:r w:rsidRPr="00735726">
        <w:rPr>
          <w:rFonts w:ascii="Arial" w:hAnsi="Arial" w:cs="Arial"/>
          <w:sz w:val="18"/>
          <w:szCs w:val="18"/>
        </w:rPr>
        <w:t>storm overflow spills and achieving our goal of an EPA 4*</w:t>
      </w:r>
      <w:r w:rsidR="00D63FDE" w:rsidRPr="00735726">
        <w:rPr>
          <w:rFonts w:ascii="Arial" w:hAnsi="Arial" w:cs="Arial"/>
          <w:sz w:val="18"/>
          <w:szCs w:val="18"/>
        </w:rPr>
        <w:t xml:space="preserve"> </w:t>
      </w:r>
      <w:r w:rsidRPr="00735726">
        <w:rPr>
          <w:rFonts w:ascii="Arial" w:hAnsi="Arial" w:cs="Arial"/>
          <w:sz w:val="18"/>
          <w:szCs w:val="18"/>
        </w:rPr>
        <w:t>rating; we note that from 2026, the EPA assessments are</w:t>
      </w:r>
      <w:r w:rsidR="00D63FDE" w:rsidRPr="00735726">
        <w:rPr>
          <w:rFonts w:ascii="Arial" w:hAnsi="Arial" w:cs="Arial"/>
          <w:sz w:val="18"/>
          <w:szCs w:val="18"/>
        </w:rPr>
        <w:t xml:space="preserve"> </w:t>
      </w:r>
      <w:r w:rsidRPr="00735726">
        <w:rPr>
          <w:rFonts w:ascii="Arial" w:hAnsi="Arial" w:cs="Arial"/>
          <w:sz w:val="18"/>
          <w:szCs w:val="18"/>
        </w:rPr>
        <w:t>changing, with measures added and removed,</w:t>
      </w:r>
      <w:r w:rsidR="00D63FDE" w:rsidRPr="00735726">
        <w:rPr>
          <w:rFonts w:ascii="Arial" w:hAnsi="Arial" w:cs="Arial"/>
          <w:sz w:val="18"/>
          <w:szCs w:val="18"/>
        </w:rPr>
        <w:t xml:space="preserve"> </w:t>
      </w:r>
      <w:r w:rsidRPr="00735726">
        <w:rPr>
          <w:rFonts w:ascii="Arial" w:hAnsi="Arial" w:cs="Arial"/>
          <w:sz w:val="18"/>
          <w:szCs w:val="18"/>
        </w:rPr>
        <w:t>definitions</w:t>
      </w:r>
      <w:r w:rsidR="00D63FDE" w:rsidRPr="00735726">
        <w:rPr>
          <w:rFonts w:ascii="Arial" w:hAnsi="Arial" w:cs="Arial"/>
          <w:sz w:val="18"/>
          <w:szCs w:val="18"/>
        </w:rPr>
        <w:t xml:space="preserve"> </w:t>
      </w:r>
      <w:r w:rsidRPr="00735726">
        <w:rPr>
          <w:rFonts w:ascii="Arial" w:hAnsi="Arial" w:cs="Arial"/>
          <w:sz w:val="18"/>
          <w:szCs w:val="18"/>
        </w:rPr>
        <w:t>broadened and targets made even more stretching.</w:t>
      </w:r>
      <w:r w:rsidR="00D63FDE" w:rsidRPr="00735726">
        <w:rPr>
          <w:rFonts w:ascii="Arial" w:hAnsi="Arial" w:cs="Arial"/>
          <w:sz w:val="18"/>
          <w:szCs w:val="18"/>
        </w:rPr>
        <w:t xml:space="preserve"> </w:t>
      </w:r>
      <w:r w:rsidRPr="00735726">
        <w:rPr>
          <w:rFonts w:ascii="Arial" w:hAnsi="Arial" w:cs="Arial"/>
          <w:sz w:val="18"/>
          <w:szCs w:val="18"/>
        </w:rPr>
        <w:t>Introduction of these changes are phased through</w:t>
      </w:r>
      <w:r w:rsidR="00D63FDE" w:rsidRPr="00735726">
        <w:rPr>
          <w:rFonts w:ascii="Arial" w:hAnsi="Arial" w:cs="Arial"/>
          <w:sz w:val="18"/>
          <w:szCs w:val="18"/>
        </w:rPr>
        <w:t xml:space="preserve"> </w:t>
      </w:r>
      <w:r w:rsidRPr="00735726">
        <w:rPr>
          <w:rFonts w:ascii="Arial" w:hAnsi="Arial" w:cs="Arial"/>
          <w:sz w:val="18"/>
          <w:szCs w:val="18"/>
        </w:rPr>
        <w:t>to</w:t>
      </w:r>
      <w:r w:rsidR="00D63FDE" w:rsidRPr="00735726">
        <w:rPr>
          <w:rFonts w:ascii="Arial" w:hAnsi="Arial" w:cs="Arial"/>
          <w:sz w:val="18"/>
          <w:szCs w:val="18"/>
        </w:rPr>
        <w:t xml:space="preserve"> </w:t>
      </w:r>
      <w:r w:rsidR="00FF610A" w:rsidRPr="00735726">
        <w:rPr>
          <w:rFonts w:ascii="Arial" w:hAnsi="Arial" w:cs="Arial"/>
          <w:sz w:val="18"/>
          <w:szCs w:val="18"/>
        </w:rPr>
        <w:t>2028,</w:t>
      </w:r>
      <w:r w:rsidRPr="00735726">
        <w:rPr>
          <w:rFonts w:ascii="Arial" w:hAnsi="Arial" w:cs="Arial"/>
          <w:sz w:val="18"/>
          <w:szCs w:val="18"/>
        </w:rPr>
        <w:t xml:space="preserve"> and we are working closely with the Environment</w:t>
      </w:r>
      <w:r w:rsidR="00D63FDE" w:rsidRPr="00735726">
        <w:rPr>
          <w:rFonts w:ascii="Arial" w:hAnsi="Arial" w:cs="Arial"/>
          <w:sz w:val="18"/>
          <w:szCs w:val="18"/>
        </w:rPr>
        <w:t xml:space="preserve"> </w:t>
      </w:r>
      <w:r w:rsidRPr="00735726">
        <w:rPr>
          <w:rFonts w:ascii="Arial" w:hAnsi="Arial" w:cs="Arial"/>
          <w:sz w:val="18"/>
          <w:szCs w:val="18"/>
        </w:rPr>
        <w:t>Agency to ensure we understand and respond to the</w:t>
      </w:r>
      <w:r w:rsidR="00D63FDE" w:rsidRPr="00735726">
        <w:rPr>
          <w:rFonts w:ascii="Arial" w:hAnsi="Arial" w:cs="Arial"/>
          <w:sz w:val="18"/>
          <w:szCs w:val="18"/>
        </w:rPr>
        <w:t xml:space="preserve"> </w:t>
      </w:r>
      <w:r w:rsidRPr="00735726">
        <w:rPr>
          <w:rFonts w:ascii="Arial" w:hAnsi="Arial" w:cs="Arial"/>
          <w:sz w:val="18"/>
          <w:szCs w:val="18"/>
        </w:rPr>
        <w:t xml:space="preserve">revised scorecard. </w:t>
      </w:r>
    </w:p>
    <w:p w14:paraId="4000D3D7" w14:textId="77777777" w:rsidR="00D63FDE" w:rsidRPr="00735726" w:rsidRDefault="00D63FDE" w:rsidP="00D63FDE">
      <w:pPr>
        <w:spacing w:after="160"/>
        <w:rPr>
          <w:rFonts w:ascii="Arial" w:hAnsi="Arial" w:cs="Arial"/>
          <w:sz w:val="18"/>
          <w:szCs w:val="18"/>
        </w:rPr>
      </w:pPr>
      <w:r w:rsidRPr="00735726">
        <w:rPr>
          <w:rFonts w:ascii="Arial" w:hAnsi="Arial" w:cs="Arial"/>
          <w:i/>
          <w:iCs/>
          <w:sz w:val="18"/>
          <w:szCs w:val="18"/>
        </w:rPr>
        <w:t xml:space="preserve">DAWLISH - INVESTING TO REDUCE STORM OVERFLOW SPILLS </w:t>
      </w:r>
      <w:r w:rsidRPr="00735726">
        <w:rPr>
          <w:rFonts w:ascii="Arial" w:hAnsi="Arial" w:cs="Arial"/>
          <w:i/>
          <w:iCs/>
          <w:sz w:val="18"/>
          <w:szCs w:val="18"/>
        </w:rPr>
        <w:br/>
      </w:r>
      <w:r w:rsidRPr="00735726">
        <w:rPr>
          <w:rFonts w:ascii="Arial" w:hAnsi="Arial" w:cs="Arial"/>
          <w:sz w:val="18"/>
          <w:szCs w:val="18"/>
        </w:rPr>
        <w:t xml:space="preserve">As a result of early start funding for our AMP8 storm overflow programme, we have been able to complete delivery of a major improvement project in Dawlish during 2025/26. We recognise the importance of reducing storm overflow spills for customers, and in Devon and Cornwall, we know that customers want this investment to be prioritised at beaches and bathing waters around our coastline. As a result, our investment in Dawlish was driven by the need to reduce spills from storm overflows, strengthen operational resilience and meet evolving stakeholder expectations. It will also help us ensure greater resilience to climate change and respond to community concerns regarding environmental performance. </w:t>
      </w:r>
    </w:p>
    <w:p w14:paraId="392BEA4A" w14:textId="774E0EE5" w:rsidR="00D63FDE" w:rsidRPr="00735726" w:rsidRDefault="00D63FDE" w:rsidP="00D63FDE">
      <w:pPr>
        <w:spacing w:after="160"/>
        <w:rPr>
          <w:rFonts w:ascii="Arial" w:hAnsi="Arial" w:cs="Arial"/>
          <w:sz w:val="18"/>
          <w:szCs w:val="18"/>
        </w:rPr>
      </w:pPr>
      <w:r w:rsidRPr="00735726">
        <w:rPr>
          <w:rFonts w:ascii="Arial" w:hAnsi="Arial" w:cs="Arial"/>
          <w:i/>
          <w:iCs/>
          <w:sz w:val="18"/>
          <w:szCs w:val="18"/>
        </w:rPr>
        <w:t>INVESTING FOR THE FUTURE</w:t>
      </w:r>
      <w:r w:rsidR="00D62E2B" w:rsidRPr="00735726">
        <w:rPr>
          <w:rFonts w:ascii="Arial" w:hAnsi="Arial" w:cs="Arial"/>
          <w:sz w:val="18"/>
          <w:szCs w:val="18"/>
        </w:rPr>
        <w:br/>
      </w:r>
      <w:r w:rsidRPr="00735726">
        <w:rPr>
          <w:rFonts w:ascii="Arial" w:hAnsi="Arial" w:cs="Arial"/>
          <w:sz w:val="18"/>
          <w:szCs w:val="18"/>
        </w:rPr>
        <w:t xml:space="preserve">From inception, the team adopted a whole-life, sustainability-led approach </w:t>
      </w:r>
      <w:r w:rsidR="006C1BA9" w:rsidRPr="00735726">
        <w:rPr>
          <w:rFonts w:ascii="Arial" w:hAnsi="Arial" w:cs="Arial"/>
          <w:sz w:val="18"/>
          <w:szCs w:val="18"/>
        </w:rPr>
        <w:t xml:space="preserve">- </w:t>
      </w:r>
      <w:r w:rsidRPr="00735726">
        <w:rPr>
          <w:rFonts w:ascii="Arial" w:hAnsi="Arial" w:cs="Arial"/>
          <w:sz w:val="18"/>
          <w:szCs w:val="18"/>
        </w:rPr>
        <w:t>integrating operational insight, environmental stewardship, and constructability to optimise long-term value. The solution provides a repeatable model for delivering measurable storm overflow improvements in sensitive coastal locations.</w:t>
      </w:r>
    </w:p>
    <w:p w14:paraId="685B5BE4" w14:textId="77777777" w:rsidR="00D63FDE" w:rsidRPr="00735726" w:rsidRDefault="00D63FDE" w:rsidP="00D63FDE">
      <w:pPr>
        <w:spacing w:after="160"/>
        <w:rPr>
          <w:rFonts w:ascii="Arial" w:hAnsi="Arial" w:cs="Arial"/>
          <w:sz w:val="18"/>
          <w:szCs w:val="18"/>
        </w:rPr>
      </w:pPr>
      <w:r w:rsidRPr="00735726">
        <w:rPr>
          <w:rFonts w:ascii="Arial" w:hAnsi="Arial" w:cs="Arial"/>
          <w:sz w:val="18"/>
          <w:szCs w:val="18"/>
        </w:rPr>
        <w:t xml:space="preserve">The project was delivered through the amplify alliance, bringing together national and local partners. The integrated delivery model embedded operational, environmental and constructability expertise from the outset, enabling aligned, outcome-focused decision-making. </w:t>
      </w:r>
    </w:p>
    <w:p w14:paraId="0F13BED6" w14:textId="77777777" w:rsidR="00D63FDE" w:rsidRPr="00735726" w:rsidRDefault="00D63FDE" w:rsidP="00D63FDE">
      <w:pPr>
        <w:spacing w:after="160"/>
        <w:rPr>
          <w:rFonts w:ascii="Arial" w:hAnsi="Arial" w:cs="Arial"/>
          <w:sz w:val="18"/>
          <w:szCs w:val="18"/>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set clear strategic direction and outcome-based objectives, with operational teams shaping solutions to ensure resilience, maintainability, and effective performance in a constrained coastal catchment. Strong governance and transparent collaboration across designers, constructors and operators enabled early risk identification and effective mitigation, maintaining alignment throughout delivery. </w:t>
      </w:r>
    </w:p>
    <w:p w14:paraId="7C3F5A2A" w14:textId="23275EF2" w:rsidR="00D63FDE" w:rsidRPr="00735726" w:rsidRDefault="00D63FDE" w:rsidP="00D63FDE">
      <w:pPr>
        <w:spacing w:after="160"/>
        <w:rPr>
          <w:rFonts w:ascii="Arial" w:hAnsi="Arial" w:cs="Arial"/>
          <w:sz w:val="18"/>
          <w:szCs w:val="18"/>
        </w:rPr>
      </w:pPr>
      <w:r w:rsidRPr="00735726">
        <w:rPr>
          <w:rFonts w:ascii="Arial" w:hAnsi="Arial" w:cs="Arial"/>
          <w:sz w:val="18"/>
          <w:szCs w:val="18"/>
        </w:rPr>
        <w:t>Reduced storm overflow activity supports bathing water quality and coastal amenity, benefiting residents, visitors, and local businesses. Stakeholder engagement with residents, businesses and the Parish Council informed delivery planning and helped minimise disruption, supporting continued public confidence during works in the town centre.</w:t>
      </w:r>
    </w:p>
    <w:p w14:paraId="7B519752" w14:textId="77777777" w:rsidR="00D63FDE" w:rsidRPr="00735726" w:rsidRDefault="00D63FDE" w:rsidP="00D63FDE">
      <w:pPr>
        <w:spacing w:after="160"/>
        <w:rPr>
          <w:rFonts w:ascii="Arial" w:hAnsi="Arial" w:cs="Arial"/>
          <w:sz w:val="18"/>
          <w:szCs w:val="18"/>
        </w:rPr>
      </w:pPr>
      <w:r w:rsidRPr="00735726">
        <w:rPr>
          <w:rFonts w:ascii="Arial" w:hAnsi="Arial" w:cs="Arial"/>
          <w:sz w:val="18"/>
          <w:szCs w:val="18"/>
        </w:rPr>
        <w:t xml:space="preserve">Councillor James, Mayor of Dawlish, welcomed the investment, recognising the increasing pressures on water services and the importance of protecting Dawlish’s community and environment. He also noted that, while disruption was unavoidable, the working relationship with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and its contractors was positive, transparent, and collaborative.</w:t>
      </w:r>
    </w:p>
    <w:p w14:paraId="7B7CE7CB" w14:textId="51FDA093" w:rsidR="00D63FDE" w:rsidRPr="00735726" w:rsidRDefault="00D63FDE" w:rsidP="00D63FDE">
      <w:pPr>
        <w:spacing w:after="160"/>
        <w:rPr>
          <w:rFonts w:ascii="Arial" w:hAnsi="Arial" w:cs="Arial"/>
          <w:sz w:val="18"/>
          <w:szCs w:val="18"/>
        </w:rPr>
      </w:pPr>
      <w:r w:rsidRPr="00735726">
        <w:rPr>
          <w:rFonts w:ascii="Arial" w:hAnsi="Arial" w:cs="Arial"/>
          <w:b/>
          <w:bCs/>
          <w:sz w:val="18"/>
          <w:szCs w:val="18"/>
        </w:rPr>
        <w:t>POLLUTION INCIDENT REDUCTION PLAN</w:t>
      </w:r>
      <w:r w:rsidR="00D62E2B" w:rsidRPr="00735726">
        <w:rPr>
          <w:rFonts w:ascii="Arial" w:hAnsi="Arial" w:cs="Arial"/>
          <w:sz w:val="18"/>
          <w:szCs w:val="18"/>
        </w:rPr>
        <w:br/>
      </w:r>
      <w:r w:rsidRPr="00735726">
        <w:rPr>
          <w:rFonts w:ascii="Arial" w:hAnsi="Arial" w:cs="Arial"/>
          <w:sz w:val="18"/>
          <w:szCs w:val="18"/>
        </w:rPr>
        <w:t>Our Pollution Incident Reduction Plan (PIRP) sets out the decisive actions we are taking to reduce pollution incidents across our water and wastewater network and protect the environment. The plan is shaped by feedback from customers, stakeholders and local communities, and is supported by our largest-ever commitment to environmental improvement.</w:t>
      </w:r>
    </w:p>
    <w:p w14:paraId="48E53047" w14:textId="47CDA263" w:rsidR="00D63FDE" w:rsidRPr="00735726" w:rsidRDefault="00D63FDE" w:rsidP="00D63FDE">
      <w:pPr>
        <w:spacing w:after="160"/>
        <w:rPr>
          <w:rFonts w:ascii="Arial" w:hAnsi="Arial" w:cs="Arial"/>
          <w:sz w:val="18"/>
          <w:szCs w:val="18"/>
        </w:rPr>
      </w:pPr>
      <w:r w:rsidRPr="00735726">
        <w:rPr>
          <w:rFonts w:ascii="Arial" w:hAnsi="Arial" w:cs="Arial"/>
          <w:sz w:val="18"/>
          <w:szCs w:val="18"/>
        </w:rPr>
        <w:t>Thanks to targeted investment and operational improvements, our teams are preventing many incidents before they escalate, safeguarding local communities and nature. However, we recognise we need to do more and remain committed to making the changes needed to reduce pollution and improve the environment.</w:t>
      </w:r>
    </w:p>
    <w:p w14:paraId="77A32441" w14:textId="77777777" w:rsidR="00D62E2B" w:rsidRPr="00735726" w:rsidRDefault="00D62E2B" w:rsidP="00D63FDE">
      <w:pPr>
        <w:spacing w:after="160"/>
        <w:rPr>
          <w:rFonts w:ascii="Arial" w:hAnsi="Arial" w:cs="Arial"/>
          <w:i/>
          <w:iCs/>
          <w:sz w:val="18"/>
          <w:szCs w:val="18"/>
        </w:rPr>
      </w:pPr>
    </w:p>
    <w:p w14:paraId="428D1ABE" w14:textId="52D95BCA" w:rsidR="00D63FDE" w:rsidRPr="00735726" w:rsidRDefault="00D63FDE" w:rsidP="00D63FDE">
      <w:pPr>
        <w:spacing w:after="160"/>
        <w:rPr>
          <w:rFonts w:ascii="Arial" w:hAnsi="Arial" w:cs="Arial"/>
          <w:sz w:val="18"/>
          <w:szCs w:val="18"/>
        </w:rPr>
      </w:pPr>
      <w:r w:rsidRPr="00735726">
        <w:rPr>
          <w:rFonts w:ascii="Arial" w:hAnsi="Arial" w:cs="Arial"/>
          <w:i/>
          <w:iCs/>
          <w:sz w:val="18"/>
          <w:szCs w:val="18"/>
        </w:rPr>
        <w:lastRenderedPageBreak/>
        <w:t>LOOKING AHEAD</w:t>
      </w:r>
      <w:r w:rsidRPr="00735726">
        <w:rPr>
          <w:rFonts w:ascii="Arial" w:hAnsi="Arial" w:cs="Arial"/>
          <w:i/>
          <w:iCs/>
          <w:sz w:val="18"/>
          <w:szCs w:val="18"/>
        </w:rPr>
        <w:br/>
      </w:r>
      <w:r w:rsidRPr="00735726">
        <w:rPr>
          <w:rFonts w:ascii="Arial" w:hAnsi="Arial" w:cs="Arial"/>
          <w:sz w:val="18"/>
          <w:szCs w:val="18"/>
        </w:rPr>
        <w:t xml:space="preserve">We’re taking practical steps to protect the environment and reduce pollution across our region. Our plan has developed and is now built around six key pillars, designed to tackle pollution from every angle and ensure sustainable improvement. </w:t>
      </w:r>
    </w:p>
    <w:p w14:paraId="189C186B" w14:textId="763CDED6" w:rsidR="00FF610A" w:rsidRPr="00735726" w:rsidRDefault="00FF610A" w:rsidP="00FF610A">
      <w:pPr>
        <w:spacing w:after="160"/>
        <w:rPr>
          <w:rFonts w:ascii="Arial" w:hAnsi="Arial" w:cs="Arial"/>
          <w:sz w:val="18"/>
          <w:szCs w:val="18"/>
        </w:rPr>
      </w:pPr>
      <w:r w:rsidRPr="00735726">
        <w:rPr>
          <w:rFonts w:ascii="Arial" w:hAnsi="Arial" w:cs="Arial"/>
          <w:sz w:val="18"/>
          <w:szCs w:val="18"/>
        </w:rPr>
        <w:t>Read more</w:t>
      </w:r>
      <w:r w:rsidR="003406A0" w:rsidRPr="00735726">
        <w:rPr>
          <w:rFonts w:ascii="Arial" w:hAnsi="Arial" w:cs="Arial"/>
          <w:sz w:val="18"/>
          <w:szCs w:val="18"/>
        </w:rPr>
        <w:t xml:space="preserve"> at:</w:t>
      </w:r>
      <w:r w:rsidRPr="00735726">
        <w:rPr>
          <w:rFonts w:ascii="Arial" w:hAnsi="Arial" w:cs="Arial"/>
          <w:sz w:val="18"/>
          <w:szCs w:val="18"/>
        </w:rPr>
        <w:t xml:space="preserve"> www.southwestwater.co.uk/siteassets/documents/environment/riversand-bathing-waters/swb_pirp-customersummary-200326.pdf</w:t>
      </w:r>
    </w:p>
    <w:p w14:paraId="40BE32D3" w14:textId="089E4FF2" w:rsidR="00D63FDE" w:rsidRPr="00735726" w:rsidRDefault="00D63FDE" w:rsidP="00D63FDE">
      <w:pPr>
        <w:spacing w:after="160"/>
        <w:rPr>
          <w:rFonts w:ascii="Arial" w:hAnsi="Arial" w:cs="Arial"/>
          <w:b/>
          <w:bCs/>
          <w:sz w:val="18"/>
          <w:szCs w:val="18"/>
        </w:rPr>
      </w:pPr>
      <w:r w:rsidRPr="00735726">
        <w:rPr>
          <w:rFonts w:ascii="Arial" w:hAnsi="Arial" w:cs="Arial"/>
          <w:b/>
          <w:bCs/>
          <w:sz w:val="18"/>
          <w:szCs w:val="18"/>
        </w:rPr>
        <w:t xml:space="preserve">OUR PLAN TO REDUCE POLLUTION </w:t>
      </w:r>
      <w:r w:rsidR="006C1BA9" w:rsidRPr="00735726">
        <w:rPr>
          <w:rFonts w:ascii="Arial" w:hAnsi="Arial" w:cs="Arial"/>
          <w:b/>
          <w:bCs/>
          <w:sz w:val="18"/>
          <w:szCs w:val="18"/>
        </w:rPr>
        <w:t xml:space="preserve">- </w:t>
      </w:r>
      <w:r w:rsidRPr="00735726">
        <w:rPr>
          <w:rFonts w:ascii="Arial" w:hAnsi="Arial" w:cs="Arial"/>
          <w:b/>
          <w:bCs/>
          <w:sz w:val="18"/>
          <w:szCs w:val="18"/>
        </w:rPr>
        <w:t>AT A GLANCE</w:t>
      </w:r>
      <w:r w:rsidRPr="00735726">
        <w:rPr>
          <w:rFonts w:ascii="Arial" w:hAnsi="Arial" w:cs="Arial"/>
          <w:b/>
          <w:bCs/>
          <w:sz w:val="18"/>
          <w:szCs w:val="18"/>
        </w:rPr>
        <w:br/>
      </w:r>
      <w:r w:rsidRPr="00735726">
        <w:rPr>
          <w:rFonts w:ascii="Arial" w:hAnsi="Arial" w:cs="Arial"/>
          <w:sz w:val="18"/>
          <w:szCs w:val="18"/>
        </w:rPr>
        <w:t>Our plan has developed and is now built around six key pillars, designed to tackle pollution from every angle and ensure sustainable improvement.</w:t>
      </w:r>
      <w:r w:rsidRPr="00735726">
        <w:rPr>
          <w:rFonts w:ascii="Arial" w:hAnsi="Arial" w:cs="Arial"/>
          <w:b/>
          <w:bCs/>
          <w:sz w:val="18"/>
          <w:szCs w:val="18"/>
        </w:rPr>
        <w:t xml:space="preserve"> </w:t>
      </w:r>
    </w:p>
    <w:p w14:paraId="639A21E0" w14:textId="77777777" w:rsidR="00D63FDE" w:rsidRPr="00735726" w:rsidRDefault="00D63FDE" w:rsidP="00D63FDE">
      <w:pPr>
        <w:spacing w:after="160"/>
        <w:rPr>
          <w:rFonts w:ascii="Arial" w:hAnsi="Arial" w:cs="Arial"/>
          <w:sz w:val="18"/>
          <w:szCs w:val="18"/>
        </w:rPr>
      </w:pPr>
      <w:r w:rsidRPr="00735726">
        <w:rPr>
          <w:rFonts w:ascii="Arial" w:hAnsi="Arial" w:cs="Arial"/>
          <w:sz w:val="18"/>
          <w:szCs w:val="18"/>
        </w:rPr>
        <w:t>The key initiatives of our PIRP strategic pillars:</w:t>
      </w:r>
    </w:p>
    <w:tbl>
      <w:tblPr>
        <w:tblStyle w:val="TableGrid"/>
        <w:tblW w:w="0" w:type="auto"/>
        <w:tblLook w:val="04A0" w:firstRow="1" w:lastRow="0" w:firstColumn="1" w:lastColumn="0" w:noHBand="0" w:noVBand="1"/>
      </w:tblPr>
      <w:tblGrid>
        <w:gridCol w:w="1502"/>
        <w:gridCol w:w="1693"/>
        <w:gridCol w:w="1312"/>
        <w:gridCol w:w="1503"/>
        <w:gridCol w:w="1503"/>
        <w:gridCol w:w="1503"/>
      </w:tblGrid>
      <w:tr w:rsidR="00247C4A" w:rsidRPr="00735726" w14:paraId="1150E852" w14:textId="77777777" w:rsidTr="00277639">
        <w:tc>
          <w:tcPr>
            <w:tcW w:w="1502" w:type="dxa"/>
            <w:shd w:val="clear" w:color="auto" w:fill="002060"/>
          </w:tcPr>
          <w:p w14:paraId="3B3C4349" w14:textId="193E7347" w:rsidR="00247C4A" w:rsidRPr="00735726" w:rsidRDefault="00247C4A" w:rsidP="00247C4A">
            <w:pPr>
              <w:spacing w:after="160"/>
              <w:rPr>
                <w:rFonts w:ascii="Arial" w:eastAsiaTheme="minorHAnsi" w:hAnsi="Arial" w:cs="Arial"/>
                <w:b/>
                <w:bCs/>
                <w:sz w:val="18"/>
                <w:szCs w:val="18"/>
              </w:rPr>
            </w:pPr>
            <w:r w:rsidRPr="00735726">
              <w:rPr>
                <w:rFonts w:ascii="Arial" w:eastAsiaTheme="minorHAnsi" w:hAnsi="Arial" w:cs="Arial"/>
                <w:b/>
                <w:bCs/>
                <w:sz w:val="18"/>
                <w:szCs w:val="18"/>
              </w:rPr>
              <w:t>Culture and human resources initiatives</w:t>
            </w:r>
          </w:p>
        </w:tc>
        <w:tc>
          <w:tcPr>
            <w:tcW w:w="1693" w:type="dxa"/>
            <w:shd w:val="clear" w:color="auto" w:fill="002060"/>
          </w:tcPr>
          <w:p w14:paraId="11EE21F6" w14:textId="207A5687" w:rsidR="00247C4A" w:rsidRPr="00735726" w:rsidRDefault="00247C4A" w:rsidP="00247C4A">
            <w:pPr>
              <w:spacing w:after="160"/>
              <w:rPr>
                <w:rFonts w:ascii="Arial" w:eastAsiaTheme="minorHAnsi" w:hAnsi="Arial" w:cs="Arial"/>
                <w:b/>
                <w:bCs/>
                <w:sz w:val="18"/>
                <w:szCs w:val="18"/>
              </w:rPr>
            </w:pPr>
            <w:r w:rsidRPr="00735726">
              <w:rPr>
                <w:rFonts w:ascii="Arial" w:eastAsiaTheme="minorHAnsi" w:hAnsi="Arial" w:cs="Arial"/>
                <w:b/>
                <w:bCs/>
                <w:sz w:val="18"/>
                <w:szCs w:val="18"/>
              </w:rPr>
              <w:t>Customers and community engagement</w:t>
            </w:r>
          </w:p>
        </w:tc>
        <w:tc>
          <w:tcPr>
            <w:tcW w:w="1312" w:type="dxa"/>
            <w:shd w:val="clear" w:color="auto" w:fill="002060"/>
          </w:tcPr>
          <w:p w14:paraId="7799970E" w14:textId="55D13229" w:rsidR="00247C4A" w:rsidRPr="00735726" w:rsidRDefault="00247C4A" w:rsidP="00247C4A">
            <w:pPr>
              <w:spacing w:after="160"/>
              <w:rPr>
                <w:rFonts w:ascii="Arial" w:eastAsiaTheme="minorHAnsi" w:hAnsi="Arial" w:cs="Arial"/>
                <w:b/>
                <w:bCs/>
                <w:sz w:val="18"/>
                <w:szCs w:val="18"/>
              </w:rPr>
            </w:pPr>
            <w:r w:rsidRPr="00735726">
              <w:rPr>
                <w:rFonts w:ascii="Arial" w:eastAsiaTheme="minorHAnsi" w:hAnsi="Arial" w:cs="Arial"/>
                <w:b/>
                <w:bCs/>
                <w:sz w:val="18"/>
                <w:szCs w:val="18"/>
              </w:rPr>
              <w:t>Specific asset upgrades</w:t>
            </w:r>
          </w:p>
        </w:tc>
        <w:tc>
          <w:tcPr>
            <w:tcW w:w="1503" w:type="dxa"/>
            <w:shd w:val="clear" w:color="auto" w:fill="002060"/>
          </w:tcPr>
          <w:p w14:paraId="5A44F93B" w14:textId="4C06D3F2" w:rsidR="00247C4A" w:rsidRPr="00735726" w:rsidRDefault="00247C4A" w:rsidP="00247C4A">
            <w:pPr>
              <w:spacing w:after="160"/>
              <w:rPr>
                <w:rFonts w:ascii="Arial" w:hAnsi="Arial" w:cs="Arial"/>
                <w:b/>
                <w:bCs/>
                <w:sz w:val="18"/>
                <w:szCs w:val="18"/>
              </w:rPr>
            </w:pPr>
            <w:r w:rsidRPr="00735726">
              <w:rPr>
                <w:rFonts w:ascii="Arial" w:hAnsi="Arial" w:cs="Arial"/>
                <w:b/>
                <w:bCs/>
                <w:sz w:val="18"/>
                <w:szCs w:val="18"/>
              </w:rPr>
              <w:t>Introduction of new systems and technology</w:t>
            </w:r>
          </w:p>
        </w:tc>
        <w:tc>
          <w:tcPr>
            <w:tcW w:w="1503" w:type="dxa"/>
            <w:shd w:val="clear" w:color="auto" w:fill="002060"/>
          </w:tcPr>
          <w:p w14:paraId="231A4419" w14:textId="361C872B" w:rsidR="00247C4A" w:rsidRPr="00735726" w:rsidRDefault="00247C4A" w:rsidP="00247C4A">
            <w:pPr>
              <w:spacing w:after="160"/>
              <w:rPr>
                <w:rFonts w:ascii="Arial" w:hAnsi="Arial" w:cs="Arial"/>
                <w:b/>
                <w:bCs/>
                <w:sz w:val="18"/>
                <w:szCs w:val="18"/>
              </w:rPr>
            </w:pPr>
            <w:r w:rsidRPr="00735726">
              <w:rPr>
                <w:rFonts w:ascii="Arial" w:hAnsi="Arial" w:cs="Arial"/>
                <w:b/>
                <w:bCs/>
                <w:sz w:val="18"/>
                <w:szCs w:val="18"/>
              </w:rPr>
              <w:t>Programmes of asset maintenance</w:t>
            </w:r>
          </w:p>
        </w:tc>
        <w:tc>
          <w:tcPr>
            <w:tcW w:w="1503" w:type="dxa"/>
            <w:shd w:val="clear" w:color="auto" w:fill="002060"/>
          </w:tcPr>
          <w:p w14:paraId="41B329A1" w14:textId="0FAAE013" w:rsidR="00247C4A" w:rsidRPr="00735726" w:rsidRDefault="00247C4A" w:rsidP="00FF610A">
            <w:pPr>
              <w:spacing w:after="160"/>
              <w:rPr>
                <w:rFonts w:ascii="Arial" w:hAnsi="Arial" w:cs="Arial"/>
                <w:b/>
                <w:bCs/>
                <w:sz w:val="18"/>
                <w:szCs w:val="18"/>
              </w:rPr>
            </w:pPr>
            <w:r w:rsidRPr="00735726">
              <w:rPr>
                <w:rFonts w:ascii="Arial" w:hAnsi="Arial" w:cs="Arial"/>
                <w:b/>
                <w:bCs/>
                <w:sz w:val="18"/>
                <w:szCs w:val="18"/>
              </w:rPr>
              <w:t>Operational</w:t>
            </w:r>
            <w:r w:rsidR="00FF610A" w:rsidRPr="00735726">
              <w:rPr>
                <w:rFonts w:ascii="Arial" w:hAnsi="Arial" w:cs="Arial"/>
                <w:b/>
                <w:bCs/>
                <w:sz w:val="18"/>
                <w:szCs w:val="18"/>
              </w:rPr>
              <w:t xml:space="preserve"> </w:t>
            </w:r>
            <w:r w:rsidRPr="00735726">
              <w:rPr>
                <w:rFonts w:ascii="Arial" w:hAnsi="Arial" w:cs="Arial"/>
                <w:b/>
                <w:bCs/>
                <w:sz w:val="18"/>
                <w:szCs w:val="18"/>
              </w:rPr>
              <w:t>response</w:t>
            </w:r>
          </w:p>
        </w:tc>
      </w:tr>
      <w:tr w:rsidR="00247C4A" w:rsidRPr="00735726" w14:paraId="07D67A13" w14:textId="77777777" w:rsidTr="00277639">
        <w:tc>
          <w:tcPr>
            <w:tcW w:w="1502" w:type="dxa"/>
          </w:tcPr>
          <w:p w14:paraId="67ED5BAB" w14:textId="55D29423" w:rsidR="00247C4A" w:rsidRPr="00735726" w:rsidRDefault="00247C4A" w:rsidP="00247C4A">
            <w:pPr>
              <w:spacing w:after="160"/>
              <w:rPr>
                <w:rFonts w:ascii="Arial" w:hAnsi="Arial" w:cs="Arial"/>
                <w:sz w:val="18"/>
                <w:szCs w:val="18"/>
              </w:rPr>
            </w:pPr>
            <w:r w:rsidRPr="00735726">
              <w:rPr>
                <w:rFonts w:ascii="Arial" w:hAnsi="Arial" w:cs="Arial"/>
                <w:sz w:val="18"/>
                <w:szCs w:val="18"/>
              </w:rPr>
              <w:t xml:space="preserve">Right people, right skills </w:t>
            </w:r>
            <w:r w:rsidR="006C1BA9" w:rsidRPr="00735726">
              <w:rPr>
                <w:rFonts w:ascii="Arial" w:hAnsi="Arial" w:cs="Arial"/>
                <w:sz w:val="18"/>
                <w:szCs w:val="18"/>
              </w:rPr>
              <w:t xml:space="preserve">- </w:t>
            </w:r>
            <w:r w:rsidRPr="00735726">
              <w:rPr>
                <w:rFonts w:ascii="Arial" w:hAnsi="Arial" w:cs="Arial"/>
                <w:sz w:val="18"/>
                <w:szCs w:val="18"/>
              </w:rPr>
              <w:t>building teams and specialist knowledge</w:t>
            </w:r>
          </w:p>
        </w:tc>
        <w:tc>
          <w:tcPr>
            <w:tcW w:w="1693" w:type="dxa"/>
          </w:tcPr>
          <w:p w14:paraId="17E28CB6" w14:textId="03158CFA" w:rsidR="00247C4A" w:rsidRPr="00735726" w:rsidRDefault="00247C4A" w:rsidP="00247C4A">
            <w:pPr>
              <w:spacing w:after="160"/>
              <w:rPr>
                <w:rFonts w:ascii="Arial" w:hAnsi="Arial" w:cs="Arial"/>
                <w:sz w:val="18"/>
                <w:szCs w:val="18"/>
              </w:rPr>
            </w:pPr>
            <w:r w:rsidRPr="00735726">
              <w:rPr>
                <w:rFonts w:ascii="Arial" w:hAnsi="Arial" w:cs="Arial"/>
                <w:sz w:val="18"/>
                <w:szCs w:val="18"/>
              </w:rPr>
              <w:t>Customer roadshows</w:t>
            </w:r>
          </w:p>
        </w:tc>
        <w:tc>
          <w:tcPr>
            <w:tcW w:w="1312" w:type="dxa"/>
          </w:tcPr>
          <w:p w14:paraId="693CD092" w14:textId="348F4ABF" w:rsidR="00247C4A" w:rsidRPr="00735726" w:rsidRDefault="00247C4A" w:rsidP="00247C4A">
            <w:pPr>
              <w:spacing w:after="160"/>
              <w:rPr>
                <w:rFonts w:ascii="Arial" w:hAnsi="Arial" w:cs="Arial"/>
                <w:sz w:val="18"/>
                <w:szCs w:val="18"/>
              </w:rPr>
            </w:pPr>
            <w:r w:rsidRPr="00735726">
              <w:rPr>
                <w:rFonts w:ascii="Arial" w:hAnsi="Arial" w:cs="Arial"/>
                <w:sz w:val="18"/>
                <w:szCs w:val="18"/>
              </w:rPr>
              <w:t>Targeted asset renewals and upgrades</w:t>
            </w:r>
          </w:p>
        </w:tc>
        <w:tc>
          <w:tcPr>
            <w:tcW w:w="1503" w:type="dxa"/>
          </w:tcPr>
          <w:p w14:paraId="5D1A628E" w14:textId="73E9F72C" w:rsidR="00247C4A" w:rsidRPr="00735726" w:rsidRDefault="00247C4A" w:rsidP="00247C4A">
            <w:pPr>
              <w:spacing w:after="160"/>
              <w:rPr>
                <w:rFonts w:ascii="Arial" w:hAnsi="Arial" w:cs="Arial"/>
                <w:sz w:val="18"/>
                <w:szCs w:val="18"/>
              </w:rPr>
            </w:pPr>
            <w:r w:rsidRPr="00735726">
              <w:rPr>
                <w:rFonts w:ascii="Arial" w:hAnsi="Arial" w:cs="Arial"/>
                <w:sz w:val="18"/>
                <w:szCs w:val="18"/>
              </w:rPr>
              <w:t>Improved pump performance monitoring</w:t>
            </w:r>
          </w:p>
        </w:tc>
        <w:tc>
          <w:tcPr>
            <w:tcW w:w="1503" w:type="dxa"/>
          </w:tcPr>
          <w:p w14:paraId="5843C28B" w14:textId="0AF0058E" w:rsidR="00247C4A" w:rsidRPr="00735726" w:rsidRDefault="00247C4A" w:rsidP="00247C4A">
            <w:pPr>
              <w:spacing w:after="160"/>
              <w:rPr>
                <w:rFonts w:ascii="Arial" w:hAnsi="Arial" w:cs="Arial"/>
                <w:sz w:val="18"/>
                <w:szCs w:val="18"/>
              </w:rPr>
            </w:pPr>
            <w:r w:rsidRPr="00735726">
              <w:rPr>
                <w:rFonts w:ascii="Arial" w:hAnsi="Arial" w:cs="Arial"/>
                <w:sz w:val="18"/>
                <w:szCs w:val="18"/>
              </w:rPr>
              <w:t>Enhanced proactive inspections</w:t>
            </w:r>
          </w:p>
        </w:tc>
        <w:tc>
          <w:tcPr>
            <w:tcW w:w="1503" w:type="dxa"/>
          </w:tcPr>
          <w:p w14:paraId="3A8B29FC" w14:textId="1168F3DF" w:rsidR="00247C4A" w:rsidRPr="00735726" w:rsidRDefault="00247C4A" w:rsidP="00247C4A">
            <w:pPr>
              <w:spacing w:after="160"/>
              <w:rPr>
                <w:rFonts w:ascii="Arial" w:hAnsi="Arial" w:cs="Arial"/>
                <w:sz w:val="18"/>
                <w:szCs w:val="18"/>
              </w:rPr>
            </w:pPr>
            <w:r w:rsidRPr="00735726">
              <w:rPr>
                <w:rFonts w:ascii="Arial" w:hAnsi="Arial" w:cs="Arial"/>
                <w:sz w:val="18"/>
                <w:szCs w:val="18"/>
              </w:rPr>
              <w:t>Rationalisation of alarms</w:t>
            </w:r>
          </w:p>
        </w:tc>
      </w:tr>
      <w:tr w:rsidR="00247C4A" w:rsidRPr="00735726" w14:paraId="31797210" w14:textId="77777777" w:rsidTr="00277639">
        <w:tc>
          <w:tcPr>
            <w:tcW w:w="1502" w:type="dxa"/>
          </w:tcPr>
          <w:p w14:paraId="4A15CFFE" w14:textId="0A2A41FA" w:rsidR="00247C4A" w:rsidRPr="00735726" w:rsidRDefault="00247C4A" w:rsidP="00247C4A">
            <w:pPr>
              <w:spacing w:after="160"/>
              <w:rPr>
                <w:rFonts w:ascii="Arial" w:hAnsi="Arial" w:cs="Arial"/>
                <w:sz w:val="18"/>
                <w:szCs w:val="18"/>
              </w:rPr>
            </w:pPr>
            <w:r w:rsidRPr="00735726">
              <w:rPr>
                <w:rFonts w:ascii="Arial" w:hAnsi="Arial" w:cs="Arial"/>
                <w:sz w:val="18"/>
                <w:szCs w:val="18"/>
              </w:rPr>
              <w:t>Increased training and use of our new training centre</w:t>
            </w:r>
          </w:p>
        </w:tc>
        <w:tc>
          <w:tcPr>
            <w:tcW w:w="1693" w:type="dxa"/>
          </w:tcPr>
          <w:p w14:paraId="41D919BE" w14:textId="5A3A1A83" w:rsidR="00247C4A" w:rsidRPr="00735726" w:rsidRDefault="00247C4A" w:rsidP="00D63FDE">
            <w:pPr>
              <w:spacing w:after="160"/>
              <w:rPr>
                <w:rFonts w:ascii="Arial" w:hAnsi="Arial" w:cs="Arial"/>
                <w:sz w:val="18"/>
                <w:szCs w:val="18"/>
              </w:rPr>
            </w:pPr>
            <w:r w:rsidRPr="00735726">
              <w:rPr>
                <w:rFonts w:ascii="Arial" w:hAnsi="Arial" w:cs="Arial"/>
                <w:sz w:val="18"/>
                <w:szCs w:val="18"/>
              </w:rPr>
              <w:t>Education programme</w:t>
            </w:r>
          </w:p>
        </w:tc>
        <w:tc>
          <w:tcPr>
            <w:tcW w:w="1312" w:type="dxa"/>
          </w:tcPr>
          <w:p w14:paraId="40BD5907" w14:textId="0049D2FD" w:rsidR="00247C4A" w:rsidRPr="00735726" w:rsidRDefault="00247C4A" w:rsidP="00247C4A">
            <w:pPr>
              <w:spacing w:after="160"/>
              <w:rPr>
                <w:rFonts w:ascii="Arial" w:hAnsi="Arial" w:cs="Arial"/>
                <w:sz w:val="18"/>
                <w:szCs w:val="18"/>
              </w:rPr>
            </w:pPr>
            <w:r w:rsidRPr="00735726">
              <w:rPr>
                <w:rFonts w:ascii="Arial" w:hAnsi="Arial" w:cs="Arial"/>
                <w:sz w:val="18"/>
                <w:szCs w:val="18"/>
              </w:rPr>
              <w:t>Sewer capacity enhancement schemes</w:t>
            </w:r>
          </w:p>
        </w:tc>
        <w:tc>
          <w:tcPr>
            <w:tcW w:w="1503" w:type="dxa"/>
          </w:tcPr>
          <w:p w14:paraId="3B0D3490" w14:textId="44A50805" w:rsidR="00247C4A" w:rsidRPr="00735726" w:rsidRDefault="00247C4A" w:rsidP="00247C4A">
            <w:pPr>
              <w:spacing w:after="160"/>
              <w:rPr>
                <w:rFonts w:ascii="Arial" w:hAnsi="Arial" w:cs="Arial"/>
                <w:sz w:val="18"/>
                <w:szCs w:val="18"/>
              </w:rPr>
            </w:pPr>
            <w:r w:rsidRPr="00735726">
              <w:rPr>
                <w:rFonts w:ascii="Arial" w:hAnsi="Arial" w:cs="Arial"/>
                <w:sz w:val="18"/>
                <w:szCs w:val="18"/>
              </w:rPr>
              <w:t>Enhanced burst detection analytics</w:t>
            </w:r>
          </w:p>
        </w:tc>
        <w:tc>
          <w:tcPr>
            <w:tcW w:w="1503" w:type="dxa"/>
          </w:tcPr>
          <w:p w14:paraId="04A65C0C" w14:textId="1FA59F20" w:rsidR="00247C4A" w:rsidRPr="00735726" w:rsidRDefault="00247C4A" w:rsidP="00247C4A">
            <w:pPr>
              <w:spacing w:after="160"/>
              <w:rPr>
                <w:rFonts w:ascii="Arial" w:hAnsi="Arial" w:cs="Arial"/>
                <w:sz w:val="18"/>
                <w:szCs w:val="18"/>
              </w:rPr>
            </w:pPr>
            <w:r w:rsidRPr="00735726">
              <w:rPr>
                <w:rFonts w:ascii="Arial" w:hAnsi="Arial" w:cs="Arial"/>
                <w:sz w:val="18"/>
                <w:szCs w:val="18"/>
              </w:rPr>
              <w:t>Enhanced condition-based maintenance dashboards</w:t>
            </w:r>
          </w:p>
        </w:tc>
        <w:tc>
          <w:tcPr>
            <w:tcW w:w="1503" w:type="dxa"/>
          </w:tcPr>
          <w:p w14:paraId="7D25E2C4" w14:textId="733160A3" w:rsidR="00247C4A" w:rsidRPr="00735726" w:rsidRDefault="00247C4A" w:rsidP="00D63FDE">
            <w:pPr>
              <w:spacing w:after="160"/>
              <w:rPr>
                <w:rFonts w:ascii="Arial" w:hAnsi="Arial" w:cs="Arial"/>
                <w:sz w:val="18"/>
                <w:szCs w:val="18"/>
              </w:rPr>
            </w:pPr>
            <w:r w:rsidRPr="00735726">
              <w:rPr>
                <w:rFonts w:ascii="Arial" w:hAnsi="Arial" w:cs="Arial"/>
                <w:sz w:val="18"/>
                <w:szCs w:val="18"/>
              </w:rPr>
              <w:t>Chemical management protocol</w:t>
            </w:r>
          </w:p>
        </w:tc>
      </w:tr>
      <w:tr w:rsidR="00247C4A" w:rsidRPr="00735726" w14:paraId="0075A881" w14:textId="77777777" w:rsidTr="00277639">
        <w:tc>
          <w:tcPr>
            <w:tcW w:w="1502" w:type="dxa"/>
          </w:tcPr>
          <w:p w14:paraId="1B19A934" w14:textId="229B8DDB" w:rsidR="00247C4A" w:rsidRPr="00735726" w:rsidRDefault="00247C4A" w:rsidP="00247C4A">
            <w:pPr>
              <w:spacing w:after="160"/>
              <w:rPr>
                <w:rFonts w:ascii="Arial" w:hAnsi="Arial" w:cs="Arial"/>
                <w:sz w:val="18"/>
                <w:szCs w:val="18"/>
              </w:rPr>
            </w:pPr>
            <w:r w:rsidRPr="00735726">
              <w:rPr>
                <w:rFonts w:ascii="Arial" w:hAnsi="Arial" w:cs="Arial"/>
                <w:sz w:val="18"/>
                <w:szCs w:val="18"/>
              </w:rPr>
              <w:t>Enhanced induction programme</w:t>
            </w:r>
          </w:p>
        </w:tc>
        <w:tc>
          <w:tcPr>
            <w:tcW w:w="1693" w:type="dxa"/>
          </w:tcPr>
          <w:p w14:paraId="427CFE1E" w14:textId="38B03177" w:rsidR="00247C4A" w:rsidRPr="00735726" w:rsidRDefault="00247C4A" w:rsidP="00247C4A">
            <w:pPr>
              <w:spacing w:after="160"/>
              <w:rPr>
                <w:rFonts w:ascii="Arial" w:hAnsi="Arial" w:cs="Arial"/>
                <w:sz w:val="18"/>
                <w:szCs w:val="18"/>
              </w:rPr>
            </w:pPr>
            <w:r w:rsidRPr="00735726">
              <w:rPr>
                <w:rFonts w:ascii="Arial" w:hAnsi="Arial" w:cs="Arial"/>
                <w:sz w:val="18"/>
                <w:szCs w:val="18"/>
              </w:rPr>
              <w:t xml:space="preserve">Public campaigns to tackle </w:t>
            </w:r>
            <w:proofErr w:type="spellStart"/>
            <w:r w:rsidRPr="00735726">
              <w:rPr>
                <w:rFonts w:ascii="Arial" w:hAnsi="Arial" w:cs="Arial"/>
                <w:sz w:val="18"/>
                <w:szCs w:val="18"/>
              </w:rPr>
              <w:t>unflushables</w:t>
            </w:r>
            <w:proofErr w:type="spellEnd"/>
            <w:r w:rsidRPr="00735726">
              <w:rPr>
                <w:rFonts w:ascii="Arial" w:hAnsi="Arial" w:cs="Arial"/>
                <w:sz w:val="18"/>
                <w:szCs w:val="18"/>
              </w:rPr>
              <w:t>, fats, oils, and greases</w:t>
            </w:r>
          </w:p>
        </w:tc>
        <w:tc>
          <w:tcPr>
            <w:tcW w:w="1312" w:type="dxa"/>
          </w:tcPr>
          <w:p w14:paraId="502D90A6" w14:textId="748C9E15" w:rsidR="00247C4A" w:rsidRPr="00735726" w:rsidRDefault="00247C4A" w:rsidP="00247C4A">
            <w:pPr>
              <w:spacing w:after="160"/>
              <w:rPr>
                <w:rFonts w:ascii="Arial" w:hAnsi="Arial" w:cs="Arial"/>
                <w:sz w:val="18"/>
                <w:szCs w:val="18"/>
              </w:rPr>
            </w:pPr>
            <w:r w:rsidRPr="00735726">
              <w:rPr>
                <w:rFonts w:ascii="Arial" w:hAnsi="Arial" w:cs="Arial"/>
                <w:sz w:val="18"/>
                <w:szCs w:val="18"/>
              </w:rPr>
              <w:t>Increase network and sewage treatment capacity</w:t>
            </w:r>
          </w:p>
        </w:tc>
        <w:tc>
          <w:tcPr>
            <w:tcW w:w="1503" w:type="dxa"/>
          </w:tcPr>
          <w:p w14:paraId="7F1322A4" w14:textId="3A4B12BF" w:rsidR="00247C4A" w:rsidRPr="00735726" w:rsidRDefault="00247C4A" w:rsidP="00247C4A">
            <w:pPr>
              <w:spacing w:after="160"/>
              <w:rPr>
                <w:rFonts w:ascii="Arial" w:hAnsi="Arial" w:cs="Arial"/>
                <w:sz w:val="18"/>
                <w:szCs w:val="18"/>
              </w:rPr>
            </w:pPr>
            <w:r w:rsidRPr="00735726">
              <w:rPr>
                <w:rFonts w:ascii="Arial" w:hAnsi="Arial" w:cs="Arial"/>
                <w:sz w:val="18"/>
                <w:szCs w:val="18"/>
              </w:rPr>
              <w:t>Optimise sewer level monitoring</w:t>
            </w:r>
          </w:p>
        </w:tc>
        <w:tc>
          <w:tcPr>
            <w:tcW w:w="1503" w:type="dxa"/>
          </w:tcPr>
          <w:p w14:paraId="1C24F4D4" w14:textId="696A7EAE" w:rsidR="00247C4A" w:rsidRPr="00735726" w:rsidRDefault="00247C4A" w:rsidP="00247C4A">
            <w:pPr>
              <w:spacing w:after="160"/>
              <w:rPr>
                <w:rFonts w:ascii="Arial" w:hAnsi="Arial" w:cs="Arial"/>
                <w:sz w:val="18"/>
                <w:szCs w:val="18"/>
              </w:rPr>
            </w:pPr>
            <w:r w:rsidRPr="00735726">
              <w:rPr>
                <w:rFonts w:ascii="Arial" w:hAnsi="Arial" w:cs="Arial"/>
                <w:sz w:val="18"/>
                <w:szCs w:val="18"/>
              </w:rPr>
              <w:t>Optimised air blower maintenance</w:t>
            </w:r>
          </w:p>
        </w:tc>
        <w:tc>
          <w:tcPr>
            <w:tcW w:w="1503" w:type="dxa"/>
          </w:tcPr>
          <w:p w14:paraId="50D1173F" w14:textId="3800FD39" w:rsidR="00247C4A" w:rsidRPr="00735726" w:rsidRDefault="00247C4A" w:rsidP="00D63FDE">
            <w:pPr>
              <w:spacing w:after="160"/>
              <w:rPr>
                <w:rFonts w:ascii="Arial" w:hAnsi="Arial" w:cs="Arial"/>
                <w:sz w:val="18"/>
                <w:szCs w:val="18"/>
              </w:rPr>
            </w:pPr>
            <w:r w:rsidRPr="00735726">
              <w:rPr>
                <w:rFonts w:ascii="Arial" w:hAnsi="Arial" w:cs="Arial"/>
                <w:sz w:val="18"/>
                <w:szCs w:val="18"/>
              </w:rPr>
              <w:t>Rapid deployment teams for pollution incidents</w:t>
            </w:r>
          </w:p>
        </w:tc>
      </w:tr>
      <w:tr w:rsidR="00247C4A" w:rsidRPr="00735726" w14:paraId="281FE15A" w14:textId="77777777" w:rsidTr="00277639">
        <w:tc>
          <w:tcPr>
            <w:tcW w:w="1502" w:type="dxa"/>
          </w:tcPr>
          <w:p w14:paraId="3CCDFD75" w14:textId="781C07E3" w:rsidR="00247C4A" w:rsidRPr="00735726" w:rsidRDefault="00247C4A" w:rsidP="00247C4A">
            <w:pPr>
              <w:spacing w:after="160"/>
              <w:rPr>
                <w:rFonts w:ascii="Arial" w:hAnsi="Arial" w:cs="Arial"/>
                <w:sz w:val="18"/>
                <w:szCs w:val="18"/>
              </w:rPr>
            </w:pPr>
            <w:r w:rsidRPr="00735726">
              <w:rPr>
                <w:rFonts w:ascii="Arial" w:hAnsi="Arial" w:cs="Arial"/>
                <w:sz w:val="18"/>
                <w:szCs w:val="18"/>
              </w:rPr>
              <w:t>Effective staff engagement</w:t>
            </w:r>
          </w:p>
        </w:tc>
        <w:tc>
          <w:tcPr>
            <w:tcW w:w="1693" w:type="dxa"/>
          </w:tcPr>
          <w:p w14:paraId="45814BDE" w14:textId="5765F233" w:rsidR="00247C4A" w:rsidRPr="00735726" w:rsidRDefault="00247C4A" w:rsidP="00247C4A">
            <w:pPr>
              <w:spacing w:after="160"/>
              <w:rPr>
                <w:rFonts w:ascii="Arial" w:hAnsi="Arial" w:cs="Arial"/>
                <w:sz w:val="18"/>
                <w:szCs w:val="18"/>
              </w:rPr>
            </w:pPr>
            <w:r w:rsidRPr="00735726">
              <w:rPr>
                <w:rFonts w:ascii="Arial" w:hAnsi="Arial" w:cs="Arial"/>
                <w:sz w:val="18"/>
                <w:szCs w:val="18"/>
              </w:rPr>
              <w:t>Collaboration to prevent sewer misconnections</w:t>
            </w:r>
          </w:p>
        </w:tc>
        <w:tc>
          <w:tcPr>
            <w:tcW w:w="1312" w:type="dxa"/>
          </w:tcPr>
          <w:p w14:paraId="0C486B34" w14:textId="72938B59" w:rsidR="00247C4A" w:rsidRPr="00735726" w:rsidRDefault="00247C4A" w:rsidP="00247C4A">
            <w:pPr>
              <w:spacing w:after="160"/>
              <w:rPr>
                <w:rFonts w:ascii="Arial" w:hAnsi="Arial" w:cs="Arial"/>
                <w:sz w:val="18"/>
                <w:szCs w:val="18"/>
              </w:rPr>
            </w:pPr>
            <w:r w:rsidRPr="00735726">
              <w:rPr>
                <w:rFonts w:ascii="Arial" w:hAnsi="Arial" w:cs="Arial"/>
                <w:sz w:val="18"/>
                <w:szCs w:val="18"/>
              </w:rPr>
              <w:t>Improved power resilience</w:t>
            </w:r>
          </w:p>
        </w:tc>
        <w:tc>
          <w:tcPr>
            <w:tcW w:w="1503" w:type="dxa"/>
          </w:tcPr>
          <w:p w14:paraId="51455E6A" w14:textId="59E37912" w:rsidR="00247C4A" w:rsidRPr="00735726" w:rsidRDefault="00247C4A" w:rsidP="00247C4A">
            <w:pPr>
              <w:spacing w:after="160"/>
              <w:rPr>
                <w:rFonts w:ascii="Arial" w:hAnsi="Arial" w:cs="Arial"/>
                <w:sz w:val="18"/>
                <w:szCs w:val="18"/>
              </w:rPr>
            </w:pPr>
            <w:r w:rsidRPr="00735726">
              <w:rPr>
                <w:rFonts w:ascii="Arial" w:hAnsi="Arial" w:cs="Arial"/>
                <w:sz w:val="18"/>
                <w:szCs w:val="18"/>
              </w:rPr>
              <w:t>Emergency storage availability assessments</w:t>
            </w:r>
          </w:p>
        </w:tc>
        <w:tc>
          <w:tcPr>
            <w:tcW w:w="1503" w:type="dxa"/>
          </w:tcPr>
          <w:p w14:paraId="6D43EF02" w14:textId="057677AF" w:rsidR="00247C4A" w:rsidRPr="00735726" w:rsidRDefault="00247C4A" w:rsidP="00247C4A">
            <w:pPr>
              <w:spacing w:after="160"/>
              <w:rPr>
                <w:rFonts w:ascii="Arial" w:hAnsi="Arial" w:cs="Arial"/>
                <w:sz w:val="18"/>
                <w:szCs w:val="18"/>
              </w:rPr>
            </w:pPr>
            <w:r w:rsidRPr="00735726">
              <w:rPr>
                <w:rFonts w:ascii="Arial" w:hAnsi="Arial" w:cs="Arial"/>
                <w:sz w:val="18"/>
                <w:szCs w:val="18"/>
              </w:rPr>
              <w:t>Proactive catchment cleansing</w:t>
            </w:r>
          </w:p>
        </w:tc>
        <w:tc>
          <w:tcPr>
            <w:tcW w:w="1503" w:type="dxa"/>
          </w:tcPr>
          <w:p w14:paraId="62350C25" w14:textId="22BA43EC" w:rsidR="00247C4A" w:rsidRPr="00735726" w:rsidRDefault="00247C4A" w:rsidP="00D63FDE">
            <w:pPr>
              <w:spacing w:after="160"/>
              <w:rPr>
                <w:rFonts w:ascii="Arial" w:hAnsi="Arial" w:cs="Arial"/>
                <w:sz w:val="18"/>
                <w:szCs w:val="18"/>
              </w:rPr>
            </w:pPr>
            <w:r w:rsidRPr="00735726">
              <w:rPr>
                <w:rFonts w:ascii="Arial" w:hAnsi="Arial" w:cs="Arial"/>
                <w:sz w:val="18"/>
                <w:szCs w:val="18"/>
              </w:rPr>
              <w:t>Optimisation of incident management procedures</w:t>
            </w:r>
          </w:p>
        </w:tc>
      </w:tr>
      <w:tr w:rsidR="00247C4A" w:rsidRPr="00735726" w14:paraId="1B655B67" w14:textId="77777777" w:rsidTr="00277639">
        <w:tc>
          <w:tcPr>
            <w:tcW w:w="1502" w:type="dxa"/>
          </w:tcPr>
          <w:p w14:paraId="6A150179" w14:textId="2D2EEFC4" w:rsidR="00247C4A" w:rsidRPr="00735726" w:rsidRDefault="00247C4A" w:rsidP="00247C4A">
            <w:pPr>
              <w:spacing w:after="160"/>
              <w:rPr>
                <w:rFonts w:ascii="Arial" w:hAnsi="Arial" w:cs="Arial"/>
                <w:sz w:val="18"/>
                <w:szCs w:val="18"/>
              </w:rPr>
            </w:pPr>
            <w:r w:rsidRPr="00735726">
              <w:rPr>
                <w:rFonts w:ascii="Arial" w:hAnsi="Arial" w:cs="Arial"/>
                <w:sz w:val="18"/>
                <w:szCs w:val="18"/>
              </w:rPr>
              <w:t>Cross-company collaboration and knowledge sharing</w:t>
            </w:r>
          </w:p>
        </w:tc>
        <w:tc>
          <w:tcPr>
            <w:tcW w:w="1693" w:type="dxa"/>
          </w:tcPr>
          <w:p w14:paraId="42E67F9C" w14:textId="614365B5" w:rsidR="00247C4A" w:rsidRPr="00735726" w:rsidRDefault="00247C4A" w:rsidP="00247C4A">
            <w:pPr>
              <w:spacing w:after="160"/>
              <w:rPr>
                <w:rFonts w:ascii="Arial" w:hAnsi="Arial" w:cs="Arial"/>
                <w:sz w:val="18"/>
                <w:szCs w:val="18"/>
              </w:rPr>
            </w:pPr>
            <w:r w:rsidRPr="00735726">
              <w:rPr>
                <w:rFonts w:ascii="Arial" w:hAnsi="Arial" w:cs="Arial"/>
                <w:sz w:val="18"/>
                <w:szCs w:val="18"/>
              </w:rPr>
              <w:t>Funding community groups that support the local environment</w:t>
            </w:r>
          </w:p>
        </w:tc>
        <w:tc>
          <w:tcPr>
            <w:tcW w:w="1312" w:type="dxa"/>
          </w:tcPr>
          <w:p w14:paraId="1FBA58CB" w14:textId="24E69492" w:rsidR="00247C4A" w:rsidRPr="00735726" w:rsidRDefault="00247C4A" w:rsidP="00247C4A">
            <w:pPr>
              <w:spacing w:after="160"/>
              <w:rPr>
                <w:rFonts w:ascii="Arial" w:hAnsi="Arial" w:cs="Arial"/>
                <w:sz w:val="18"/>
                <w:szCs w:val="18"/>
              </w:rPr>
            </w:pPr>
            <w:r w:rsidRPr="00735726">
              <w:rPr>
                <w:rFonts w:ascii="Arial" w:hAnsi="Arial" w:cs="Arial"/>
                <w:sz w:val="18"/>
                <w:szCs w:val="18"/>
              </w:rPr>
              <w:t>Enhanced investment to reduce storm overflow discharges</w:t>
            </w:r>
          </w:p>
        </w:tc>
        <w:tc>
          <w:tcPr>
            <w:tcW w:w="1503" w:type="dxa"/>
          </w:tcPr>
          <w:p w14:paraId="4AED2469" w14:textId="43D39B16" w:rsidR="00247C4A" w:rsidRPr="00735726" w:rsidRDefault="00247C4A" w:rsidP="00247C4A">
            <w:pPr>
              <w:spacing w:after="160"/>
              <w:rPr>
                <w:rFonts w:ascii="Arial" w:hAnsi="Arial" w:cs="Arial"/>
                <w:sz w:val="18"/>
                <w:szCs w:val="18"/>
              </w:rPr>
            </w:pPr>
            <w:r w:rsidRPr="00735726">
              <w:rPr>
                <w:rFonts w:ascii="Arial" w:hAnsi="Arial" w:cs="Arial"/>
                <w:sz w:val="18"/>
                <w:szCs w:val="18"/>
              </w:rPr>
              <w:t>Rollout of digital site manuals</w:t>
            </w:r>
          </w:p>
        </w:tc>
        <w:tc>
          <w:tcPr>
            <w:tcW w:w="1503" w:type="dxa"/>
          </w:tcPr>
          <w:p w14:paraId="069AA09F" w14:textId="457408D3" w:rsidR="00247C4A" w:rsidRPr="00735726" w:rsidRDefault="00247C4A" w:rsidP="00247C4A">
            <w:pPr>
              <w:spacing w:after="160"/>
              <w:rPr>
                <w:rFonts w:ascii="Arial" w:hAnsi="Arial" w:cs="Arial"/>
                <w:sz w:val="18"/>
                <w:szCs w:val="18"/>
              </w:rPr>
            </w:pPr>
            <w:r w:rsidRPr="00735726">
              <w:rPr>
                <w:rFonts w:ascii="Arial" w:hAnsi="Arial" w:cs="Arial"/>
                <w:sz w:val="18"/>
                <w:szCs w:val="18"/>
              </w:rPr>
              <w:t>Al-driven predictive maintenance</w:t>
            </w:r>
          </w:p>
        </w:tc>
        <w:tc>
          <w:tcPr>
            <w:tcW w:w="1503" w:type="dxa"/>
          </w:tcPr>
          <w:p w14:paraId="7510AA62" w14:textId="257B9F90" w:rsidR="00247C4A" w:rsidRPr="00735726" w:rsidRDefault="00AF4E2E" w:rsidP="00D63FDE">
            <w:pPr>
              <w:spacing w:after="160"/>
              <w:rPr>
                <w:rFonts w:ascii="Arial" w:hAnsi="Arial" w:cs="Arial"/>
                <w:sz w:val="18"/>
                <w:szCs w:val="18"/>
              </w:rPr>
            </w:pPr>
            <w:r w:rsidRPr="00735726">
              <w:rPr>
                <w:rFonts w:ascii="Arial" w:hAnsi="Arial" w:cs="Arial"/>
                <w:sz w:val="18"/>
                <w:szCs w:val="18"/>
              </w:rPr>
              <w:t>Mark up of the site drains</w:t>
            </w:r>
          </w:p>
        </w:tc>
      </w:tr>
    </w:tbl>
    <w:p w14:paraId="62FD1DA3" w14:textId="77777777" w:rsidR="00AF4E2E" w:rsidRPr="00735726" w:rsidRDefault="00AF4E2E" w:rsidP="00D63FDE">
      <w:pPr>
        <w:spacing w:after="160"/>
        <w:rPr>
          <w:rFonts w:ascii="Arial" w:hAnsi="Arial" w:cs="Arial"/>
          <w:sz w:val="18"/>
          <w:szCs w:val="18"/>
        </w:rPr>
      </w:pPr>
    </w:p>
    <w:p w14:paraId="2EE2838F" w14:textId="32EAEFF1" w:rsidR="00AF4E2E" w:rsidRPr="009A2CAE" w:rsidRDefault="00AF4E2E" w:rsidP="00277639">
      <w:pPr>
        <w:spacing w:after="160"/>
        <w:rPr>
          <w:rFonts w:ascii="Arial" w:hAnsi="Arial" w:cs="Arial"/>
          <w:sz w:val="18"/>
          <w:szCs w:val="18"/>
        </w:rPr>
      </w:pPr>
      <w:r w:rsidRPr="00735726">
        <w:rPr>
          <w:rFonts w:ascii="Arial" w:hAnsi="Arial" w:cs="Arial"/>
          <w:b/>
          <w:bCs/>
          <w:sz w:val="18"/>
          <w:szCs w:val="18"/>
        </w:rPr>
        <w:t>OPERATIONAL KPIs</w:t>
      </w:r>
      <w:r w:rsidR="00C608F4" w:rsidRPr="00735726">
        <w:rPr>
          <w:rFonts w:ascii="Arial" w:hAnsi="Arial" w:cs="Arial"/>
          <w:sz w:val="18"/>
          <w:szCs w:val="18"/>
        </w:rPr>
        <w:br/>
      </w:r>
      <w:r w:rsidRPr="00735726">
        <w:rPr>
          <w:rFonts w:ascii="Arial" w:hAnsi="Arial" w:cs="Arial"/>
          <w:sz w:val="18"/>
          <w:szCs w:val="18"/>
        </w:rPr>
        <w:t xml:space="preserve">More information can be found in Pennon Group </w:t>
      </w:r>
      <w:r w:rsidR="0078265F" w:rsidRPr="00735726">
        <w:rPr>
          <w:rFonts w:ascii="Arial" w:hAnsi="Arial" w:cs="Arial"/>
          <w:sz w:val="18"/>
          <w:szCs w:val="18"/>
        </w:rPr>
        <w:t xml:space="preserve">plc </w:t>
      </w:r>
      <w:r w:rsidRPr="00735726">
        <w:rPr>
          <w:rFonts w:ascii="Arial" w:hAnsi="Arial" w:cs="Arial"/>
          <w:sz w:val="18"/>
          <w:szCs w:val="18"/>
        </w:rPr>
        <w:t xml:space="preserve">Annual Report and Accounts 2026 </w:t>
      </w:r>
      <w:r w:rsidR="003D1633" w:rsidRPr="009A2CAE">
        <w:rPr>
          <w:rFonts w:ascii="Arial" w:hAnsi="Arial" w:cs="Arial"/>
          <w:sz w:val="18"/>
          <w:szCs w:val="18"/>
        </w:rPr>
        <w:t>page 41</w:t>
      </w:r>
      <w:r w:rsidRPr="009A2CAE">
        <w:rPr>
          <w:rFonts w:ascii="Arial" w:hAnsi="Arial" w:cs="Arial"/>
          <w:sz w:val="18"/>
          <w:szCs w:val="18"/>
        </w:rPr>
        <w:t>.</w:t>
      </w:r>
    </w:p>
    <w:p w14:paraId="5545CB7E" w14:textId="09607160" w:rsidR="00D62E2B" w:rsidRPr="009A2CAE" w:rsidRDefault="00D62E2B">
      <w:pPr>
        <w:spacing w:after="160" w:line="259" w:lineRule="auto"/>
        <w:rPr>
          <w:rFonts w:ascii="Arial" w:hAnsi="Arial" w:cs="Arial"/>
          <w:sz w:val="18"/>
          <w:szCs w:val="18"/>
        </w:rPr>
      </w:pPr>
      <w:r w:rsidRPr="009A2CAE">
        <w:rPr>
          <w:rFonts w:ascii="Arial" w:hAnsi="Arial" w:cs="Arial"/>
          <w:sz w:val="18"/>
          <w:szCs w:val="18"/>
        </w:rPr>
        <w:br w:type="page"/>
      </w:r>
    </w:p>
    <w:p w14:paraId="5AF6E277" w14:textId="58089960" w:rsidR="001770A0" w:rsidRPr="00735726" w:rsidRDefault="00AF4E2E" w:rsidP="001770A0">
      <w:pPr>
        <w:spacing w:after="160"/>
        <w:rPr>
          <w:rFonts w:ascii="Arial" w:hAnsi="Arial" w:cs="Arial"/>
          <w:sz w:val="18"/>
          <w:szCs w:val="18"/>
        </w:rPr>
      </w:pPr>
      <w:r w:rsidRPr="00735726">
        <w:rPr>
          <w:rFonts w:ascii="Arial" w:hAnsi="Arial" w:cs="Arial"/>
          <w:sz w:val="32"/>
          <w:szCs w:val="32"/>
        </w:rPr>
        <w:lastRenderedPageBreak/>
        <w:t>DRIVING ENVIRONMENTAL GAINS AND DE</w:t>
      </w:r>
      <w:r w:rsidR="00290856" w:rsidRPr="00735726">
        <w:rPr>
          <w:rFonts w:ascii="Arial" w:hAnsi="Arial" w:cs="Arial"/>
          <w:sz w:val="32"/>
          <w:szCs w:val="32"/>
        </w:rPr>
        <w:t>LIVERING</w:t>
      </w:r>
      <w:r w:rsidRPr="00735726">
        <w:rPr>
          <w:rFonts w:ascii="Arial" w:hAnsi="Arial" w:cs="Arial"/>
          <w:sz w:val="32"/>
          <w:szCs w:val="32"/>
        </w:rPr>
        <w:t xml:space="preserve"> NET ZERO</w:t>
      </w:r>
    </w:p>
    <w:p w14:paraId="6D7FE563" w14:textId="77777777" w:rsidR="00C277D3" w:rsidRPr="009A2CAE" w:rsidRDefault="002D35EC" w:rsidP="002D35EC">
      <w:pPr>
        <w:spacing w:after="160" w:line="259" w:lineRule="auto"/>
        <w:rPr>
          <w:rFonts w:ascii="Arial" w:hAnsi="Arial" w:cs="Arial"/>
          <w:sz w:val="32"/>
          <w:szCs w:val="32"/>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is proud to be at the forefront of environmental infrastructure, with environmental stewardship central to our success. Guided by our connection to the water cycle, we are investing for the long-term and taking measurable action to improve water quality, enhance biodiversity and accelerate progress towards Net Zero.</w:t>
      </w:r>
      <w:r w:rsidRPr="009A2CAE">
        <w:rPr>
          <w:rFonts w:ascii="Arial" w:hAnsi="Arial" w:cs="Arial"/>
          <w:sz w:val="32"/>
          <w:szCs w:val="32"/>
        </w:rPr>
        <w:t xml:space="preserve"> </w:t>
      </w:r>
    </w:p>
    <w:p w14:paraId="1CE14197" w14:textId="55DC303F" w:rsidR="00AF78D0" w:rsidRPr="00735726" w:rsidRDefault="00C277D3" w:rsidP="00AF78D0">
      <w:pPr>
        <w:rPr>
          <w:rFonts w:ascii="Arial" w:hAnsi="Arial" w:cs="Arial"/>
          <w:sz w:val="18"/>
          <w:szCs w:val="18"/>
        </w:rPr>
      </w:pPr>
      <w:r w:rsidRPr="00735726">
        <w:rPr>
          <w:rFonts w:ascii="Arial" w:hAnsi="Arial" w:cs="Arial"/>
          <w:b/>
          <w:bCs/>
          <w:sz w:val="18"/>
          <w:szCs w:val="18"/>
        </w:rPr>
        <w:t>DRIVING ENVIRONMENTAL GAINS</w:t>
      </w:r>
      <w:r w:rsidR="00AF78D0" w:rsidRPr="00735726">
        <w:rPr>
          <w:rFonts w:ascii="Arial" w:hAnsi="Arial" w:cs="Arial"/>
          <w:b/>
          <w:bCs/>
          <w:sz w:val="18"/>
          <w:szCs w:val="18"/>
        </w:rPr>
        <w:br/>
      </w:r>
      <w:r w:rsidR="00AF78D0" w:rsidRPr="00735726">
        <w:rPr>
          <w:rFonts w:ascii="Arial" w:hAnsi="Arial" w:cs="Arial"/>
          <w:sz w:val="18"/>
          <w:szCs w:val="18"/>
        </w:rPr>
        <w:t>Since the Water Industry Strategic Environmental Requirements (WISER) were set in 2022 by the Environment Agency and Natural England, as part of the UK Government’s 25-Year Plan, all water companies have taken measures to focus more resource and investment into environmental resilience.</w:t>
      </w:r>
    </w:p>
    <w:p w14:paraId="7A636D27" w14:textId="7292F07F" w:rsidR="00AF78D0" w:rsidRPr="00735726" w:rsidRDefault="00AF78D0" w:rsidP="00AF78D0">
      <w:pPr>
        <w:rPr>
          <w:rFonts w:ascii="Arial" w:hAnsi="Arial" w:cs="Arial"/>
          <w:sz w:val="18"/>
          <w:szCs w:val="18"/>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PR24 business plan launched early to begin delivery ahead of schedule and now following the water industry’s Cunliffe Review (2025) and White Paper (2026) teams are working to review, adopt and progress the recommendations.</w:t>
      </w:r>
    </w:p>
    <w:p w14:paraId="0DCE3449" w14:textId="77777777" w:rsidR="00AF78D0" w:rsidRPr="00735726" w:rsidRDefault="00AF78D0" w:rsidP="00AF78D0">
      <w:pPr>
        <w:rPr>
          <w:rFonts w:ascii="Arial" w:hAnsi="Arial" w:cs="Arial"/>
          <w:b/>
          <w:bCs/>
          <w:sz w:val="18"/>
          <w:szCs w:val="18"/>
        </w:rPr>
      </w:pPr>
      <w:r w:rsidRPr="00735726">
        <w:rPr>
          <w:rFonts w:ascii="Arial" w:hAnsi="Arial" w:cs="Arial"/>
          <w:sz w:val="18"/>
          <w:szCs w:val="18"/>
        </w:rPr>
        <w:t>In 2025/26 South West Water took several steps to advance the Company’s environmental governance including the first appointment of a Chief Sustainability and Natural Resources Officer (CSNRO). The ESG Committee has also gained closer oversight of Net Zero and Climate Resilience objectives with ongoing active participation in the Water UK Environment Committee and local partnerships.</w:t>
      </w:r>
      <w:r w:rsidRPr="00735726">
        <w:rPr>
          <w:rFonts w:ascii="Arial" w:hAnsi="Arial" w:cs="Arial"/>
          <w:b/>
          <w:bCs/>
          <w:sz w:val="18"/>
          <w:szCs w:val="18"/>
        </w:rPr>
        <w:t xml:space="preserve"> </w:t>
      </w:r>
    </w:p>
    <w:tbl>
      <w:tblPr>
        <w:tblStyle w:val="TableGrid"/>
        <w:tblW w:w="0" w:type="auto"/>
        <w:tblLook w:val="04A0" w:firstRow="1" w:lastRow="0" w:firstColumn="1" w:lastColumn="0" w:noHBand="0" w:noVBand="1"/>
      </w:tblPr>
      <w:tblGrid>
        <w:gridCol w:w="4508"/>
        <w:gridCol w:w="4508"/>
      </w:tblGrid>
      <w:tr w:rsidR="00AF78D0" w:rsidRPr="00735726" w14:paraId="32C0D6EB" w14:textId="77777777" w:rsidTr="00AF78D0">
        <w:tc>
          <w:tcPr>
            <w:tcW w:w="4508" w:type="dxa"/>
            <w:shd w:val="clear" w:color="auto" w:fill="002060"/>
          </w:tcPr>
          <w:p w14:paraId="5D2BFC62" w14:textId="0E740BF4" w:rsidR="00AF78D0" w:rsidRPr="009A2CAE" w:rsidRDefault="00AF78D0" w:rsidP="00AF78D0">
            <w:pPr>
              <w:rPr>
                <w:rFonts w:ascii="Arial" w:hAnsi="Arial" w:cs="Arial"/>
                <w:b/>
                <w:bCs/>
                <w:sz w:val="18"/>
                <w:szCs w:val="18"/>
              </w:rPr>
            </w:pPr>
            <w:r w:rsidRPr="00735726">
              <w:rPr>
                <w:rFonts w:ascii="Arial" w:eastAsiaTheme="minorHAnsi" w:hAnsi="Arial" w:cs="Arial"/>
                <w:b/>
                <w:bCs/>
                <w:sz w:val="18"/>
                <w:szCs w:val="18"/>
              </w:rPr>
              <w:t>Key Metrics</w:t>
            </w:r>
          </w:p>
        </w:tc>
        <w:tc>
          <w:tcPr>
            <w:tcW w:w="4508" w:type="dxa"/>
            <w:shd w:val="clear" w:color="auto" w:fill="002060"/>
          </w:tcPr>
          <w:p w14:paraId="7B7E2E3D" w14:textId="77777777" w:rsidR="00AF78D0" w:rsidRPr="009A2CAE" w:rsidRDefault="00AF78D0" w:rsidP="00AF78D0">
            <w:pPr>
              <w:rPr>
                <w:rFonts w:ascii="Arial" w:hAnsi="Arial" w:cs="Arial"/>
                <w:b/>
                <w:bCs/>
                <w:sz w:val="18"/>
                <w:szCs w:val="18"/>
              </w:rPr>
            </w:pPr>
          </w:p>
        </w:tc>
      </w:tr>
      <w:tr w:rsidR="00AF78D0" w:rsidRPr="00735726" w14:paraId="2BC127FB" w14:textId="77777777" w:rsidTr="00AF78D0">
        <w:tc>
          <w:tcPr>
            <w:tcW w:w="4508" w:type="dxa"/>
          </w:tcPr>
          <w:p w14:paraId="2B01B97C" w14:textId="74997EE3" w:rsidR="00AF78D0" w:rsidRPr="00735726" w:rsidRDefault="00AF78D0" w:rsidP="00AF78D0">
            <w:pPr>
              <w:rPr>
                <w:rFonts w:ascii="Arial" w:hAnsi="Arial" w:cs="Arial"/>
                <w:sz w:val="18"/>
                <w:szCs w:val="18"/>
              </w:rPr>
            </w:pPr>
            <w:r w:rsidRPr="00735726">
              <w:rPr>
                <w:rFonts w:ascii="Arial" w:hAnsi="Arial" w:cs="Arial"/>
                <w:sz w:val="18"/>
                <w:szCs w:val="18"/>
              </w:rPr>
              <w:t>UST active management (ha)</w:t>
            </w:r>
          </w:p>
        </w:tc>
        <w:tc>
          <w:tcPr>
            <w:tcW w:w="4508" w:type="dxa"/>
          </w:tcPr>
          <w:p w14:paraId="7C3581CA" w14:textId="078C34AE" w:rsidR="00AF78D0" w:rsidRPr="00735726" w:rsidRDefault="00AF78D0" w:rsidP="00AF78D0">
            <w:pPr>
              <w:rPr>
                <w:rFonts w:ascii="Arial" w:hAnsi="Arial" w:cs="Arial"/>
                <w:sz w:val="18"/>
                <w:szCs w:val="18"/>
              </w:rPr>
            </w:pPr>
            <w:r w:rsidRPr="00735726">
              <w:rPr>
                <w:rFonts w:ascii="Arial" w:hAnsi="Arial" w:cs="Arial"/>
                <w:sz w:val="18"/>
                <w:szCs w:val="18"/>
              </w:rPr>
              <w:t>5,138</w:t>
            </w:r>
          </w:p>
        </w:tc>
      </w:tr>
      <w:tr w:rsidR="00AF78D0" w:rsidRPr="00735726" w14:paraId="79571104" w14:textId="77777777" w:rsidTr="00AF78D0">
        <w:tc>
          <w:tcPr>
            <w:tcW w:w="4508" w:type="dxa"/>
          </w:tcPr>
          <w:p w14:paraId="2C279CEE" w14:textId="4DBB8D13" w:rsidR="00AF78D0" w:rsidRPr="00735726" w:rsidRDefault="00AF78D0" w:rsidP="00AF78D0">
            <w:pPr>
              <w:rPr>
                <w:rFonts w:ascii="Arial" w:hAnsi="Arial" w:cs="Arial"/>
                <w:sz w:val="18"/>
                <w:szCs w:val="18"/>
              </w:rPr>
            </w:pPr>
            <w:r w:rsidRPr="00735726">
              <w:rPr>
                <w:rFonts w:ascii="Arial" w:hAnsi="Arial" w:cs="Arial"/>
                <w:sz w:val="18"/>
                <w:szCs w:val="18"/>
              </w:rPr>
              <w:t>Peatland restored (ha)</w:t>
            </w:r>
          </w:p>
        </w:tc>
        <w:tc>
          <w:tcPr>
            <w:tcW w:w="4508" w:type="dxa"/>
          </w:tcPr>
          <w:p w14:paraId="06BC1AA6" w14:textId="32E95F54" w:rsidR="00AF78D0" w:rsidRPr="00735726" w:rsidRDefault="00AF78D0" w:rsidP="00AF78D0">
            <w:pPr>
              <w:rPr>
                <w:rFonts w:ascii="Arial" w:hAnsi="Arial" w:cs="Arial"/>
                <w:sz w:val="18"/>
                <w:szCs w:val="18"/>
              </w:rPr>
            </w:pPr>
            <w:r w:rsidRPr="00735726">
              <w:rPr>
                <w:rFonts w:ascii="Arial" w:hAnsi="Arial" w:cs="Arial"/>
                <w:sz w:val="18"/>
                <w:szCs w:val="18"/>
              </w:rPr>
              <w:t>254</w:t>
            </w:r>
          </w:p>
        </w:tc>
      </w:tr>
      <w:tr w:rsidR="00AF78D0" w:rsidRPr="00735726" w14:paraId="43F396EC" w14:textId="77777777" w:rsidTr="00AF78D0">
        <w:tc>
          <w:tcPr>
            <w:tcW w:w="4508" w:type="dxa"/>
          </w:tcPr>
          <w:p w14:paraId="1C34C7EF" w14:textId="38EBFC7D" w:rsidR="00AF78D0" w:rsidRPr="00735726" w:rsidRDefault="00AF78D0" w:rsidP="00AF78D0">
            <w:pPr>
              <w:tabs>
                <w:tab w:val="left" w:pos="1021"/>
              </w:tabs>
              <w:rPr>
                <w:rFonts w:ascii="Arial" w:hAnsi="Arial" w:cs="Arial"/>
                <w:sz w:val="18"/>
                <w:szCs w:val="18"/>
              </w:rPr>
            </w:pPr>
            <w:r w:rsidRPr="00735726">
              <w:rPr>
                <w:rFonts w:ascii="Arial" w:hAnsi="Arial" w:cs="Arial"/>
                <w:sz w:val="18"/>
                <w:szCs w:val="18"/>
              </w:rPr>
              <w:t>Number of BPC units nominated</w:t>
            </w:r>
          </w:p>
        </w:tc>
        <w:tc>
          <w:tcPr>
            <w:tcW w:w="4508" w:type="dxa"/>
          </w:tcPr>
          <w:p w14:paraId="2FE6CA81" w14:textId="6ED7EDF9" w:rsidR="00AF78D0" w:rsidRPr="00735726" w:rsidRDefault="00D22179" w:rsidP="00AF78D0">
            <w:pPr>
              <w:rPr>
                <w:rFonts w:ascii="Arial" w:hAnsi="Arial" w:cs="Arial"/>
                <w:sz w:val="18"/>
                <w:szCs w:val="18"/>
              </w:rPr>
            </w:pPr>
            <w:r w:rsidRPr="00735726">
              <w:rPr>
                <w:rFonts w:ascii="Arial" w:hAnsi="Arial" w:cs="Arial"/>
                <w:sz w:val="18"/>
                <w:szCs w:val="18"/>
              </w:rPr>
              <w:t>379</w:t>
            </w:r>
          </w:p>
        </w:tc>
      </w:tr>
      <w:tr w:rsidR="00AF78D0" w:rsidRPr="00735726" w14:paraId="3915AFF2" w14:textId="77777777" w:rsidTr="00AF78D0">
        <w:tc>
          <w:tcPr>
            <w:tcW w:w="4508" w:type="dxa"/>
          </w:tcPr>
          <w:p w14:paraId="72F1B053" w14:textId="0C1E3910" w:rsidR="00AF78D0" w:rsidRPr="00735726" w:rsidRDefault="00AF78D0" w:rsidP="00AF78D0">
            <w:pPr>
              <w:rPr>
                <w:rFonts w:ascii="Arial" w:hAnsi="Arial" w:cs="Arial"/>
                <w:sz w:val="18"/>
                <w:szCs w:val="18"/>
              </w:rPr>
            </w:pPr>
            <w:r w:rsidRPr="00735726">
              <w:rPr>
                <w:rFonts w:ascii="Arial" w:hAnsi="Arial" w:cs="Arial"/>
                <w:sz w:val="18"/>
                <w:szCs w:val="18"/>
              </w:rPr>
              <w:t>Ofwat Innovation projects</w:t>
            </w:r>
          </w:p>
        </w:tc>
        <w:tc>
          <w:tcPr>
            <w:tcW w:w="4508" w:type="dxa"/>
          </w:tcPr>
          <w:p w14:paraId="3D066321" w14:textId="58642D79" w:rsidR="00AF78D0" w:rsidRPr="00735726" w:rsidRDefault="00AF78D0" w:rsidP="00AF78D0">
            <w:pPr>
              <w:rPr>
                <w:rFonts w:ascii="Arial" w:hAnsi="Arial" w:cs="Arial"/>
                <w:sz w:val="18"/>
                <w:szCs w:val="18"/>
              </w:rPr>
            </w:pPr>
            <w:r w:rsidRPr="00735726">
              <w:rPr>
                <w:rFonts w:ascii="Arial" w:hAnsi="Arial" w:cs="Arial"/>
                <w:sz w:val="18"/>
                <w:szCs w:val="18"/>
              </w:rPr>
              <w:t>Water Net Gain</w:t>
            </w:r>
          </w:p>
        </w:tc>
      </w:tr>
      <w:tr w:rsidR="00AF78D0" w:rsidRPr="00735726" w14:paraId="396CB6A5" w14:textId="77777777" w:rsidTr="00AF78D0">
        <w:tc>
          <w:tcPr>
            <w:tcW w:w="4508" w:type="dxa"/>
          </w:tcPr>
          <w:p w14:paraId="100BB148" w14:textId="66158AD7" w:rsidR="00AF78D0" w:rsidRPr="00735726" w:rsidRDefault="00AF78D0" w:rsidP="00AF78D0">
            <w:pPr>
              <w:tabs>
                <w:tab w:val="left" w:pos="1021"/>
              </w:tabs>
              <w:rPr>
                <w:rFonts w:ascii="Arial" w:hAnsi="Arial" w:cs="Arial"/>
                <w:sz w:val="18"/>
                <w:szCs w:val="18"/>
              </w:rPr>
            </w:pPr>
            <w:r w:rsidRPr="00735726">
              <w:rPr>
                <w:rFonts w:ascii="Arial" w:hAnsi="Arial" w:cs="Arial"/>
                <w:sz w:val="18"/>
                <w:szCs w:val="18"/>
              </w:rPr>
              <w:t>Number of trees planted</w:t>
            </w:r>
          </w:p>
        </w:tc>
        <w:tc>
          <w:tcPr>
            <w:tcW w:w="4508" w:type="dxa"/>
          </w:tcPr>
          <w:p w14:paraId="2B9CCCE2" w14:textId="07FEE2F5" w:rsidR="00AF78D0" w:rsidRPr="00735726" w:rsidRDefault="00AF78D0" w:rsidP="00AF78D0">
            <w:pPr>
              <w:rPr>
                <w:rFonts w:ascii="Arial" w:hAnsi="Arial" w:cs="Arial"/>
                <w:sz w:val="18"/>
                <w:szCs w:val="18"/>
              </w:rPr>
            </w:pPr>
            <w:r w:rsidRPr="00735726">
              <w:rPr>
                <w:rFonts w:ascii="Arial" w:hAnsi="Arial" w:cs="Arial"/>
                <w:sz w:val="18"/>
                <w:szCs w:val="18"/>
              </w:rPr>
              <w:t>31,893</w:t>
            </w:r>
          </w:p>
        </w:tc>
      </w:tr>
      <w:tr w:rsidR="00AF78D0" w:rsidRPr="00735726" w14:paraId="0F717484" w14:textId="77777777" w:rsidTr="00AF78D0">
        <w:tc>
          <w:tcPr>
            <w:tcW w:w="4508" w:type="dxa"/>
          </w:tcPr>
          <w:p w14:paraId="316B56B3" w14:textId="32968E90" w:rsidR="00AF78D0" w:rsidRPr="00735726" w:rsidRDefault="00AF78D0" w:rsidP="00AF78D0">
            <w:pPr>
              <w:rPr>
                <w:rFonts w:ascii="Arial" w:hAnsi="Arial" w:cs="Arial"/>
                <w:sz w:val="18"/>
                <w:szCs w:val="18"/>
              </w:rPr>
            </w:pPr>
            <w:r w:rsidRPr="00735726">
              <w:rPr>
                <w:rFonts w:ascii="Arial" w:hAnsi="Arial" w:cs="Arial"/>
                <w:sz w:val="18"/>
                <w:szCs w:val="18"/>
              </w:rPr>
              <w:t>Number of stakeholder workshops</w:t>
            </w:r>
          </w:p>
        </w:tc>
        <w:tc>
          <w:tcPr>
            <w:tcW w:w="4508" w:type="dxa"/>
          </w:tcPr>
          <w:p w14:paraId="7DE9DA87" w14:textId="5E787066" w:rsidR="00AF78D0" w:rsidRPr="00735726" w:rsidRDefault="00AF78D0" w:rsidP="00AF78D0">
            <w:pPr>
              <w:rPr>
                <w:rFonts w:ascii="Arial" w:hAnsi="Arial" w:cs="Arial"/>
                <w:sz w:val="18"/>
                <w:szCs w:val="18"/>
              </w:rPr>
            </w:pPr>
            <w:r w:rsidRPr="00735726">
              <w:rPr>
                <w:rFonts w:ascii="Arial" w:hAnsi="Arial" w:cs="Arial"/>
                <w:sz w:val="18"/>
                <w:szCs w:val="18"/>
              </w:rPr>
              <w:t>4 (c.250 people)</w:t>
            </w:r>
          </w:p>
        </w:tc>
      </w:tr>
    </w:tbl>
    <w:p w14:paraId="28EAD0C8" w14:textId="385B8F5A" w:rsidR="00AF78D0" w:rsidRPr="00735726" w:rsidRDefault="00DF5FE2" w:rsidP="00AF78D0">
      <w:pPr>
        <w:rPr>
          <w:rFonts w:ascii="Arial" w:hAnsi="Arial" w:cs="Arial"/>
          <w:sz w:val="18"/>
          <w:szCs w:val="18"/>
        </w:rPr>
      </w:pPr>
      <w:r w:rsidRPr="00735726">
        <w:rPr>
          <w:rFonts w:ascii="Arial" w:hAnsi="Arial" w:cs="Arial"/>
          <w:i/>
          <w:iCs/>
          <w:sz w:val="18"/>
          <w:szCs w:val="18"/>
        </w:rPr>
        <w:br/>
      </w:r>
      <w:r w:rsidR="00AF78D0" w:rsidRPr="00735726">
        <w:rPr>
          <w:rFonts w:ascii="Arial" w:hAnsi="Arial" w:cs="Arial"/>
          <w:i/>
          <w:iCs/>
          <w:sz w:val="18"/>
          <w:szCs w:val="18"/>
        </w:rPr>
        <w:t>WORKING IN PARTNERSHIP</w:t>
      </w:r>
      <w:r w:rsidR="00AF78D0" w:rsidRPr="00735726">
        <w:rPr>
          <w:rFonts w:ascii="Arial" w:hAnsi="Arial" w:cs="Arial"/>
          <w:sz w:val="32"/>
          <w:szCs w:val="32"/>
        </w:rPr>
        <w:br/>
      </w:r>
      <w:r w:rsidR="00AF78D0" w:rsidRPr="00735726">
        <w:rPr>
          <w:rFonts w:ascii="Arial" w:hAnsi="Arial" w:cs="Arial"/>
          <w:sz w:val="18"/>
          <w:szCs w:val="18"/>
        </w:rPr>
        <w:t xml:space="preserve">Working with local communities, groups and organisations is key to strengthening networks and partnerships for environmental gains between the public, private and third sectors. In 2025/26 we contributed to the launch of important regional initiatives such as Plymouth’s Plan for Nature, the Wild Summit hosted in Bristol, the UK Government’s Land Use Strategy and Local Nature Recovery Strategies for Cornwall and Isles of Scilly, Devon and Bristol. Alongside ongoing engagement in Catchment Partnerships, we host the Let’s Talk water stakeholder forum to engage our environmental partners. </w:t>
      </w:r>
    </w:p>
    <w:p w14:paraId="0C2502FE" w14:textId="04CCAF01" w:rsidR="00AF78D0" w:rsidRPr="009A2CAE" w:rsidRDefault="00AF78D0" w:rsidP="00AF78D0">
      <w:pPr>
        <w:rPr>
          <w:rFonts w:ascii="Arial" w:hAnsi="Arial" w:cs="Arial"/>
          <w:sz w:val="18"/>
          <w:szCs w:val="18"/>
        </w:rPr>
      </w:pPr>
      <w:r w:rsidRPr="00735726">
        <w:rPr>
          <w:rFonts w:ascii="Arial" w:hAnsi="Arial" w:cs="Arial"/>
          <w:b/>
          <w:bCs/>
          <w:sz w:val="18"/>
          <w:szCs w:val="18"/>
        </w:rPr>
        <w:t>BIODIVERISTY STRATEGY</w:t>
      </w:r>
      <w:r w:rsidRPr="00735726">
        <w:rPr>
          <w:rFonts w:ascii="Arial" w:hAnsi="Arial" w:cs="Arial"/>
          <w:b/>
          <w:bCs/>
          <w:sz w:val="18"/>
          <w:szCs w:val="18"/>
        </w:rPr>
        <w:br/>
      </w:r>
      <w:r w:rsidRPr="00735726">
        <w:rPr>
          <w:rFonts w:ascii="Arial" w:hAnsi="Arial" w:cs="Arial"/>
          <w:sz w:val="18"/>
          <w:szCs w:val="18"/>
        </w:rPr>
        <w:t>South West Water’s Biodiversity Strategy (2023) has been informed by Defra’s Plan for Water (2023) and Environmental Improvement Plan (2025) as a clear commitment to the protection, enhancement and sensitive management of our landholdings and assets summarised in our approach to “protect the best, restore the rest and to work in collaboration beyond our landholdings”.</w:t>
      </w:r>
    </w:p>
    <w:p w14:paraId="06895657" w14:textId="2FDB784F" w:rsidR="00740B63" w:rsidRPr="00735726" w:rsidRDefault="00AF78D0" w:rsidP="00AF78D0">
      <w:pPr>
        <w:rPr>
          <w:rFonts w:ascii="Arial" w:hAnsi="Arial" w:cs="Arial"/>
          <w:sz w:val="18"/>
          <w:szCs w:val="18"/>
        </w:rPr>
      </w:pPr>
      <w:r w:rsidRPr="00735726">
        <w:rPr>
          <w:rFonts w:ascii="Arial" w:hAnsi="Arial" w:cs="Arial"/>
          <w:sz w:val="18"/>
          <w:szCs w:val="18"/>
        </w:rPr>
        <w:t xml:space="preserve">The Water Special Measures Act (2024) updated the list of statutory duties that water companies are responsible for under the Water Industry Act (1991) to establish greater accountability for sustainability outcomes including climate resilience and biodiversity.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has made measurable progress to meet our Biodiversity Duty, strengthened under the Environment Act (2021), which we plan to build on over AMP8-AMP9, as detailed in our Growing Nature to 2035 Progress Update report (2026)</w:t>
      </w:r>
      <w:r w:rsidR="00740B63" w:rsidRPr="00735726">
        <w:rPr>
          <w:rFonts w:ascii="Arial" w:hAnsi="Arial" w:cs="Arial"/>
          <w:sz w:val="18"/>
          <w:szCs w:val="18"/>
        </w:rPr>
        <w:t xml:space="preserve"> available of the </w:t>
      </w:r>
      <w:proofErr w:type="gramStart"/>
      <w:r w:rsidR="00740B63" w:rsidRPr="00735726">
        <w:rPr>
          <w:rFonts w:ascii="Arial" w:hAnsi="Arial" w:cs="Arial"/>
          <w:sz w:val="18"/>
          <w:szCs w:val="18"/>
        </w:rPr>
        <w:t>South West</w:t>
      </w:r>
      <w:proofErr w:type="gramEnd"/>
      <w:r w:rsidR="00740B63" w:rsidRPr="00735726">
        <w:rPr>
          <w:rFonts w:ascii="Arial" w:hAnsi="Arial" w:cs="Arial"/>
          <w:sz w:val="18"/>
          <w:szCs w:val="18"/>
        </w:rPr>
        <w:t xml:space="preserve"> Water website: https://www.southwestwater.co.uk/environment.</w:t>
      </w:r>
    </w:p>
    <w:p w14:paraId="22120C7B" w14:textId="77777777" w:rsidR="00DC7D16" w:rsidRPr="00735726" w:rsidRDefault="00DC7D16" w:rsidP="00740B63">
      <w:pPr>
        <w:rPr>
          <w:rFonts w:ascii="Arial" w:hAnsi="Arial" w:cs="Arial"/>
          <w:i/>
          <w:iCs/>
          <w:sz w:val="18"/>
          <w:szCs w:val="18"/>
        </w:rPr>
      </w:pPr>
    </w:p>
    <w:p w14:paraId="64B45672" w14:textId="42D5E07E" w:rsidR="00740B63" w:rsidRPr="009A2CAE" w:rsidRDefault="00740B63" w:rsidP="00740B63">
      <w:pPr>
        <w:rPr>
          <w:rFonts w:ascii="Arial" w:hAnsi="Arial" w:cs="Arial"/>
          <w:sz w:val="18"/>
          <w:szCs w:val="18"/>
        </w:rPr>
      </w:pPr>
      <w:r w:rsidRPr="00735726">
        <w:rPr>
          <w:rFonts w:ascii="Arial" w:hAnsi="Arial" w:cs="Arial"/>
          <w:i/>
          <w:iCs/>
          <w:sz w:val="18"/>
          <w:szCs w:val="18"/>
        </w:rPr>
        <w:lastRenderedPageBreak/>
        <w:t>OFWAT’S AMP8 BIODIVERSITY PERFORMANCE COMMITMENT</w:t>
      </w:r>
      <w:r w:rsidRPr="00735726">
        <w:rPr>
          <w:rFonts w:ascii="Arial" w:hAnsi="Arial" w:cs="Arial"/>
          <w:i/>
          <w:iCs/>
          <w:sz w:val="18"/>
          <w:szCs w:val="18"/>
        </w:rPr>
        <w:br/>
      </w:r>
      <w:r w:rsidRPr="00735726">
        <w:rPr>
          <w:rFonts w:ascii="Arial" w:hAnsi="Arial" w:cs="Arial"/>
          <w:sz w:val="18"/>
          <w:szCs w:val="18"/>
        </w:rPr>
        <w:t xml:space="preserve">In 2025/26 each water company began delivery, and enhancement works progressed at scale and pace over the winter, using Defra’s metric to baseline and nominate habitat parcels as approved by our Biodiversity Panel. In total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is forecast to deliver a combined target of 3</w:t>
      </w:r>
      <w:r w:rsidR="002B1BC6" w:rsidRPr="00735726">
        <w:rPr>
          <w:rFonts w:ascii="Arial" w:hAnsi="Arial" w:cs="Arial"/>
          <w:sz w:val="18"/>
          <w:szCs w:val="18"/>
        </w:rPr>
        <w:t>53</w:t>
      </w:r>
      <w:r w:rsidRPr="00735726">
        <w:rPr>
          <w:rFonts w:ascii="Arial" w:hAnsi="Arial" w:cs="Arial"/>
          <w:sz w:val="18"/>
          <w:szCs w:val="18"/>
        </w:rPr>
        <w:t xml:space="preserve"> biodiversity units of positive biodiversity net gain by 2030 across </w:t>
      </w:r>
      <w:r w:rsidR="002B1BC6" w:rsidRPr="00735726">
        <w:rPr>
          <w:rFonts w:ascii="Arial" w:hAnsi="Arial" w:cs="Arial"/>
          <w:sz w:val="18"/>
          <w:szCs w:val="18"/>
        </w:rPr>
        <w:t>18</w:t>
      </w:r>
      <w:r w:rsidRPr="00735726">
        <w:rPr>
          <w:rFonts w:ascii="Arial" w:hAnsi="Arial" w:cs="Arial"/>
          <w:sz w:val="18"/>
          <w:szCs w:val="18"/>
        </w:rPr>
        <w:t xml:space="preserve"> sites between SWB and BRL.</w:t>
      </w:r>
    </w:p>
    <w:p w14:paraId="7D9614E0" w14:textId="77777777" w:rsidR="00092BD7" w:rsidRPr="00735726" w:rsidRDefault="00740B63" w:rsidP="00740B63">
      <w:pPr>
        <w:rPr>
          <w:rFonts w:ascii="Arial" w:hAnsi="Arial" w:cs="Arial"/>
          <w:sz w:val="18"/>
          <w:szCs w:val="18"/>
        </w:rPr>
      </w:pPr>
      <w:proofErr w:type="gramStart"/>
      <w:r w:rsidRPr="00735726">
        <w:rPr>
          <w:rFonts w:ascii="Arial" w:hAnsi="Arial" w:cs="Arial"/>
          <w:i/>
          <w:iCs/>
          <w:sz w:val="18"/>
          <w:szCs w:val="18"/>
        </w:rPr>
        <w:t>SOUTH WEST</w:t>
      </w:r>
      <w:proofErr w:type="gramEnd"/>
      <w:r w:rsidRPr="00735726">
        <w:rPr>
          <w:rFonts w:ascii="Arial" w:hAnsi="Arial" w:cs="Arial"/>
          <w:i/>
          <w:iCs/>
          <w:sz w:val="18"/>
          <w:szCs w:val="18"/>
        </w:rPr>
        <w:t xml:space="preserve"> WATER’S £2 MILLION NATURE RECOVERY FUND</w:t>
      </w:r>
      <w:r w:rsidRPr="00735726">
        <w:rPr>
          <w:rFonts w:ascii="Arial" w:hAnsi="Arial" w:cs="Arial"/>
          <w:i/>
          <w:iCs/>
          <w:sz w:val="18"/>
          <w:szCs w:val="18"/>
        </w:rPr>
        <w:br/>
      </w:r>
      <w:r w:rsidRPr="00735726">
        <w:rPr>
          <w:rFonts w:ascii="Arial" w:hAnsi="Arial" w:cs="Arial"/>
          <w:sz w:val="18"/>
          <w:szCs w:val="18"/>
        </w:rPr>
        <w:t xml:space="preserve">We are committed to supporting the natural environment. From restoring habitats to investing in clean energy, we are helping to build climate resilience and protect the places people love. In early 2026 we launched the application process to fund community led projects which deliver measurable benefits to nature, water and people. Funded as part of our redress package for customers announced in September 2025, the fund has welcomed significant interest with successful projects awarded in May 2026. </w:t>
      </w:r>
    </w:p>
    <w:p w14:paraId="6FD586C4" w14:textId="04F3422F" w:rsidR="00092BD7" w:rsidRPr="00735726" w:rsidRDefault="00092BD7" w:rsidP="00092BD7">
      <w:pPr>
        <w:rPr>
          <w:rFonts w:ascii="Arial" w:hAnsi="Arial" w:cs="Arial"/>
          <w:b/>
          <w:bCs/>
          <w:sz w:val="18"/>
          <w:szCs w:val="18"/>
        </w:rPr>
      </w:pPr>
      <w:r w:rsidRPr="00735726">
        <w:rPr>
          <w:rFonts w:ascii="Arial" w:hAnsi="Arial" w:cs="Arial"/>
          <w:b/>
          <w:bCs/>
          <w:sz w:val="18"/>
          <w:szCs w:val="18"/>
        </w:rPr>
        <w:t>PROTECTED SITES AND SPECIES</w:t>
      </w:r>
    </w:p>
    <w:p w14:paraId="77EAD208" w14:textId="4881E111" w:rsidR="00092BD7" w:rsidRPr="00735726" w:rsidRDefault="00092BD7" w:rsidP="00092BD7">
      <w:pPr>
        <w:rPr>
          <w:rFonts w:ascii="Arial" w:hAnsi="Arial" w:cs="Arial"/>
          <w:sz w:val="18"/>
          <w:szCs w:val="18"/>
        </w:rPr>
      </w:pPr>
      <w:r w:rsidRPr="00735726">
        <w:rPr>
          <w:rFonts w:ascii="Arial" w:hAnsi="Arial" w:cs="Arial"/>
          <w:i/>
          <w:iCs/>
          <w:sz w:val="18"/>
          <w:szCs w:val="18"/>
        </w:rPr>
        <w:t>PARK PIT AND STANNON LAKE</w:t>
      </w:r>
      <w:r w:rsidRPr="00735726">
        <w:rPr>
          <w:rFonts w:ascii="Arial" w:hAnsi="Arial" w:cs="Arial"/>
          <w:i/>
          <w:iCs/>
          <w:sz w:val="18"/>
          <w:szCs w:val="18"/>
        </w:rPr>
        <w:br/>
      </w:r>
      <w:r w:rsidRPr="00735726">
        <w:rPr>
          <w:rFonts w:ascii="Arial" w:hAnsi="Arial" w:cs="Arial"/>
          <w:sz w:val="18"/>
          <w:szCs w:val="18"/>
        </w:rPr>
        <w:t xml:space="preserve">Throughout the year, work has continued to advance Higher Tier Countryside Stewardship applications for Park Pit and </w:t>
      </w:r>
      <w:proofErr w:type="spellStart"/>
      <w:r w:rsidRPr="00735726">
        <w:rPr>
          <w:rFonts w:ascii="Arial" w:hAnsi="Arial" w:cs="Arial"/>
          <w:sz w:val="18"/>
          <w:szCs w:val="18"/>
        </w:rPr>
        <w:t>Stannon</w:t>
      </w:r>
      <w:proofErr w:type="spellEnd"/>
      <w:r w:rsidRPr="00735726">
        <w:rPr>
          <w:rFonts w:ascii="Arial" w:hAnsi="Arial" w:cs="Arial"/>
          <w:sz w:val="18"/>
          <w:szCs w:val="18"/>
        </w:rPr>
        <w:t xml:space="preserve"> Lake, both designated County Wildlife Sites. Ongoing engagement with partners and stakeholders has helped strengthen the proposals, which will continue to be refined to secure long-term biodiversity and ecological resilience.</w:t>
      </w:r>
    </w:p>
    <w:p w14:paraId="27D9464D" w14:textId="77777777" w:rsidR="00092BD7" w:rsidRPr="00735726" w:rsidRDefault="00092BD7" w:rsidP="00092BD7">
      <w:pPr>
        <w:rPr>
          <w:rFonts w:ascii="Arial" w:hAnsi="Arial" w:cs="Arial"/>
          <w:sz w:val="18"/>
          <w:szCs w:val="18"/>
        </w:rPr>
      </w:pPr>
      <w:proofErr w:type="gramStart"/>
      <w:r w:rsidRPr="00735726">
        <w:rPr>
          <w:rFonts w:ascii="Arial" w:hAnsi="Arial" w:cs="Arial"/>
          <w:i/>
          <w:iCs/>
          <w:sz w:val="18"/>
          <w:szCs w:val="18"/>
        </w:rPr>
        <w:t>SOUTH WEST</w:t>
      </w:r>
      <w:proofErr w:type="gramEnd"/>
      <w:r w:rsidRPr="00735726">
        <w:rPr>
          <w:rFonts w:ascii="Arial" w:hAnsi="Arial" w:cs="Arial"/>
          <w:i/>
          <w:iCs/>
          <w:sz w:val="18"/>
          <w:szCs w:val="18"/>
        </w:rPr>
        <w:t xml:space="preserve"> WATER</w:t>
      </w:r>
      <w:r w:rsidRPr="00735726">
        <w:rPr>
          <w:rFonts w:ascii="Arial" w:hAnsi="Arial" w:cs="Arial"/>
          <w:i/>
          <w:iCs/>
          <w:sz w:val="18"/>
          <w:szCs w:val="18"/>
        </w:rPr>
        <w:br/>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in partnership with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Lakes Trust, has restored multiple County Wildlife Sites within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estate and is safeguarding several SSSIs, including Crowdy Marsh and </w:t>
      </w:r>
      <w:proofErr w:type="spellStart"/>
      <w:r w:rsidRPr="00735726">
        <w:rPr>
          <w:rFonts w:ascii="Arial" w:hAnsi="Arial" w:cs="Arial"/>
          <w:sz w:val="18"/>
          <w:szCs w:val="18"/>
        </w:rPr>
        <w:t>Lopwell</w:t>
      </w:r>
      <w:proofErr w:type="spellEnd"/>
      <w:r w:rsidRPr="00735726">
        <w:rPr>
          <w:rFonts w:ascii="Arial" w:hAnsi="Arial" w:cs="Arial"/>
          <w:sz w:val="18"/>
          <w:szCs w:val="18"/>
        </w:rPr>
        <w:t xml:space="preserve"> Dam. In 2025/26,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Lakes Trust actively managed eight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SSSIs, delivering agreed habitat management, ecological monitoring and stakeholder engagement to protect designated features and maintain favourable condition and, where applicable, support recovery towards favourable condition. </w:t>
      </w:r>
    </w:p>
    <w:p w14:paraId="1CDF2956" w14:textId="6EF0D565" w:rsidR="00092BD7" w:rsidRPr="00735726" w:rsidRDefault="00092BD7" w:rsidP="00092BD7">
      <w:pPr>
        <w:rPr>
          <w:rFonts w:ascii="Arial" w:hAnsi="Arial" w:cs="Arial"/>
          <w:sz w:val="18"/>
          <w:szCs w:val="18"/>
        </w:rPr>
      </w:pPr>
      <w:r w:rsidRPr="00735726">
        <w:rPr>
          <w:rFonts w:ascii="Arial" w:hAnsi="Arial" w:cs="Arial"/>
          <w:i/>
          <w:iCs/>
          <w:sz w:val="18"/>
          <w:szCs w:val="18"/>
        </w:rPr>
        <w:t>BRISTOL WATER</w:t>
      </w:r>
      <w:r w:rsidRPr="00735726">
        <w:rPr>
          <w:rFonts w:ascii="Arial" w:hAnsi="Arial" w:cs="Arial"/>
          <w:i/>
          <w:iCs/>
          <w:sz w:val="18"/>
          <w:szCs w:val="18"/>
        </w:rPr>
        <w:br/>
      </w:r>
      <w:r w:rsidRPr="00735726">
        <w:rPr>
          <w:rFonts w:ascii="Arial" w:hAnsi="Arial" w:cs="Arial"/>
          <w:sz w:val="18"/>
          <w:szCs w:val="18"/>
        </w:rPr>
        <w:t>Many designated sites are influenced by pressures beyond our land. Where only part of a site or its contributing catchment is within our ownership, site condition is shaped by a complex interaction of land use, diffuse pollution and climate change. Blagdon Lake SSSI was reclassified by Natural England in 2025 as Unfavourable (declining), reflecting elevated nutrient levels from the wider catchment alongside the effects of climate change. While this presents a challenge, it has also created an opportunity to accelerate a coordinated recovery plan for the site. Working with Natural England, the Environment Agency, local landowners and delivery partners, Bristol Water is developing a catchment-wide programme to reduce nutrient inputs.</w:t>
      </w:r>
    </w:p>
    <w:p w14:paraId="02957302" w14:textId="77777777" w:rsidR="00092BD7" w:rsidRPr="00735726" w:rsidRDefault="00092BD7" w:rsidP="00092BD7">
      <w:pPr>
        <w:rPr>
          <w:rFonts w:ascii="Arial" w:hAnsi="Arial" w:cs="Arial"/>
          <w:sz w:val="18"/>
          <w:szCs w:val="18"/>
        </w:rPr>
      </w:pPr>
      <w:r w:rsidRPr="00735726">
        <w:rPr>
          <w:rFonts w:ascii="Arial" w:hAnsi="Arial" w:cs="Arial"/>
          <w:sz w:val="18"/>
          <w:szCs w:val="18"/>
        </w:rPr>
        <w:t xml:space="preserve">Alongside this collaborative approach are plans to explore and implement nature-based solutions, such as floating wetlands, and to improve the management of our land to support long-term ecological recovery. </w:t>
      </w:r>
    </w:p>
    <w:p w14:paraId="759FFFD1" w14:textId="5FBB5C32" w:rsidR="00CD5525" w:rsidRPr="00735726" w:rsidRDefault="00CD5525" w:rsidP="00CD5525">
      <w:pPr>
        <w:rPr>
          <w:rFonts w:ascii="Arial" w:hAnsi="Arial" w:cs="Arial"/>
          <w:sz w:val="18"/>
          <w:szCs w:val="18"/>
        </w:rPr>
      </w:pPr>
      <w:r w:rsidRPr="00735726">
        <w:rPr>
          <w:rFonts w:ascii="Arial" w:hAnsi="Arial" w:cs="Arial"/>
          <w:i/>
          <w:iCs/>
          <w:sz w:val="18"/>
          <w:szCs w:val="18"/>
        </w:rPr>
        <w:t>FISH AND EELS</w:t>
      </w:r>
      <w:r w:rsidRPr="00735726">
        <w:rPr>
          <w:rFonts w:ascii="Arial" w:hAnsi="Arial" w:cs="Arial"/>
          <w:i/>
          <w:iCs/>
          <w:sz w:val="18"/>
          <w:szCs w:val="18"/>
        </w:rPr>
        <w:br/>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has continued to improve fish and eel passage and intake screening across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assets, supporting the recovery of native species and enhancing river connectivity. The programme is on track to deliver eight eel passes, seven eel screens, and the removal of a barrier within the </w:t>
      </w:r>
      <w:proofErr w:type="spellStart"/>
      <w:r w:rsidRPr="00735726">
        <w:rPr>
          <w:rFonts w:ascii="Arial" w:hAnsi="Arial" w:cs="Arial"/>
          <w:sz w:val="18"/>
          <w:szCs w:val="18"/>
        </w:rPr>
        <w:t>Dendles</w:t>
      </w:r>
      <w:proofErr w:type="spellEnd"/>
      <w:r w:rsidRPr="00735726">
        <w:rPr>
          <w:rFonts w:ascii="Arial" w:hAnsi="Arial" w:cs="Arial"/>
          <w:sz w:val="18"/>
          <w:szCs w:val="18"/>
        </w:rPr>
        <w:t xml:space="preserve"> Wood SSSI, enabling fish and eels to move more freely between feeding and breeding grounds. The recently completed </w:t>
      </w:r>
      <w:proofErr w:type="spellStart"/>
      <w:r w:rsidRPr="00735726">
        <w:rPr>
          <w:rFonts w:ascii="Arial" w:hAnsi="Arial" w:cs="Arial"/>
          <w:sz w:val="18"/>
          <w:szCs w:val="18"/>
        </w:rPr>
        <w:t>Lopwell</w:t>
      </w:r>
      <w:proofErr w:type="spellEnd"/>
      <w:r w:rsidRPr="00735726">
        <w:rPr>
          <w:rFonts w:ascii="Arial" w:hAnsi="Arial" w:cs="Arial"/>
          <w:sz w:val="18"/>
          <w:szCs w:val="18"/>
        </w:rPr>
        <w:t xml:space="preserve"> Dam eel screen was shortlisted in 2025 for the Institute of Civil Engineers (ICE) People’s Choice Award, recognising the successful delivery of a complex project with strong environmental benefits. At the </w:t>
      </w:r>
      <w:proofErr w:type="spellStart"/>
      <w:r w:rsidRPr="00735726">
        <w:rPr>
          <w:rFonts w:ascii="Arial" w:hAnsi="Arial" w:cs="Arial"/>
          <w:sz w:val="18"/>
          <w:szCs w:val="18"/>
        </w:rPr>
        <w:t>Colliford</w:t>
      </w:r>
      <w:proofErr w:type="spellEnd"/>
      <w:r w:rsidRPr="00735726">
        <w:rPr>
          <w:rFonts w:ascii="Arial" w:hAnsi="Arial" w:cs="Arial"/>
          <w:sz w:val="18"/>
          <w:szCs w:val="18"/>
        </w:rPr>
        <w:t xml:space="preserve"> Hatchery we raised 40,000 salmon (a total of 400,000 since 2016) which were stocked at 20 sites along the St Neot, the main tributary of the River Fowey, rising above </w:t>
      </w:r>
      <w:proofErr w:type="spellStart"/>
      <w:r w:rsidRPr="00735726">
        <w:rPr>
          <w:rFonts w:ascii="Arial" w:hAnsi="Arial" w:cs="Arial"/>
          <w:sz w:val="18"/>
          <w:szCs w:val="18"/>
        </w:rPr>
        <w:t>Colliford</w:t>
      </w:r>
      <w:proofErr w:type="spellEnd"/>
      <w:r w:rsidRPr="00735726">
        <w:rPr>
          <w:rFonts w:ascii="Arial" w:hAnsi="Arial" w:cs="Arial"/>
          <w:sz w:val="18"/>
          <w:szCs w:val="18"/>
        </w:rPr>
        <w:t xml:space="preserve"> Lake. This supports survival of salmon species and supporting the broader health of the river’s ecosystem. </w:t>
      </w:r>
    </w:p>
    <w:p w14:paraId="322A6657" w14:textId="1F862260" w:rsidR="00CD5525" w:rsidRPr="00735726" w:rsidRDefault="00CD5525" w:rsidP="00CD5525">
      <w:pPr>
        <w:rPr>
          <w:rFonts w:ascii="Arial" w:hAnsi="Arial" w:cs="Arial"/>
          <w:sz w:val="18"/>
          <w:szCs w:val="18"/>
        </w:rPr>
      </w:pPr>
      <w:r w:rsidRPr="00735726">
        <w:rPr>
          <w:rFonts w:ascii="Arial" w:hAnsi="Arial" w:cs="Arial"/>
          <w:i/>
          <w:iCs/>
          <w:sz w:val="18"/>
          <w:szCs w:val="18"/>
        </w:rPr>
        <w:t>INVASIVE NON-NATIVE SPECIES (INNS)</w:t>
      </w:r>
      <w:r w:rsidRPr="00735726">
        <w:rPr>
          <w:rFonts w:ascii="Arial" w:hAnsi="Arial" w:cs="Arial"/>
          <w:i/>
          <w:iCs/>
          <w:sz w:val="18"/>
          <w:szCs w:val="18"/>
        </w:rPr>
        <w:br/>
      </w:r>
      <w:r w:rsidRPr="00735726">
        <w:rPr>
          <w:rFonts w:ascii="Arial" w:hAnsi="Arial" w:cs="Arial"/>
          <w:sz w:val="18"/>
          <w:szCs w:val="18"/>
        </w:rPr>
        <w:t>In 2025/26 South West Water INNS awareness, education and training activity increased, with over 7,000 people engaged through outreach and events. Our biosecurity programme is on track to install three new boat washdown facilities, 10 new dip tanks and signage across multiple sites by the end of AMP8.</w:t>
      </w:r>
    </w:p>
    <w:p w14:paraId="436BDF3A" w14:textId="77777777" w:rsidR="00CD5525" w:rsidRPr="00735726" w:rsidRDefault="00CD5525" w:rsidP="00CD5525">
      <w:pPr>
        <w:rPr>
          <w:rFonts w:ascii="Arial" w:hAnsi="Arial" w:cs="Arial"/>
          <w:sz w:val="18"/>
          <w:szCs w:val="18"/>
        </w:rPr>
      </w:pPr>
      <w:r w:rsidRPr="00735726">
        <w:rPr>
          <w:rFonts w:ascii="Arial" w:hAnsi="Arial" w:cs="Arial"/>
          <w:sz w:val="18"/>
          <w:szCs w:val="18"/>
        </w:rPr>
        <w:t xml:space="preserve">For our biosecurity programme we appointed specialist contractors to test new methods of removal at Christchurch Harbour and continued large-scale control programmes for American signal crayfish at key reservoirs including </w:t>
      </w:r>
      <w:proofErr w:type="spellStart"/>
      <w:r w:rsidRPr="00735726">
        <w:rPr>
          <w:rFonts w:ascii="Arial" w:hAnsi="Arial" w:cs="Arial"/>
          <w:sz w:val="18"/>
          <w:szCs w:val="18"/>
        </w:rPr>
        <w:t>Burrator</w:t>
      </w:r>
      <w:proofErr w:type="spellEnd"/>
      <w:r w:rsidRPr="00735726">
        <w:rPr>
          <w:rFonts w:ascii="Arial" w:hAnsi="Arial" w:cs="Arial"/>
          <w:sz w:val="18"/>
          <w:szCs w:val="18"/>
        </w:rPr>
        <w:t xml:space="preserve"> and </w:t>
      </w:r>
      <w:proofErr w:type="spellStart"/>
      <w:r w:rsidRPr="00735726">
        <w:rPr>
          <w:rFonts w:ascii="Arial" w:hAnsi="Arial" w:cs="Arial"/>
          <w:sz w:val="18"/>
          <w:szCs w:val="18"/>
        </w:rPr>
        <w:t>Roadford</w:t>
      </w:r>
      <w:proofErr w:type="spellEnd"/>
      <w:r w:rsidRPr="00735726">
        <w:rPr>
          <w:rFonts w:ascii="Arial" w:hAnsi="Arial" w:cs="Arial"/>
          <w:sz w:val="18"/>
          <w:szCs w:val="18"/>
        </w:rPr>
        <w:t xml:space="preserve">. We have also captured and removed over 2,300 invasive fish called ruffe because they displace native fish species and disrupt the food web, preventing them from entering the St </w:t>
      </w:r>
      <w:r w:rsidRPr="00735726">
        <w:rPr>
          <w:rFonts w:ascii="Arial" w:hAnsi="Arial" w:cs="Arial"/>
          <w:sz w:val="18"/>
          <w:szCs w:val="18"/>
        </w:rPr>
        <w:lastRenderedPageBreak/>
        <w:t xml:space="preserve">Neot and the wider River Fowey system. This is the highest number since the screens were installed three years ago, suggesting a population boom last year. </w:t>
      </w:r>
    </w:p>
    <w:p w14:paraId="7CB09B78" w14:textId="77777777" w:rsidR="0073107E" w:rsidRPr="00735726" w:rsidRDefault="00CD5525" w:rsidP="00CD5525">
      <w:pPr>
        <w:rPr>
          <w:rFonts w:ascii="Arial" w:hAnsi="Arial" w:cs="Arial"/>
          <w:sz w:val="18"/>
          <w:szCs w:val="18"/>
        </w:rPr>
      </w:pPr>
      <w:r w:rsidRPr="00735726">
        <w:rPr>
          <w:rFonts w:ascii="Arial" w:hAnsi="Arial" w:cs="Arial"/>
          <w:i/>
          <w:iCs/>
          <w:sz w:val="18"/>
          <w:szCs w:val="18"/>
        </w:rPr>
        <w:t>NATURESAFE</w:t>
      </w:r>
      <w:r w:rsidRPr="00735726">
        <w:rPr>
          <w:rFonts w:ascii="Arial" w:hAnsi="Arial" w:cs="Arial"/>
          <w:i/>
          <w:iCs/>
          <w:sz w:val="18"/>
          <w:szCs w:val="18"/>
        </w:rPr>
        <w:br/>
      </w:r>
      <w:r w:rsidRPr="00735726">
        <w:rPr>
          <w:rFonts w:ascii="Arial" w:hAnsi="Arial" w:cs="Arial"/>
          <w:sz w:val="18"/>
          <w:szCs w:val="18"/>
        </w:rPr>
        <w:t xml:space="preserve">Launched in early 2024, </w:t>
      </w:r>
      <w:proofErr w:type="spellStart"/>
      <w:r w:rsidRPr="00735726">
        <w:rPr>
          <w:rFonts w:ascii="Arial" w:hAnsi="Arial" w:cs="Arial"/>
          <w:sz w:val="18"/>
          <w:szCs w:val="18"/>
        </w:rPr>
        <w:t>NatureSafe</w:t>
      </w:r>
      <w:proofErr w:type="spellEnd"/>
      <w:r w:rsidRPr="00735726">
        <w:rPr>
          <w:rFonts w:ascii="Arial" w:hAnsi="Arial" w:cs="Arial"/>
          <w:sz w:val="18"/>
          <w:szCs w:val="18"/>
        </w:rPr>
        <w:t xml:space="preserve"> is an internal communication campaign to raise awareness of nature-related risks across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operational sites. It equips ground teams with resources and support for ecology enquiries and to mitigate any potential incidents. In 2025/26, the campaign expanded to deliver training sessions to Bournemouth Drinking Water teams; incentivise behaviour change through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Site Pride and ‘You Rock’ reward schemes and set up an internal SharePoint Hub. At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our operational teams are learning to co-exist with and adapt to the presence of beavers on, adjacent to or nearby our assets as we continue to identify and mitigate any potential impacts. </w:t>
      </w:r>
    </w:p>
    <w:p w14:paraId="4982E549" w14:textId="242830A9" w:rsidR="0073107E" w:rsidRPr="00735726" w:rsidRDefault="0073107E" w:rsidP="0073107E">
      <w:pPr>
        <w:rPr>
          <w:rFonts w:ascii="Arial" w:hAnsi="Arial" w:cs="Arial"/>
          <w:sz w:val="18"/>
          <w:szCs w:val="18"/>
        </w:rPr>
      </w:pPr>
      <w:r w:rsidRPr="00735726">
        <w:rPr>
          <w:rFonts w:ascii="Arial" w:hAnsi="Arial" w:cs="Arial"/>
          <w:b/>
          <w:bCs/>
          <w:sz w:val="18"/>
          <w:szCs w:val="18"/>
        </w:rPr>
        <w:t>CENTRE FOR RESILIENCE IN THE ENVIRONMENT, WATER AND WASTE (CREWW)</w:t>
      </w:r>
      <w:r w:rsidRPr="009A2CAE">
        <w:rPr>
          <w:rFonts w:ascii="Arial" w:hAnsi="Arial" w:cs="Arial"/>
          <w:sz w:val="18"/>
          <w:szCs w:val="18"/>
        </w:rPr>
        <w:t xml:space="preserve"> </w:t>
      </w:r>
      <w:r w:rsidR="00D62E2B" w:rsidRPr="00735726">
        <w:rPr>
          <w:rFonts w:ascii="Arial" w:hAnsi="Arial" w:cs="Arial"/>
          <w:sz w:val="18"/>
          <w:szCs w:val="18"/>
        </w:rPr>
        <w:br/>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partnership with the University of Exeter is now taking strides in pioneering research to address challenges facing the UK water industry and overseas. In 2025/26, several projects were launched to:</w:t>
      </w:r>
    </w:p>
    <w:p w14:paraId="338B87D3" w14:textId="34DF9957" w:rsidR="0073107E" w:rsidRPr="00735726" w:rsidRDefault="002B2760" w:rsidP="00646F4F">
      <w:pPr>
        <w:pStyle w:val="ListParagraph"/>
        <w:numPr>
          <w:ilvl w:val="0"/>
          <w:numId w:val="83"/>
        </w:numPr>
        <w:rPr>
          <w:rFonts w:ascii="Arial" w:hAnsi="Arial" w:cs="Arial"/>
          <w:sz w:val="18"/>
          <w:szCs w:val="18"/>
        </w:rPr>
      </w:pPr>
      <w:r w:rsidRPr="00735726">
        <w:rPr>
          <w:rFonts w:ascii="Arial" w:hAnsi="Arial" w:cs="Arial"/>
          <w:sz w:val="18"/>
          <w:szCs w:val="18"/>
        </w:rPr>
        <w:t>M</w:t>
      </w:r>
      <w:r w:rsidR="0073107E" w:rsidRPr="00735726">
        <w:rPr>
          <w:rFonts w:ascii="Arial" w:hAnsi="Arial" w:cs="Arial"/>
          <w:sz w:val="18"/>
          <w:szCs w:val="18"/>
        </w:rPr>
        <w:t xml:space="preserve">ap and predict high-risk groundwater infiltration </w:t>
      </w:r>
      <w:proofErr w:type="gramStart"/>
      <w:r w:rsidR="0073107E" w:rsidRPr="00735726">
        <w:rPr>
          <w:rFonts w:ascii="Arial" w:hAnsi="Arial" w:cs="Arial"/>
          <w:sz w:val="18"/>
          <w:szCs w:val="18"/>
        </w:rPr>
        <w:t>areas;</w:t>
      </w:r>
      <w:proofErr w:type="gramEnd"/>
    </w:p>
    <w:p w14:paraId="458F0A21" w14:textId="010A5F33" w:rsidR="0073107E" w:rsidRPr="00735726" w:rsidRDefault="002B2760" w:rsidP="00646F4F">
      <w:pPr>
        <w:pStyle w:val="ListParagraph"/>
        <w:numPr>
          <w:ilvl w:val="0"/>
          <w:numId w:val="83"/>
        </w:numPr>
        <w:rPr>
          <w:rFonts w:ascii="Arial" w:hAnsi="Arial" w:cs="Arial"/>
          <w:sz w:val="18"/>
          <w:szCs w:val="18"/>
        </w:rPr>
      </w:pPr>
      <w:r w:rsidRPr="00735726">
        <w:rPr>
          <w:rFonts w:ascii="Arial" w:hAnsi="Arial" w:cs="Arial"/>
          <w:sz w:val="18"/>
          <w:szCs w:val="18"/>
        </w:rPr>
        <w:t>I</w:t>
      </w:r>
      <w:r w:rsidR="0073107E" w:rsidRPr="00735726">
        <w:rPr>
          <w:rFonts w:ascii="Arial" w:hAnsi="Arial" w:cs="Arial"/>
          <w:sz w:val="18"/>
          <w:szCs w:val="18"/>
        </w:rPr>
        <w:t xml:space="preserve">mprove safety and quality of bathing waters in a new expert-led Safe to Swim </w:t>
      </w:r>
      <w:proofErr w:type="gramStart"/>
      <w:r w:rsidR="0073107E" w:rsidRPr="00735726">
        <w:rPr>
          <w:rFonts w:ascii="Arial" w:hAnsi="Arial" w:cs="Arial"/>
          <w:sz w:val="18"/>
          <w:szCs w:val="18"/>
        </w:rPr>
        <w:t>Forum;</w:t>
      </w:r>
      <w:proofErr w:type="gramEnd"/>
    </w:p>
    <w:p w14:paraId="6C3F3D29" w14:textId="05F2CAAC" w:rsidR="0073107E" w:rsidRPr="00735726" w:rsidRDefault="002B2760" w:rsidP="00646F4F">
      <w:pPr>
        <w:pStyle w:val="ListParagraph"/>
        <w:numPr>
          <w:ilvl w:val="0"/>
          <w:numId w:val="83"/>
        </w:numPr>
        <w:rPr>
          <w:rFonts w:ascii="Arial" w:hAnsi="Arial" w:cs="Arial"/>
          <w:sz w:val="18"/>
          <w:szCs w:val="18"/>
        </w:rPr>
      </w:pPr>
      <w:r w:rsidRPr="00735726">
        <w:rPr>
          <w:rFonts w:ascii="Arial" w:hAnsi="Arial" w:cs="Arial"/>
          <w:sz w:val="18"/>
          <w:szCs w:val="18"/>
        </w:rPr>
        <w:t>I</w:t>
      </w:r>
      <w:r w:rsidR="0073107E" w:rsidRPr="00735726">
        <w:rPr>
          <w:rFonts w:ascii="Arial" w:hAnsi="Arial" w:cs="Arial"/>
          <w:sz w:val="18"/>
          <w:szCs w:val="18"/>
        </w:rPr>
        <w:t xml:space="preserve">nvestigate restoration of seagrass and temperate rainforest habitats in the </w:t>
      </w:r>
      <w:proofErr w:type="gramStart"/>
      <w:r w:rsidR="0073107E" w:rsidRPr="00735726">
        <w:rPr>
          <w:rFonts w:ascii="Arial" w:hAnsi="Arial" w:cs="Arial"/>
          <w:sz w:val="18"/>
          <w:szCs w:val="18"/>
        </w:rPr>
        <w:t>South West</w:t>
      </w:r>
      <w:proofErr w:type="gramEnd"/>
      <w:r w:rsidR="0073107E" w:rsidRPr="00735726">
        <w:rPr>
          <w:rFonts w:ascii="Arial" w:hAnsi="Arial" w:cs="Arial"/>
          <w:sz w:val="18"/>
          <w:szCs w:val="18"/>
        </w:rPr>
        <w:t xml:space="preserve"> via Water Industry National Environment Programme (WINEP); and</w:t>
      </w:r>
    </w:p>
    <w:p w14:paraId="033DF8F5" w14:textId="4E55E33B" w:rsidR="0073107E" w:rsidRPr="00735726" w:rsidRDefault="002B2760" w:rsidP="00646F4F">
      <w:pPr>
        <w:pStyle w:val="ListParagraph"/>
        <w:numPr>
          <w:ilvl w:val="0"/>
          <w:numId w:val="83"/>
        </w:numPr>
        <w:rPr>
          <w:rFonts w:ascii="Arial" w:hAnsi="Arial" w:cs="Arial"/>
          <w:sz w:val="18"/>
          <w:szCs w:val="18"/>
        </w:rPr>
      </w:pPr>
      <w:r w:rsidRPr="00735726">
        <w:rPr>
          <w:rFonts w:ascii="Arial" w:hAnsi="Arial" w:cs="Arial"/>
          <w:sz w:val="18"/>
          <w:szCs w:val="18"/>
        </w:rPr>
        <w:t>T</w:t>
      </w:r>
      <w:r w:rsidR="0073107E" w:rsidRPr="00735726">
        <w:rPr>
          <w:rFonts w:ascii="Arial" w:hAnsi="Arial" w:cs="Arial"/>
          <w:sz w:val="18"/>
          <w:szCs w:val="18"/>
        </w:rPr>
        <w:t xml:space="preserve">ackle prediction of algal blooms in lakes. </w:t>
      </w:r>
    </w:p>
    <w:p w14:paraId="587B9263" w14:textId="6D991994" w:rsidR="0073107E" w:rsidRPr="00735726" w:rsidRDefault="0073107E" w:rsidP="0073107E">
      <w:pPr>
        <w:rPr>
          <w:rFonts w:ascii="Arial" w:hAnsi="Arial" w:cs="Arial"/>
          <w:sz w:val="18"/>
          <w:szCs w:val="18"/>
        </w:rPr>
      </w:pPr>
      <w:r w:rsidRPr="00735726">
        <w:rPr>
          <w:rFonts w:ascii="Arial" w:hAnsi="Arial" w:cs="Arial"/>
          <w:sz w:val="18"/>
          <w:szCs w:val="18"/>
        </w:rPr>
        <w:t>We continue to address the longer-term challenges facing the water sector driven by climate change and population growth through our joint venture research partnership with University of Exeter, the Centre for Resilience in Environment, Water and Waste (CREWW).</w:t>
      </w:r>
    </w:p>
    <w:p w14:paraId="3E37D330" w14:textId="38455E05" w:rsidR="0073107E" w:rsidRPr="00735726" w:rsidRDefault="0073107E" w:rsidP="0073107E">
      <w:pPr>
        <w:rPr>
          <w:rFonts w:ascii="Arial" w:hAnsi="Arial" w:cs="Arial"/>
          <w:sz w:val="18"/>
          <w:szCs w:val="18"/>
        </w:rPr>
      </w:pPr>
      <w:r w:rsidRPr="00735726">
        <w:rPr>
          <w:rFonts w:ascii="Arial" w:hAnsi="Arial" w:cs="Arial"/>
          <w:sz w:val="18"/>
          <w:szCs w:val="18"/>
        </w:rPr>
        <w:t>We have committed £21 million of capital and research investment which will fund multiple academic schools across the University of Exeter, working alongside our subject matter experts to meet these challenges.</w:t>
      </w:r>
    </w:p>
    <w:p w14:paraId="402524C8" w14:textId="6B225465" w:rsidR="0073107E" w:rsidRPr="00735726" w:rsidRDefault="0073107E" w:rsidP="0073107E">
      <w:pPr>
        <w:rPr>
          <w:rFonts w:ascii="Arial" w:hAnsi="Arial" w:cs="Arial"/>
          <w:sz w:val="18"/>
          <w:szCs w:val="18"/>
        </w:rPr>
      </w:pPr>
      <w:r w:rsidRPr="00735726">
        <w:rPr>
          <w:rFonts w:ascii="Arial" w:hAnsi="Arial" w:cs="Arial"/>
          <w:sz w:val="18"/>
          <w:szCs w:val="18"/>
        </w:rPr>
        <w:t>Ranging from harnessing the power of AI to reduce the risk of groundwater infiltration into our sewer network system to reduce the use of storm overflows, to investigating the prevalence of polyfluoroalkyl substances (PFAs) and microplastics in our drinking water and wastewater, we are using science to drive value for money for our customers and protect our environment.</w:t>
      </w:r>
    </w:p>
    <w:p w14:paraId="1A547A99" w14:textId="77777777" w:rsidR="0073107E" w:rsidRPr="00735726" w:rsidRDefault="0073107E" w:rsidP="0073107E">
      <w:pPr>
        <w:rPr>
          <w:rFonts w:ascii="Arial" w:hAnsi="Arial" w:cs="Arial"/>
          <w:sz w:val="18"/>
          <w:szCs w:val="18"/>
        </w:rPr>
      </w:pPr>
      <w:r w:rsidRPr="00735726">
        <w:rPr>
          <w:rFonts w:ascii="Arial" w:hAnsi="Arial" w:cs="Arial"/>
          <w:sz w:val="18"/>
          <w:szCs w:val="18"/>
        </w:rPr>
        <w:t xml:space="preserve">This year, we have extended the reach of the partnership with the University of Exeter, building on the foundational work of academics focused on catchment management, natural processes, and nature-based solutions which dates back to 2006 through our pioneering partnership with the farming community (Upstream Thinking) to bring better water quality to the South West through a systems based approach. </w:t>
      </w:r>
    </w:p>
    <w:p w14:paraId="67F5DF3F" w14:textId="77777777" w:rsidR="0073107E" w:rsidRPr="00735726" w:rsidRDefault="0073107E" w:rsidP="0073107E">
      <w:pPr>
        <w:rPr>
          <w:rFonts w:ascii="Arial" w:hAnsi="Arial" w:cs="Arial"/>
          <w:sz w:val="18"/>
          <w:szCs w:val="18"/>
        </w:rPr>
      </w:pPr>
      <w:r w:rsidRPr="00735726">
        <w:rPr>
          <w:rFonts w:ascii="Arial" w:hAnsi="Arial" w:cs="Arial"/>
          <w:sz w:val="18"/>
          <w:szCs w:val="18"/>
        </w:rPr>
        <w:t xml:space="preserve">We have introduced a research theme lead framework which partners academics in the schools of computer science, engineering, bioscience and social science with our subject matter experts to promote a holistic solutions-based approach. This framework is now integral to CREWW’s ways of working and has already contributed to the initiation of new multi-disciplinary research projects which also draw upon expertise and input from outside the CREWW partnership. </w:t>
      </w:r>
    </w:p>
    <w:p w14:paraId="431C7BFB" w14:textId="77777777" w:rsidR="00D348CE" w:rsidRPr="00735726" w:rsidRDefault="0073107E" w:rsidP="0073107E">
      <w:pPr>
        <w:rPr>
          <w:rFonts w:ascii="Arial" w:hAnsi="Arial" w:cs="Arial"/>
          <w:sz w:val="18"/>
          <w:szCs w:val="18"/>
        </w:rPr>
      </w:pPr>
      <w:r w:rsidRPr="00735726">
        <w:rPr>
          <w:rFonts w:ascii="Arial" w:hAnsi="Arial" w:cs="Arial"/>
          <w:sz w:val="18"/>
          <w:szCs w:val="18"/>
        </w:rPr>
        <w:t xml:space="preserve">The CREWW Safe to Swim (S2S) Forums, held in September 2025 and March 2026, convened local water quality interest groups, water companies, internationally respected water industry-focused academics from Newcastle University and the University of Exeter, representatives from local government, national regulators, UKHSA and technology consultants responsible for advising the Paris Olympics Organising Committee on use of the Seine for events. </w:t>
      </w:r>
    </w:p>
    <w:p w14:paraId="0D3E1942" w14:textId="79D03209" w:rsidR="0073107E" w:rsidRPr="00735726" w:rsidRDefault="0073107E" w:rsidP="0073107E">
      <w:pPr>
        <w:rPr>
          <w:rFonts w:ascii="Arial" w:hAnsi="Arial" w:cs="Arial"/>
          <w:sz w:val="18"/>
          <w:szCs w:val="18"/>
        </w:rPr>
      </w:pPr>
      <w:r w:rsidRPr="00735726">
        <w:rPr>
          <w:rFonts w:ascii="Arial" w:hAnsi="Arial" w:cs="Arial"/>
          <w:sz w:val="18"/>
          <w:szCs w:val="18"/>
        </w:rPr>
        <w:t xml:space="preserve">The S2S Forums facilitated discussion regarding improved methods for informing customers and visitors, empowering them to make well-informed decisions and helping to prevent unnecessary ‘not safe to swim’ alerts that negatively impact coastal communities economically. We will be launching research projects and discussions with regulators on the research themes identified in the forums, namely: </w:t>
      </w:r>
    </w:p>
    <w:p w14:paraId="454A010B" w14:textId="77777777" w:rsidR="008127CE" w:rsidRPr="00735726" w:rsidRDefault="008127CE" w:rsidP="008127CE">
      <w:pPr>
        <w:rPr>
          <w:rFonts w:ascii="Arial" w:hAnsi="Arial" w:cs="Arial"/>
          <w:sz w:val="18"/>
          <w:szCs w:val="18"/>
        </w:rPr>
      </w:pPr>
      <w:r w:rsidRPr="00735726">
        <w:rPr>
          <w:rFonts w:ascii="Arial" w:hAnsi="Arial" w:cs="Arial"/>
          <w:i/>
          <w:iCs/>
          <w:sz w:val="18"/>
          <w:szCs w:val="18"/>
        </w:rPr>
        <w:t>1. Improving the current approach</w:t>
      </w:r>
      <w:r w:rsidRPr="00735726">
        <w:rPr>
          <w:rFonts w:ascii="Arial" w:hAnsi="Arial" w:cs="Arial"/>
          <w:i/>
          <w:iCs/>
          <w:sz w:val="18"/>
          <w:szCs w:val="18"/>
        </w:rPr>
        <w:br/>
      </w:r>
      <w:r w:rsidRPr="00735726">
        <w:rPr>
          <w:rFonts w:ascii="Arial" w:hAnsi="Arial" w:cs="Arial"/>
          <w:sz w:val="18"/>
          <w:szCs w:val="18"/>
        </w:rPr>
        <w:t xml:space="preserve">To identify and develop methods for improving existing modelling systems which underpin water quality alerts. The focus will be tailoring alerts for specific bathing waters (local tides/marine topography) rather than the current global models.  </w:t>
      </w:r>
    </w:p>
    <w:p w14:paraId="31DF5D14" w14:textId="002FFE9C" w:rsidR="008127CE" w:rsidRPr="00735726" w:rsidRDefault="008127CE" w:rsidP="008127CE">
      <w:pPr>
        <w:rPr>
          <w:rFonts w:ascii="Arial" w:hAnsi="Arial" w:cs="Arial"/>
          <w:sz w:val="18"/>
          <w:szCs w:val="18"/>
        </w:rPr>
      </w:pPr>
      <w:r w:rsidRPr="00735726">
        <w:rPr>
          <w:rFonts w:ascii="Arial" w:hAnsi="Arial" w:cs="Arial"/>
          <w:i/>
          <w:iCs/>
          <w:sz w:val="18"/>
          <w:szCs w:val="18"/>
        </w:rPr>
        <w:lastRenderedPageBreak/>
        <w:t>2. Influencing behaviours</w:t>
      </w:r>
      <w:r w:rsidRPr="00735726">
        <w:rPr>
          <w:rFonts w:ascii="Arial" w:hAnsi="Arial" w:cs="Arial"/>
          <w:i/>
          <w:iCs/>
          <w:sz w:val="18"/>
          <w:szCs w:val="18"/>
        </w:rPr>
        <w:br/>
      </w:r>
      <w:r w:rsidRPr="00735726">
        <w:rPr>
          <w:rFonts w:ascii="Arial" w:hAnsi="Arial" w:cs="Arial"/>
          <w:sz w:val="18"/>
          <w:szCs w:val="18"/>
        </w:rPr>
        <w:t>Working with local stakeholders to ensure the improved alert information is understood by bathing water users in terms of risk of illness and causes of risk. A risk-based approach will balance the safeguarding of bathing water user health with protecting coastal economies from blunt ‘yes/no’ unsafe to swim alerts.</w:t>
      </w:r>
    </w:p>
    <w:p w14:paraId="3F182EEB" w14:textId="4881C09A" w:rsidR="008127CE" w:rsidRPr="00735726" w:rsidRDefault="008127CE" w:rsidP="008127CE">
      <w:pPr>
        <w:rPr>
          <w:rFonts w:ascii="Arial" w:hAnsi="Arial" w:cs="Arial"/>
          <w:sz w:val="18"/>
          <w:szCs w:val="18"/>
        </w:rPr>
      </w:pPr>
      <w:r w:rsidRPr="00735726">
        <w:rPr>
          <w:rFonts w:ascii="Arial" w:hAnsi="Arial" w:cs="Arial"/>
          <w:i/>
          <w:iCs/>
          <w:sz w:val="18"/>
          <w:szCs w:val="18"/>
        </w:rPr>
        <w:t>3. Better science, better understanding of risk of illness</w:t>
      </w:r>
      <w:r w:rsidRPr="00735726">
        <w:rPr>
          <w:rFonts w:ascii="Arial" w:hAnsi="Arial" w:cs="Arial"/>
          <w:i/>
          <w:iCs/>
          <w:sz w:val="18"/>
          <w:szCs w:val="18"/>
        </w:rPr>
        <w:br/>
      </w:r>
      <w:r w:rsidRPr="00735726">
        <w:rPr>
          <w:rFonts w:ascii="Arial" w:hAnsi="Arial" w:cs="Arial"/>
          <w:sz w:val="18"/>
          <w:szCs w:val="18"/>
        </w:rPr>
        <w:t>With the advances in science since the 1980’s (where the current bathing water regulation regime draws its scientific basis) this theme will review the current scientific approaches to identifying risk of illness to bathing water users.</w:t>
      </w:r>
    </w:p>
    <w:p w14:paraId="705200ED" w14:textId="77777777" w:rsidR="00590C8A" w:rsidRPr="00735726" w:rsidRDefault="008127CE" w:rsidP="008127CE">
      <w:pPr>
        <w:rPr>
          <w:rFonts w:ascii="Arial" w:hAnsi="Arial" w:cs="Arial"/>
          <w:sz w:val="18"/>
          <w:szCs w:val="18"/>
        </w:rPr>
      </w:pPr>
      <w:r w:rsidRPr="00735726">
        <w:rPr>
          <w:rFonts w:ascii="Arial" w:hAnsi="Arial" w:cs="Arial"/>
          <w:sz w:val="18"/>
          <w:szCs w:val="18"/>
        </w:rPr>
        <w:t xml:space="preserve">We look forward to sharing the S2S initiative and the wider research programme with the International Water Industry at the 2026 IWA World Water Congress &amp; Exhibition in October 2026 where multiple research projects have been selected by the IWA academic panel to be showcased. </w:t>
      </w:r>
    </w:p>
    <w:p w14:paraId="35E3F089" w14:textId="7E8DB8B4" w:rsidR="00590C8A" w:rsidRPr="00735726" w:rsidRDefault="00590C8A" w:rsidP="00C732D7">
      <w:pPr>
        <w:rPr>
          <w:rFonts w:ascii="Arial" w:hAnsi="Arial" w:cs="Arial"/>
          <w:b/>
          <w:bCs/>
          <w:sz w:val="18"/>
          <w:szCs w:val="18"/>
        </w:rPr>
      </w:pPr>
      <w:r w:rsidRPr="00735726">
        <w:rPr>
          <w:rFonts w:ascii="Arial" w:hAnsi="Arial" w:cs="Arial"/>
          <w:b/>
          <w:bCs/>
          <w:sz w:val="18"/>
          <w:szCs w:val="18"/>
        </w:rPr>
        <w:t>WATER INDUSTRY NATIONAL ENVIRONMENT PROGRAMME (WINEP)</w:t>
      </w:r>
    </w:p>
    <w:p w14:paraId="06B46531" w14:textId="4FFB1CFE" w:rsidR="00590C8A" w:rsidRPr="00735726" w:rsidRDefault="00590C8A" w:rsidP="00C732D7">
      <w:pPr>
        <w:rPr>
          <w:rFonts w:ascii="Arial" w:hAnsi="Arial" w:cs="Arial"/>
          <w:sz w:val="18"/>
          <w:szCs w:val="18"/>
        </w:rPr>
      </w:pPr>
      <w:r w:rsidRPr="00735726">
        <w:rPr>
          <w:rFonts w:ascii="Arial" w:hAnsi="Arial" w:cs="Arial"/>
          <w:i/>
          <w:iCs/>
          <w:sz w:val="18"/>
          <w:szCs w:val="18"/>
        </w:rPr>
        <w:t>IMPROVEMENTS</w:t>
      </w:r>
      <w:r w:rsidRPr="00735726">
        <w:rPr>
          <w:rFonts w:ascii="Arial" w:hAnsi="Arial" w:cs="Arial"/>
          <w:i/>
          <w:iCs/>
          <w:sz w:val="18"/>
          <w:szCs w:val="18"/>
        </w:rPr>
        <w:br/>
      </w:r>
      <w:r w:rsidRPr="00735726">
        <w:rPr>
          <w:rFonts w:ascii="Arial" w:hAnsi="Arial" w:cs="Arial"/>
          <w:sz w:val="18"/>
          <w:szCs w:val="18"/>
        </w:rPr>
        <w:t xml:space="preserve">Across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w:t>
      </w:r>
      <w:r w:rsidR="00D061A3" w:rsidRPr="00735726">
        <w:rPr>
          <w:rFonts w:ascii="Arial" w:hAnsi="Arial" w:cs="Arial"/>
          <w:sz w:val="18"/>
          <w:szCs w:val="18"/>
        </w:rPr>
        <w:t>we</w:t>
      </w:r>
      <w:r w:rsidRPr="00735726">
        <w:rPr>
          <w:rFonts w:ascii="Arial" w:hAnsi="Arial" w:cs="Arial"/>
          <w:sz w:val="18"/>
          <w:szCs w:val="18"/>
        </w:rPr>
        <w:t xml:space="preserve"> have been working closely with regulators, including the Environment Agency and Natural England, to develop and deliver environmental programmes through the WINEP, focusing on key themes such as drinking water protected areas, fish and eels, Invasive Non-Native Species, and protected sites. </w:t>
      </w:r>
    </w:p>
    <w:p w14:paraId="7366CBA2" w14:textId="77777777" w:rsidR="00C732D7" w:rsidRPr="00735726" w:rsidRDefault="00590C8A" w:rsidP="00C732D7">
      <w:pPr>
        <w:rPr>
          <w:rFonts w:ascii="Arial" w:hAnsi="Arial" w:cs="Arial"/>
          <w:sz w:val="18"/>
          <w:szCs w:val="18"/>
        </w:rPr>
      </w:pPr>
      <w:r w:rsidRPr="00735726">
        <w:rPr>
          <w:rFonts w:ascii="Arial" w:hAnsi="Arial" w:cs="Arial"/>
          <w:i/>
          <w:iCs/>
          <w:sz w:val="18"/>
          <w:szCs w:val="18"/>
        </w:rPr>
        <w:t>INVESTIGATIONS</w:t>
      </w:r>
      <w:r w:rsidRPr="00735726">
        <w:rPr>
          <w:rFonts w:ascii="Arial" w:hAnsi="Arial" w:cs="Arial"/>
          <w:i/>
          <w:iCs/>
          <w:sz w:val="18"/>
          <w:szCs w:val="18"/>
        </w:rPr>
        <w:br/>
      </w:r>
      <w:r w:rsidRPr="00735726">
        <w:rPr>
          <w:rFonts w:ascii="Arial" w:hAnsi="Arial" w:cs="Arial"/>
          <w:sz w:val="18"/>
          <w:szCs w:val="18"/>
        </w:rPr>
        <w:t xml:space="preserve">Through targeted WINEP investigations,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is advancing nature</w:t>
      </w:r>
      <w:r w:rsidRPr="00735726">
        <w:rPr>
          <w:rFonts w:ascii="Cambria Math" w:hAnsi="Cambria Math" w:cs="Cambria Math"/>
          <w:sz w:val="18"/>
          <w:szCs w:val="18"/>
        </w:rPr>
        <w:t>‑</w:t>
      </w:r>
      <w:r w:rsidRPr="00735726">
        <w:rPr>
          <w:rFonts w:ascii="Arial" w:hAnsi="Arial" w:cs="Arial"/>
          <w:sz w:val="18"/>
          <w:szCs w:val="18"/>
        </w:rPr>
        <w:t xml:space="preserve">based solutions across marine and terrestrial habitats. Our seagrass investigation project is assessing the impacts of treatment works and upstream catchment improvements on seagrass health across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alongside an Ocean Conservation Trust trial examining how nutrient pollution from sewage and agricultural runoff affects seagrass survival, helping to identify opportunities for active restoration. In parallel, our Temperate Rainforest investigation is exploring the creation and restoration of </w:t>
      </w:r>
      <w:proofErr w:type="spellStart"/>
      <w:r w:rsidRPr="00735726">
        <w:rPr>
          <w:rFonts w:ascii="Arial" w:hAnsi="Arial" w:cs="Arial"/>
          <w:sz w:val="18"/>
          <w:szCs w:val="18"/>
        </w:rPr>
        <w:t>celtic</w:t>
      </w:r>
      <w:proofErr w:type="spellEnd"/>
      <w:r w:rsidRPr="00735726">
        <w:rPr>
          <w:rFonts w:ascii="Arial" w:hAnsi="Arial" w:cs="Arial"/>
          <w:sz w:val="18"/>
          <w:szCs w:val="18"/>
        </w:rPr>
        <w:t xml:space="preserve"> rainforest on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land and across wider catchments, supported by partnership projects including a Plantlife</w:t>
      </w:r>
      <w:r w:rsidRPr="00735726">
        <w:rPr>
          <w:rFonts w:ascii="Cambria Math" w:hAnsi="Cambria Math" w:cs="Cambria Math"/>
          <w:sz w:val="18"/>
          <w:szCs w:val="18"/>
        </w:rPr>
        <w:t>‑</w:t>
      </w:r>
      <w:r w:rsidRPr="00735726">
        <w:rPr>
          <w:rFonts w:ascii="Arial" w:hAnsi="Arial" w:cs="Arial"/>
          <w:sz w:val="18"/>
          <w:szCs w:val="18"/>
        </w:rPr>
        <w:t xml:space="preserve">led project on Dartmoor to build evidence and share best practice for scalable restoration. </w:t>
      </w:r>
    </w:p>
    <w:p w14:paraId="2BE0D990" w14:textId="77777777" w:rsidR="00C732D7" w:rsidRPr="00735726" w:rsidRDefault="00C732D7" w:rsidP="00C732D7">
      <w:pPr>
        <w:rPr>
          <w:rFonts w:ascii="Arial" w:hAnsi="Arial" w:cs="Arial"/>
          <w:b/>
          <w:bCs/>
          <w:sz w:val="18"/>
          <w:szCs w:val="18"/>
        </w:rPr>
      </w:pPr>
      <w:r w:rsidRPr="00735726">
        <w:rPr>
          <w:rFonts w:ascii="Arial" w:hAnsi="Arial" w:cs="Arial"/>
          <w:b/>
          <w:bCs/>
          <w:sz w:val="18"/>
          <w:szCs w:val="18"/>
        </w:rPr>
        <w:t xml:space="preserve">CONSERVATION, ACCESS AND RECREATION </w:t>
      </w:r>
    </w:p>
    <w:p w14:paraId="047B3574" w14:textId="27F32E19" w:rsidR="00C732D7" w:rsidRPr="00735726" w:rsidRDefault="00C732D7" w:rsidP="00C732D7">
      <w:pPr>
        <w:rPr>
          <w:rFonts w:ascii="Arial" w:hAnsi="Arial" w:cs="Arial"/>
          <w:sz w:val="18"/>
          <w:szCs w:val="18"/>
        </w:rPr>
      </w:pPr>
      <w:r w:rsidRPr="00735726">
        <w:rPr>
          <w:rFonts w:ascii="Arial" w:hAnsi="Arial" w:cs="Arial"/>
          <w:i/>
          <w:iCs/>
          <w:sz w:val="18"/>
          <w:szCs w:val="18"/>
        </w:rPr>
        <w:t>BRISTOL WATER</w:t>
      </w:r>
      <w:r w:rsidRPr="00735726">
        <w:rPr>
          <w:rFonts w:ascii="Arial" w:hAnsi="Arial" w:cs="Arial"/>
          <w:i/>
          <w:iCs/>
          <w:sz w:val="18"/>
          <w:szCs w:val="18"/>
        </w:rPr>
        <w:br/>
      </w:r>
      <w:r w:rsidRPr="00735726">
        <w:rPr>
          <w:rFonts w:ascii="Arial" w:hAnsi="Arial" w:cs="Arial"/>
          <w:sz w:val="18"/>
          <w:szCs w:val="18"/>
        </w:rPr>
        <w:t>At Bristol Water’s Blagdon Lake, a highlight of the biodiversity works underway in 2025/26 includes a large hedgerow project where 1,890 metres have been laid by a local champion hedge layer, inspiring training sessions for local apprentices. At Chew Stoke Pumping Station, the countryside charity CPRE planted 660 metres of hedgerow to improve safety and livestock barriers while creating a wildlife corridor between existing woodland and wildflower meadows. Community engagement has continued for conservation and recreation across the Bristol estate, including school woodland visits, reservoir runs, charity and NHS events.</w:t>
      </w:r>
    </w:p>
    <w:p w14:paraId="52398A61" w14:textId="77777777" w:rsidR="00C732D7" w:rsidRPr="00735726" w:rsidRDefault="00C732D7" w:rsidP="00C732D7">
      <w:pPr>
        <w:rPr>
          <w:rFonts w:ascii="Arial" w:hAnsi="Arial" w:cs="Arial"/>
          <w:sz w:val="18"/>
          <w:szCs w:val="18"/>
        </w:rPr>
      </w:pPr>
      <w:proofErr w:type="gramStart"/>
      <w:r w:rsidRPr="00735726">
        <w:rPr>
          <w:rFonts w:ascii="Arial" w:hAnsi="Arial" w:cs="Arial"/>
          <w:i/>
          <w:iCs/>
          <w:sz w:val="18"/>
          <w:szCs w:val="18"/>
        </w:rPr>
        <w:t>SOUTH WEST</w:t>
      </w:r>
      <w:proofErr w:type="gramEnd"/>
      <w:r w:rsidRPr="00735726">
        <w:rPr>
          <w:rFonts w:ascii="Arial" w:hAnsi="Arial" w:cs="Arial"/>
          <w:i/>
          <w:iCs/>
          <w:sz w:val="18"/>
          <w:szCs w:val="18"/>
        </w:rPr>
        <w:t xml:space="preserve"> LAKES TRUST</w:t>
      </w:r>
      <w:r w:rsidRPr="00735726">
        <w:rPr>
          <w:rFonts w:ascii="Arial" w:hAnsi="Arial" w:cs="Arial"/>
          <w:i/>
          <w:iCs/>
          <w:sz w:val="18"/>
          <w:szCs w:val="18"/>
        </w:rPr>
        <w:br/>
      </w:r>
      <w:r w:rsidRPr="00735726">
        <w:rPr>
          <w:rFonts w:ascii="Arial" w:hAnsi="Arial" w:cs="Arial"/>
          <w:sz w:val="18"/>
          <w:szCs w:val="18"/>
        </w:rPr>
        <w:t xml:space="preserve">In 2025/26, teams in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and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Lakes Trust worked closely to continue delivery of environmental, access, education and recreation benefits across our reservoirs and lakes. Over 2.1 million visitors explored the trails, play areas and nature surrounding our lakes across the </w:t>
      </w:r>
      <w:proofErr w:type="gramStart"/>
      <w:r w:rsidRPr="00735726">
        <w:rPr>
          <w:rFonts w:ascii="Arial" w:hAnsi="Arial" w:cs="Arial"/>
          <w:sz w:val="18"/>
          <w:szCs w:val="18"/>
        </w:rPr>
        <w:t>South West</w:t>
      </w:r>
      <w:proofErr w:type="gramEnd"/>
      <w:r w:rsidRPr="00735726">
        <w:rPr>
          <w:rFonts w:ascii="Arial" w:hAnsi="Arial" w:cs="Arial"/>
          <w:sz w:val="18"/>
          <w:szCs w:val="18"/>
        </w:rPr>
        <w:t>, supported by more than 4,000 volunteer days and 5,500 education sessions. Provision includes habitat enhancement, species monitoring, outdoor learning and wellbeing activities, access to the water for recreation, and the maintenance and improvement of paths and visitor facilities to ensure they remain safe and well cared for, delivering value for people and nature.</w:t>
      </w:r>
    </w:p>
    <w:p w14:paraId="38B120BE" w14:textId="77777777" w:rsidR="00C732D7" w:rsidRPr="00735726" w:rsidRDefault="00C732D7" w:rsidP="00C732D7">
      <w:pPr>
        <w:rPr>
          <w:rFonts w:ascii="Arial" w:hAnsi="Arial" w:cs="Arial"/>
          <w:sz w:val="18"/>
          <w:szCs w:val="18"/>
        </w:rPr>
      </w:pPr>
      <w:r w:rsidRPr="00735726">
        <w:rPr>
          <w:rFonts w:ascii="Arial" w:hAnsi="Arial" w:cs="Arial"/>
          <w:i/>
          <w:iCs/>
          <w:sz w:val="18"/>
          <w:szCs w:val="18"/>
        </w:rPr>
        <w:t>INNOVATION</w:t>
      </w:r>
      <w:r w:rsidRPr="00735726">
        <w:rPr>
          <w:rFonts w:ascii="Arial" w:hAnsi="Arial" w:cs="Arial"/>
          <w:i/>
          <w:iCs/>
          <w:sz w:val="18"/>
          <w:szCs w:val="18"/>
        </w:rPr>
        <w:br/>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is partnered with Westcountry Rivers Trust on our Water Net Gain project for the Ofwat Innovation Fund which in 2025/26 put forward a Willingness to Accept Study to prepare a funding case through the PR29 business plan. Also, the sector’s first land-based carbon baseline was completed via the UK Water Industry Research (UKWIR) research programme. </w:t>
      </w:r>
    </w:p>
    <w:p w14:paraId="7996AF15" w14:textId="77777777" w:rsidR="00C732D7" w:rsidRPr="00735726" w:rsidRDefault="00C732D7" w:rsidP="00C732D7">
      <w:pPr>
        <w:rPr>
          <w:rFonts w:ascii="Arial" w:hAnsi="Arial" w:cs="Arial"/>
          <w:sz w:val="18"/>
          <w:szCs w:val="18"/>
        </w:rPr>
      </w:pPr>
      <w:r w:rsidRPr="00735726">
        <w:rPr>
          <w:rFonts w:ascii="Arial" w:hAnsi="Arial" w:cs="Arial"/>
          <w:i/>
          <w:iCs/>
          <w:sz w:val="18"/>
          <w:szCs w:val="18"/>
        </w:rPr>
        <w:t>UPSTREAM THINKING</w:t>
      </w:r>
      <w:r w:rsidRPr="00735726">
        <w:rPr>
          <w:rFonts w:ascii="Arial" w:hAnsi="Arial" w:cs="Arial"/>
          <w:i/>
          <w:iCs/>
          <w:sz w:val="18"/>
          <w:szCs w:val="18"/>
        </w:rPr>
        <w:br/>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celebrated the 15-year anniversary of our Upstream Thinking catchment management programme has become a cornerstone in the Company’s environmental leadership to deliver impactful and lasting improvements to water quality, biodiversity and catchment resilience across each region. </w:t>
      </w:r>
    </w:p>
    <w:p w14:paraId="5DB59A8E" w14:textId="37FEA83F" w:rsidR="00C732D7" w:rsidRPr="00735726" w:rsidRDefault="00C732D7" w:rsidP="00C732D7">
      <w:pPr>
        <w:rPr>
          <w:rFonts w:ascii="Arial" w:hAnsi="Arial" w:cs="Arial"/>
          <w:sz w:val="18"/>
          <w:szCs w:val="18"/>
        </w:rPr>
      </w:pPr>
      <w:r w:rsidRPr="00735726">
        <w:rPr>
          <w:rFonts w:ascii="Arial" w:hAnsi="Arial" w:cs="Arial"/>
          <w:sz w:val="18"/>
          <w:szCs w:val="18"/>
        </w:rPr>
        <w:lastRenderedPageBreak/>
        <w:t xml:space="preserve">In 2025/26, Upstream Thinking delivered 5,138 hectares of active management and the programme expanded to now cover 95% of our drinking water catchments to include Chew Magna, </w:t>
      </w:r>
      <w:proofErr w:type="spellStart"/>
      <w:r w:rsidRPr="00735726">
        <w:rPr>
          <w:rFonts w:ascii="Arial" w:hAnsi="Arial" w:cs="Arial"/>
          <w:sz w:val="18"/>
          <w:szCs w:val="18"/>
        </w:rPr>
        <w:t>Egford</w:t>
      </w:r>
      <w:proofErr w:type="spellEnd"/>
      <w:r w:rsidRPr="00735726">
        <w:rPr>
          <w:rFonts w:ascii="Arial" w:hAnsi="Arial" w:cs="Arial"/>
          <w:sz w:val="18"/>
          <w:szCs w:val="18"/>
        </w:rPr>
        <w:t>, Blagdon, Forum Springs, Axe, Cheddar and Avon in the Bristol area. This year our highlights include reaching a total of 421,199 trees planted since 2019 and receiving further recognitions, winning the CIRIA Biodiversity Challenge Award and a water industry award for Natural Capital Initiative of the Year.</w:t>
      </w:r>
    </w:p>
    <w:p w14:paraId="445BC659" w14:textId="4B152EC8" w:rsidR="00886FBC" w:rsidRPr="00735726" w:rsidRDefault="00886FBC" w:rsidP="00886FBC">
      <w:pPr>
        <w:rPr>
          <w:rFonts w:ascii="Arial" w:hAnsi="Arial" w:cs="Arial"/>
          <w:sz w:val="18"/>
          <w:szCs w:val="18"/>
        </w:rPr>
      </w:pPr>
      <w:r w:rsidRPr="00735726">
        <w:rPr>
          <w:rFonts w:ascii="Arial" w:hAnsi="Arial" w:cs="Arial"/>
          <w:sz w:val="18"/>
          <w:szCs w:val="18"/>
        </w:rPr>
        <w:t xml:space="preserve">This award is for going above and beyond normal practice and continued and ongoing commitment to sustainability and environmental improvement. This relates not just to the natural environment an organisation holds in trust but also in its own practices and operations. </w:t>
      </w:r>
    </w:p>
    <w:p w14:paraId="3BAB4C57" w14:textId="01C381EB" w:rsidR="003851FE" w:rsidRPr="00735726" w:rsidRDefault="003851FE" w:rsidP="00886FBC">
      <w:pPr>
        <w:rPr>
          <w:rFonts w:ascii="Arial" w:hAnsi="Arial" w:cs="Arial"/>
          <w:sz w:val="18"/>
          <w:szCs w:val="18"/>
        </w:rPr>
      </w:pPr>
      <w:proofErr w:type="gramStart"/>
      <w:r w:rsidRPr="00735726">
        <w:rPr>
          <w:rFonts w:ascii="Arial" w:hAnsi="Arial" w:cs="Arial"/>
          <w:i/>
          <w:iCs/>
          <w:sz w:val="18"/>
          <w:szCs w:val="18"/>
        </w:rPr>
        <w:t>SOUTH WEST</w:t>
      </w:r>
      <w:proofErr w:type="gramEnd"/>
      <w:r w:rsidRPr="00735726">
        <w:rPr>
          <w:rFonts w:ascii="Arial" w:hAnsi="Arial" w:cs="Arial"/>
          <w:i/>
          <w:iCs/>
          <w:sz w:val="18"/>
          <w:szCs w:val="18"/>
        </w:rPr>
        <w:t xml:space="preserve"> PEATLAND PARTNERSHIP</w:t>
      </w:r>
      <w:r w:rsidRPr="00735726">
        <w:rPr>
          <w:rFonts w:ascii="Arial" w:hAnsi="Arial" w:cs="Arial"/>
          <w:i/>
          <w:iCs/>
          <w:sz w:val="18"/>
          <w:szCs w:val="18"/>
        </w:rPr>
        <w:br/>
      </w:r>
      <w:r w:rsidR="00C732D7" w:rsidRPr="00735726">
        <w:rPr>
          <w:rFonts w:ascii="Arial" w:hAnsi="Arial" w:cs="Arial"/>
          <w:sz w:val="18"/>
          <w:szCs w:val="18"/>
        </w:rPr>
        <w:t>In early 2026, the partnership premiered a short film</w:t>
      </w:r>
      <w:r w:rsidRPr="00735726">
        <w:rPr>
          <w:rFonts w:ascii="Arial" w:hAnsi="Arial" w:cs="Arial"/>
          <w:sz w:val="18"/>
          <w:szCs w:val="18"/>
        </w:rPr>
        <w:t xml:space="preserve"> </w:t>
      </w:r>
      <w:r w:rsidR="00C732D7" w:rsidRPr="00735726">
        <w:rPr>
          <w:rFonts w:ascii="Arial" w:hAnsi="Arial" w:cs="Arial"/>
          <w:sz w:val="18"/>
          <w:szCs w:val="18"/>
        </w:rPr>
        <w:t>called The Living Layer to raise awareness of the</w:t>
      </w:r>
      <w:r w:rsidRPr="00735726">
        <w:rPr>
          <w:rFonts w:ascii="Arial" w:hAnsi="Arial" w:cs="Arial"/>
          <w:sz w:val="18"/>
          <w:szCs w:val="18"/>
        </w:rPr>
        <w:t xml:space="preserve"> </w:t>
      </w:r>
      <w:r w:rsidR="00C732D7" w:rsidRPr="00735726">
        <w:rPr>
          <w:rFonts w:ascii="Arial" w:hAnsi="Arial" w:cs="Arial"/>
          <w:sz w:val="18"/>
          <w:szCs w:val="18"/>
        </w:rPr>
        <w:t>importance of peatland restoration and to give insight</w:t>
      </w:r>
      <w:r w:rsidRPr="00735726">
        <w:rPr>
          <w:rFonts w:ascii="Arial" w:hAnsi="Arial" w:cs="Arial"/>
          <w:sz w:val="18"/>
          <w:szCs w:val="18"/>
        </w:rPr>
        <w:t xml:space="preserve"> </w:t>
      </w:r>
      <w:r w:rsidR="00C732D7" w:rsidRPr="00735726">
        <w:rPr>
          <w:rFonts w:ascii="Arial" w:hAnsi="Arial" w:cs="Arial"/>
          <w:sz w:val="18"/>
          <w:szCs w:val="18"/>
        </w:rPr>
        <w:t>into the team’s work across Exmoor, Dartmoor and</w:t>
      </w:r>
      <w:r w:rsidRPr="00735726">
        <w:rPr>
          <w:rFonts w:ascii="Arial" w:hAnsi="Arial" w:cs="Arial"/>
          <w:sz w:val="18"/>
          <w:szCs w:val="18"/>
        </w:rPr>
        <w:t xml:space="preserve"> </w:t>
      </w:r>
      <w:r w:rsidR="00C732D7" w:rsidRPr="00735726">
        <w:rPr>
          <w:rFonts w:ascii="Arial" w:hAnsi="Arial" w:cs="Arial"/>
          <w:sz w:val="18"/>
          <w:szCs w:val="18"/>
        </w:rPr>
        <w:t>Bodmin. In 2025/26, over 2,370 people in total engaged</w:t>
      </w:r>
      <w:r w:rsidRPr="00735726">
        <w:rPr>
          <w:rFonts w:ascii="Arial" w:hAnsi="Arial" w:cs="Arial"/>
          <w:sz w:val="18"/>
          <w:szCs w:val="18"/>
        </w:rPr>
        <w:t xml:space="preserve"> </w:t>
      </w:r>
      <w:r w:rsidR="00C732D7" w:rsidRPr="00735726">
        <w:rPr>
          <w:rFonts w:ascii="Arial" w:hAnsi="Arial" w:cs="Arial"/>
          <w:sz w:val="18"/>
          <w:szCs w:val="18"/>
        </w:rPr>
        <w:t>with events, volunteer days and school excursions</w:t>
      </w:r>
      <w:r w:rsidRPr="00735726">
        <w:rPr>
          <w:rFonts w:ascii="Arial" w:hAnsi="Arial" w:cs="Arial"/>
          <w:sz w:val="18"/>
          <w:szCs w:val="18"/>
        </w:rPr>
        <w:t xml:space="preserve"> </w:t>
      </w:r>
      <w:r w:rsidR="00C732D7" w:rsidRPr="00735726">
        <w:rPr>
          <w:rFonts w:ascii="Arial" w:hAnsi="Arial" w:cs="Arial"/>
          <w:sz w:val="18"/>
          <w:szCs w:val="18"/>
        </w:rPr>
        <w:t>including a visit from Prince William, Duke of Cornwall,</w:t>
      </w:r>
      <w:r w:rsidRPr="00735726">
        <w:rPr>
          <w:rFonts w:ascii="Arial" w:hAnsi="Arial" w:cs="Arial"/>
          <w:sz w:val="18"/>
          <w:szCs w:val="18"/>
        </w:rPr>
        <w:t xml:space="preserve"> </w:t>
      </w:r>
      <w:r w:rsidR="00C732D7" w:rsidRPr="00735726">
        <w:rPr>
          <w:rFonts w:ascii="Arial" w:hAnsi="Arial" w:cs="Arial"/>
          <w:sz w:val="18"/>
          <w:szCs w:val="18"/>
        </w:rPr>
        <w:t>launching a 20-year plan for the Duchy’s Dartmoor Estate</w:t>
      </w:r>
      <w:r w:rsidRPr="00735726">
        <w:rPr>
          <w:rFonts w:ascii="Arial" w:hAnsi="Arial" w:cs="Arial"/>
          <w:sz w:val="18"/>
          <w:szCs w:val="18"/>
        </w:rPr>
        <w:t xml:space="preserve"> </w:t>
      </w:r>
      <w:r w:rsidR="00C732D7" w:rsidRPr="00735726">
        <w:rPr>
          <w:rFonts w:ascii="Arial" w:hAnsi="Arial" w:cs="Arial"/>
          <w:sz w:val="18"/>
          <w:szCs w:val="18"/>
        </w:rPr>
        <w:t>which includes areas of the peatland programme.</w:t>
      </w:r>
      <w:r w:rsidRPr="00735726">
        <w:rPr>
          <w:rFonts w:ascii="Arial" w:hAnsi="Arial" w:cs="Arial"/>
          <w:sz w:val="18"/>
          <w:szCs w:val="18"/>
        </w:rPr>
        <w:t xml:space="preserve"> </w:t>
      </w:r>
    </w:p>
    <w:p w14:paraId="2EAE94C8" w14:textId="77777777" w:rsidR="00886FBC" w:rsidRPr="00735726" w:rsidRDefault="00C732D7" w:rsidP="00C732D7">
      <w:pPr>
        <w:rPr>
          <w:rFonts w:ascii="Arial" w:hAnsi="Arial" w:cs="Arial"/>
          <w:b/>
          <w:bCs/>
          <w:sz w:val="18"/>
          <w:szCs w:val="18"/>
        </w:rPr>
      </w:pPr>
      <w:r w:rsidRPr="00735726">
        <w:rPr>
          <w:rFonts w:ascii="Arial" w:hAnsi="Arial" w:cs="Arial"/>
          <w:sz w:val="18"/>
          <w:szCs w:val="18"/>
        </w:rPr>
        <w:t>In 2025/26, the programme delivered 254 hectares of</w:t>
      </w:r>
      <w:r w:rsidR="003851FE" w:rsidRPr="00735726">
        <w:rPr>
          <w:rFonts w:ascii="Arial" w:hAnsi="Arial" w:cs="Arial"/>
          <w:sz w:val="18"/>
          <w:szCs w:val="18"/>
        </w:rPr>
        <w:t xml:space="preserve"> </w:t>
      </w:r>
      <w:r w:rsidRPr="00735726">
        <w:rPr>
          <w:rFonts w:ascii="Arial" w:hAnsi="Arial" w:cs="Arial"/>
          <w:sz w:val="18"/>
          <w:szCs w:val="18"/>
        </w:rPr>
        <w:t>peatland restoration with the support of 120 registered</w:t>
      </w:r>
      <w:r w:rsidR="003851FE" w:rsidRPr="00735726">
        <w:rPr>
          <w:rFonts w:ascii="Arial" w:hAnsi="Arial" w:cs="Arial"/>
          <w:sz w:val="18"/>
          <w:szCs w:val="18"/>
        </w:rPr>
        <w:t xml:space="preserve"> </w:t>
      </w:r>
      <w:r w:rsidRPr="00735726">
        <w:rPr>
          <w:rFonts w:ascii="Arial" w:hAnsi="Arial" w:cs="Arial"/>
          <w:sz w:val="18"/>
          <w:szCs w:val="18"/>
        </w:rPr>
        <w:t>volunteers and more than 20 local partners, farmers,</w:t>
      </w:r>
      <w:r w:rsidR="003851FE" w:rsidRPr="00735726">
        <w:rPr>
          <w:rFonts w:ascii="Arial" w:hAnsi="Arial" w:cs="Arial"/>
          <w:sz w:val="18"/>
          <w:szCs w:val="18"/>
        </w:rPr>
        <w:t xml:space="preserve"> </w:t>
      </w:r>
      <w:r w:rsidRPr="00735726">
        <w:rPr>
          <w:rFonts w:ascii="Arial" w:hAnsi="Arial" w:cs="Arial"/>
          <w:sz w:val="18"/>
          <w:szCs w:val="18"/>
        </w:rPr>
        <w:t>landowners, and funders.</w:t>
      </w:r>
      <w:r w:rsidRPr="00735726">
        <w:rPr>
          <w:rFonts w:ascii="Arial" w:hAnsi="Arial" w:cs="Arial"/>
          <w:b/>
          <w:bCs/>
          <w:sz w:val="18"/>
          <w:szCs w:val="18"/>
        </w:rPr>
        <w:t xml:space="preserve"> </w:t>
      </w:r>
    </w:p>
    <w:p w14:paraId="0BC29537" w14:textId="6F940C98" w:rsidR="00922550" w:rsidRPr="00735726" w:rsidRDefault="00886FBC" w:rsidP="00922550">
      <w:pPr>
        <w:rPr>
          <w:rFonts w:ascii="Arial" w:hAnsi="Arial" w:cs="Arial"/>
          <w:sz w:val="18"/>
          <w:szCs w:val="18"/>
        </w:rPr>
      </w:pPr>
      <w:r w:rsidRPr="00735726">
        <w:rPr>
          <w:rFonts w:ascii="Arial" w:hAnsi="Arial" w:cs="Arial"/>
          <w:b/>
          <w:bCs/>
          <w:sz w:val="18"/>
          <w:szCs w:val="18"/>
        </w:rPr>
        <w:t>OUR NET ZERO TRANSITION</w:t>
      </w:r>
      <w:r w:rsidR="00D62E2B" w:rsidRPr="00735726">
        <w:rPr>
          <w:rFonts w:ascii="Arial" w:hAnsi="Arial" w:cs="Arial"/>
          <w:sz w:val="18"/>
          <w:szCs w:val="18"/>
        </w:rPr>
        <w:br/>
      </w:r>
      <w:r w:rsidR="00922550" w:rsidRPr="00735726">
        <w:rPr>
          <w:rFonts w:ascii="Arial" w:hAnsi="Arial" w:cs="Arial"/>
          <w:sz w:val="18"/>
          <w:szCs w:val="18"/>
        </w:rPr>
        <w:t xml:space="preserve">Our commitment to Net Zero goes hand in hand with climate adaptation. </w:t>
      </w:r>
    </w:p>
    <w:p w14:paraId="2CF2BFCF" w14:textId="7D0560AE" w:rsidR="00886FBC" w:rsidRPr="00735726" w:rsidRDefault="00886FBC" w:rsidP="00922550">
      <w:pPr>
        <w:rPr>
          <w:rFonts w:ascii="Arial" w:hAnsi="Arial" w:cs="Arial"/>
          <w:sz w:val="18"/>
          <w:szCs w:val="18"/>
        </w:rPr>
      </w:pPr>
      <w:r w:rsidRPr="00735726">
        <w:rPr>
          <w:rFonts w:ascii="Arial" w:hAnsi="Arial" w:cs="Arial"/>
          <w:sz w:val="18"/>
          <w:szCs w:val="18"/>
        </w:rPr>
        <w:t xml:space="preserve">Read more about our progress on our Net Zero transition on pages </w:t>
      </w:r>
      <w:r w:rsidR="00BE3FB6" w:rsidRPr="009A2CAE">
        <w:rPr>
          <w:rFonts w:ascii="Arial" w:hAnsi="Arial" w:cs="Arial"/>
          <w:sz w:val="18"/>
          <w:szCs w:val="18"/>
        </w:rPr>
        <w:t>78 to 82</w:t>
      </w:r>
      <w:r w:rsidRPr="00735726">
        <w:rPr>
          <w:rFonts w:ascii="Arial" w:hAnsi="Arial" w:cs="Arial"/>
          <w:sz w:val="18"/>
          <w:szCs w:val="18"/>
        </w:rPr>
        <w:t xml:space="preserve"> in the Pennon Group </w:t>
      </w:r>
      <w:r w:rsidR="0078265F" w:rsidRPr="00735726">
        <w:rPr>
          <w:rFonts w:ascii="Arial" w:hAnsi="Arial" w:cs="Arial"/>
          <w:sz w:val="18"/>
          <w:szCs w:val="18"/>
        </w:rPr>
        <w:t xml:space="preserve">plc </w:t>
      </w:r>
      <w:r w:rsidR="008016B1" w:rsidRPr="00735726">
        <w:rPr>
          <w:rFonts w:ascii="Arial" w:hAnsi="Arial" w:cs="Arial"/>
          <w:sz w:val="18"/>
          <w:szCs w:val="18"/>
        </w:rPr>
        <w:t>A</w:t>
      </w:r>
      <w:r w:rsidRPr="00735726">
        <w:rPr>
          <w:rFonts w:ascii="Arial" w:hAnsi="Arial" w:cs="Arial"/>
          <w:sz w:val="18"/>
          <w:szCs w:val="18"/>
        </w:rPr>
        <w:t xml:space="preserve">nnual </w:t>
      </w:r>
      <w:r w:rsidR="008016B1" w:rsidRPr="00735726">
        <w:rPr>
          <w:rFonts w:ascii="Arial" w:hAnsi="Arial" w:cs="Arial"/>
          <w:sz w:val="18"/>
          <w:szCs w:val="18"/>
        </w:rPr>
        <w:t>R</w:t>
      </w:r>
      <w:r w:rsidRPr="00735726">
        <w:rPr>
          <w:rFonts w:ascii="Arial" w:hAnsi="Arial" w:cs="Arial"/>
          <w:sz w:val="18"/>
          <w:szCs w:val="18"/>
        </w:rPr>
        <w:t xml:space="preserve">eport and </w:t>
      </w:r>
      <w:r w:rsidR="008016B1" w:rsidRPr="00735726">
        <w:rPr>
          <w:rFonts w:ascii="Arial" w:hAnsi="Arial" w:cs="Arial"/>
          <w:sz w:val="18"/>
          <w:szCs w:val="18"/>
        </w:rPr>
        <w:t>A</w:t>
      </w:r>
      <w:r w:rsidRPr="00735726">
        <w:rPr>
          <w:rFonts w:ascii="Arial" w:hAnsi="Arial" w:cs="Arial"/>
          <w:sz w:val="18"/>
          <w:szCs w:val="18"/>
        </w:rPr>
        <w:t>ccounts 2026.</w:t>
      </w:r>
    </w:p>
    <w:p w14:paraId="3E573777" w14:textId="7BBB9966" w:rsidR="00E95784" w:rsidRPr="00735726" w:rsidRDefault="00886FBC" w:rsidP="00886FBC">
      <w:pPr>
        <w:rPr>
          <w:rFonts w:ascii="Arial" w:hAnsi="Arial" w:cs="Arial"/>
          <w:sz w:val="18"/>
          <w:szCs w:val="18"/>
        </w:rPr>
      </w:pPr>
      <w:r w:rsidRPr="00735726">
        <w:rPr>
          <w:rFonts w:ascii="Arial" w:hAnsi="Arial" w:cs="Arial"/>
          <w:b/>
          <w:bCs/>
          <w:sz w:val="18"/>
          <w:szCs w:val="18"/>
        </w:rPr>
        <w:t>CLIMATE ADAPTATION</w:t>
      </w:r>
      <w:r w:rsidR="00D62E2B" w:rsidRPr="00735726">
        <w:rPr>
          <w:rFonts w:ascii="Arial" w:hAnsi="Arial" w:cs="Arial"/>
          <w:sz w:val="18"/>
          <w:szCs w:val="18"/>
        </w:rPr>
        <w:br/>
      </w:r>
      <w:r w:rsidRPr="00735726">
        <w:rPr>
          <w:rFonts w:ascii="Arial" w:hAnsi="Arial" w:cs="Arial"/>
          <w:sz w:val="18"/>
          <w:szCs w:val="18"/>
        </w:rPr>
        <w:t xml:space="preserve">We’re continuing to evolve how we work to meet the growing challenges of climate change, such as more intense rainfall, hotter summers, and rising sea levels, by embedding resilience into our infrastructure and planning. </w:t>
      </w:r>
    </w:p>
    <w:p w14:paraId="75BCB741" w14:textId="06B08E7E" w:rsidR="00886FBC" w:rsidRPr="00735726" w:rsidRDefault="00886FBC" w:rsidP="00886FBC">
      <w:pPr>
        <w:rPr>
          <w:rFonts w:ascii="Arial" w:hAnsi="Arial" w:cs="Arial"/>
          <w:sz w:val="18"/>
          <w:szCs w:val="18"/>
        </w:rPr>
      </w:pPr>
      <w:r w:rsidRPr="00735726">
        <w:rPr>
          <w:rFonts w:ascii="Arial" w:hAnsi="Arial" w:cs="Arial"/>
          <w:sz w:val="18"/>
          <w:szCs w:val="18"/>
        </w:rPr>
        <w:t>We assess climate risks across our operations, using</w:t>
      </w:r>
      <w:r w:rsidR="00404653" w:rsidRPr="00735726">
        <w:rPr>
          <w:rFonts w:ascii="Arial" w:hAnsi="Arial" w:cs="Arial"/>
          <w:sz w:val="18"/>
          <w:szCs w:val="18"/>
        </w:rPr>
        <w:t xml:space="preserve"> </w:t>
      </w:r>
      <w:r w:rsidRPr="00735726">
        <w:rPr>
          <w:rFonts w:ascii="Arial" w:hAnsi="Arial" w:cs="Arial"/>
          <w:sz w:val="18"/>
          <w:szCs w:val="18"/>
        </w:rPr>
        <w:t>these insights to</w:t>
      </w:r>
      <w:r w:rsidR="00404653" w:rsidRPr="00735726">
        <w:rPr>
          <w:rFonts w:ascii="Arial" w:hAnsi="Arial" w:cs="Arial"/>
          <w:sz w:val="18"/>
          <w:szCs w:val="18"/>
        </w:rPr>
        <w:t xml:space="preserve"> </w:t>
      </w:r>
      <w:r w:rsidRPr="00735726">
        <w:rPr>
          <w:rFonts w:ascii="Arial" w:hAnsi="Arial" w:cs="Arial"/>
          <w:sz w:val="18"/>
          <w:szCs w:val="18"/>
        </w:rPr>
        <w:t>guide investment and ensure our assets</w:t>
      </w:r>
      <w:r w:rsidR="00404653" w:rsidRPr="00735726">
        <w:rPr>
          <w:rFonts w:ascii="Arial" w:hAnsi="Arial" w:cs="Arial"/>
          <w:sz w:val="18"/>
          <w:szCs w:val="18"/>
        </w:rPr>
        <w:t xml:space="preserve"> </w:t>
      </w:r>
      <w:r w:rsidRPr="00735726">
        <w:rPr>
          <w:rFonts w:ascii="Arial" w:hAnsi="Arial" w:cs="Arial"/>
          <w:sz w:val="18"/>
          <w:szCs w:val="18"/>
        </w:rPr>
        <w:t>are future ready. We work with landowners and farmers</w:t>
      </w:r>
      <w:r w:rsidR="00404653" w:rsidRPr="00735726">
        <w:rPr>
          <w:rFonts w:ascii="Arial" w:hAnsi="Arial" w:cs="Arial"/>
          <w:sz w:val="18"/>
          <w:szCs w:val="18"/>
        </w:rPr>
        <w:t xml:space="preserve"> </w:t>
      </w:r>
      <w:r w:rsidRPr="00735726">
        <w:rPr>
          <w:rFonts w:ascii="Arial" w:hAnsi="Arial" w:cs="Arial"/>
          <w:sz w:val="18"/>
          <w:szCs w:val="18"/>
        </w:rPr>
        <w:t>to restore wetlands and improve soil health, drawing on</w:t>
      </w:r>
      <w:r w:rsidR="00404653" w:rsidRPr="00735726">
        <w:rPr>
          <w:rFonts w:ascii="Arial" w:hAnsi="Arial" w:cs="Arial"/>
          <w:sz w:val="18"/>
          <w:szCs w:val="18"/>
        </w:rPr>
        <w:t xml:space="preserve"> </w:t>
      </w:r>
      <w:r w:rsidRPr="00735726">
        <w:rPr>
          <w:rFonts w:ascii="Arial" w:hAnsi="Arial" w:cs="Arial"/>
          <w:sz w:val="18"/>
          <w:szCs w:val="18"/>
        </w:rPr>
        <w:t>learning from the Ofwat Innovation-funded Water</w:t>
      </w:r>
      <w:r w:rsidR="00404653" w:rsidRPr="00735726">
        <w:rPr>
          <w:rFonts w:ascii="Arial" w:hAnsi="Arial" w:cs="Arial"/>
          <w:sz w:val="18"/>
          <w:szCs w:val="18"/>
        </w:rPr>
        <w:t xml:space="preserve"> </w:t>
      </w:r>
      <w:r w:rsidRPr="00735726">
        <w:rPr>
          <w:rFonts w:ascii="Arial" w:hAnsi="Arial" w:cs="Arial"/>
          <w:sz w:val="18"/>
          <w:szCs w:val="18"/>
        </w:rPr>
        <w:t>Net</w:t>
      </w:r>
      <w:r w:rsidR="00404653" w:rsidRPr="00735726">
        <w:rPr>
          <w:rFonts w:ascii="Arial" w:hAnsi="Arial" w:cs="Arial"/>
          <w:sz w:val="18"/>
          <w:szCs w:val="18"/>
        </w:rPr>
        <w:t xml:space="preserve"> </w:t>
      </w:r>
      <w:r w:rsidRPr="00735726">
        <w:rPr>
          <w:rFonts w:ascii="Arial" w:hAnsi="Arial" w:cs="Arial"/>
          <w:sz w:val="18"/>
          <w:szCs w:val="18"/>
        </w:rPr>
        <w:t>Gain project, which explores how nature-based solutions</w:t>
      </w:r>
      <w:r w:rsidR="00404653" w:rsidRPr="00735726">
        <w:rPr>
          <w:rFonts w:ascii="Arial" w:hAnsi="Arial" w:cs="Arial"/>
          <w:sz w:val="18"/>
          <w:szCs w:val="18"/>
        </w:rPr>
        <w:t xml:space="preserve"> </w:t>
      </w:r>
      <w:r w:rsidRPr="00735726">
        <w:rPr>
          <w:rFonts w:ascii="Arial" w:hAnsi="Arial" w:cs="Arial"/>
          <w:sz w:val="18"/>
          <w:szCs w:val="18"/>
        </w:rPr>
        <w:t>can deliver multiple environmental benefits and climate</w:t>
      </w:r>
      <w:r w:rsidR="00404653" w:rsidRPr="00735726">
        <w:rPr>
          <w:rFonts w:ascii="Arial" w:hAnsi="Arial" w:cs="Arial"/>
          <w:sz w:val="18"/>
          <w:szCs w:val="18"/>
        </w:rPr>
        <w:t xml:space="preserve"> </w:t>
      </w:r>
      <w:r w:rsidRPr="00735726">
        <w:rPr>
          <w:rFonts w:ascii="Arial" w:hAnsi="Arial" w:cs="Arial"/>
          <w:sz w:val="18"/>
          <w:szCs w:val="18"/>
        </w:rPr>
        <w:t>resilience.</w:t>
      </w:r>
    </w:p>
    <w:p w14:paraId="199CD19D" w14:textId="77777777" w:rsidR="003C3D62" w:rsidRPr="009A2CAE" w:rsidRDefault="00886FBC" w:rsidP="00404653">
      <w:pPr>
        <w:rPr>
          <w:rFonts w:ascii="Arial" w:hAnsi="Arial" w:cs="Arial"/>
          <w:b/>
          <w:bCs/>
          <w:sz w:val="18"/>
          <w:szCs w:val="18"/>
        </w:rPr>
      </w:pPr>
      <w:r w:rsidRPr="00735726">
        <w:rPr>
          <w:rFonts w:ascii="Arial" w:hAnsi="Arial" w:cs="Arial"/>
          <w:sz w:val="18"/>
          <w:szCs w:val="18"/>
        </w:rPr>
        <w:t>Our Green First approach combines natural and</w:t>
      </w:r>
      <w:r w:rsidR="00404653" w:rsidRPr="00735726">
        <w:rPr>
          <w:rFonts w:ascii="Arial" w:hAnsi="Arial" w:cs="Arial"/>
          <w:sz w:val="18"/>
          <w:szCs w:val="18"/>
        </w:rPr>
        <w:t xml:space="preserve"> </w:t>
      </w:r>
      <w:r w:rsidRPr="00735726">
        <w:rPr>
          <w:rFonts w:ascii="Arial" w:hAnsi="Arial" w:cs="Arial"/>
          <w:sz w:val="18"/>
          <w:szCs w:val="18"/>
        </w:rPr>
        <w:t>engineered solutions to support flood mitigation, carbon</w:t>
      </w:r>
      <w:r w:rsidR="00404653" w:rsidRPr="00735726">
        <w:rPr>
          <w:rFonts w:ascii="Arial" w:hAnsi="Arial" w:cs="Arial"/>
          <w:sz w:val="18"/>
          <w:szCs w:val="18"/>
        </w:rPr>
        <w:t xml:space="preserve"> </w:t>
      </w:r>
      <w:r w:rsidRPr="00735726">
        <w:rPr>
          <w:rFonts w:ascii="Arial" w:hAnsi="Arial" w:cs="Arial"/>
          <w:sz w:val="18"/>
          <w:szCs w:val="18"/>
        </w:rPr>
        <w:t>capture, and biodiversity. We’re also helping communities</w:t>
      </w:r>
      <w:r w:rsidR="00404653" w:rsidRPr="00735726">
        <w:rPr>
          <w:rFonts w:ascii="Arial" w:hAnsi="Arial" w:cs="Arial"/>
          <w:sz w:val="18"/>
          <w:szCs w:val="18"/>
        </w:rPr>
        <w:t xml:space="preserve"> </w:t>
      </w:r>
      <w:r w:rsidRPr="00735726">
        <w:rPr>
          <w:rFonts w:ascii="Arial" w:hAnsi="Arial" w:cs="Arial"/>
          <w:sz w:val="18"/>
          <w:szCs w:val="18"/>
        </w:rPr>
        <w:t>adapt by promoting sustainable behaviours</w:t>
      </w:r>
      <w:r w:rsidR="00404653" w:rsidRPr="00735726">
        <w:rPr>
          <w:rFonts w:ascii="Arial" w:hAnsi="Arial" w:cs="Arial"/>
          <w:sz w:val="18"/>
          <w:szCs w:val="18"/>
        </w:rPr>
        <w:t xml:space="preserve"> </w:t>
      </w:r>
      <w:r w:rsidRPr="00735726">
        <w:rPr>
          <w:rFonts w:ascii="Arial" w:hAnsi="Arial" w:cs="Arial"/>
          <w:sz w:val="18"/>
          <w:szCs w:val="18"/>
        </w:rPr>
        <w:t>and raising</w:t>
      </w:r>
      <w:r w:rsidR="00404653" w:rsidRPr="00735726">
        <w:rPr>
          <w:rFonts w:ascii="Arial" w:hAnsi="Arial" w:cs="Arial"/>
          <w:sz w:val="18"/>
          <w:szCs w:val="18"/>
        </w:rPr>
        <w:t xml:space="preserve"> </w:t>
      </w:r>
      <w:r w:rsidRPr="00735726">
        <w:rPr>
          <w:rFonts w:ascii="Arial" w:hAnsi="Arial" w:cs="Arial"/>
          <w:sz w:val="18"/>
          <w:szCs w:val="18"/>
        </w:rPr>
        <w:t>awareness, building a resilient future for people, nature,</w:t>
      </w:r>
      <w:r w:rsidR="00404653" w:rsidRPr="00735726">
        <w:rPr>
          <w:rFonts w:ascii="Arial" w:hAnsi="Arial" w:cs="Arial"/>
          <w:sz w:val="18"/>
          <w:szCs w:val="18"/>
        </w:rPr>
        <w:t xml:space="preserve"> </w:t>
      </w:r>
      <w:r w:rsidRPr="00735726">
        <w:rPr>
          <w:rFonts w:ascii="Arial" w:hAnsi="Arial" w:cs="Arial"/>
          <w:sz w:val="18"/>
          <w:szCs w:val="18"/>
        </w:rPr>
        <w:t>and generations to come.</w:t>
      </w:r>
      <w:r w:rsidRPr="009A2CAE">
        <w:rPr>
          <w:rFonts w:ascii="Arial" w:hAnsi="Arial" w:cs="Arial"/>
          <w:b/>
          <w:bCs/>
          <w:sz w:val="18"/>
          <w:szCs w:val="18"/>
        </w:rPr>
        <w:t xml:space="preserve"> </w:t>
      </w:r>
    </w:p>
    <w:p w14:paraId="28CB8457" w14:textId="0558C559" w:rsidR="003C3D62" w:rsidRPr="009A2CAE" w:rsidRDefault="003C3D62" w:rsidP="00277639">
      <w:pPr>
        <w:spacing w:after="160"/>
        <w:rPr>
          <w:rFonts w:ascii="Arial" w:hAnsi="Arial" w:cs="Arial"/>
          <w:sz w:val="18"/>
          <w:szCs w:val="18"/>
        </w:rPr>
      </w:pPr>
      <w:r w:rsidRPr="00735726">
        <w:rPr>
          <w:rFonts w:ascii="Arial" w:hAnsi="Arial" w:cs="Arial"/>
          <w:b/>
          <w:bCs/>
          <w:sz w:val="18"/>
          <w:szCs w:val="18"/>
        </w:rPr>
        <w:t>OPERATIONAL KPIs</w:t>
      </w:r>
      <w:r w:rsidR="00D62E2B" w:rsidRPr="00735726">
        <w:rPr>
          <w:rFonts w:ascii="Arial" w:hAnsi="Arial" w:cs="Arial"/>
          <w:sz w:val="18"/>
          <w:szCs w:val="18"/>
        </w:rPr>
        <w:br/>
      </w:r>
      <w:r w:rsidRPr="00735726">
        <w:rPr>
          <w:rFonts w:ascii="Arial" w:hAnsi="Arial" w:cs="Arial"/>
          <w:sz w:val="18"/>
          <w:szCs w:val="18"/>
        </w:rPr>
        <w:t xml:space="preserve">More information can be found in </w:t>
      </w:r>
      <w:r w:rsidR="00D061A3" w:rsidRPr="00735726">
        <w:rPr>
          <w:rFonts w:ascii="Arial" w:hAnsi="Arial" w:cs="Arial"/>
          <w:sz w:val="18"/>
          <w:szCs w:val="18"/>
        </w:rPr>
        <w:t xml:space="preserve">the </w:t>
      </w:r>
      <w:r w:rsidRPr="00735726">
        <w:rPr>
          <w:rFonts w:ascii="Arial" w:hAnsi="Arial" w:cs="Arial"/>
          <w:sz w:val="18"/>
          <w:szCs w:val="18"/>
        </w:rPr>
        <w:t>Pennon Group</w:t>
      </w:r>
      <w:r w:rsidR="0078265F" w:rsidRPr="00735726">
        <w:rPr>
          <w:rFonts w:ascii="Arial" w:hAnsi="Arial" w:cs="Arial"/>
          <w:sz w:val="18"/>
          <w:szCs w:val="18"/>
        </w:rPr>
        <w:t xml:space="preserve"> plc</w:t>
      </w:r>
      <w:r w:rsidRPr="00735726">
        <w:rPr>
          <w:rFonts w:ascii="Arial" w:hAnsi="Arial" w:cs="Arial"/>
          <w:sz w:val="18"/>
          <w:szCs w:val="18"/>
        </w:rPr>
        <w:t xml:space="preserve"> Annual Report and Accounts 2026 </w:t>
      </w:r>
      <w:r w:rsidRPr="009A2CAE">
        <w:rPr>
          <w:rFonts w:ascii="Arial" w:hAnsi="Arial" w:cs="Arial"/>
          <w:sz w:val="18"/>
          <w:szCs w:val="18"/>
        </w:rPr>
        <w:t>page</w:t>
      </w:r>
      <w:r w:rsidR="00BE3FB6" w:rsidRPr="009A2CAE">
        <w:rPr>
          <w:rFonts w:ascii="Arial" w:hAnsi="Arial" w:cs="Arial"/>
          <w:sz w:val="18"/>
          <w:szCs w:val="18"/>
        </w:rPr>
        <w:t xml:space="preserve"> 46</w:t>
      </w:r>
      <w:r w:rsidRPr="009A2CAE">
        <w:rPr>
          <w:rFonts w:ascii="Arial" w:hAnsi="Arial" w:cs="Arial"/>
          <w:sz w:val="18"/>
          <w:szCs w:val="18"/>
        </w:rPr>
        <w:t>.</w:t>
      </w:r>
    </w:p>
    <w:p w14:paraId="56FD31A0" w14:textId="7E8000D5" w:rsidR="002F2D32" w:rsidRPr="009A2CAE" w:rsidRDefault="00222E9F" w:rsidP="00404653">
      <w:pPr>
        <w:rPr>
          <w:rFonts w:ascii="Arial" w:hAnsi="Arial" w:cs="Arial"/>
          <w:sz w:val="32"/>
          <w:szCs w:val="32"/>
        </w:rPr>
      </w:pPr>
      <w:r w:rsidRPr="009A2CAE">
        <w:rPr>
          <w:rFonts w:ascii="Arial" w:hAnsi="Arial" w:cs="Arial"/>
          <w:b/>
          <w:bCs/>
          <w:sz w:val="18"/>
          <w:szCs w:val="18"/>
        </w:rPr>
        <w:br w:type="page"/>
      </w:r>
      <w:r w:rsidR="002F2D32" w:rsidRPr="00735726">
        <w:rPr>
          <w:rFonts w:ascii="Arial" w:hAnsi="Arial" w:cs="Arial"/>
          <w:sz w:val="32"/>
          <w:szCs w:val="32"/>
        </w:rPr>
        <w:lastRenderedPageBreak/>
        <w:t>SUPPORTING AFFORDABILITY, DELIVERING FOR CUSTOMERS</w:t>
      </w:r>
    </w:p>
    <w:p w14:paraId="50926E4E" w14:textId="3C684A92" w:rsidR="002F2D32" w:rsidRPr="00735726" w:rsidRDefault="002F2D32" w:rsidP="002F2D32">
      <w:pPr>
        <w:rPr>
          <w:rFonts w:ascii="Arial" w:hAnsi="Arial" w:cs="Arial"/>
          <w:sz w:val="18"/>
          <w:szCs w:val="18"/>
        </w:rPr>
      </w:pPr>
      <w:r w:rsidRPr="00735726">
        <w:rPr>
          <w:rFonts w:ascii="Arial" w:hAnsi="Arial" w:cs="Arial"/>
          <w:sz w:val="18"/>
          <w:szCs w:val="18"/>
        </w:rPr>
        <w:t xml:space="preserve">As providers of essential </w:t>
      </w:r>
      <w:proofErr w:type="gramStart"/>
      <w:r w:rsidRPr="00735726">
        <w:rPr>
          <w:rFonts w:ascii="Arial" w:hAnsi="Arial" w:cs="Arial"/>
          <w:sz w:val="18"/>
          <w:szCs w:val="18"/>
        </w:rPr>
        <w:t>services</w:t>
      </w:r>
      <w:proofErr w:type="gramEnd"/>
      <w:r w:rsidRPr="00735726">
        <w:rPr>
          <w:rFonts w:ascii="Arial" w:hAnsi="Arial" w:cs="Arial"/>
          <w:sz w:val="18"/>
          <w:szCs w:val="18"/>
        </w:rPr>
        <w:t xml:space="preserve"> we play a vital role in the health and economic wellbeing of our communities; we are committed to delivering on the priorities of our customers, whilst keeping bills affordable.</w:t>
      </w:r>
    </w:p>
    <w:p w14:paraId="0399A926" w14:textId="400E9E58" w:rsidR="002F2D32" w:rsidRPr="00735726" w:rsidRDefault="002F2D32" w:rsidP="002F2D32">
      <w:pPr>
        <w:rPr>
          <w:rFonts w:ascii="Arial" w:hAnsi="Arial" w:cs="Arial"/>
          <w:sz w:val="18"/>
          <w:szCs w:val="18"/>
        </w:rPr>
      </w:pPr>
      <w:r w:rsidRPr="00735726">
        <w:rPr>
          <w:rFonts w:ascii="Arial" w:hAnsi="Arial" w:cs="Arial"/>
          <w:i/>
          <w:iCs/>
          <w:sz w:val="18"/>
          <w:szCs w:val="18"/>
        </w:rPr>
        <w:t>KEEPING BILLS AFFORDABLE WHILE DELIVERING ESSENTIAL INVESTMENT</w:t>
      </w:r>
      <w:r w:rsidRPr="00735726">
        <w:rPr>
          <w:rFonts w:ascii="Arial" w:hAnsi="Arial" w:cs="Arial"/>
          <w:i/>
          <w:iCs/>
          <w:sz w:val="18"/>
          <w:szCs w:val="18"/>
        </w:rPr>
        <w:br/>
      </w:r>
      <w:r w:rsidRPr="00735726">
        <w:rPr>
          <w:rFonts w:ascii="Arial" w:hAnsi="Arial" w:cs="Arial"/>
          <w:sz w:val="18"/>
          <w:szCs w:val="18"/>
        </w:rPr>
        <w:t>Affordability starts with delivering high-quality services at the lowest sustainable cost. Over the past decade, we have focused on operational efficiency, productivity and strong customer service, helping to keep bill increases below headline inflation. The water sector is now entering a period of unprecedented, regulator-approved investment to 2030, designed to secure safe and clean drinking water, reduce storm overflow spills, protect and enhance the environment, strengthen network resilience and prepare for climate change.</w:t>
      </w:r>
    </w:p>
    <w:p w14:paraId="00945445" w14:textId="77777777" w:rsidR="002F2D32" w:rsidRPr="00735726" w:rsidRDefault="002F2D32" w:rsidP="002F2D32">
      <w:pPr>
        <w:rPr>
          <w:rFonts w:ascii="Arial" w:hAnsi="Arial" w:cs="Arial"/>
          <w:sz w:val="18"/>
          <w:szCs w:val="18"/>
        </w:rPr>
      </w:pPr>
      <w:r w:rsidRPr="00735726">
        <w:rPr>
          <w:rFonts w:ascii="Arial" w:hAnsi="Arial" w:cs="Arial"/>
          <w:sz w:val="18"/>
          <w:szCs w:val="18"/>
        </w:rPr>
        <w:t xml:space="preserve">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the challenge is particularly pronounced. Our network serves more than 157 designated bathing waters across a large and geographically diverse region, supported by a comparatively small customer base. Customers rightly care deeply about protecting the rivers, beaches and coastal waters that are central to local communities, health, wellbeing and the regional economy. Delivering that protection requires higher infrastructure and operating costs than many other regions, and this contributed to a step-change in bills in 2025/26, and a further increase in 2026/27. While the increase in the second year was lower, with inflation remaining high, we know affordability pressures remain a concern for many households. </w:t>
      </w:r>
    </w:p>
    <w:p w14:paraId="2193301A" w14:textId="0A89ECE4" w:rsidR="002F2D32" w:rsidRPr="00735726" w:rsidRDefault="002F2D32" w:rsidP="002F2D32">
      <w:pPr>
        <w:rPr>
          <w:rFonts w:ascii="Arial" w:hAnsi="Arial" w:cs="Arial"/>
          <w:sz w:val="18"/>
          <w:szCs w:val="18"/>
        </w:rPr>
      </w:pPr>
      <w:r w:rsidRPr="00735726">
        <w:rPr>
          <w:rFonts w:ascii="Arial" w:hAnsi="Arial" w:cs="Arial"/>
          <w:i/>
          <w:iCs/>
          <w:sz w:val="18"/>
          <w:szCs w:val="18"/>
        </w:rPr>
        <w:t>UNDERSTANDING THE IMPACT ON CUSTOMERS</w:t>
      </w:r>
      <w:r w:rsidRPr="00735726">
        <w:rPr>
          <w:rFonts w:ascii="Arial" w:hAnsi="Arial" w:cs="Arial"/>
          <w:i/>
          <w:iCs/>
          <w:sz w:val="18"/>
          <w:szCs w:val="18"/>
        </w:rPr>
        <w:br/>
      </w:r>
      <w:r w:rsidRPr="00735726">
        <w:rPr>
          <w:rFonts w:ascii="Arial" w:hAnsi="Arial" w:cs="Arial"/>
          <w:sz w:val="18"/>
          <w:szCs w:val="18"/>
        </w:rPr>
        <w:t xml:space="preserve">Bills across the UK water sector have increased by around 25% for the 2025/26 year, and whilst this was supported by customers in terms of the need for greater investment, the impact on bills has been challenging at an individual level. We have seen a significant step up in the past year in the volume of contact received from customers </w:t>
      </w:r>
      <w:r w:rsidR="006C1BA9" w:rsidRPr="00735726">
        <w:rPr>
          <w:rFonts w:ascii="Arial" w:hAnsi="Arial" w:cs="Arial"/>
          <w:sz w:val="18"/>
          <w:szCs w:val="18"/>
        </w:rPr>
        <w:t xml:space="preserve">- </w:t>
      </w:r>
      <w:r w:rsidRPr="00735726">
        <w:rPr>
          <w:rFonts w:ascii="Arial" w:hAnsi="Arial" w:cs="Arial"/>
          <w:sz w:val="18"/>
          <w:szCs w:val="18"/>
        </w:rPr>
        <w:t xml:space="preserve">both who need support with the affordability of their bill, or for more information and understanding on what their bill is paying for. 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region, the removal of the GC50 government contribution has further increased the year-on-year impact for customers of their water bills.</w:t>
      </w:r>
    </w:p>
    <w:p w14:paraId="41CAC432" w14:textId="1B83F1CB" w:rsidR="002F2D32" w:rsidRPr="00735726" w:rsidRDefault="002F2D32" w:rsidP="002F2D32">
      <w:pPr>
        <w:rPr>
          <w:rFonts w:ascii="Arial" w:hAnsi="Arial" w:cs="Arial"/>
          <w:sz w:val="18"/>
          <w:szCs w:val="18"/>
        </w:rPr>
      </w:pPr>
      <w:r w:rsidRPr="00735726">
        <w:rPr>
          <w:rFonts w:ascii="Arial" w:hAnsi="Arial" w:cs="Arial"/>
          <w:sz w:val="18"/>
          <w:szCs w:val="18"/>
        </w:rPr>
        <w:t>Our customer service teams have been working tirelessly to support customers through this period, and</w:t>
      </w:r>
      <w:proofErr w:type="gramStart"/>
      <w:r w:rsidRPr="00735726">
        <w:rPr>
          <w:rFonts w:ascii="Arial" w:hAnsi="Arial" w:cs="Arial"/>
          <w:sz w:val="18"/>
          <w:szCs w:val="18"/>
        </w:rPr>
        <w:t>, in particular, to</w:t>
      </w:r>
      <w:proofErr w:type="gramEnd"/>
      <w:r w:rsidRPr="00735726">
        <w:rPr>
          <w:rFonts w:ascii="Arial" w:hAnsi="Arial" w:cs="Arial"/>
          <w:sz w:val="18"/>
          <w:szCs w:val="18"/>
        </w:rPr>
        <w:t xml:space="preserve"> provide tariff and other support measures to those who need it most. Alongside this, we have also been working hard to understand how we can learn from the challenges this year has brought, to provide greater levels of communication, support and engagement with customers as we move forward.</w:t>
      </w:r>
    </w:p>
    <w:p w14:paraId="76219888" w14:textId="77777777" w:rsidR="00B27DC7" w:rsidRPr="00735726" w:rsidRDefault="002F2D32" w:rsidP="002F2D32">
      <w:pPr>
        <w:rPr>
          <w:rFonts w:ascii="Arial" w:hAnsi="Arial" w:cs="Arial"/>
          <w:sz w:val="18"/>
          <w:szCs w:val="18"/>
        </w:rPr>
      </w:pPr>
      <w:r w:rsidRPr="00735726">
        <w:rPr>
          <w:rFonts w:ascii="Arial" w:hAnsi="Arial" w:cs="Arial"/>
          <w:sz w:val="18"/>
          <w:szCs w:val="18"/>
        </w:rPr>
        <w:t xml:space="preserve">Customers told us they were concerned about affordability, worried about future costs, and at times unsure why their bill had increased by a particular amount or by more than expected. For many, higher water bills came alongside wider cost of living pressures. For customers in vulnerable circumstances, these pressures may be compounded by health conditions, disabilities, caring responsibilities, language barriers, digital exclusion or major life events. </w:t>
      </w:r>
    </w:p>
    <w:p w14:paraId="39592146" w14:textId="77777777" w:rsidR="00BC619A" w:rsidRPr="00735726" w:rsidRDefault="00B27DC7" w:rsidP="00B27DC7">
      <w:pPr>
        <w:rPr>
          <w:rFonts w:ascii="Arial" w:hAnsi="Arial" w:cs="Arial"/>
          <w:sz w:val="18"/>
          <w:szCs w:val="18"/>
        </w:rPr>
      </w:pPr>
      <w:r w:rsidRPr="00735726">
        <w:rPr>
          <w:rFonts w:ascii="Arial" w:hAnsi="Arial" w:cs="Arial"/>
          <w:i/>
          <w:iCs/>
          <w:sz w:val="18"/>
          <w:szCs w:val="18"/>
        </w:rPr>
        <w:t xml:space="preserve">‘WATER GREAT SUMMER’ CAMPAIGN </w:t>
      </w:r>
      <w:r w:rsidRPr="00735726">
        <w:rPr>
          <w:rFonts w:ascii="Arial" w:hAnsi="Arial" w:cs="Arial"/>
          <w:i/>
          <w:iCs/>
          <w:sz w:val="18"/>
          <w:szCs w:val="18"/>
        </w:rPr>
        <w:br/>
      </w:r>
      <w:r w:rsidRPr="00735726">
        <w:rPr>
          <w:rFonts w:ascii="Arial" w:hAnsi="Arial" w:cs="Arial"/>
          <w:sz w:val="18"/>
          <w:szCs w:val="18"/>
        </w:rPr>
        <w:t xml:space="preserve">We were able to flex our communications across the summer to reflect the regional variations </w:t>
      </w:r>
      <w:proofErr w:type="gramStart"/>
      <w:r w:rsidRPr="00735726">
        <w:rPr>
          <w:rFonts w:ascii="Arial" w:hAnsi="Arial" w:cs="Arial"/>
          <w:sz w:val="18"/>
          <w:szCs w:val="18"/>
        </w:rPr>
        <w:t>and also</w:t>
      </w:r>
      <w:proofErr w:type="gramEnd"/>
      <w:r w:rsidRPr="00735726">
        <w:rPr>
          <w:rFonts w:ascii="Arial" w:hAnsi="Arial" w:cs="Arial"/>
          <w:sz w:val="18"/>
          <w:szCs w:val="18"/>
        </w:rPr>
        <w:t xml:space="preserve"> the changing impact of weather conditions. To support Bristol Water during Drought Level 2, we targeted both household customers </w:t>
      </w:r>
      <w:proofErr w:type="gramStart"/>
      <w:r w:rsidRPr="00735726">
        <w:rPr>
          <w:rFonts w:ascii="Arial" w:hAnsi="Arial" w:cs="Arial"/>
          <w:sz w:val="18"/>
          <w:szCs w:val="18"/>
        </w:rPr>
        <w:t>and also</w:t>
      </w:r>
      <w:proofErr w:type="gramEnd"/>
      <w:r w:rsidRPr="00735726">
        <w:rPr>
          <w:rFonts w:ascii="Arial" w:hAnsi="Arial" w:cs="Arial"/>
          <w:sz w:val="18"/>
          <w:szCs w:val="18"/>
        </w:rPr>
        <w:t xml:space="preserve"> visitors to the region, reflecting the additional demand on supplies presented in the summer months. We used out of home media to target visitors at the Gordano M5 service station and Weston Super Mare rail station with a reach of 1.3 million. </w:t>
      </w:r>
    </w:p>
    <w:p w14:paraId="5EE949EB" w14:textId="6851A910" w:rsidR="00B27DC7" w:rsidRPr="00735726" w:rsidRDefault="00B27DC7" w:rsidP="00B27DC7">
      <w:pPr>
        <w:rPr>
          <w:rFonts w:ascii="Arial" w:hAnsi="Arial" w:cs="Arial"/>
          <w:sz w:val="18"/>
          <w:szCs w:val="18"/>
        </w:rPr>
      </w:pPr>
      <w:r w:rsidRPr="00735726">
        <w:rPr>
          <w:rFonts w:ascii="Arial" w:hAnsi="Arial" w:cs="Arial"/>
          <w:sz w:val="18"/>
          <w:szCs w:val="18"/>
        </w:rPr>
        <w:t xml:space="preserve">Household customers were targeted with a combination of press and digital advertising together with paid social media </w:t>
      </w:r>
      <w:r w:rsidR="006C1BA9" w:rsidRPr="00735726">
        <w:rPr>
          <w:rFonts w:ascii="Arial" w:hAnsi="Arial" w:cs="Arial"/>
          <w:sz w:val="18"/>
          <w:szCs w:val="18"/>
        </w:rPr>
        <w:t xml:space="preserve">- </w:t>
      </w:r>
      <w:r w:rsidRPr="00735726">
        <w:rPr>
          <w:rFonts w:ascii="Arial" w:hAnsi="Arial" w:cs="Arial"/>
          <w:sz w:val="18"/>
          <w:szCs w:val="18"/>
        </w:rPr>
        <w:t xml:space="preserve">with increases in activity during the heatwave periods. The objectives were to drive awareness of water saving advice, including free devices </w:t>
      </w:r>
      <w:proofErr w:type="gramStart"/>
      <w:r w:rsidRPr="00735726">
        <w:rPr>
          <w:rFonts w:ascii="Arial" w:hAnsi="Arial" w:cs="Arial"/>
          <w:sz w:val="18"/>
          <w:szCs w:val="18"/>
        </w:rPr>
        <w:t>and also</w:t>
      </w:r>
      <w:proofErr w:type="gramEnd"/>
      <w:r w:rsidRPr="00735726">
        <w:rPr>
          <w:rFonts w:ascii="Arial" w:hAnsi="Arial" w:cs="Arial"/>
          <w:sz w:val="18"/>
          <w:szCs w:val="18"/>
        </w:rPr>
        <w:t xml:space="preserve"> of the impact of the dry summer on water resources. We saw a positive result for all key objectives across the period.</w:t>
      </w:r>
    </w:p>
    <w:p w14:paraId="56CDCD33" w14:textId="0612F367" w:rsidR="00C731B8" w:rsidRPr="00735726" w:rsidRDefault="00B27DC7" w:rsidP="00B27DC7">
      <w:pPr>
        <w:rPr>
          <w:rFonts w:ascii="Arial" w:hAnsi="Arial" w:cs="Arial"/>
          <w:sz w:val="18"/>
          <w:szCs w:val="18"/>
        </w:rPr>
      </w:pPr>
      <w:r w:rsidRPr="00735726">
        <w:rPr>
          <w:rFonts w:ascii="Arial" w:hAnsi="Arial" w:cs="Arial"/>
          <w:i/>
          <w:iCs/>
          <w:sz w:val="18"/>
          <w:szCs w:val="18"/>
        </w:rPr>
        <w:t xml:space="preserve">2026/27 ANNUAL </w:t>
      </w:r>
      <w:r w:rsidR="00C731B8" w:rsidRPr="00735726">
        <w:rPr>
          <w:rFonts w:ascii="Arial" w:hAnsi="Arial" w:cs="Arial"/>
          <w:i/>
          <w:iCs/>
          <w:sz w:val="18"/>
          <w:szCs w:val="18"/>
        </w:rPr>
        <w:t>B</w:t>
      </w:r>
      <w:r w:rsidRPr="00735726">
        <w:rPr>
          <w:rFonts w:ascii="Arial" w:hAnsi="Arial" w:cs="Arial"/>
          <w:i/>
          <w:iCs/>
          <w:sz w:val="18"/>
          <w:szCs w:val="18"/>
        </w:rPr>
        <w:t>ILLING CYCLE</w:t>
      </w:r>
      <w:r w:rsidRPr="00735726">
        <w:rPr>
          <w:rFonts w:ascii="Arial" w:hAnsi="Arial" w:cs="Arial"/>
          <w:i/>
          <w:iCs/>
          <w:sz w:val="18"/>
          <w:szCs w:val="18"/>
        </w:rPr>
        <w:br/>
      </w:r>
      <w:r w:rsidRPr="00735726">
        <w:rPr>
          <w:rFonts w:ascii="Arial" w:hAnsi="Arial" w:cs="Arial"/>
          <w:sz w:val="18"/>
          <w:szCs w:val="18"/>
        </w:rPr>
        <w:t>In preparing for the 2026/27 annual billing cycle, we have</w:t>
      </w:r>
      <w:r w:rsidR="00C731B8" w:rsidRPr="00735726">
        <w:rPr>
          <w:rFonts w:ascii="Arial" w:hAnsi="Arial" w:cs="Arial"/>
          <w:sz w:val="18"/>
          <w:szCs w:val="18"/>
        </w:rPr>
        <w:t xml:space="preserve"> </w:t>
      </w:r>
      <w:proofErr w:type="gramStart"/>
      <w:r w:rsidRPr="00735726">
        <w:rPr>
          <w:rFonts w:ascii="Arial" w:hAnsi="Arial" w:cs="Arial"/>
          <w:sz w:val="18"/>
          <w:szCs w:val="18"/>
        </w:rPr>
        <w:t>taken into account</w:t>
      </w:r>
      <w:proofErr w:type="gramEnd"/>
      <w:r w:rsidRPr="00735726">
        <w:rPr>
          <w:rFonts w:ascii="Arial" w:hAnsi="Arial" w:cs="Arial"/>
          <w:sz w:val="18"/>
          <w:szCs w:val="18"/>
        </w:rPr>
        <w:t xml:space="preserve"> this feedback and tried to reflect in</w:t>
      </w:r>
      <w:r w:rsidR="00C731B8" w:rsidRPr="00735726">
        <w:rPr>
          <w:rFonts w:ascii="Arial" w:hAnsi="Arial" w:cs="Arial"/>
          <w:sz w:val="18"/>
          <w:szCs w:val="18"/>
        </w:rPr>
        <w:t xml:space="preserve"> </w:t>
      </w:r>
      <w:r w:rsidRPr="00735726">
        <w:rPr>
          <w:rFonts w:ascii="Arial" w:hAnsi="Arial" w:cs="Arial"/>
          <w:sz w:val="18"/>
          <w:szCs w:val="18"/>
        </w:rPr>
        <w:t>our</w:t>
      </w:r>
      <w:r w:rsidR="00C731B8" w:rsidRPr="00735726">
        <w:rPr>
          <w:rFonts w:ascii="Arial" w:hAnsi="Arial" w:cs="Arial"/>
          <w:sz w:val="18"/>
          <w:szCs w:val="18"/>
        </w:rPr>
        <w:t xml:space="preserve"> </w:t>
      </w:r>
      <w:r w:rsidRPr="00735726">
        <w:rPr>
          <w:rFonts w:ascii="Arial" w:hAnsi="Arial" w:cs="Arial"/>
          <w:sz w:val="18"/>
          <w:szCs w:val="18"/>
        </w:rPr>
        <w:t>approach what customers have told us matters most:</w:t>
      </w:r>
      <w:r w:rsidR="00C731B8" w:rsidRPr="00735726">
        <w:rPr>
          <w:rFonts w:ascii="Arial" w:hAnsi="Arial" w:cs="Arial"/>
          <w:sz w:val="18"/>
          <w:szCs w:val="18"/>
        </w:rPr>
        <w:t xml:space="preserve"> </w:t>
      </w:r>
    </w:p>
    <w:p w14:paraId="78D13254" w14:textId="5121BBEF" w:rsidR="00B27DC7" w:rsidRPr="00735726" w:rsidRDefault="00B27DC7" w:rsidP="00646F4F">
      <w:pPr>
        <w:pStyle w:val="ListParagraph"/>
        <w:numPr>
          <w:ilvl w:val="0"/>
          <w:numId w:val="84"/>
        </w:numPr>
        <w:rPr>
          <w:rFonts w:ascii="Arial" w:hAnsi="Arial" w:cs="Arial"/>
          <w:sz w:val="18"/>
          <w:szCs w:val="18"/>
        </w:rPr>
      </w:pPr>
      <w:r w:rsidRPr="00735726">
        <w:rPr>
          <w:rFonts w:ascii="Arial" w:hAnsi="Arial" w:cs="Arial"/>
          <w:sz w:val="18"/>
          <w:szCs w:val="18"/>
        </w:rPr>
        <w:t>knowing about changes early</w:t>
      </w:r>
    </w:p>
    <w:p w14:paraId="0C84C31E" w14:textId="55333993" w:rsidR="00B27DC7" w:rsidRPr="00735726" w:rsidRDefault="00B27DC7" w:rsidP="00646F4F">
      <w:pPr>
        <w:pStyle w:val="ListParagraph"/>
        <w:numPr>
          <w:ilvl w:val="0"/>
          <w:numId w:val="84"/>
        </w:numPr>
        <w:rPr>
          <w:rFonts w:ascii="Arial" w:hAnsi="Arial" w:cs="Arial"/>
          <w:sz w:val="18"/>
          <w:szCs w:val="18"/>
        </w:rPr>
      </w:pPr>
      <w:r w:rsidRPr="00735726">
        <w:rPr>
          <w:rFonts w:ascii="Arial" w:hAnsi="Arial" w:cs="Arial"/>
          <w:sz w:val="18"/>
          <w:szCs w:val="18"/>
        </w:rPr>
        <w:t>receiving clear and simple explanations</w:t>
      </w:r>
    </w:p>
    <w:p w14:paraId="5C3E2073" w14:textId="6326A6AA" w:rsidR="00B27DC7" w:rsidRPr="00735726" w:rsidRDefault="00B27DC7" w:rsidP="00646F4F">
      <w:pPr>
        <w:pStyle w:val="ListParagraph"/>
        <w:numPr>
          <w:ilvl w:val="0"/>
          <w:numId w:val="84"/>
        </w:numPr>
        <w:rPr>
          <w:rFonts w:ascii="Arial" w:hAnsi="Arial" w:cs="Arial"/>
          <w:sz w:val="18"/>
          <w:szCs w:val="18"/>
        </w:rPr>
      </w:pPr>
      <w:r w:rsidRPr="00735726">
        <w:rPr>
          <w:rFonts w:ascii="Arial" w:hAnsi="Arial" w:cs="Arial"/>
          <w:sz w:val="18"/>
          <w:szCs w:val="18"/>
        </w:rPr>
        <w:lastRenderedPageBreak/>
        <w:t>trusting that changes are applied fairly and consistently</w:t>
      </w:r>
    </w:p>
    <w:p w14:paraId="566FD1B7" w14:textId="68B1E96D" w:rsidR="00B27DC7" w:rsidRPr="00735726" w:rsidRDefault="00B27DC7" w:rsidP="00646F4F">
      <w:pPr>
        <w:pStyle w:val="ListParagraph"/>
        <w:numPr>
          <w:ilvl w:val="0"/>
          <w:numId w:val="84"/>
        </w:numPr>
        <w:rPr>
          <w:rFonts w:ascii="Arial" w:hAnsi="Arial" w:cs="Arial"/>
          <w:sz w:val="18"/>
          <w:szCs w:val="18"/>
        </w:rPr>
      </w:pPr>
      <w:r w:rsidRPr="00735726">
        <w:rPr>
          <w:rFonts w:ascii="Arial" w:hAnsi="Arial" w:cs="Arial"/>
          <w:sz w:val="18"/>
          <w:szCs w:val="18"/>
        </w:rPr>
        <w:t>being able to access help easily</w:t>
      </w:r>
    </w:p>
    <w:p w14:paraId="1ACD2F93" w14:textId="31D60B47" w:rsidR="00B27DC7" w:rsidRPr="00735726" w:rsidRDefault="00B27DC7" w:rsidP="00646F4F">
      <w:pPr>
        <w:pStyle w:val="ListParagraph"/>
        <w:numPr>
          <w:ilvl w:val="0"/>
          <w:numId w:val="84"/>
        </w:numPr>
        <w:rPr>
          <w:rFonts w:ascii="Arial" w:hAnsi="Arial" w:cs="Arial"/>
          <w:sz w:val="18"/>
          <w:szCs w:val="18"/>
        </w:rPr>
      </w:pPr>
      <w:r w:rsidRPr="00735726">
        <w:rPr>
          <w:rFonts w:ascii="Arial" w:hAnsi="Arial" w:cs="Arial"/>
          <w:sz w:val="18"/>
          <w:szCs w:val="18"/>
        </w:rPr>
        <w:t>speaking to someone who understands their situation</w:t>
      </w:r>
    </w:p>
    <w:p w14:paraId="7D8E5252" w14:textId="0055E713" w:rsidR="00B27DC7" w:rsidRPr="00735726" w:rsidRDefault="00B27DC7" w:rsidP="00B27DC7">
      <w:pPr>
        <w:rPr>
          <w:rFonts w:ascii="Arial" w:hAnsi="Arial" w:cs="Arial"/>
          <w:sz w:val="18"/>
          <w:szCs w:val="18"/>
        </w:rPr>
      </w:pPr>
      <w:r w:rsidRPr="00735726">
        <w:rPr>
          <w:rFonts w:ascii="Arial" w:hAnsi="Arial" w:cs="Arial"/>
          <w:sz w:val="18"/>
          <w:szCs w:val="18"/>
        </w:rPr>
        <w:t>Communication has been a key theme across all areas,</w:t>
      </w:r>
      <w:r w:rsidR="00C731B8" w:rsidRPr="00735726">
        <w:rPr>
          <w:rFonts w:ascii="Arial" w:hAnsi="Arial" w:cs="Arial"/>
          <w:sz w:val="18"/>
          <w:szCs w:val="18"/>
        </w:rPr>
        <w:t xml:space="preserve"> </w:t>
      </w:r>
      <w:r w:rsidRPr="00735726">
        <w:rPr>
          <w:rFonts w:ascii="Arial" w:hAnsi="Arial" w:cs="Arial"/>
          <w:sz w:val="18"/>
          <w:szCs w:val="18"/>
        </w:rPr>
        <w:t>both in terms of the bill itself, as well as what customers</w:t>
      </w:r>
      <w:r w:rsidR="00C731B8" w:rsidRPr="00735726">
        <w:rPr>
          <w:rFonts w:ascii="Arial" w:hAnsi="Arial" w:cs="Arial"/>
          <w:sz w:val="18"/>
          <w:szCs w:val="18"/>
        </w:rPr>
        <w:t xml:space="preserve"> </w:t>
      </w:r>
      <w:r w:rsidRPr="00735726">
        <w:rPr>
          <w:rFonts w:ascii="Arial" w:hAnsi="Arial" w:cs="Arial"/>
          <w:sz w:val="18"/>
          <w:szCs w:val="18"/>
        </w:rPr>
        <w:t>are paying for. We know customers care deeply about</w:t>
      </w:r>
      <w:r w:rsidR="00C731B8" w:rsidRPr="00735726">
        <w:rPr>
          <w:rFonts w:ascii="Arial" w:hAnsi="Arial" w:cs="Arial"/>
          <w:sz w:val="18"/>
          <w:szCs w:val="18"/>
        </w:rPr>
        <w:t xml:space="preserve"> </w:t>
      </w:r>
      <w:r w:rsidRPr="00735726">
        <w:rPr>
          <w:rFonts w:ascii="Arial" w:hAnsi="Arial" w:cs="Arial"/>
          <w:sz w:val="18"/>
          <w:szCs w:val="18"/>
        </w:rPr>
        <w:t>our region and the impact our services can have on the</w:t>
      </w:r>
      <w:r w:rsidR="00C731B8" w:rsidRPr="00735726">
        <w:rPr>
          <w:rFonts w:ascii="Arial" w:hAnsi="Arial" w:cs="Arial"/>
          <w:sz w:val="18"/>
          <w:szCs w:val="18"/>
        </w:rPr>
        <w:t xml:space="preserve"> e</w:t>
      </w:r>
      <w:r w:rsidRPr="00735726">
        <w:rPr>
          <w:rFonts w:ascii="Arial" w:hAnsi="Arial" w:cs="Arial"/>
          <w:sz w:val="18"/>
          <w:szCs w:val="18"/>
        </w:rPr>
        <w:t>nvironment; and that they want to understand how we</w:t>
      </w:r>
      <w:r w:rsidR="00C731B8" w:rsidRPr="00735726">
        <w:rPr>
          <w:rFonts w:ascii="Arial" w:hAnsi="Arial" w:cs="Arial"/>
          <w:sz w:val="18"/>
          <w:szCs w:val="18"/>
        </w:rPr>
        <w:t xml:space="preserve"> </w:t>
      </w:r>
      <w:r w:rsidRPr="00735726">
        <w:rPr>
          <w:rFonts w:ascii="Arial" w:hAnsi="Arial" w:cs="Arial"/>
          <w:sz w:val="18"/>
          <w:szCs w:val="18"/>
        </w:rPr>
        <w:t>are making a difference in their local area. We are taking</w:t>
      </w:r>
      <w:r w:rsidR="00C731B8" w:rsidRPr="00735726">
        <w:rPr>
          <w:rFonts w:ascii="Arial" w:hAnsi="Arial" w:cs="Arial"/>
          <w:sz w:val="18"/>
          <w:szCs w:val="18"/>
        </w:rPr>
        <w:t xml:space="preserve"> </w:t>
      </w:r>
      <w:r w:rsidRPr="00735726">
        <w:rPr>
          <w:rFonts w:ascii="Arial" w:hAnsi="Arial" w:cs="Arial"/>
          <w:sz w:val="18"/>
          <w:szCs w:val="18"/>
        </w:rPr>
        <w:t>a</w:t>
      </w:r>
      <w:r w:rsidR="00C731B8" w:rsidRPr="00735726">
        <w:rPr>
          <w:rFonts w:ascii="Arial" w:hAnsi="Arial" w:cs="Arial"/>
          <w:sz w:val="18"/>
          <w:szCs w:val="18"/>
        </w:rPr>
        <w:t xml:space="preserve"> </w:t>
      </w:r>
      <w:r w:rsidRPr="00735726">
        <w:rPr>
          <w:rFonts w:ascii="Arial" w:hAnsi="Arial" w:cs="Arial"/>
          <w:sz w:val="18"/>
          <w:szCs w:val="18"/>
        </w:rPr>
        <w:t xml:space="preserve">hyper-local focus to our communications and </w:t>
      </w:r>
      <w:proofErr w:type="gramStart"/>
      <w:r w:rsidR="00F52603" w:rsidRPr="00735726">
        <w:rPr>
          <w:rFonts w:ascii="Arial" w:hAnsi="Arial" w:cs="Arial"/>
          <w:sz w:val="18"/>
          <w:szCs w:val="18"/>
        </w:rPr>
        <w:t>engagement, and</w:t>
      </w:r>
      <w:proofErr w:type="gramEnd"/>
      <w:r w:rsidRPr="00735726">
        <w:rPr>
          <w:rFonts w:ascii="Arial" w:hAnsi="Arial" w:cs="Arial"/>
          <w:sz w:val="18"/>
          <w:szCs w:val="18"/>
        </w:rPr>
        <w:t xml:space="preserve"> will be sharing progress on our investment</w:t>
      </w:r>
      <w:r w:rsidR="00C731B8" w:rsidRPr="00735726">
        <w:rPr>
          <w:rFonts w:ascii="Arial" w:hAnsi="Arial" w:cs="Arial"/>
          <w:sz w:val="18"/>
          <w:szCs w:val="18"/>
        </w:rPr>
        <w:t xml:space="preserve"> </w:t>
      </w:r>
      <w:r w:rsidRPr="00735726">
        <w:rPr>
          <w:rFonts w:ascii="Arial" w:hAnsi="Arial" w:cs="Arial"/>
          <w:sz w:val="18"/>
          <w:szCs w:val="18"/>
        </w:rPr>
        <w:t>programme</w:t>
      </w:r>
      <w:r w:rsidR="00C731B8" w:rsidRPr="00735726">
        <w:rPr>
          <w:rFonts w:ascii="Arial" w:hAnsi="Arial" w:cs="Arial"/>
          <w:sz w:val="18"/>
          <w:szCs w:val="18"/>
        </w:rPr>
        <w:t xml:space="preserve"> </w:t>
      </w:r>
      <w:r w:rsidRPr="00735726">
        <w:rPr>
          <w:rFonts w:ascii="Arial" w:hAnsi="Arial" w:cs="Arial"/>
          <w:sz w:val="18"/>
          <w:szCs w:val="18"/>
        </w:rPr>
        <w:t>as we deliver projects across the five-year cycle.</w:t>
      </w:r>
    </w:p>
    <w:p w14:paraId="0761818B" w14:textId="3FEDA971" w:rsidR="00B27DC7" w:rsidRPr="00735726" w:rsidRDefault="00A33FF8" w:rsidP="00A33FF8">
      <w:pPr>
        <w:rPr>
          <w:rFonts w:ascii="Arial" w:hAnsi="Arial" w:cs="Arial"/>
          <w:sz w:val="18"/>
          <w:szCs w:val="18"/>
        </w:rPr>
      </w:pPr>
      <w:r w:rsidRPr="00735726">
        <w:rPr>
          <w:rFonts w:ascii="Arial" w:hAnsi="Arial" w:cs="Arial"/>
          <w:i/>
          <w:iCs/>
          <w:sz w:val="18"/>
          <w:szCs w:val="18"/>
        </w:rPr>
        <w:t>IMPROVING CUSTOMER SERVICE</w:t>
      </w:r>
      <w:r w:rsidRPr="00735726">
        <w:rPr>
          <w:rFonts w:ascii="Arial" w:hAnsi="Arial" w:cs="Arial"/>
          <w:i/>
          <w:iCs/>
          <w:sz w:val="18"/>
          <w:szCs w:val="18"/>
        </w:rPr>
        <w:br/>
      </w:r>
      <w:r w:rsidRPr="00735726">
        <w:rPr>
          <w:rFonts w:ascii="Arial" w:hAnsi="Arial" w:cs="Arial"/>
          <w:sz w:val="18"/>
          <w:szCs w:val="18"/>
        </w:rPr>
        <w:t>Our household contact centre focus on providing seamless, end-to-end support, with particular emphasis on helping customers understand their bill, identify the right tariff and access affordability support quickly. During the year we strengthened how we communicate bill changes and the reasons for them, improved the consistency of our explanations across channels, and enhanced the way we identify and support customers in vulnerable circumstances, including those who may be digitally excluded or who need additional assistance to engage with us. These changes are designed to make it easier for customers to get the help they need, first time, and to build trust through fair, clear and consistent outcomes.</w:t>
      </w:r>
    </w:p>
    <w:p w14:paraId="7538AD04" w14:textId="4D220703" w:rsidR="00B27DC7" w:rsidRPr="00735726" w:rsidRDefault="00A33FF8" w:rsidP="00A33FF8">
      <w:pPr>
        <w:rPr>
          <w:rFonts w:ascii="Arial" w:hAnsi="Arial" w:cs="Arial"/>
          <w:sz w:val="18"/>
          <w:szCs w:val="18"/>
        </w:rPr>
      </w:pPr>
      <w:r w:rsidRPr="00735726">
        <w:rPr>
          <w:rFonts w:ascii="Arial" w:hAnsi="Arial" w:cs="Arial"/>
          <w:i/>
          <w:iCs/>
          <w:sz w:val="18"/>
          <w:szCs w:val="18"/>
        </w:rPr>
        <w:t>TARGETED SUPPORT AND ERADICATING WATER POVERTY</w:t>
      </w:r>
      <w:r w:rsidRPr="00735726">
        <w:rPr>
          <w:rFonts w:ascii="Arial" w:hAnsi="Arial" w:cs="Arial"/>
          <w:i/>
          <w:iCs/>
          <w:sz w:val="18"/>
          <w:szCs w:val="18"/>
        </w:rPr>
        <w:br/>
      </w:r>
      <w:r w:rsidRPr="00735726">
        <w:rPr>
          <w:rFonts w:ascii="Arial" w:hAnsi="Arial" w:cs="Arial"/>
          <w:sz w:val="18"/>
          <w:szCs w:val="18"/>
        </w:rPr>
        <w:t xml:space="preserve">In 2025, we met our pledge to eliminate water poverty 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and Bristol, using the definition of affordability as spending no more than 5% of household disposable income on water. This was an important milestone and reflected sustained focus over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years. We recognise that the bill increases in 2025/26 and 2026/27 mean we must continue strengthening support to prevent customers falling into difficulty.</w:t>
      </w:r>
    </w:p>
    <w:p w14:paraId="2166A864" w14:textId="008325E7" w:rsidR="00A33FF8" w:rsidRPr="00735726" w:rsidRDefault="00A33FF8" w:rsidP="00A33FF8">
      <w:pPr>
        <w:rPr>
          <w:rFonts w:ascii="Arial" w:hAnsi="Arial" w:cs="Arial"/>
          <w:sz w:val="18"/>
          <w:szCs w:val="18"/>
        </w:rPr>
      </w:pPr>
      <w:r w:rsidRPr="00735726">
        <w:rPr>
          <w:rFonts w:ascii="Arial" w:hAnsi="Arial" w:cs="Arial"/>
          <w:sz w:val="18"/>
          <w:szCs w:val="18"/>
        </w:rPr>
        <w:t>Over the past year, we significantly expanded affordability support:</w:t>
      </w:r>
    </w:p>
    <w:p w14:paraId="1211B968" w14:textId="7D41987B" w:rsidR="00A33FF8" w:rsidRPr="00735726" w:rsidRDefault="00A33FF8" w:rsidP="00646F4F">
      <w:pPr>
        <w:pStyle w:val="ListParagraph"/>
        <w:numPr>
          <w:ilvl w:val="0"/>
          <w:numId w:val="85"/>
        </w:numPr>
        <w:rPr>
          <w:rFonts w:ascii="Arial" w:hAnsi="Arial" w:cs="Arial"/>
          <w:sz w:val="18"/>
          <w:szCs w:val="18"/>
        </w:rPr>
      </w:pPr>
      <w:r w:rsidRPr="00735726">
        <w:rPr>
          <w:rFonts w:ascii="Arial" w:hAnsi="Arial" w:cs="Arial"/>
          <w:sz w:val="18"/>
          <w:szCs w:val="18"/>
        </w:rPr>
        <w:t xml:space="preserve">More than </w:t>
      </w:r>
      <w:r w:rsidR="007C4C78" w:rsidRPr="00735726">
        <w:rPr>
          <w:rFonts w:ascii="Arial" w:hAnsi="Arial" w:cs="Arial"/>
          <w:sz w:val="18"/>
          <w:szCs w:val="18"/>
        </w:rPr>
        <w:t>c.1</w:t>
      </w:r>
      <w:r w:rsidR="000F34DF" w:rsidRPr="00735726">
        <w:rPr>
          <w:rFonts w:ascii="Arial" w:hAnsi="Arial" w:cs="Arial"/>
          <w:sz w:val="18"/>
          <w:szCs w:val="18"/>
        </w:rPr>
        <w:t>16</w:t>
      </w:r>
      <w:r w:rsidRPr="00735726">
        <w:rPr>
          <w:rFonts w:ascii="Arial" w:hAnsi="Arial" w:cs="Arial"/>
          <w:sz w:val="18"/>
          <w:szCs w:val="18"/>
        </w:rPr>
        <w:t>,000 customers across the Company are now benefiting from our financial support framework; and</w:t>
      </w:r>
    </w:p>
    <w:p w14:paraId="5123EC24" w14:textId="53A87BE9" w:rsidR="00A33FF8" w:rsidRPr="00735726" w:rsidRDefault="00A33FF8" w:rsidP="00646F4F">
      <w:pPr>
        <w:pStyle w:val="ListParagraph"/>
        <w:numPr>
          <w:ilvl w:val="0"/>
          <w:numId w:val="85"/>
        </w:numPr>
        <w:rPr>
          <w:rFonts w:ascii="Arial" w:hAnsi="Arial" w:cs="Arial"/>
          <w:sz w:val="18"/>
          <w:szCs w:val="18"/>
        </w:rPr>
      </w:pPr>
      <w:r w:rsidRPr="00735726">
        <w:rPr>
          <w:rFonts w:ascii="Arial" w:hAnsi="Arial" w:cs="Arial"/>
          <w:sz w:val="18"/>
          <w:szCs w:val="18"/>
        </w:rPr>
        <w:t xml:space="preserve">At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and Bournemouth Water, we set a target to support 75,000 customers through social tariffs by the end of 2025/26. That target was exceeded ahead of schedule, with 79,6</w:t>
      </w:r>
      <w:r w:rsidR="007C4C78" w:rsidRPr="00735726">
        <w:rPr>
          <w:rFonts w:ascii="Arial" w:hAnsi="Arial" w:cs="Arial"/>
          <w:sz w:val="18"/>
          <w:szCs w:val="18"/>
        </w:rPr>
        <w:t>66</w:t>
      </w:r>
      <w:r w:rsidRPr="00735726">
        <w:rPr>
          <w:rFonts w:ascii="Arial" w:hAnsi="Arial" w:cs="Arial"/>
          <w:sz w:val="18"/>
          <w:szCs w:val="18"/>
        </w:rPr>
        <w:t xml:space="preserve"> customers benefitting.</w:t>
      </w:r>
    </w:p>
    <w:p w14:paraId="74140792" w14:textId="6BACF572" w:rsidR="00EF57EF" w:rsidRPr="00735726" w:rsidRDefault="00EF57EF" w:rsidP="00EF57EF">
      <w:pPr>
        <w:rPr>
          <w:rFonts w:ascii="Arial" w:hAnsi="Arial" w:cs="Arial"/>
          <w:sz w:val="18"/>
          <w:szCs w:val="18"/>
        </w:rPr>
      </w:pPr>
      <w:r w:rsidRPr="00735726">
        <w:rPr>
          <w:rFonts w:ascii="Arial" w:hAnsi="Arial" w:cs="Arial"/>
          <w:i/>
          <w:iCs/>
          <w:sz w:val="18"/>
          <w:szCs w:val="18"/>
        </w:rPr>
        <w:t>INNOVATIVE TARIFF TRIALS</w:t>
      </w:r>
      <w:r w:rsidRPr="00735726">
        <w:rPr>
          <w:rFonts w:ascii="Arial" w:hAnsi="Arial" w:cs="Arial"/>
          <w:i/>
          <w:iCs/>
          <w:sz w:val="18"/>
          <w:szCs w:val="18"/>
        </w:rPr>
        <w:br/>
      </w:r>
      <w:r w:rsidRPr="00735726">
        <w:rPr>
          <w:rFonts w:ascii="Arial" w:hAnsi="Arial" w:cs="Arial"/>
          <w:sz w:val="18"/>
          <w:szCs w:val="18"/>
        </w:rPr>
        <w:t>We are currently trialling three progressive tariffs designed to reward efficient water use:</w:t>
      </w:r>
    </w:p>
    <w:p w14:paraId="3F735769" w14:textId="714DEF0B" w:rsidR="00EF57EF" w:rsidRPr="00735726" w:rsidRDefault="00EF57EF" w:rsidP="00646F4F">
      <w:pPr>
        <w:pStyle w:val="ListParagraph"/>
        <w:numPr>
          <w:ilvl w:val="0"/>
          <w:numId w:val="86"/>
        </w:numPr>
        <w:rPr>
          <w:rFonts w:ascii="Arial" w:hAnsi="Arial" w:cs="Arial"/>
          <w:sz w:val="18"/>
          <w:szCs w:val="18"/>
        </w:rPr>
      </w:pPr>
      <w:r w:rsidRPr="00735726">
        <w:rPr>
          <w:rFonts w:ascii="Arial" w:hAnsi="Arial" w:cs="Arial"/>
          <w:sz w:val="18"/>
          <w:szCs w:val="18"/>
        </w:rPr>
        <w:t>Smart Saver, where charges rise with usage</w:t>
      </w:r>
    </w:p>
    <w:p w14:paraId="162C31D3" w14:textId="40746D37" w:rsidR="00EF57EF" w:rsidRPr="00735726" w:rsidRDefault="00EF57EF" w:rsidP="00646F4F">
      <w:pPr>
        <w:pStyle w:val="ListParagraph"/>
        <w:numPr>
          <w:ilvl w:val="0"/>
          <w:numId w:val="86"/>
        </w:numPr>
        <w:rPr>
          <w:rFonts w:ascii="Arial" w:hAnsi="Arial" w:cs="Arial"/>
          <w:sz w:val="18"/>
          <w:szCs w:val="18"/>
        </w:rPr>
      </w:pPr>
      <w:r w:rsidRPr="00735726">
        <w:rPr>
          <w:rFonts w:ascii="Arial" w:hAnsi="Arial" w:cs="Arial"/>
          <w:sz w:val="18"/>
          <w:szCs w:val="18"/>
        </w:rPr>
        <w:t>Seasonal tariffs, with higher rates in summer and lower rates in winter</w:t>
      </w:r>
    </w:p>
    <w:p w14:paraId="166CE1C9" w14:textId="7FEB36EF" w:rsidR="00EF57EF" w:rsidRPr="00735726" w:rsidRDefault="00EF57EF" w:rsidP="00646F4F">
      <w:pPr>
        <w:pStyle w:val="ListParagraph"/>
        <w:numPr>
          <w:ilvl w:val="0"/>
          <w:numId w:val="86"/>
        </w:numPr>
        <w:rPr>
          <w:rFonts w:ascii="Arial" w:hAnsi="Arial" w:cs="Arial"/>
          <w:sz w:val="18"/>
          <w:szCs w:val="18"/>
        </w:rPr>
      </w:pPr>
      <w:r w:rsidRPr="00735726">
        <w:rPr>
          <w:rFonts w:ascii="Arial" w:hAnsi="Arial" w:cs="Arial"/>
          <w:sz w:val="18"/>
          <w:szCs w:val="18"/>
        </w:rPr>
        <w:t>Summer peak tariffs, where customers using water above an upper limit pay a higher rate during peak summer periods</w:t>
      </w:r>
    </w:p>
    <w:p w14:paraId="1BA2AF09" w14:textId="62885330" w:rsidR="00EF57EF" w:rsidRPr="00735726" w:rsidRDefault="00EF57EF" w:rsidP="00EF57EF">
      <w:pPr>
        <w:rPr>
          <w:rFonts w:ascii="Arial" w:hAnsi="Arial" w:cs="Arial"/>
          <w:sz w:val="18"/>
          <w:szCs w:val="18"/>
        </w:rPr>
      </w:pPr>
      <w:r w:rsidRPr="00735726">
        <w:rPr>
          <w:rFonts w:ascii="Arial" w:hAnsi="Arial" w:cs="Arial"/>
          <w:sz w:val="18"/>
          <w:szCs w:val="18"/>
        </w:rPr>
        <w:t>One year analysis of the Smart Saver trial showed a 5.3% reduction in water use, which is encouraging.</w:t>
      </w:r>
      <w:r w:rsidR="00BC2F07" w:rsidRPr="00735726">
        <w:rPr>
          <w:rFonts w:ascii="Arial" w:hAnsi="Arial" w:cs="Arial"/>
          <w:sz w:val="18"/>
          <w:szCs w:val="18"/>
        </w:rPr>
        <w:t xml:space="preserve"> </w:t>
      </w:r>
      <w:r w:rsidRPr="00735726">
        <w:rPr>
          <w:rFonts w:ascii="Arial" w:hAnsi="Arial" w:cs="Arial"/>
          <w:sz w:val="18"/>
          <w:szCs w:val="18"/>
        </w:rPr>
        <w:t>However, customer feedback also highlighted areas of concern, including anxiety about unfamiliar tariff d</w:t>
      </w:r>
      <w:r w:rsidR="00BC2F07" w:rsidRPr="00735726">
        <w:rPr>
          <w:rFonts w:ascii="Arial" w:hAnsi="Arial" w:cs="Arial"/>
          <w:sz w:val="18"/>
          <w:szCs w:val="18"/>
        </w:rPr>
        <w:t>e</w:t>
      </w:r>
      <w:r w:rsidRPr="00735726">
        <w:rPr>
          <w:rFonts w:ascii="Arial" w:hAnsi="Arial" w:cs="Arial"/>
          <w:sz w:val="18"/>
          <w:szCs w:val="18"/>
        </w:rPr>
        <w:t>signs and worries about higher charges.</w:t>
      </w:r>
    </w:p>
    <w:p w14:paraId="3DEA61D1" w14:textId="787ADD28" w:rsidR="00EF57EF" w:rsidRPr="00735726" w:rsidRDefault="00EF57EF" w:rsidP="00EF57EF">
      <w:pPr>
        <w:rPr>
          <w:rFonts w:ascii="Arial" w:hAnsi="Arial" w:cs="Arial"/>
          <w:sz w:val="18"/>
          <w:szCs w:val="18"/>
        </w:rPr>
      </w:pPr>
      <w:r w:rsidRPr="00735726">
        <w:rPr>
          <w:rFonts w:ascii="Arial" w:hAnsi="Arial" w:cs="Arial"/>
          <w:sz w:val="18"/>
          <w:szCs w:val="18"/>
        </w:rPr>
        <w:t>We are using this feedback to refine tariff design, improve how we explain these options to customers, and ensure safeguards are in place, particularly for customers who need extra support.</w:t>
      </w:r>
    </w:p>
    <w:p w14:paraId="5AA1D6F1" w14:textId="3F9E7649" w:rsidR="00EF57EF" w:rsidRPr="00735726" w:rsidRDefault="00EF57EF" w:rsidP="00EF57EF">
      <w:pPr>
        <w:rPr>
          <w:rFonts w:ascii="Arial" w:hAnsi="Arial" w:cs="Arial"/>
          <w:sz w:val="18"/>
          <w:szCs w:val="18"/>
        </w:rPr>
      </w:pPr>
      <w:r w:rsidRPr="00735726">
        <w:rPr>
          <w:rFonts w:ascii="Arial" w:hAnsi="Arial" w:cs="Arial"/>
          <w:i/>
          <w:iCs/>
          <w:sz w:val="18"/>
          <w:szCs w:val="18"/>
        </w:rPr>
        <w:t>BUILDING A PLATFORM FOR THE FUTURE</w:t>
      </w:r>
      <w:r w:rsidRPr="00735726">
        <w:rPr>
          <w:rFonts w:ascii="Arial" w:hAnsi="Arial" w:cs="Arial"/>
          <w:i/>
          <w:iCs/>
          <w:sz w:val="18"/>
          <w:szCs w:val="18"/>
        </w:rPr>
        <w:br/>
      </w:r>
      <w:r w:rsidRPr="00735726">
        <w:rPr>
          <w:rFonts w:ascii="Arial" w:hAnsi="Arial" w:cs="Arial"/>
          <w:sz w:val="18"/>
          <w:szCs w:val="18"/>
        </w:rPr>
        <w:t xml:space="preserve">We know from the extensive engagement we have with customers, that as we move into an ever more digital and AI world, it is important that we have the tools and technology to support customers through the channels they choose. With this in mind, we have been working hard to implement a </w:t>
      </w:r>
      <w:proofErr w:type="gramStart"/>
      <w:r w:rsidRPr="00735726">
        <w:rPr>
          <w:rFonts w:ascii="Arial" w:hAnsi="Arial" w:cs="Arial"/>
          <w:sz w:val="18"/>
          <w:szCs w:val="18"/>
        </w:rPr>
        <w:t>cutting edge</w:t>
      </w:r>
      <w:proofErr w:type="gramEnd"/>
      <w:r w:rsidRPr="00735726">
        <w:rPr>
          <w:rFonts w:ascii="Arial" w:hAnsi="Arial" w:cs="Arial"/>
          <w:sz w:val="18"/>
          <w:szCs w:val="18"/>
        </w:rPr>
        <w:t xml:space="preserve"> customer platform, which will provide the foundations for an enhanced digital service offering for customers, and allow for improved customer service, self-service and communication. We anticipate the technology will ‘go-live’ in 2026/27 and have been working hard to engage and train customer colleagues in the new </w:t>
      </w:r>
      <w:proofErr w:type="gramStart"/>
      <w:r w:rsidRPr="00735726">
        <w:rPr>
          <w:rFonts w:ascii="Arial" w:hAnsi="Arial" w:cs="Arial"/>
          <w:sz w:val="18"/>
          <w:szCs w:val="18"/>
        </w:rPr>
        <w:t>system, and</w:t>
      </w:r>
      <w:proofErr w:type="gramEnd"/>
      <w:r w:rsidRPr="00735726">
        <w:rPr>
          <w:rFonts w:ascii="Arial" w:hAnsi="Arial" w:cs="Arial"/>
          <w:sz w:val="18"/>
          <w:szCs w:val="18"/>
        </w:rPr>
        <w:t xml:space="preserve"> ensure customer journeys will benefit from improved digital functionality and simplification and automation of our existing processes. Providing improved customer service, coupled with both efficiency improvement and strengthened cyber resilience, project ‘Fusion’ provides significant opportunity to modernise and improve delivery for our customers.</w:t>
      </w:r>
    </w:p>
    <w:p w14:paraId="739FF5F9" w14:textId="77777777" w:rsidR="00EF57EF" w:rsidRPr="00735726" w:rsidRDefault="00EF57EF">
      <w:pPr>
        <w:spacing w:after="160" w:line="259" w:lineRule="auto"/>
        <w:rPr>
          <w:rFonts w:ascii="Arial" w:hAnsi="Arial" w:cs="Arial"/>
          <w:sz w:val="18"/>
          <w:szCs w:val="18"/>
        </w:rPr>
      </w:pPr>
      <w:r w:rsidRPr="00735726">
        <w:rPr>
          <w:rFonts w:ascii="Arial" w:hAnsi="Arial" w:cs="Arial"/>
          <w:sz w:val="18"/>
          <w:szCs w:val="18"/>
        </w:rPr>
        <w:br w:type="page"/>
      </w:r>
    </w:p>
    <w:p w14:paraId="10E7D1C6" w14:textId="71EEE2F2" w:rsidR="00EF57EF" w:rsidRPr="00735726" w:rsidRDefault="00B27DC7" w:rsidP="00EF57EF">
      <w:pPr>
        <w:rPr>
          <w:rFonts w:ascii="Arial" w:hAnsi="Arial" w:cs="Arial"/>
          <w:sz w:val="18"/>
          <w:szCs w:val="18"/>
        </w:rPr>
      </w:pPr>
      <w:r w:rsidRPr="00735726">
        <w:rPr>
          <w:rFonts w:ascii="Arial" w:hAnsi="Arial" w:cs="Arial"/>
          <w:i/>
          <w:iCs/>
          <w:sz w:val="18"/>
          <w:szCs w:val="18"/>
        </w:rPr>
        <w:lastRenderedPageBreak/>
        <w:t>CUSTOMER AFFORDABILITY AND VULNERABILITY EVENTS</w:t>
      </w:r>
      <w:r w:rsidRPr="00735726">
        <w:rPr>
          <w:rFonts w:ascii="Arial" w:hAnsi="Arial" w:cs="Arial"/>
          <w:sz w:val="18"/>
          <w:szCs w:val="18"/>
        </w:rPr>
        <w:t xml:space="preserve"> </w:t>
      </w:r>
      <w:r w:rsidR="00EF57EF" w:rsidRPr="00735726">
        <w:rPr>
          <w:rFonts w:ascii="Arial" w:hAnsi="Arial" w:cs="Arial"/>
          <w:sz w:val="18"/>
          <w:szCs w:val="18"/>
        </w:rPr>
        <w:br/>
      </w:r>
      <w:r w:rsidR="00EF57EF" w:rsidRPr="00735726">
        <w:rPr>
          <w:rFonts w:ascii="Arial" w:hAnsi="Arial" w:cs="Arial"/>
          <w:i/>
          <w:iCs/>
          <w:sz w:val="18"/>
          <w:szCs w:val="18"/>
        </w:rPr>
        <w:t>ENGAGEMENT CASE STUDY: AFFORDABILITY AND VULNERABILITY COMMUNITY DROP-INS</w:t>
      </w:r>
      <w:r w:rsidR="00EF57EF" w:rsidRPr="00735726">
        <w:rPr>
          <w:rFonts w:ascii="Arial" w:hAnsi="Arial" w:cs="Arial"/>
          <w:i/>
          <w:iCs/>
          <w:sz w:val="18"/>
          <w:szCs w:val="18"/>
        </w:rPr>
        <w:br/>
      </w:r>
      <w:r w:rsidR="00EF57EF" w:rsidRPr="00735726">
        <w:rPr>
          <w:rFonts w:ascii="Arial" w:hAnsi="Arial" w:cs="Arial"/>
          <w:sz w:val="18"/>
          <w:szCs w:val="18"/>
        </w:rPr>
        <w:t>During the year, rising living costs meant more residents needed help with bills, budgeting, benefits and debt. These pressures are often made worse by vulnerability factors such as poor health, disability, caring responsibilities, language barriers, digital exclusion or recent life events. Many customers told us they needed face</w:t>
      </w:r>
      <w:r w:rsidR="00EF57EF" w:rsidRPr="00735726">
        <w:rPr>
          <w:rFonts w:ascii="Cambria Math" w:hAnsi="Cambria Math" w:cs="Cambria Math"/>
          <w:sz w:val="18"/>
          <w:szCs w:val="18"/>
        </w:rPr>
        <w:t>‑</w:t>
      </w:r>
      <w:r w:rsidR="00EF57EF" w:rsidRPr="00735726">
        <w:rPr>
          <w:rFonts w:ascii="Arial" w:hAnsi="Arial" w:cs="Arial"/>
          <w:sz w:val="18"/>
          <w:szCs w:val="18"/>
        </w:rPr>
        <w:t>to</w:t>
      </w:r>
      <w:r w:rsidR="00EF57EF" w:rsidRPr="00735726">
        <w:rPr>
          <w:rFonts w:ascii="Cambria Math" w:hAnsi="Cambria Math" w:cs="Cambria Math"/>
          <w:sz w:val="18"/>
          <w:szCs w:val="18"/>
        </w:rPr>
        <w:t>‑</w:t>
      </w:r>
      <w:r w:rsidR="00EF57EF" w:rsidRPr="00735726">
        <w:rPr>
          <w:rFonts w:ascii="Arial" w:hAnsi="Arial" w:cs="Arial"/>
          <w:sz w:val="18"/>
          <w:szCs w:val="18"/>
        </w:rPr>
        <w:t>face support to talk through their options with someone they trusted.</w:t>
      </w:r>
    </w:p>
    <w:p w14:paraId="286745BD" w14:textId="77777777" w:rsidR="00EF57EF" w:rsidRPr="00735726" w:rsidRDefault="00EF57EF" w:rsidP="00EF57EF">
      <w:pPr>
        <w:rPr>
          <w:rFonts w:ascii="Arial" w:hAnsi="Arial" w:cs="Arial"/>
          <w:sz w:val="18"/>
          <w:szCs w:val="18"/>
        </w:rPr>
      </w:pPr>
      <w:r w:rsidRPr="00735726">
        <w:rPr>
          <w:rFonts w:ascii="Arial" w:hAnsi="Arial" w:cs="Arial"/>
          <w:sz w:val="18"/>
          <w:szCs w:val="18"/>
        </w:rPr>
        <w:t>What we aimed to do:</w:t>
      </w:r>
    </w:p>
    <w:p w14:paraId="05758244" w14:textId="6D8377AB" w:rsidR="00EF57EF" w:rsidRPr="00735726" w:rsidRDefault="00EF57EF" w:rsidP="00646F4F">
      <w:pPr>
        <w:pStyle w:val="ListParagraph"/>
        <w:numPr>
          <w:ilvl w:val="0"/>
          <w:numId w:val="87"/>
        </w:numPr>
        <w:rPr>
          <w:rFonts w:ascii="Arial" w:hAnsi="Arial" w:cs="Arial"/>
          <w:sz w:val="18"/>
          <w:szCs w:val="18"/>
        </w:rPr>
      </w:pPr>
      <w:r w:rsidRPr="00735726">
        <w:rPr>
          <w:rFonts w:ascii="Arial" w:hAnsi="Arial" w:cs="Arial"/>
          <w:sz w:val="18"/>
          <w:szCs w:val="18"/>
        </w:rPr>
        <w:t>Provide accessible, in</w:t>
      </w:r>
      <w:r w:rsidRPr="00735726">
        <w:rPr>
          <w:rFonts w:ascii="Cambria Math" w:hAnsi="Cambria Math" w:cs="Cambria Math"/>
          <w:sz w:val="18"/>
          <w:szCs w:val="18"/>
        </w:rPr>
        <w:t>‑</w:t>
      </w:r>
      <w:r w:rsidRPr="00735726">
        <w:rPr>
          <w:rFonts w:ascii="Arial" w:hAnsi="Arial" w:cs="Arial"/>
          <w:sz w:val="18"/>
          <w:szCs w:val="18"/>
        </w:rPr>
        <w:t>person support on affordability issues, including arrears, budgeting and water use</w:t>
      </w:r>
    </w:p>
    <w:p w14:paraId="5F7CA7C3" w14:textId="4D8E0882" w:rsidR="00EF57EF" w:rsidRPr="00735726" w:rsidRDefault="00EF57EF" w:rsidP="00646F4F">
      <w:pPr>
        <w:pStyle w:val="ListParagraph"/>
        <w:numPr>
          <w:ilvl w:val="0"/>
          <w:numId w:val="87"/>
        </w:numPr>
        <w:rPr>
          <w:rFonts w:ascii="Arial" w:hAnsi="Arial" w:cs="Arial"/>
          <w:sz w:val="18"/>
          <w:szCs w:val="18"/>
        </w:rPr>
      </w:pPr>
      <w:r w:rsidRPr="00735726">
        <w:rPr>
          <w:rFonts w:ascii="Arial" w:hAnsi="Arial" w:cs="Arial"/>
          <w:sz w:val="18"/>
          <w:szCs w:val="18"/>
        </w:rPr>
        <w:t>Identify vulnerability early and make reasonable adjustments where needed</w:t>
      </w:r>
    </w:p>
    <w:p w14:paraId="4E8A6BC8" w14:textId="348CA964" w:rsidR="00EF57EF" w:rsidRPr="00735726" w:rsidRDefault="00EF57EF" w:rsidP="00646F4F">
      <w:pPr>
        <w:pStyle w:val="ListParagraph"/>
        <w:numPr>
          <w:ilvl w:val="0"/>
          <w:numId w:val="87"/>
        </w:numPr>
        <w:rPr>
          <w:rFonts w:ascii="Arial" w:hAnsi="Arial" w:cs="Arial"/>
          <w:sz w:val="18"/>
          <w:szCs w:val="18"/>
        </w:rPr>
      </w:pPr>
      <w:r w:rsidRPr="00735726">
        <w:rPr>
          <w:rFonts w:ascii="Arial" w:hAnsi="Arial" w:cs="Arial"/>
          <w:sz w:val="18"/>
          <w:szCs w:val="18"/>
        </w:rPr>
        <w:t>Increase take</w:t>
      </w:r>
      <w:r w:rsidRPr="00735726">
        <w:rPr>
          <w:rFonts w:ascii="Cambria Math" w:hAnsi="Cambria Math" w:cs="Cambria Math"/>
          <w:sz w:val="18"/>
          <w:szCs w:val="18"/>
        </w:rPr>
        <w:t>‑</w:t>
      </w:r>
      <w:r w:rsidRPr="00735726">
        <w:rPr>
          <w:rFonts w:ascii="Arial" w:hAnsi="Arial" w:cs="Arial"/>
          <w:sz w:val="18"/>
          <w:szCs w:val="18"/>
        </w:rPr>
        <w:t>up of financial support and independent advice through community</w:t>
      </w:r>
      <w:r w:rsidRPr="00735726">
        <w:rPr>
          <w:rFonts w:ascii="Cambria Math" w:hAnsi="Cambria Math" w:cs="Cambria Math"/>
          <w:sz w:val="18"/>
          <w:szCs w:val="18"/>
        </w:rPr>
        <w:t>‑</w:t>
      </w:r>
      <w:r w:rsidRPr="00735726">
        <w:rPr>
          <w:rFonts w:ascii="Arial" w:hAnsi="Arial" w:cs="Arial"/>
          <w:sz w:val="18"/>
          <w:szCs w:val="18"/>
        </w:rPr>
        <w:t>based engagement</w:t>
      </w:r>
    </w:p>
    <w:p w14:paraId="04FA4D26" w14:textId="156E298B" w:rsidR="00EF57EF" w:rsidRPr="00735726" w:rsidRDefault="00EF57EF" w:rsidP="00646F4F">
      <w:pPr>
        <w:pStyle w:val="ListParagraph"/>
        <w:numPr>
          <w:ilvl w:val="0"/>
          <w:numId w:val="87"/>
        </w:numPr>
        <w:rPr>
          <w:rFonts w:ascii="Arial" w:hAnsi="Arial" w:cs="Arial"/>
          <w:sz w:val="18"/>
          <w:szCs w:val="18"/>
        </w:rPr>
      </w:pPr>
      <w:r w:rsidRPr="00735726">
        <w:rPr>
          <w:rFonts w:ascii="Arial" w:hAnsi="Arial" w:cs="Arial"/>
          <w:sz w:val="18"/>
          <w:szCs w:val="18"/>
        </w:rPr>
        <w:t>Prevent problems escalating by agreeing sustainable payment plans and support schemes</w:t>
      </w:r>
    </w:p>
    <w:p w14:paraId="054F7557" w14:textId="7DB8F2FC" w:rsidR="00EF57EF" w:rsidRPr="00735726" w:rsidRDefault="00EF57EF" w:rsidP="00646F4F">
      <w:pPr>
        <w:pStyle w:val="ListParagraph"/>
        <w:numPr>
          <w:ilvl w:val="0"/>
          <w:numId w:val="87"/>
        </w:numPr>
        <w:rPr>
          <w:rFonts w:ascii="Arial" w:hAnsi="Arial" w:cs="Arial"/>
          <w:sz w:val="18"/>
          <w:szCs w:val="18"/>
        </w:rPr>
      </w:pPr>
      <w:r w:rsidRPr="00735726">
        <w:rPr>
          <w:rFonts w:ascii="Arial" w:hAnsi="Arial" w:cs="Arial"/>
          <w:sz w:val="18"/>
          <w:szCs w:val="18"/>
        </w:rPr>
        <w:t xml:space="preserve">Build trust with customers less likely to use digital or formal channels </w:t>
      </w:r>
    </w:p>
    <w:p w14:paraId="3BF76EA6" w14:textId="77777777" w:rsidR="00EF57EF" w:rsidRPr="00735726" w:rsidRDefault="00EF57EF" w:rsidP="00EF57EF">
      <w:pPr>
        <w:rPr>
          <w:rFonts w:ascii="Arial" w:hAnsi="Arial" w:cs="Arial"/>
          <w:sz w:val="18"/>
          <w:szCs w:val="18"/>
        </w:rPr>
      </w:pPr>
      <w:r w:rsidRPr="00735726">
        <w:rPr>
          <w:rFonts w:ascii="Arial" w:hAnsi="Arial" w:cs="Arial"/>
          <w:sz w:val="18"/>
          <w:szCs w:val="18"/>
        </w:rPr>
        <w:t>What we delivered:</w:t>
      </w:r>
    </w:p>
    <w:p w14:paraId="51DFAEBE" w14:textId="0CAED616" w:rsidR="00EF57EF" w:rsidRPr="00735726" w:rsidRDefault="00EF57EF" w:rsidP="00646F4F">
      <w:pPr>
        <w:pStyle w:val="ListParagraph"/>
        <w:numPr>
          <w:ilvl w:val="0"/>
          <w:numId w:val="88"/>
        </w:numPr>
        <w:rPr>
          <w:rFonts w:ascii="Arial" w:hAnsi="Arial" w:cs="Arial"/>
          <w:sz w:val="18"/>
          <w:szCs w:val="18"/>
        </w:rPr>
      </w:pPr>
      <w:r w:rsidRPr="00735726">
        <w:rPr>
          <w:rFonts w:ascii="Arial" w:hAnsi="Arial" w:cs="Arial"/>
          <w:sz w:val="18"/>
          <w:szCs w:val="18"/>
        </w:rPr>
        <w:t>We ran 569 community drop</w:t>
      </w:r>
      <w:r w:rsidRPr="00735726">
        <w:rPr>
          <w:rFonts w:ascii="Cambria Math" w:hAnsi="Cambria Math" w:cs="Cambria Math"/>
          <w:sz w:val="18"/>
          <w:szCs w:val="18"/>
        </w:rPr>
        <w:t>‑</w:t>
      </w:r>
      <w:r w:rsidRPr="00735726">
        <w:rPr>
          <w:rFonts w:ascii="Arial" w:hAnsi="Arial" w:cs="Arial"/>
          <w:sz w:val="18"/>
          <w:szCs w:val="18"/>
        </w:rPr>
        <w:t>in sessions to reach customers who might otherwise struggle to access support. Sessions were promoted locally and held in familiar, trusted venues, removing the need for appointments or online forms.</w:t>
      </w:r>
    </w:p>
    <w:p w14:paraId="0BCEEAFB" w14:textId="77777777" w:rsidR="00EF57EF" w:rsidRPr="00735726" w:rsidRDefault="00EF57EF" w:rsidP="00646F4F">
      <w:pPr>
        <w:pStyle w:val="ListParagraph"/>
        <w:numPr>
          <w:ilvl w:val="0"/>
          <w:numId w:val="88"/>
        </w:numPr>
        <w:rPr>
          <w:rFonts w:ascii="Arial" w:hAnsi="Arial" w:cs="Arial"/>
          <w:sz w:val="18"/>
          <w:szCs w:val="18"/>
        </w:rPr>
      </w:pPr>
      <w:r w:rsidRPr="00735726">
        <w:rPr>
          <w:rFonts w:ascii="Arial" w:hAnsi="Arial" w:cs="Arial"/>
          <w:sz w:val="18"/>
          <w:szCs w:val="18"/>
        </w:rPr>
        <w:t>Held in libraries, foodbanks, community centres and partner venues</w:t>
      </w:r>
    </w:p>
    <w:p w14:paraId="33DAA436" w14:textId="2BF125E3" w:rsidR="00EF57EF" w:rsidRPr="00735726" w:rsidRDefault="00EF57EF" w:rsidP="00646F4F">
      <w:pPr>
        <w:pStyle w:val="ListParagraph"/>
        <w:numPr>
          <w:ilvl w:val="0"/>
          <w:numId w:val="88"/>
        </w:numPr>
        <w:rPr>
          <w:rFonts w:ascii="Arial" w:hAnsi="Arial" w:cs="Arial"/>
          <w:sz w:val="18"/>
          <w:szCs w:val="18"/>
        </w:rPr>
      </w:pPr>
      <w:r w:rsidRPr="00735726">
        <w:rPr>
          <w:rFonts w:ascii="Arial" w:hAnsi="Arial" w:cs="Arial"/>
          <w:sz w:val="18"/>
          <w:szCs w:val="18"/>
        </w:rPr>
        <w:t>Delivered thorough confidential one</w:t>
      </w:r>
      <w:r w:rsidRPr="00735726">
        <w:rPr>
          <w:rFonts w:ascii="Cambria Math" w:hAnsi="Cambria Math" w:cs="Cambria Math"/>
          <w:sz w:val="18"/>
          <w:szCs w:val="18"/>
        </w:rPr>
        <w:t>‑</w:t>
      </w:r>
      <w:r w:rsidRPr="00735726">
        <w:rPr>
          <w:rFonts w:ascii="Arial" w:hAnsi="Arial" w:cs="Arial"/>
          <w:sz w:val="18"/>
          <w:szCs w:val="18"/>
        </w:rPr>
        <w:t>to</w:t>
      </w:r>
      <w:r w:rsidRPr="00735726">
        <w:rPr>
          <w:rFonts w:ascii="Cambria Math" w:hAnsi="Cambria Math" w:cs="Cambria Math"/>
          <w:sz w:val="18"/>
          <w:szCs w:val="18"/>
        </w:rPr>
        <w:t>‑</w:t>
      </w:r>
      <w:r w:rsidRPr="00735726">
        <w:rPr>
          <w:rFonts w:ascii="Arial" w:hAnsi="Arial" w:cs="Arial"/>
          <w:sz w:val="18"/>
          <w:szCs w:val="18"/>
        </w:rPr>
        <w:t>one conversations</w:t>
      </w:r>
    </w:p>
    <w:p w14:paraId="5AD883C5" w14:textId="2CC572A7" w:rsidR="00EF57EF" w:rsidRPr="00735726" w:rsidRDefault="00EF57EF" w:rsidP="00646F4F">
      <w:pPr>
        <w:pStyle w:val="ListParagraph"/>
        <w:numPr>
          <w:ilvl w:val="0"/>
          <w:numId w:val="88"/>
        </w:numPr>
        <w:rPr>
          <w:rFonts w:ascii="Arial" w:hAnsi="Arial" w:cs="Arial"/>
          <w:sz w:val="18"/>
          <w:szCs w:val="18"/>
        </w:rPr>
      </w:pPr>
      <w:r w:rsidRPr="00735726">
        <w:rPr>
          <w:rFonts w:ascii="Arial" w:hAnsi="Arial" w:cs="Arial"/>
          <w:sz w:val="18"/>
          <w:szCs w:val="18"/>
        </w:rPr>
        <w:t>Offered practical support including budgeting advice, benefits guidance, debt signposting, payment plans, affordability tariffs and referral to the Priority Services Register</w:t>
      </w:r>
    </w:p>
    <w:p w14:paraId="2E5659B0" w14:textId="686F79A1" w:rsidR="00EF57EF" w:rsidRPr="00735726" w:rsidRDefault="00EF57EF" w:rsidP="00646F4F">
      <w:pPr>
        <w:pStyle w:val="ListParagraph"/>
        <w:numPr>
          <w:ilvl w:val="0"/>
          <w:numId w:val="88"/>
        </w:numPr>
        <w:rPr>
          <w:rFonts w:ascii="Arial" w:hAnsi="Arial" w:cs="Arial"/>
          <w:sz w:val="18"/>
          <w:szCs w:val="18"/>
        </w:rPr>
      </w:pPr>
      <w:r w:rsidRPr="00735726">
        <w:rPr>
          <w:rFonts w:ascii="Arial" w:hAnsi="Arial" w:cs="Arial"/>
          <w:sz w:val="18"/>
          <w:szCs w:val="18"/>
        </w:rPr>
        <w:t>Delivered in partnership with local advice agencies to enable warm handovers into longer</w:t>
      </w:r>
      <w:r w:rsidRPr="00735726">
        <w:rPr>
          <w:rFonts w:ascii="Cambria Math" w:hAnsi="Cambria Math" w:cs="Cambria Math"/>
          <w:sz w:val="18"/>
          <w:szCs w:val="18"/>
        </w:rPr>
        <w:t>‑</w:t>
      </w:r>
      <w:r w:rsidRPr="00735726">
        <w:rPr>
          <w:rFonts w:ascii="Arial" w:hAnsi="Arial" w:cs="Arial"/>
          <w:sz w:val="18"/>
          <w:szCs w:val="18"/>
        </w:rPr>
        <w:t>term support</w:t>
      </w:r>
    </w:p>
    <w:p w14:paraId="793321F4" w14:textId="77777777" w:rsidR="00423BC5" w:rsidRPr="00735726" w:rsidRDefault="00EF57EF" w:rsidP="00646F4F">
      <w:pPr>
        <w:pStyle w:val="ListParagraph"/>
        <w:numPr>
          <w:ilvl w:val="0"/>
          <w:numId w:val="88"/>
        </w:numPr>
        <w:rPr>
          <w:rFonts w:ascii="Arial" w:hAnsi="Arial" w:cs="Arial"/>
          <w:sz w:val="18"/>
          <w:szCs w:val="18"/>
        </w:rPr>
      </w:pPr>
      <w:r w:rsidRPr="00735726">
        <w:rPr>
          <w:rFonts w:ascii="Arial" w:hAnsi="Arial" w:cs="Arial"/>
          <w:sz w:val="18"/>
          <w:szCs w:val="18"/>
        </w:rPr>
        <w:t>The drop-ins improved access for customers who were anxious about formal processes or struggled with digital channels. Customers benefitted from clear options, fewer repeat contacts, and quicker routes into the right support at the right time.</w:t>
      </w:r>
    </w:p>
    <w:p w14:paraId="40280B86" w14:textId="73A744D4" w:rsidR="008F7213" w:rsidRPr="00735726" w:rsidRDefault="00423BC5" w:rsidP="00423BC5">
      <w:pPr>
        <w:rPr>
          <w:rFonts w:ascii="Arial" w:hAnsi="Arial" w:cs="Arial"/>
          <w:sz w:val="18"/>
          <w:szCs w:val="18"/>
        </w:rPr>
      </w:pPr>
      <w:r w:rsidRPr="00735726">
        <w:rPr>
          <w:rFonts w:ascii="Arial" w:hAnsi="Arial" w:cs="Arial"/>
          <w:b/>
          <w:bCs/>
          <w:sz w:val="18"/>
          <w:szCs w:val="18"/>
        </w:rPr>
        <w:t>SUPPORTING OUR CUSTOMERS THROUGH OPERATIONAL CHALLENGES</w:t>
      </w:r>
      <w:r w:rsidR="00D62E2B" w:rsidRPr="00735726">
        <w:rPr>
          <w:rFonts w:ascii="Arial" w:hAnsi="Arial" w:cs="Arial"/>
          <w:sz w:val="18"/>
          <w:szCs w:val="18"/>
        </w:rPr>
        <w:br/>
      </w:r>
      <w:r w:rsidRPr="00735726">
        <w:rPr>
          <w:rFonts w:ascii="Arial" w:hAnsi="Arial" w:cs="Arial"/>
          <w:sz w:val="18"/>
          <w:szCs w:val="18"/>
        </w:rPr>
        <w:t>Our approach to incident management is rooted in</w:t>
      </w:r>
      <w:r w:rsidR="008F7213" w:rsidRPr="00735726">
        <w:rPr>
          <w:rFonts w:ascii="Arial" w:hAnsi="Arial" w:cs="Arial"/>
          <w:sz w:val="18"/>
          <w:szCs w:val="18"/>
        </w:rPr>
        <w:t xml:space="preserve"> </w:t>
      </w:r>
      <w:r w:rsidRPr="00735726">
        <w:rPr>
          <w:rFonts w:ascii="Arial" w:hAnsi="Arial" w:cs="Arial"/>
          <w:sz w:val="18"/>
          <w:szCs w:val="18"/>
        </w:rPr>
        <w:t>putting customers at the centre of every decision,</w:t>
      </w:r>
      <w:r w:rsidR="008F7213" w:rsidRPr="00735726">
        <w:rPr>
          <w:rFonts w:ascii="Arial" w:hAnsi="Arial" w:cs="Arial"/>
          <w:sz w:val="18"/>
          <w:szCs w:val="18"/>
        </w:rPr>
        <w:t xml:space="preserve"> </w:t>
      </w:r>
      <w:r w:rsidRPr="00735726">
        <w:rPr>
          <w:rFonts w:ascii="Arial" w:hAnsi="Arial" w:cs="Arial"/>
          <w:sz w:val="18"/>
          <w:szCs w:val="18"/>
        </w:rPr>
        <w:t>particularly during periods of disruption. We prioritise</w:t>
      </w:r>
      <w:r w:rsidR="008F7213" w:rsidRPr="00735726">
        <w:rPr>
          <w:rFonts w:ascii="Arial" w:hAnsi="Arial" w:cs="Arial"/>
          <w:sz w:val="18"/>
          <w:szCs w:val="18"/>
        </w:rPr>
        <w:t xml:space="preserve"> </w:t>
      </w:r>
      <w:r w:rsidRPr="00735726">
        <w:rPr>
          <w:rFonts w:ascii="Arial" w:hAnsi="Arial" w:cs="Arial"/>
          <w:sz w:val="18"/>
          <w:szCs w:val="18"/>
        </w:rPr>
        <w:t>clear, timely and accessible communication,</w:t>
      </w:r>
      <w:r w:rsidR="008F7213" w:rsidRPr="00735726">
        <w:rPr>
          <w:rFonts w:ascii="Arial" w:hAnsi="Arial" w:cs="Arial"/>
          <w:sz w:val="18"/>
          <w:szCs w:val="18"/>
        </w:rPr>
        <w:t xml:space="preserve"> </w:t>
      </w:r>
      <w:r w:rsidRPr="00735726">
        <w:rPr>
          <w:rFonts w:ascii="Arial" w:hAnsi="Arial" w:cs="Arial"/>
          <w:sz w:val="18"/>
          <w:szCs w:val="18"/>
        </w:rPr>
        <w:t>ensuring</w:t>
      </w:r>
      <w:r w:rsidR="008F7213" w:rsidRPr="00735726">
        <w:rPr>
          <w:rFonts w:ascii="Arial" w:hAnsi="Arial" w:cs="Arial"/>
          <w:sz w:val="18"/>
          <w:szCs w:val="18"/>
        </w:rPr>
        <w:t xml:space="preserve"> </w:t>
      </w:r>
      <w:r w:rsidRPr="00735726">
        <w:rPr>
          <w:rFonts w:ascii="Arial" w:hAnsi="Arial" w:cs="Arial"/>
          <w:sz w:val="18"/>
          <w:szCs w:val="18"/>
        </w:rPr>
        <w:t>customers are kept informed through multiple channels</w:t>
      </w:r>
      <w:r w:rsidR="008F7213" w:rsidRPr="00735726">
        <w:rPr>
          <w:rFonts w:ascii="Arial" w:hAnsi="Arial" w:cs="Arial"/>
          <w:sz w:val="18"/>
          <w:szCs w:val="18"/>
        </w:rPr>
        <w:t xml:space="preserve"> </w:t>
      </w:r>
      <w:r w:rsidRPr="00735726">
        <w:rPr>
          <w:rFonts w:ascii="Arial" w:hAnsi="Arial" w:cs="Arial"/>
          <w:sz w:val="18"/>
          <w:szCs w:val="18"/>
        </w:rPr>
        <w:t>and can easily understand what is happening, what action</w:t>
      </w:r>
      <w:r w:rsidR="008F7213" w:rsidRPr="00735726">
        <w:rPr>
          <w:rFonts w:ascii="Arial" w:hAnsi="Arial" w:cs="Arial"/>
          <w:sz w:val="18"/>
          <w:szCs w:val="18"/>
        </w:rPr>
        <w:t xml:space="preserve"> </w:t>
      </w:r>
      <w:r w:rsidRPr="00735726">
        <w:rPr>
          <w:rFonts w:ascii="Arial" w:hAnsi="Arial" w:cs="Arial"/>
          <w:sz w:val="18"/>
          <w:szCs w:val="18"/>
        </w:rPr>
        <w:t>is being taken, and what support is available.</w:t>
      </w:r>
      <w:r w:rsidR="008F7213" w:rsidRPr="00735726">
        <w:rPr>
          <w:rFonts w:ascii="Arial" w:hAnsi="Arial" w:cs="Arial"/>
          <w:sz w:val="18"/>
          <w:szCs w:val="18"/>
        </w:rPr>
        <w:t xml:space="preserve"> </w:t>
      </w:r>
    </w:p>
    <w:p w14:paraId="5BC8637A" w14:textId="00F5061B" w:rsidR="00423BC5" w:rsidRPr="00735726" w:rsidRDefault="00423BC5" w:rsidP="00423BC5">
      <w:pPr>
        <w:rPr>
          <w:rFonts w:ascii="Arial" w:hAnsi="Arial" w:cs="Arial"/>
          <w:sz w:val="18"/>
          <w:szCs w:val="18"/>
        </w:rPr>
      </w:pPr>
      <w:r w:rsidRPr="00735726">
        <w:rPr>
          <w:rFonts w:ascii="Arial" w:hAnsi="Arial" w:cs="Arial"/>
          <w:sz w:val="18"/>
          <w:szCs w:val="18"/>
        </w:rPr>
        <w:t>We place a strong emphasis on identifying and</w:t>
      </w:r>
      <w:r w:rsidR="008F7213" w:rsidRPr="00735726">
        <w:rPr>
          <w:rFonts w:ascii="Arial" w:hAnsi="Arial" w:cs="Arial"/>
          <w:sz w:val="18"/>
          <w:szCs w:val="18"/>
        </w:rPr>
        <w:t xml:space="preserve"> </w:t>
      </w:r>
      <w:r w:rsidRPr="00735726">
        <w:rPr>
          <w:rFonts w:ascii="Arial" w:hAnsi="Arial" w:cs="Arial"/>
          <w:sz w:val="18"/>
          <w:szCs w:val="18"/>
        </w:rPr>
        <w:t>proactively supporting customers in vulnerable</w:t>
      </w:r>
      <w:r w:rsidR="008F7213" w:rsidRPr="00735726">
        <w:rPr>
          <w:rFonts w:ascii="Arial" w:hAnsi="Arial" w:cs="Arial"/>
          <w:sz w:val="18"/>
          <w:szCs w:val="18"/>
        </w:rPr>
        <w:t xml:space="preserve"> </w:t>
      </w:r>
      <w:r w:rsidRPr="00735726">
        <w:rPr>
          <w:rFonts w:ascii="Arial" w:hAnsi="Arial" w:cs="Arial"/>
          <w:sz w:val="18"/>
          <w:szCs w:val="18"/>
        </w:rPr>
        <w:t>circumstances, ensuring they receive tailored assistance</w:t>
      </w:r>
      <w:r w:rsidR="008F7213" w:rsidRPr="00735726">
        <w:rPr>
          <w:rFonts w:ascii="Arial" w:hAnsi="Arial" w:cs="Arial"/>
          <w:sz w:val="18"/>
          <w:szCs w:val="18"/>
        </w:rPr>
        <w:t xml:space="preserve"> </w:t>
      </w:r>
      <w:r w:rsidRPr="00735726">
        <w:rPr>
          <w:rFonts w:ascii="Arial" w:hAnsi="Arial" w:cs="Arial"/>
          <w:sz w:val="18"/>
          <w:szCs w:val="18"/>
        </w:rPr>
        <w:t>at pace. Alongside this, we focus on</w:t>
      </w:r>
      <w:r w:rsidR="008F7213" w:rsidRPr="00735726">
        <w:rPr>
          <w:rFonts w:ascii="Arial" w:hAnsi="Arial" w:cs="Arial"/>
          <w:sz w:val="18"/>
          <w:szCs w:val="18"/>
        </w:rPr>
        <w:t xml:space="preserve"> </w:t>
      </w:r>
      <w:r w:rsidRPr="00735726">
        <w:rPr>
          <w:rFonts w:ascii="Arial" w:hAnsi="Arial" w:cs="Arial"/>
          <w:sz w:val="18"/>
          <w:szCs w:val="18"/>
        </w:rPr>
        <w:t>maintaining service</w:t>
      </w:r>
      <w:r w:rsidR="008F7213" w:rsidRPr="00735726">
        <w:rPr>
          <w:rFonts w:ascii="Arial" w:hAnsi="Arial" w:cs="Arial"/>
          <w:sz w:val="18"/>
          <w:szCs w:val="18"/>
        </w:rPr>
        <w:t xml:space="preserve"> </w:t>
      </w:r>
      <w:r w:rsidRPr="00735726">
        <w:rPr>
          <w:rFonts w:ascii="Arial" w:hAnsi="Arial" w:cs="Arial"/>
          <w:sz w:val="18"/>
          <w:szCs w:val="18"/>
        </w:rPr>
        <w:t>transparency, acting quickly to resolve issues where</w:t>
      </w:r>
      <w:r w:rsidR="008F7213" w:rsidRPr="00735726">
        <w:rPr>
          <w:rFonts w:ascii="Arial" w:hAnsi="Arial" w:cs="Arial"/>
          <w:sz w:val="18"/>
          <w:szCs w:val="18"/>
        </w:rPr>
        <w:t xml:space="preserve"> </w:t>
      </w:r>
      <w:r w:rsidRPr="00735726">
        <w:rPr>
          <w:rFonts w:ascii="Arial" w:hAnsi="Arial" w:cs="Arial"/>
          <w:sz w:val="18"/>
          <w:szCs w:val="18"/>
        </w:rPr>
        <w:t>possible, and providing practical support such as</w:t>
      </w:r>
      <w:r w:rsidR="008F7213" w:rsidRPr="00735726">
        <w:rPr>
          <w:rFonts w:ascii="Arial" w:hAnsi="Arial" w:cs="Arial"/>
          <w:sz w:val="18"/>
          <w:szCs w:val="18"/>
        </w:rPr>
        <w:t xml:space="preserve"> </w:t>
      </w:r>
      <w:r w:rsidRPr="00735726">
        <w:rPr>
          <w:rFonts w:ascii="Arial" w:hAnsi="Arial" w:cs="Arial"/>
          <w:sz w:val="18"/>
          <w:szCs w:val="18"/>
        </w:rPr>
        <w:t>alternative water supplies, when service interruptions</w:t>
      </w:r>
      <w:r w:rsidR="008F7213" w:rsidRPr="00735726">
        <w:rPr>
          <w:rFonts w:ascii="Arial" w:hAnsi="Arial" w:cs="Arial"/>
          <w:sz w:val="18"/>
          <w:szCs w:val="18"/>
        </w:rPr>
        <w:t xml:space="preserve"> </w:t>
      </w:r>
      <w:r w:rsidRPr="00735726">
        <w:rPr>
          <w:rFonts w:ascii="Arial" w:hAnsi="Arial" w:cs="Arial"/>
          <w:sz w:val="18"/>
          <w:szCs w:val="18"/>
        </w:rPr>
        <w:t>occur.</w:t>
      </w:r>
    </w:p>
    <w:p w14:paraId="18D7DFD8" w14:textId="79300CA7" w:rsidR="00423BC5" w:rsidRPr="00735726" w:rsidRDefault="00423BC5" w:rsidP="00423BC5">
      <w:pPr>
        <w:rPr>
          <w:rFonts w:ascii="Arial" w:hAnsi="Arial" w:cs="Arial"/>
          <w:sz w:val="18"/>
          <w:szCs w:val="18"/>
        </w:rPr>
      </w:pPr>
      <w:r w:rsidRPr="00735726">
        <w:rPr>
          <w:rFonts w:ascii="Arial" w:hAnsi="Arial" w:cs="Arial"/>
          <w:sz w:val="18"/>
          <w:szCs w:val="18"/>
        </w:rPr>
        <w:t>Importantly, we treat every incident as an opportunity</w:t>
      </w:r>
      <w:r w:rsidR="008F7213" w:rsidRPr="00735726">
        <w:rPr>
          <w:rFonts w:ascii="Arial" w:hAnsi="Arial" w:cs="Arial"/>
          <w:sz w:val="18"/>
          <w:szCs w:val="18"/>
        </w:rPr>
        <w:t xml:space="preserve"> </w:t>
      </w:r>
      <w:r w:rsidRPr="00735726">
        <w:rPr>
          <w:rFonts w:ascii="Arial" w:hAnsi="Arial" w:cs="Arial"/>
          <w:sz w:val="18"/>
          <w:szCs w:val="18"/>
        </w:rPr>
        <w:t>to learn. Customer feedback is actively gathered</w:t>
      </w:r>
      <w:r w:rsidR="008F7213" w:rsidRPr="00735726">
        <w:rPr>
          <w:rFonts w:ascii="Arial" w:hAnsi="Arial" w:cs="Arial"/>
          <w:sz w:val="18"/>
          <w:szCs w:val="18"/>
        </w:rPr>
        <w:t xml:space="preserve"> </w:t>
      </w:r>
      <w:r w:rsidRPr="00735726">
        <w:rPr>
          <w:rFonts w:ascii="Arial" w:hAnsi="Arial" w:cs="Arial"/>
          <w:sz w:val="18"/>
          <w:szCs w:val="18"/>
        </w:rPr>
        <w:t>and</w:t>
      </w:r>
      <w:r w:rsidR="008F7213" w:rsidRPr="00735726">
        <w:rPr>
          <w:rFonts w:ascii="Arial" w:hAnsi="Arial" w:cs="Arial"/>
          <w:sz w:val="18"/>
          <w:szCs w:val="18"/>
        </w:rPr>
        <w:t xml:space="preserve"> </w:t>
      </w:r>
      <w:r w:rsidRPr="00735726">
        <w:rPr>
          <w:rFonts w:ascii="Arial" w:hAnsi="Arial" w:cs="Arial"/>
          <w:sz w:val="18"/>
          <w:szCs w:val="18"/>
        </w:rPr>
        <w:t>embedded into our continuous improvement processes,</w:t>
      </w:r>
      <w:r w:rsidR="008F7213" w:rsidRPr="00735726">
        <w:rPr>
          <w:rFonts w:ascii="Arial" w:hAnsi="Arial" w:cs="Arial"/>
          <w:sz w:val="18"/>
          <w:szCs w:val="18"/>
        </w:rPr>
        <w:t xml:space="preserve"> </w:t>
      </w:r>
      <w:r w:rsidRPr="00735726">
        <w:rPr>
          <w:rFonts w:ascii="Arial" w:hAnsi="Arial" w:cs="Arial"/>
          <w:sz w:val="18"/>
          <w:szCs w:val="18"/>
        </w:rPr>
        <w:t>helping us refine both our operational</w:t>
      </w:r>
      <w:r w:rsidR="008F7213" w:rsidRPr="00735726">
        <w:rPr>
          <w:rFonts w:ascii="Arial" w:hAnsi="Arial" w:cs="Arial"/>
          <w:sz w:val="18"/>
          <w:szCs w:val="18"/>
        </w:rPr>
        <w:t xml:space="preserve"> </w:t>
      </w:r>
      <w:r w:rsidRPr="00735726">
        <w:rPr>
          <w:rFonts w:ascii="Arial" w:hAnsi="Arial" w:cs="Arial"/>
          <w:sz w:val="18"/>
          <w:szCs w:val="18"/>
        </w:rPr>
        <w:t>response and</w:t>
      </w:r>
      <w:r w:rsidR="008F7213" w:rsidRPr="00735726">
        <w:rPr>
          <w:rFonts w:ascii="Arial" w:hAnsi="Arial" w:cs="Arial"/>
          <w:sz w:val="18"/>
          <w:szCs w:val="18"/>
        </w:rPr>
        <w:t xml:space="preserve"> </w:t>
      </w:r>
      <w:r w:rsidRPr="00735726">
        <w:rPr>
          <w:rFonts w:ascii="Arial" w:hAnsi="Arial" w:cs="Arial"/>
          <w:sz w:val="18"/>
          <w:szCs w:val="18"/>
        </w:rPr>
        <w:t>the way we communicate. This ensures that, even in</w:t>
      </w:r>
      <w:r w:rsidR="008F7213" w:rsidRPr="00735726">
        <w:rPr>
          <w:rFonts w:ascii="Arial" w:hAnsi="Arial" w:cs="Arial"/>
          <w:sz w:val="18"/>
          <w:szCs w:val="18"/>
        </w:rPr>
        <w:t xml:space="preserve"> </w:t>
      </w:r>
      <w:r w:rsidRPr="00735726">
        <w:rPr>
          <w:rFonts w:ascii="Arial" w:hAnsi="Arial" w:cs="Arial"/>
          <w:sz w:val="18"/>
          <w:szCs w:val="18"/>
        </w:rPr>
        <w:t>challenging and prolonged events, we continue to</w:t>
      </w:r>
      <w:r w:rsidR="008F7213" w:rsidRPr="00735726">
        <w:rPr>
          <w:rFonts w:ascii="Arial" w:hAnsi="Arial" w:cs="Arial"/>
          <w:sz w:val="18"/>
          <w:szCs w:val="18"/>
        </w:rPr>
        <w:t xml:space="preserve"> </w:t>
      </w:r>
      <w:r w:rsidRPr="00735726">
        <w:rPr>
          <w:rFonts w:ascii="Arial" w:hAnsi="Arial" w:cs="Arial"/>
          <w:sz w:val="18"/>
          <w:szCs w:val="18"/>
        </w:rPr>
        <w:t>strengthen the experience we deliver and build trust with</w:t>
      </w:r>
      <w:r w:rsidR="008F7213" w:rsidRPr="00735726">
        <w:rPr>
          <w:rFonts w:ascii="Arial" w:hAnsi="Arial" w:cs="Arial"/>
          <w:sz w:val="18"/>
          <w:szCs w:val="18"/>
        </w:rPr>
        <w:t xml:space="preserve"> </w:t>
      </w:r>
      <w:r w:rsidRPr="00735726">
        <w:rPr>
          <w:rFonts w:ascii="Arial" w:hAnsi="Arial" w:cs="Arial"/>
          <w:sz w:val="18"/>
          <w:szCs w:val="18"/>
        </w:rPr>
        <w:t>the communities we serve.</w:t>
      </w:r>
    </w:p>
    <w:p w14:paraId="0FDEF938" w14:textId="0DD58895" w:rsidR="008F7213" w:rsidRPr="00735726" w:rsidRDefault="00423BC5" w:rsidP="00423BC5">
      <w:pPr>
        <w:rPr>
          <w:rFonts w:ascii="Arial" w:hAnsi="Arial" w:cs="Arial"/>
          <w:sz w:val="18"/>
          <w:szCs w:val="18"/>
        </w:rPr>
      </w:pPr>
      <w:r w:rsidRPr="00735726">
        <w:rPr>
          <w:rFonts w:ascii="Arial" w:hAnsi="Arial" w:cs="Arial"/>
          <w:sz w:val="18"/>
          <w:szCs w:val="18"/>
        </w:rPr>
        <w:t>This informs our customer strategy for delivering a</w:t>
      </w:r>
      <w:r w:rsidR="008F7213" w:rsidRPr="00735726">
        <w:rPr>
          <w:rFonts w:ascii="Arial" w:hAnsi="Arial" w:cs="Arial"/>
          <w:sz w:val="18"/>
          <w:szCs w:val="18"/>
        </w:rPr>
        <w:t xml:space="preserve"> </w:t>
      </w:r>
      <w:r w:rsidRPr="00735726">
        <w:rPr>
          <w:rFonts w:ascii="Arial" w:hAnsi="Arial" w:cs="Arial"/>
          <w:sz w:val="18"/>
          <w:szCs w:val="18"/>
        </w:rPr>
        <w:t>trusted, simple and human service. It is how we run</w:t>
      </w:r>
      <w:r w:rsidR="008F7213" w:rsidRPr="00735726">
        <w:rPr>
          <w:rFonts w:ascii="Arial" w:hAnsi="Arial" w:cs="Arial"/>
          <w:sz w:val="18"/>
          <w:szCs w:val="18"/>
        </w:rPr>
        <w:t xml:space="preserve"> </w:t>
      </w:r>
      <w:r w:rsidRPr="00735726">
        <w:rPr>
          <w:rFonts w:ascii="Arial" w:hAnsi="Arial" w:cs="Arial"/>
          <w:sz w:val="18"/>
          <w:szCs w:val="18"/>
        </w:rPr>
        <w:t>the</w:t>
      </w:r>
      <w:r w:rsidR="008F7213" w:rsidRPr="00735726">
        <w:rPr>
          <w:rFonts w:ascii="Arial" w:hAnsi="Arial" w:cs="Arial"/>
          <w:sz w:val="18"/>
          <w:szCs w:val="18"/>
        </w:rPr>
        <w:t xml:space="preserve"> </w:t>
      </w:r>
      <w:r w:rsidRPr="00735726">
        <w:rPr>
          <w:rFonts w:ascii="Arial" w:hAnsi="Arial" w:cs="Arial"/>
          <w:sz w:val="18"/>
          <w:szCs w:val="18"/>
        </w:rPr>
        <w:t>business, grounded in five principles: first</w:t>
      </w:r>
      <w:r w:rsidRPr="00735726">
        <w:rPr>
          <w:rFonts w:ascii="Cambria Math" w:hAnsi="Cambria Math" w:cs="Cambria Math"/>
          <w:sz w:val="18"/>
          <w:szCs w:val="18"/>
        </w:rPr>
        <w:t>‑</w:t>
      </w:r>
      <w:r w:rsidRPr="00735726">
        <w:rPr>
          <w:rFonts w:ascii="Arial" w:hAnsi="Arial" w:cs="Arial"/>
          <w:sz w:val="18"/>
          <w:szCs w:val="18"/>
        </w:rPr>
        <w:t>time resolution,</w:t>
      </w:r>
      <w:r w:rsidR="008F7213" w:rsidRPr="00735726">
        <w:rPr>
          <w:rFonts w:ascii="Arial" w:hAnsi="Arial" w:cs="Arial"/>
          <w:sz w:val="18"/>
          <w:szCs w:val="18"/>
        </w:rPr>
        <w:t xml:space="preserve"> </w:t>
      </w:r>
      <w:r w:rsidRPr="00735726">
        <w:rPr>
          <w:rFonts w:ascii="Arial" w:hAnsi="Arial" w:cs="Arial"/>
          <w:sz w:val="18"/>
          <w:szCs w:val="18"/>
        </w:rPr>
        <w:t>moments of truth, proactive</w:t>
      </w:r>
      <w:r w:rsidR="008F7213" w:rsidRPr="00735726">
        <w:rPr>
          <w:rFonts w:ascii="Arial" w:hAnsi="Arial" w:cs="Arial"/>
          <w:sz w:val="18"/>
          <w:szCs w:val="18"/>
        </w:rPr>
        <w:t xml:space="preserve"> </w:t>
      </w:r>
      <w:r w:rsidRPr="00735726">
        <w:rPr>
          <w:rFonts w:ascii="Arial" w:hAnsi="Arial" w:cs="Arial"/>
          <w:sz w:val="18"/>
          <w:szCs w:val="18"/>
        </w:rPr>
        <w:t>communication, simple</w:t>
      </w:r>
      <w:r w:rsidR="008F7213" w:rsidRPr="00735726">
        <w:rPr>
          <w:rFonts w:ascii="Arial" w:hAnsi="Arial" w:cs="Arial"/>
          <w:sz w:val="18"/>
          <w:szCs w:val="18"/>
        </w:rPr>
        <w:t xml:space="preserve"> </w:t>
      </w:r>
      <w:r w:rsidRPr="00735726">
        <w:rPr>
          <w:rFonts w:ascii="Arial" w:hAnsi="Arial" w:cs="Arial"/>
          <w:sz w:val="18"/>
          <w:szCs w:val="18"/>
        </w:rPr>
        <w:t>self</w:t>
      </w:r>
      <w:r w:rsidRPr="00735726">
        <w:rPr>
          <w:rFonts w:ascii="Cambria Math" w:hAnsi="Cambria Math" w:cs="Cambria Math"/>
          <w:sz w:val="18"/>
          <w:szCs w:val="18"/>
        </w:rPr>
        <w:t>‑</w:t>
      </w:r>
      <w:r w:rsidRPr="00735726">
        <w:rPr>
          <w:rFonts w:ascii="Arial" w:hAnsi="Arial" w:cs="Arial"/>
          <w:sz w:val="18"/>
          <w:szCs w:val="18"/>
        </w:rPr>
        <w:t>service, and clear accountability. As part of this, we</w:t>
      </w:r>
      <w:r w:rsidR="008F7213" w:rsidRPr="00735726">
        <w:rPr>
          <w:rFonts w:ascii="Arial" w:hAnsi="Arial" w:cs="Arial"/>
          <w:sz w:val="18"/>
          <w:szCs w:val="18"/>
        </w:rPr>
        <w:t xml:space="preserve"> </w:t>
      </w:r>
      <w:r w:rsidRPr="00735726">
        <w:rPr>
          <w:rFonts w:ascii="Arial" w:hAnsi="Arial" w:cs="Arial"/>
          <w:sz w:val="18"/>
          <w:szCs w:val="18"/>
        </w:rPr>
        <w:t xml:space="preserve">have aligned clear customer promises across the </w:t>
      </w:r>
      <w:r w:rsidR="008F7213" w:rsidRPr="00735726">
        <w:rPr>
          <w:rFonts w:ascii="Arial" w:hAnsi="Arial" w:cs="Arial"/>
          <w:sz w:val="18"/>
          <w:szCs w:val="18"/>
        </w:rPr>
        <w:t xml:space="preserve">Company </w:t>
      </w:r>
      <w:r w:rsidRPr="00735726">
        <w:rPr>
          <w:rFonts w:ascii="Arial" w:hAnsi="Arial" w:cs="Arial"/>
          <w:sz w:val="18"/>
          <w:szCs w:val="18"/>
        </w:rPr>
        <w:t>to ensure a consistent and transparent experience,</w:t>
      </w:r>
      <w:r w:rsidR="008F7213" w:rsidRPr="00735726">
        <w:rPr>
          <w:rFonts w:ascii="Arial" w:hAnsi="Arial" w:cs="Arial"/>
          <w:sz w:val="18"/>
          <w:szCs w:val="18"/>
        </w:rPr>
        <w:t xml:space="preserve"> </w:t>
      </w:r>
      <w:r w:rsidRPr="00735726">
        <w:rPr>
          <w:rFonts w:ascii="Arial" w:hAnsi="Arial" w:cs="Arial"/>
          <w:sz w:val="18"/>
          <w:szCs w:val="18"/>
        </w:rPr>
        <w:t>supported by actively sharing best practice between our</w:t>
      </w:r>
      <w:r w:rsidR="008F7213" w:rsidRPr="00735726">
        <w:rPr>
          <w:rFonts w:ascii="Arial" w:hAnsi="Arial" w:cs="Arial"/>
          <w:sz w:val="18"/>
          <w:szCs w:val="18"/>
        </w:rPr>
        <w:t xml:space="preserve"> </w:t>
      </w:r>
      <w:r w:rsidRPr="00735726">
        <w:rPr>
          <w:rFonts w:ascii="Arial" w:hAnsi="Arial" w:cs="Arial"/>
          <w:sz w:val="18"/>
          <w:szCs w:val="18"/>
        </w:rPr>
        <w:t>regions to drive continuous improvement.</w:t>
      </w:r>
    </w:p>
    <w:p w14:paraId="10EBA817" w14:textId="6E8397DB" w:rsidR="00B27DC7" w:rsidRPr="00735726" w:rsidRDefault="008F7213" w:rsidP="008F7213">
      <w:pPr>
        <w:rPr>
          <w:rFonts w:ascii="Arial" w:hAnsi="Arial" w:cs="Arial"/>
          <w:sz w:val="18"/>
          <w:szCs w:val="18"/>
        </w:rPr>
      </w:pPr>
      <w:r w:rsidRPr="00735726">
        <w:rPr>
          <w:rFonts w:ascii="Arial" w:hAnsi="Arial" w:cs="Arial"/>
          <w:i/>
          <w:iCs/>
          <w:sz w:val="18"/>
          <w:szCs w:val="18"/>
        </w:rPr>
        <w:t>CUSTOMER AFFORDABILITY</w:t>
      </w:r>
      <w:r w:rsidRPr="00735726">
        <w:rPr>
          <w:rFonts w:ascii="Arial" w:hAnsi="Arial" w:cs="Arial"/>
          <w:i/>
          <w:iCs/>
          <w:sz w:val="18"/>
          <w:szCs w:val="18"/>
        </w:rPr>
        <w:br/>
      </w:r>
      <w:r w:rsidRPr="00735726">
        <w:rPr>
          <w:rFonts w:ascii="Arial" w:hAnsi="Arial" w:cs="Arial"/>
          <w:sz w:val="18"/>
          <w:szCs w:val="18"/>
        </w:rPr>
        <w:t xml:space="preserve">We achieved our target to eliminate water poverty by 2025 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Bournemouth and Bristol regions, and we have recommitted to 100% affordability by 2030. Our £200 million support package will help us achieve this goal and ensure no customer cannot afford their water bill. </w:t>
      </w:r>
    </w:p>
    <w:p w14:paraId="75C4BE21" w14:textId="10E3EF2E" w:rsidR="00B27DC7" w:rsidRPr="00735726" w:rsidRDefault="00663F22" w:rsidP="00663F22">
      <w:pPr>
        <w:rPr>
          <w:rFonts w:ascii="Arial" w:hAnsi="Arial" w:cs="Arial"/>
          <w:sz w:val="18"/>
          <w:szCs w:val="18"/>
        </w:rPr>
      </w:pPr>
      <w:r w:rsidRPr="00735726">
        <w:rPr>
          <w:rFonts w:ascii="Arial" w:hAnsi="Arial" w:cs="Arial"/>
          <w:i/>
          <w:iCs/>
          <w:sz w:val="18"/>
          <w:szCs w:val="18"/>
        </w:rPr>
        <w:t>STORM GORETTI</w:t>
      </w:r>
      <w:r w:rsidRPr="00735726">
        <w:rPr>
          <w:rFonts w:ascii="Arial" w:hAnsi="Arial" w:cs="Arial"/>
          <w:i/>
          <w:iCs/>
          <w:sz w:val="18"/>
          <w:szCs w:val="18"/>
        </w:rPr>
        <w:br/>
      </w:r>
      <w:r w:rsidRPr="00735726">
        <w:rPr>
          <w:rFonts w:ascii="Arial" w:hAnsi="Arial" w:cs="Arial"/>
          <w:sz w:val="18"/>
          <w:szCs w:val="18"/>
        </w:rPr>
        <w:t>On 9 January, Storm Goretti caused significant</w:t>
      </w:r>
      <w:r w:rsidR="00BE5C2A" w:rsidRPr="00735726">
        <w:rPr>
          <w:rFonts w:ascii="Arial" w:hAnsi="Arial" w:cs="Arial"/>
          <w:sz w:val="18"/>
          <w:szCs w:val="18"/>
        </w:rPr>
        <w:t xml:space="preserve"> </w:t>
      </w:r>
      <w:r w:rsidRPr="00735726">
        <w:rPr>
          <w:rFonts w:ascii="Arial" w:hAnsi="Arial" w:cs="Arial"/>
          <w:sz w:val="18"/>
          <w:szCs w:val="18"/>
        </w:rPr>
        <w:t>disruption across Cornwall, including a power outage at</w:t>
      </w:r>
      <w:r w:rsidR="00BE5C2A" w:rsidRPr="00735726">
        <w:rPr>
          <w:rFonts w:ascii="Arial" w:hAnsi="Arial" w:cs="Arial"/>
          <w:sz w:val="18"/>
          <w:szCs w:val="18"/>
        </w:rPr>
        <w:t xml:space="preserve"> </w:t>
      </w:r>
      <w:proofErr w:type="spellStart"/>
      <w:r w:rsidRPr="00735726">
        <w:rPr>
          <w:rFonts w:ascii="Arial" w:hAnsi="Arial" w:cs="Arial"/>
          <w:sz w:val="18"/>
          <w:szCs w:val="18"/>
        </w:rPr>
        <w:t>Wendron</w:t>
      </w:r>
      <w:proofErr w:type="spellEnd"/>
      <w:r w:rsidRPr="00735726">
        <w:rPr>
          <w:rFonts w:ascii="Arial" w:hAnsi="Arial" w:cs="Arial"/>
          <w:sz w:val="18"/>
          <w:szCs w:val="18"/>
        </w:rPr>
        <w:t xml:space="preserve"> treatment works that lasted until 12 January.</w:t>
      </w:r>
      <w:r w:rsidR="00BE5C2A" w:rsidRPr="00735726">
        <w:rPr>
          <w:rFonts w:ascii="Arial" w:hAnsi="Arial" w:cs="Arial"/>
          <w:sz w:val="18"/>
          <w:szCs w:val="18"/>
        </w:rPr>
        <w:t xml:space="preserve"> </w:t>
      </w:r>
      <w:r w:rsidRPr="00735726">
        <w:rPr>
          <w:rFonts w:ascii="Arial" w:hAnsi="Arial" w:cs="Arial"/>
          <w:sz w:val="18"/>
          <w:szCs w:val="18"/>
        </w:rPr>
        <w:t>As a result, up to 15,960 properties experienced water</w:t>
      </w:r>
      <w:r w:rsidR="00BE5C2A" w:rsidRPr="00735726">
        <w:rPr>
          <w:rFonts w:ascii="Arial" w:hAnsi="Arial" w:cs="Arial"/>
          <w:sz w:val="18"/>
          <w:szCs w:val="18"/>
        </w:rPr>
        <w:t xml:space="preserve"> </w:t>
      </w:r>
      <w:r w:rsidRPr="00735726">
        <w:rPr>
          <w:rFonts w:ascii="Arial" w:hAnsi="Arial" w:cs="Arial"/>
          <w:sz w:val="18"/>
          <w:szCs w:val="18"/>
        </w:rPr>
        <w:t xml:space="preserve">supply </w:t>
      </w:r>
      <w:r w:rsidRPr="00735726">
        <w:rPr>
          <w:rFonts w:ascii="Arial" w:hAnsi="Arial" w:cs="Arial"/>
          <w:sz w:val="18"/>
          <w:szCs w:val="18"/>
        </w:rPr>
        <w:lastRenderedPageBreak/>
        <w:t>interruptions, including a number needing</w:t>
      </w:r>
      <w:r w:rsidR="00BE5C2A" w:rsidRPr="00735726">
        <w:rPr>
          <w:rFonts w:ascii="Arial" w:hAnsi="Arial" w:cs="Arial"/>
          <w:sz w:val="18"/>
          <w:szCs w:val="18"/>
        </w:rPr>
        <w:t xml:space="preserve"> </w:t>
      </w:r>
      <w:r w:rsidRPr="00735726">
        <w:rPr>
          <w:rFonts w:ascii="Arial" w:hAnsi="Arial" w:cs="Arial"/>
          <w:sz w:val="18"/>
          <w:szCs w:val="18"/>
        </w:rPr>
        <w:t>additional support or who relied on water for critical</w:t>
      </w:r>
      <w:r w:rsidR="00BE5C2A" w:rsidRPr="00735726">
        <w:rPr>
          <w:rFonts w:ascii="Arial" w:hAnsi="Arial" w:cs="Arial"/>
          <w:sz w:val="18"/>
          <w:szCs w:val="18"/>
        </w:rPr>
        <w:t xml:space="preserve"> </w:t>
      </w:r>
      <w:r w:rsidRPr="00735726">
        <w:rPr>
          <w:rFonts w:ascii="Arial" w:hAnsi="Arial" w:cs="Arial"/>
          <w:sz w:val="18"/>
          <w:szCs w:val="18"/>
        </w:rPr>
        <w:t>medical needs. During the incident, all customers with</w:t>
      </w:r>
      <w:r w:rsidR="00BE5C2A" w:rsidRPr="00735726">
        <w:rPr>
          <w:rFonts w:ascii="Arial" w:hAnsi="Arial" w:cs="Arial"/>
          <w:sz w:val="18"/>
          <w:szCs w:val="18"/>
        </w:rPr>
        <w:t xml:space="preserve"> </w:t>
      </w:r>
      <w:r w:rsidRPr="00735726">
        <w:rPr>
          <w:rFonts w:ascii="Arial" w:hAnsi="Arial" w:cs="Arial"/>
          <w:sz w:val="18"/>
          <w:szCs w:val="18"/>
        </w:rPr>
        <w:t>critical needs successfully received deliveries and</w:t>
      </w:r>
      <w:r w:rsidR="00BE5C2A" w:rsidRPr="00735726">
        <w:rPr>
          <w:rFonts w:ascii="Arial" w:hAnsi="Arial" w:cs="Arial"/>
          <w:sz w:val="18"/>
          <w:szCs w:val="18"/>
        </w:rPr>
        <w:t xml:space="preserve"> </w:t>
      </w:r>
      <w:r w:rsidRPr="00735726">
        <w:rPr>
          <w:rFonts w:ascii="Arial" w:hAnsi="Arial" w:cs="Arial"/>
          <w:sz w:val="18"/>
          <w:szCs w:val="18"/>
        </w:rPr>
        <w:t>communication was maintained throughout via text</w:t>
      </w:r>
      <w:r w:rsidR="00BE5C2A" w:rsidRPr="00735726">
        <w:rPr>
          <w:rFonts w:ascii="Arial" w:hAnsi="Arial" w:cs="Arial"/>
          <w:sz w:val="18"/>
          <w:szCs w:val="18"/>
        </w:rPr>
        <w:t xml:space="preserve"> </w:t>
      </w:r>
      <w:r w:rsidRPr="00735726">
        <w:rPr>
          <w:rFonts w:ascii="Arial" w:hAnsi="Arial" w:cs="Arial"/>
          <w:sz w:val="18"/>
          <w:szCs w:val="18"/>
        </w:rPr>
        <w:t xml:space="preserve">messages, voice messages to landlines, </w:t>
      </w:r>
      <w:proofErr w:type="spellStart"/>
      <w:r w:rsidRPr="00735726">
        <w:rPr>
          <w:rFonts w:ascii="Arial" w:hAnsi="Arial" w:cs="Arial"/>
          <w:sz w:val="18"/>
          <w:szCs w:val="18"/>
        </w:rPr>
        <w:t>InYourArea</w:t>
      </w:r>
      <w:proofErr w:type="spellEnd"/>
      <w:r w:rsidRPr="00735726">
        <w:rPr>
          <w:rFonts w:ascii="Arial" w:hAnsi="Arial" w:cs="Arial"/>
          <w:sz w:val="18"/>
          <w:szCs w:val="18"/>
        </w:rPr>
        <w:t>,</w:t>
      </w:r>
      <w:r w:rsidR="00BE5C2A" w:rsidRPr="00735726">
        <w:rPr>
          <w:rFonts w:ascii="Arial" w:hAnsi="Arial" w:cs="Arial"/>
          <w:sz w:val="18"/>
          <w:szCs w:val="18"/>
        </w:rPr>
        <w:t xml:space="preserve"> </w:t>
      </w:r>
      <w:r w:rsidRPr="00735726">
        <w:rPr>
          <w:rFonts w:ascii="Arial" w:hAnsi="Arial" w:cs="Arial"/>
          <w:sz w:val="18"/>
          <w:szCs w:val="18"/>
        </w:rPr>
        <w:t>the website, social media and regional media coverage,</w:t>
      </w:r>
      <w:r w:rsidR="00BE5C2A" w:rsidRPr="00735726">
        <w:rPr>
          <w:rFonts w:ascii="Arial" w:hAnsi="Arial" w:cs="Arial"/>
          <w:sz w:val="18"/>
          <w:szCs w:val="18"/>
        </w:rPr>
        <w:t xml:space="preserve"> </w:t>
      </w:r>
      <w:r w:rsidRPr="00735726">
        <w:rPr>
          <w:rFonts w:ascii="Arial" w:hAnsi="Arial" w:cs="Arial"/>
          <w:sz w:val="18"/>
          <w:szCs w:val="18"/>
        </w:rPr>
        <w:t>alongside the establishment of three bottled water</w:t>
      </w:r>
      <w:r w:rsidR="00BE5C2A" w:rsidRPr="00735726">
        <w:rPr>
          <w:rFonts w:ascii="Arial" w:hAnsi="Arial" w:cs="Arial"/>
          <w:sz w:val="18"/>
          <w:szCs w:val="18"/>
        </w:rPr>
        <w:t xml:space="preserve"> </w:t>
      </w:r>
      <w:r w:rsidRPr="00735726">
        <w:rPr>
          <w:rFonts w:ascii="Arial" w:hAnsi="Arial" w:cs="Arial"/>
          <w:sz w:val="18"/>
          <w:szCs w:val="18"/>
        </w:rPr>
        <w:t>stations in Helston, Mullion and Marazion. Following</w:t>
      </w:r>
      <w:r w:rsidR="00BE5C2A" w:rsidRPr="00735726">
        <w:rPr>
          <w:rFonts w:ascii="Arial" w:hAnsi="Arial" w:cs="Arial"/>
          <w:sz w:val="18"/>
          <w:szCs w:val="18"/>
        </w:rPr>
        <w:t xml:space="preserve"> </w:t>
      </w:r>
      <w:r w:rsidRPr="00735726">
        <w:rPr>
          <w:rFonts w:ascii="Arial" w:hAnsi="Arial" w:cs="Arial"/>
          <w:sz w:val="18"/>
          <w:szCs w:val="18"/>
        </w:rPr>
        <w:t>the event, customers were invited to provide feedback</w:t>
      </w:r>
      <w:r w:rsidR="00BE5C2A" w:rsidRPr="00735726">
        <w:rPr>
          <w:rFonts w:ascii="Arial" w:hAnsi="Arial" w:cs="Arial"/>
          <w:sz w:val="18"/>
          <w:szCs w:val="18"/>
        </w:rPr>
        <w:t xml:space="preserve"> </w:t>
      </w:r>
      <w:r w:rsidRPr="00735726">
        <w:rPr>
          <w:rFonts w:ascii="Arial" w:hAnsi="Arial" w:cs="Arial"/>
          <w:sz w:val="18"/>
          <w:szCs w:val="18"/>
        </w:rPr>
        <w:t>via SMS, with 940 responses</w:t>
      </w:r>
      <w:r w:rsidR="00BE5C2A" w:rsidRPr="00735726">
        <w:rPr>
          <w:rFonts w:ascii="Arial" w:hAnsi="Arial" w:cs="Arial"/>
          <w:sz w:val="18"/>
          <w:szCs w:val="18"/>
        </w:rPr>
        <w:t xml:space="preserve"> </w:t>
      </w:r>
      <w:r w:rsidRPr="00735726">
        <w:rPr>
          <w:rFonts w:ascii="Arial" w:hAnsi="Arial" w:cs="Arial"/>
          <w:sz w:val="18"/>
          <w:szCs w:val="18"/>
        </w:rPr>
        <w:t>received, including 230</w:t>
      </w:r>
      <w:r w:rsidR="00BE5C2A" w:rsidRPr="00735726">
        <w:rPr>
          <w:rFonts w:ascii="Arial" w:hAnsi="Arial" w:cs="Arial"/>
          <w:sz w:val="18"/>
          <w:szCs w:val="18"/>
        </w:rPr>
        <w:t xml:space="preserve"> </w:t>
      </w:r>
      <w:r w:rsidRPr="00735726">
        <w:rPr>
          <w:rFonts w:ascii="Arial" w:hAnsi="Arial" w:cs="Arial"/>
          <w:sz w:val="18"/>
          <w:szCs w:val="18"/>
        </w:rPr>
        <w:t>Priority Service Register (PSR) customers, representing</w:t>
      </w:r>
      <w:r w:rsidR="00BE5C2A" w:rsidRPr="00735726">
        <w:rPr>
          <w:rFonts w:ascii="Arial" w:hAnsi="Arial" w:cs="Arial"/>
          <w:sz w:val="18"/>
          <w:szCs w:val="18"/>
        </w:rPr>
        <w:t xml:space="preserve"> </w:t>
      </w:r>
      <w:r w:rsidRPr="00735726">
        <w:rPr>
          <w:rFonts w:ascii="Arial" w:hAnsi="Arial" w:cs="Arial"/>
          <w:sz w:val="18"/>
          <w:szCs w:val="18"/>
        </w:rPr>
        <w:t>a 12.8% response rate among those contacted and 5.9%</w:t>
      </w:r>
      <w:r w:rsidR="00BE5C2A" w:rsidRPr="00735726">
        <w:rPr>
          <w:rFonts w:ascii="Arial" w:hAnsi="Arial" w:cs="Arial"/>
          <w:sz w:val="18"/>
          <w:szCs w:val="18"/>
        </w:rPr>
        <w:t xml:space="preserve"> </w:t>
      </w:r>
      <w:r w:rsidRPr="00735726">
        <w:rPr>
          <w:rFonts w:ascii="Arial" w:hAnsi="Arial" w:cs="Arial"/>
          <w:sz w:val="18"/>
          <w:szCs w:val="18"/>
        </w:rPr>
        <w:t>of all affected properties.</w:t>
      </w:r>
    </w:p>
    <w:p w14:paraId="6A935F24" w14:textId="5DABE876" w:rsidR="00BE5C2A" w:rsidRPr="00735726" w:rsidRDefault="00BE5C2A" w:rsidP="00BE5C2A">
      <w:pPr>
        <w:rPr>
          <w:rFonts w:ascii="Arial" w:hAnsi="Arial" w:cs="Arial"/>
          <w:sz w:val="18"/>
          <w:szCs w:val="18"/>
        </w:rPr>
      </w:pPr>
      <w:r w:rsidRPr="00735726">
        <w:rPr>
          <w:rFonts w:ascii="Arial" w:hAnsi="Arial" w:cs="Arial"/>
          <w:i/>
          <w:iCs/>
          <w:sz w:val="18"/>
          <w:szCs w:val="18"/>
        </w:rPr>
        <w:t>CUSTOMER FEEDBACK</w:t>
      </w:r>
      <w:r w:rsidRPr="00735726">
        <w:rPr>
          <w:rFonts w:ascii="Arial" w:hAnsi="Arial" w:cs="Arial"/>
          <w:i/>
          <w:iCs/>
          <w:sz w:val="18"/>
          <w:szCs w:val="18"/>
        </w:rPr>
        <w:br/>
      </w:r>
      <w:r w:rsidRPr="00735726">
        <w:rPr>
          <w:rFonts w:ascii="Arial" w:hAnsi="Arial" w:cs="Arial"/>
          <w:sz w:val="18"/>
          <w:szCs w:val="18"/>
        </w:rPr>
        <w:t xml:space="preserve">Overall, feedback from customers affected by Storm Goretti reflects a broadly positive view of the response, particularly given the exceptional circumstances. Many customers recognised the severity of the storm and felt the situation was handled effectively, with strong appreciation for the efforts of frontline teams, especially those supporting bottled water distribution and vulnerable customers. Communications were seen as helpful and reassuring, supported by a range of channels and supplementary information such as video updates. </w:t>
      </w:r>
    </w:p>
    <w:p w14:paraId="7AD797C7" w14:textId="56E8B5FC" w:rsidR="00BE5C2A" w:rsidRPr="00735726" w:rsidRDefault="00BE5C2A" w:rsidP="00BE5C2A">
      <w:pPr>
        <w:rPr>
          <w:rFonts w:ascii="Arial" w:hAnsi="Arial" w:cs="Arial"/>
          <w:sz w:val="18"/>
          <w:szCs w:val="18"/>
        </w:rPr>
      </w:pPr>
      <w:r w:rsidRPr="00735726">
        <w:rPr>
          <w:rFonts w:ascii="Arial" w:hAnsi="Arial" w:cs="Arial"/>
          <w:sz w:val="18"/>
          <w:szCs w:val="18"/>
        </w:rPr>
        <w:t xml:space="preserve">This positive sentiment is reflected in satisfaction metrics, with the highest scores relating to the frequency of updates, followed by satisfaction with the speed and clarity of communications, and accuracy. Customers placed </w:t>
      </w:r>
      <w:proofErr w:type="gramStart"/>
      <w:r w:rsidRPr="00735726">
        <w:rPr>
          <w:rFonts w:ascii="Arial" w:hAnsi="Arial" w:cs="Arial"/>
          <w:sz w:val="18"/>
          <w:szCs w:val="18"/>
        </w:rPr>
        <w:t>particular value</w:t>
      </w:r>
      <w:proofErr w:type="gramEnd"/>
      <w:r w:rsidRPr="00735726">
        <w:rPr>
          <w:rFonts w:ascii="Arial" w:hAnsi="Arial" w:cs="Arial"/>
          <w:sz w:val="18"/>
          <w:szCs w:val="18"/>
        </w:rPr>
        <w:t xml:space="preserve"> on being kept informed, although there remains opportunity to strengthen clarity and precision. Satisfaction with time to resolution was lower, reflecting the prolonged impact of the incident.</w:t>
      </w:r>
    </w:p>
    <w:p w14:paraId="56EEDF28" w14:textId="77777777" w:rsidR="00BE5C2A" w:rsidRPr="00735726" w:rsidRDefault="00BE5C2A" w:rsidP="00BE5C2A">
      <w:pPr>
        <w:rPr>
          <w:rFonts w:ascii="Arial" w:hAnsi="Arial" w:cs="Arial"/>
          <w:sz w:val="18"/>
          <w:szCs w:val="18"/>
        </w:rPr>
      </w:pPr>
      <w:r w:rsidRPr="00735726">
        <w:rPr>
          <w:rFonts w:ascii="Arial" w:hAnsi="Arial" w:cs="Arial"/>
          <w:sz w:val="18"/>
          <w:szCs w:val="18"/>
        </w:rPr>
        <w:t xml:space="preserve">Together, this indicates that while customers valued the efforts, communication and support provided during a complex event, the length of disruption remained a key driver of overall experience. This feedback was fed directly back into our incident management process for future service and communication improvements. </w:t>
      </w:r>
    </w:p>
    <w:p w14:paraId="542A6DD7" w14:textId="0582C6C0" w:rsidR="005623F0" w:rsidRPr="009A2CAE" w:rsidRDefault="005623F0" w:rsidP="00277639">
      <w:pPr>
        <w:spacing w:after="160"/>
        <w:rPr>
          <w:rFonts w:ascii="Arial" w:hAnsi="Arial" w:cs="Arial"/>
          <w:sz w:val="18"/>
          <w:szCs w:val="18"/>
        </w:rPr>
      </w:pPr>
      <w:r w:rsidRPr="00735726">
        <w:rPr>
          <w:rFonts w:ascii="Arial" w:hAnsi="Arial" w:cs="Arial"/>
          <w:b/>
          <w:bCs/>
          <w:sz w:val="18"/>
          <w:szCs w:val="18"/>
        </w:rPr>
        <w:t>OPERATIONAL KPIs</w:t>
      </w:r>
      <w:r w:rsidR="00D62E2B" w:rsidRPr="00735726">
        <w:rPr>
          <w:rFonts w:ascii="Arial" w:hAnsi="Arial" w:cs="Arial"/>
          <w:sz w:val="18"/>
          <w:szCs w:val="18"/>
        </w:rPr>
        <w:br/>
      </w:r>
      <w:r w:rsidRPr="00735726">
        <w:rPr>
          <w:rFonts w:ascii="Arial" w:hAnsi="Arial" w:cs="Arial"/>
          <w:sz w:val="18"/>
          <w:szCs w:val="18"/>
        </w:rPr>
        <w:t xml:space="preserve">More information can be found in Pennon Group </w:t>
      </w:r>
      <w:r w:rsidR="0078265F" w:rsidRPr="00735726">
        <w:rPr>
          <w:rFonts w:ascii="Arial" w:hAnsi="Arial" w:cs="Arial"/>
          <w:sz w:val="18"/>
          <w:szCs w:val="18"/>
        </w:rPr>
        <w:t xml:space="preserve">plc </w:t>
      </w:r>
      <w:r w:rsidRPr="00735726">
        <w:rPr>
          <w:rFonts w:ascii="Arial" w:hAnsi="Arial" w:cs="Arial"/>
          <w:sz w:val="18"/>
          <w:szCs w:val="18"/>
        </w:rPr>
        <w:t xml:space="preserve">Annual Report and Accounts 2026 </w:t>
      </w:r>
      <w:r w:rsidRPr="009A2CAE">
        <w:rPr>
          <w:rFonts w:ascii="Arial" w:hAnsi="Arial" w:cs="Arial"/>
          <w:sz w:val="18"/>
          <w:szCs w:val="18"/>
        </w:rPr>
        <w:t>page</w:t>
      </w:r>
      <w:r w:rsidR="00BE3FB6" w:rsidRPr="009A2CAE">
        <w:rPr>
          <w:rFonts w:ascii="Arial" w:hAnsi="Arial" w:cs="Arial"/>
          <w:sz w:val="18"/>
          <w:szCs w:val="18"/>
        </w:rPr>
        <w:t xml:space="preserve"> 50</w:t>
      </w:r>
      <w:r w:rsidRPr="009A2CAE">
        <w:rPr>
          <w:rFonts w:ascii="Arial" w:hAnsi="Arial" w:cs="Arial"/>
          <w:sz w:val="18"/>
          <w:szCs w:val="18"/>
        </w:rPr>
        <w:t>.</w:t>
      </w:r>
    </w:p>
    <w:p w14:paraId="2EA311C0" w14:textId="77777777" w:rsidR="00F27DB8" w:rsidRPr="00735726" w:rsidRDefault="005623F0" w:rsidP="005623F0">
      <w:pPr>
        <w:rPr>
          <w:rFonts w:ascii="Arial" w:hAnsi="Arial" w:cs="Arial"/>
          <w:sz w:val="18"/>
          <w:szCs w:val="18"/>
        </w:rPr>
      </w:pPr>
      <w:r w:rsidRPr="00735726">
        <w:rPr>
          <w:rFonts w:ascii="Arial" w:hAnsi="Arial" w:cs="Arial"/>
          <w:i/>
          <w:iCs/>
          <w:sz w:val="18"/>
          <w:szCs w:val="18"/>
        </w:rPr>
        <w:t>NUMBER OF CUSTOMERS ON SOCIAL TARIFFS</w:t>
      </w:r>
      <w:r w:rsidRPr="00735726">
        <w:rPr>
          <w:rFonts w:ascii="Arial" w:hAnsi="Arial" w:cs="Arial"/>
          <w:i/>
          <w:iCs/>
          <w:sz w:val="18"/>
          <w:szCs w:val="18"/>
        </w:rPr>
        <w:br/>
      </w:r>
      <w:r w:rsidRPr="00735726">
        <w:rPr>
          <w:rFonts w:ascii="Arial" w:hAnsi="Arial" w:cs="Arial"/>
          <w:sz w:val="18"/>
          <w:szCs w:val="18"/>
        </w:rPr>
        <w:t xml:space="preserve">We achieved our target of eliminating water poverty by 2025 across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Bournemouth and Bristol regions, and have recommitted to achieving 100% affordability by 2030. Our £200 million support package will help us achieve this goal and ensure no customer cannot afford their water bill.  </w:t>
      </w:r>
    </w:p>
    <w:p w14:paraId="5DD7FB35" w14:textId="24E8E4A5" w:rsidR="00F27DB8" w:rsidRPr="00735726" w:rsidRDefault="00F27DB8" w:rsidP="00F27DB8">
      <w:pPr>
        <w:rPr>
          <w:rFonts w:ascii="Arial" w:hAnsi="Arial" w:cs="Arial"/>
          <w:sz w:val="18"/>
          <w:szCs w:val="18"/>
        </w:rPr>
      </w:pPr>
      <w:r w:rsidRPr="00735726">
        <w:rPr>
          <w:rFonts w:ascii="Arial" w:hAnsi="Arial" w:cs="Arial"/>
          <w:i/>
          <w:iCs/>
          <w:sz w:val="18"/>
          <w:szCs w:val="18"/>
        </w:rPr>
        <w:t>CUSTOMER MEASURE OF EXPERIENCE (C-</w:t>
      </w:r>
      <w:proofErr w:type="spellStart"/>
      <w:r w:rsidRPr="00735726">
        <w:rPr>
          <w:rFonts w:ascii="Arial" w:hAnsi="Arial" w:cs="Arial"/>
          <w:i/>
          <w:iCs/>
          <w:sz w:val="18"/>
          <w:szCs w:val="18"/>
        </w:rPr>
        <w:t>MeX</w:t>
      </w:r>
      <w:proofErr w:type="spellEnd"/>
      <w:r w:rsidRPr="00735726">
        <w:rPr>
          <w:rFonts w:ascii="Arial" w:hAnsi="Arial" w:cs="Arial"/>
          <w:i/>
          <w:iCs/>
          <w:sz w:val="18"/>
          <w:szCs w:val="18"/>
        </w:rPr>
        <w:t>)</w:t>
      </w:r>
      <w:r w:rsidR="00F56951" w:rsidRPr="00735726">
        <w:rPr>
          <w:rStyle w:val="FootnoteReference"/>
          <w:rFonts w:ascii="Arial" w:hAnsi="Arial" w:cs="Arial"/>
          <w:i/>
          <w:iCs/>
          <w:sz w:val="18"/>
          <w:szCs w:val="18"/>
        </w:rPr>
        <w:footnoteReference w:id="9"/>
      </w:r>
      <w:r w:rsidRPr="00735726">
        <w:rPr>
          <w:rFonts w:ascii="Arial" w:hAnsi="Arial" w:cs="Arial"/>
          <w:i/>
          <w:iCs/>
          <w:sz w:val="18"/>
          <w:szCs w:val="18"/>
        </w:rPr>
        <w:br/>
      </w:r>
      <w:r w:rsidRPr="00735726">
        <w:rPr>
          <w:rFonts w:ascii="Arial" w:hAnsi="Arial" w:cs="Arial"/>
          <w:sz w:val="18"/>
          <w:szCs w:val="18"/>
        </w:rPr>
        <w:t>C</w:t>
      </w:r>
      <w:r w:rsidRPr="00735726">
        <w:rPr>
          <w:rFonts w:ascii="Cambria Math" w:hAnsi="Cambria Math" w:cs="Cambria Math"/>
          <w:sz w:val="18"/>
          <w:szCs w:val="18"/>
        </w:rPr>
        <w:t>‑</w:t>
      </w:r>
      <w:proofErr w:type="spellStart"/>
      <w:r w:rsidRPr="00735726">
        <w:rPr>
          <w:rFonts w:ascii="Arial" w:hAnsi="Arial" w:cs="Arial"/>
          <w:sz w:val="18"/>
          <w:szCs w:val="18"/>
        </w:rPr>
        <w:t>MeX</w:t>
      </w:r>
      <w:proofErr w:type="spellEnd"/>
      <w:r w:rsidRPr="00735726">
        <w:rPr>
          <w:rFonts w:ascii="Arial" w:hAnsi="Arial" w:cs="Arial"/>
          <w:sz w:val="18"/>
          <w:szCs w:val="18"/>
        </w:rPr>
        <w:t xml:space="preserve"> is Ofwat’s measure of customer experience, capturing feedback from customers who contact us and broader perception surveys. We triangulate this with operational data to focus on what matters most to customers. This informs our customer strategy for delivering a trusted, simple and human service. It is how we run the business, grounded in five principles: first time resolution, moments of truth, proactive communication, simple </w:t>
      </w:r>
      <w:proofErr w:type="spellStart"/>
      <w:r w:rsidRPr="00735726">
        <w:rPr>
          <w:rFonts w:ascii="Arial" w:hAnsi="Arial" w:cs="Arial"/>
          <w:sz w:val="18"/>
          <w:szCs w:val="18"/>
        </w:rPr>
        <w:t>self service</w:t>
      </w:r>
      <w:proofErr w:type="spellEnd"/>
      <w:r w:rsidRPr="00735726">
        <w:rPr>
          <w:rFonts w:ascii="Arial" w:hAnsi="Arial" w:cs="Arial"/>
          <w:sz w:val="18"/>
          <w:szCs w:val="18"/>
        </w:rPr>
        <w:t xml:space="preserve">, and clear accountability. As part of this, we have aligned clear customer promises across the </w:t>
      </w:r>
      <w:r w:rsidR="002D73FF" w:rsidRPr="00735726">
        <w:rPr>
          <w:rFonts w:ascii="Arial" w:hAnsi="Arial" w:cs="Arial"/>
          <w:sz w:val="18"/>
          <w:szCs w:val="18"/>
        </w:rPr>
        <w:t xml:space="preserve">Company </w:t>
      </w:r>
      <w:r w:rsidRPr="00735726">
        <w:rPr>
          <w:rFonts w:ascii="Arial" w:hAnsi="Arial" w:cs="Arial"/>
          <w:sz w:val="18"/>
          <w:szCs w:val="18"/>
        </w:rPr>
        <w:t>to ensure a consistent and transparent experience, supported by actively sharing best practice between our regions to drive continuous improvement.</w:t>
      </w:r>
    </w:p>
    <w:p w14:paraId="0E32E38F" w14:textId="22085F56" w:rsidR="00F27DB8" w:rsidRPr="00735726" w:rsidRDefault="00F27DB8" w:rsidP="00F27DB8">
      <w:pPr>
        <w:rPr>
          <w:rFonts w:ascii="Arial" w:hAnsi="Arial" w:cs="Arial"/>
          <w:sz w:val="18"/>
          <w:szCs w:val="18"/>
        </w:rPr>
      </w:pPr>
      <w:r w:rsidRPr="00735726">
        <w:rPr>
          <w:rFonts w:ascii="Arial" w:hAnsi="Arial" w:cs="Arial"/>
          <w:sz w:val="18"/>
          <w:szCs w:val="18"/>
        </w:rPr>
        <w:t>We have clear C-</w:t>
      </w:r>
      <w:proofErr w:type="spellStart"/>
      <w:r w:rsidRPr="00735726">
        <w:rPr>
          <w:rFonts w:ascii="Arial" w:hAnsi="Arial" w:cs="Arial"/>
          <w:sz w:val="18"/>
          <w:szCs w:val="18"/>
        </w:rPr>
        <w:t>MeX</w:t>
      </w:r>
      <w:proofErr w:type="spellEnd"/>
      <w:r w:rsidRPr="00735726">
        <w:rPr>
          <w:rFonts w:ascii="Arial" w:hAnsi="Arial" w:cs="Arial"/>
          <w:sz w:val="18"/>
          <w:szCs w:val="18"/>
        </w:rPr>
        <w:t xml:space="preserve"> improvement plans in place, with regular team and Board review, focused on right </w:t>
      </w:r>
      <w:proofErr w:type="gramStart"/>
      <w:r w:rsidRPr="00735726">
        <w:rPr>
          <w:rFonts w:ascii="Arial" w:hAnsi="Arial" w:cs="Arial"/>
          <w:sz w:val="18"/>
          <w:szCs w:val="18"/>
        </w:rPr>
        <w:t>first time</w:t>
      </w:r>
      <w:proofErr w:type="gramEnd"/>
      <w:r w:rsidRPr="00735726">
        <w:rPr>
          <w:rFonts w:ascii="Arial" w:hAnsi="Arial" w:cs="Arial"/>
          <w:sz w:val="18"/>
          <w:szCs w:val="18"/>
        </w:rPr>
        <w:t xml:space="preserve"> delivery and clearer, more effective communication. This is supported by ongoing reviews of key customer journeys to identify areas we can improve.</w:t>
      </w:r>
      <w:r w:rsidR="00F56951" w:rsidRPr="00735726">
        <w:rPr>
          <w:rFonts w:ascii="Arial" w:hAnsi="Arial" w:cs="Arial"/>
          <w:sz w:val="18"/>
          <w:szCs w:val="18"/>
        </w:rPr>
        <w:t xml:space="preserve"> </w:t>
      </w:r>
      <w:r w:rsidRPr="00735726">
        <w:rPr>
          <w:rFonts w:ascii="Arial" w:hAnsi="Arial" w:cs="Arial"/>
          <w:sz w:val="18"/>
          <w:szCs w:val="18"/>
        </w:rPr>
        <w:t xml:space="preserve">To improve performance, we are prioritising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critical processes where failure is most visible and repeatable: billing effectiveness, leak management, blockages and operational jobs. We are already seeing service improvements in these areas.</w:t>
      </w:r>
      <w:r w:rsidR="00F56951" w:rsidRPr="00735726">
        <w:rPr>
          <w:rFonts w:ascii="Arial" w:hAnsi="Arial" w:cs="Arial"/>
          <w:sz w:val="18"/>
          <w:szCs w:val="18"/>
        </w:rPr>
        <w:t xml:space="preserve"> </w:t>
      </w:r>
      <w:r w:rsidRPr="00735726">
        <w:rPr>
          <w:rFonts w:ascii="Arial" w:hAnsi="Arial" w:cs="Arial"/>
          <w:sz w:val="18"/>
          <w:szCs w:val="18"/>
        </w:rPr>
        <w:t>C-</w:t>
      </w:r>
      <w:proofErr w:type="spellStart"/>
      <w:r w:rsidRPr="00735726">
        <w:rPr>
          <w:rFonts w:ascii="Arial" w:hAnsi="Arial" w:cs="Arial"/>
          <w:sz w:val="18"/>
          <w:szCs w:val="18"/>
        </w:rPr>
        <w:t>MeX</w:t>
      </w:r>
      <w:proofErr w:type="spellEnd"/>
      <w:r w:rsidRPr="00735726">
        <w:rPr>
          <w:rFonts w:ascii="Arial" w:hAnsi="Arial" w:cs="Arial"/>
          <w:sz w:val="18"/>
          <w:szCs w:val="18"/>
        </w:rPr>
        <w:t xml:space="preserve"> performance varies across regions. Bristol Water is a leading performer in the sector at 5</w:t>
      </w:r>
      <w:r w:rsidRPr="00735726">
        <w:rPr>
          <w:rFonts w:ascii="Arial" w:hAnsi="Arial" w:cs="Arial"/>
          <w:sz w:val="18"/>
          <w:szCs w:val="18"/>
          <w:vertAlign w:val="superscript"/>
        </w:rPr>
        <w:t>th</w:t>
      </w:r>
      <w:r w:rsidRPr="00735726">
        <w:rPr>
          <w:rFonts w:ascii="Arial" w:hAnsi="Arial" w:cs="Arial"/>
          <w:sz w:val="18"/>
          <w:szCs w:val="18"/>
        </w:rPr>
        <w:t xml:space="preserve">, whilst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remains a key focus for improvement, ranked at 15</w:t>
      </w:r>
      <w:r w:rsidRPr="00735726">
        <w:rPr>
          <w:rFonts w:ascii="Arial" w:hAnsi="Arial" w:cs="Arial"/>
          <w:sz w:val="18"/>
          <w:szCs w:val="18"/>
          <w:vertAlign w:val="superscript"/>
        </w:rPr>
        <w:t>th</w:t>
      </w:r>
      <w:r w:rsidRPr="00735726">
        <w:rPr>
          <w:rFonts w:ascii="Arial" w:hAnsi="Arial" w:cs="Arial"/>
          <w:sz w:val="18"/>
          <w:szCs w:val="18"/>
        </w:rPr>
        <w:t xml:space="preserve">. </w:t>
      </w:r>
    </w:p>
    <w:p w14:paraId="74732439" w14:textId="77777777" w:rsidR="009A2BF9" w:rsidRPr="00735726" w:rsidRDefault="00F27DB8" w:rsidP="00F27DB8">
      <w:pPr>
        <w:rPr>
          <w:rFonts w:ascii="Arial" w:hAnsi="Arial" w:cs="Arial"/>
          <w:i/>
          <w:iCs/>
          <w:sz w:val="18"/>
          <w:szCs w:val="18"/>
        </w:rPr>
      </w:pPr>
      <w:r w:rsidRPr="00735726">
        <w:rPr>
          <w:rFonts w:ascii="Arial" w:hAnsi="Arial" w:cs="Arial"/>
          <w:sz w:val="18"/>
          <w:szCs w:val="18"/>
        </w:rPr>
        <w:t>Across our household contact centre, our aim is to provide clear, joined up, end-to-end support. Whether customers contact us about a bill, affordability concerns, service issues or additional support needs, our objective is to make it easier to get the right help first time, in a way that works for them.</w:t>
      </w:r>
      <w:r w:rsidRPr="00735726">
        <w:rPr>
          <w:rFonts w:ascii="Arial" w:hAnsi="Arial" w:cs="Arial"/>
          <w:i/>
          <w:iCs/>
          <w:sz w:val="18"/>
          <w:szCs w:val="18"/>
        </w:rPr>
        <w:t xml:space="preserve"> </w:t>
      </w:r>
    </w:p>
    <w:p w14:paraId="00419C84" w14:textId="050F5FA9" w:rsidR="009A2BF9" w:rsidRPr="00735726" w:rsidRDefault="009A2BF9" w:rsidP="009A2BF9">
      <w:pPr>
        <w:spacing w:after="0"/>
        <w:rPr>
          <w:rFonts w:ascii="Arial" w:hAnsi="Arial" w:cs="Arial"/>
          <w:i/>
          <w:iCs/>
          <w:sz w:val="18"/>
          <w:szCs w:val="18"/>
          <w:vertAlign w:val="superscript"/>
        </w:rPr>
      </w:pPr>
      <w:r w:rsidRPr="00735726">
        <w:rPr>
          <w:rFonts w:ascii="Arial" w:hAnsi="Arial" w:cs="Arial"/>
          <w:i/>
          <w:iCs/>
          <w:sz w:val="18"/>
          <w:szCs w:val="18"/>
        </w:rPr>
        <w:t>DEVELOPER MEASURE OF EXPERIENCE (D-</w:t>
      </w:r>
      <w:proofErr w:type="spellStart"/>
      <w:r w:rsidR="00631654" w:rsidRPr="00735726">
        <w:rPr>
          <w:rFonts w:ascii="Arial" w:hAnsi="Arial" w:cs="Arial"/>
          <w:i/>
          <w:iCs/>
          <w:sz w:val="18"/>
          <w:szCs w:val="18"/>
        </w:rPr>
        <w:t>MeX</w:t>
      </w:r>
      <w:proofErr w:type="spellEnd"/>
      <w:r w:rsidRPr="00735726">
        <w:rPr>
          <w:rFonts w:ascii="Arial" w:hAnsi="Arial" w:cs="Arial"/>
          <w:i/>
          <w:iCs/>
          <w:sz w:val="18"/>
          <w:szCs w:val="18"/>
        </w:rPr>
        <w:t>)</w:t>
      </w:r>
      <w:r w:rsidR="0018199A" w:rsidRPr="00735726">
        <w:rPr>
          <w:rFonts w:ascii="Arial" w:hAnsi="Arial" w:cs="Arial"/>
          <w:i/>
          <w:iCs/>
          <w:sz w:val="18"/>
          <w:szCs w:val="18"/>
          <w:vertAlign w:val="superscript"/>
        </w:rPr>
        <w:t>1</w:t>
      </w:r>
    </w:p>
    <w:p w14:paraId="41B72837" w14:textId="49CBAEFC" w:rsidR="00FD779A" w:rsidRPr="00B318D0" w:rsidRDefault="009A2BF9" w:rsidP="00FD779A">
      <w:pPr>
        <w:pStyle w:val="MainHeading"/>
        <w:outlineLvl w:val="0"/>
        <w:rPr>
          <w:sz w:val="32"/>
          <w:szCs w:val="32"/>
          <w:highlight w:val="yellow"/>
        </w:rPr>
      </w:pPr>
      <w:r w:rsidRPr="00735726">
        <w:rPr>
          <w:rFonts w:cs="Arial"/>
          <w:sz w:val="18"/>
          <w:szCs w:val="18"/>
        </w:rPr>
        <w:t>D</w:t>
      </w:r>
      <w:r w:rsidRPr="00735726">
        <w:rPr>
          <w:rFonts w:eastAsiaTheme="minorHAnsi" w:cs="Arial"/>
          <w:caps w:val="0"/>
          <w:color w:val="auto"/>
          <w:sz w:val="18"/>
          <w:szCs w:val="18"/>
        </w:rPr>
        <w:t>-</w:t>
      </w:r>
      <w:proofErr w:type="spellStart"/>
      <w:r w:rsidRPr="00735726">
        <w:rPr>
          <w:rFonts w:eastAsiaTheme="minorHAnsi" w:cs="Arial"/>
          <w:caps w:val="0"/>
          <w:color w:val="auto"/>
          <w:sz w:val="18"/>
          <w:szCs w:val="18"/>
        </w:rPr>
        <w:t>MeX</w:t>
      </w:r>
      <w:proofErr w:type="spellEnd"/>
      <w:r w:rsidRPr="00735726">
        <w:rPr>
          <w:rFonts w:eastAsiaTheme="minorHAnsi" w:cs="Arial"/>
          <w:caps w:val="0"/>
          <w:color w:val="auto"/>
          <w:sz w:val="18"/>
          <w:szCs w:val="18"/>
        </w:rPr>
        <w:t xml:space="preserve"> is Ofwat’s measure of service experience for developers which directly compares us with our peers</w:t>
      </w:r>
      <w:r w:rsidRPr="00735726">
        <w:rPr>
          <w:rFonts w:cs="Arial"/>
          <w:sz w:val="18"/>
          <w:szCs w:val="18"/>
        </w:rPr>
        <w:t xml:space="preserve">. </w:t>
      </w:r>
      <w:proofErr w:type="gramStart"/>
      <w:r w:rsidRPr="00735726">
        <w:rPr>
          <w:rFonts w:eastAsiaTheme="minorHAnsi" w:cs="Arial"/>
          <w:caps w:val="0"/>
          <w:color w:val="auto"/>
          <w:sz w:val="18"/>
          <w:szCs w:val="18"/>
        </w:rPr>
        <w:t>South West</w:t>
      </w:r>
      <w:proofErr w:type="gramEnd"/>
      <w:r w:rsidRPr="00735726">
        <w:rPr>
          <w:rFonts w:eastAsiaTheme="minorHAnsi" w:cs="Arial"/>
          <w:caps w:val="0"/>
          <w:color w:val="auto"/>
          <w:sz w:val="18"/>
          <w:szCs w:val="18"/>
        </w:rPr>
        <w:t xml:space="preserve"> Water</w:t>
      </w:r>
      <w:r w:rsidR="00F56951" w:rsidRPr="00735726">
        <w:rPr>
          <w:rFonts w:eastAsiaTheme="minorHAnsi" w:cs="Arial"/>
          <w:caps w:val="0"/>
          <w:color w:val="auto"/>
          <w:sz w:val="18"/>
          <w:szCs w:val="18"/>
        </w:rPr>
        <w:t xml:space="preserve"> and</w:t>
      </w:r>
      <w:r w:rsidRPr="00735726">
        <w:rPr>
          <w:rFonts w:eastAsiaTheme="minorHAnsi" w:cs="Arial"/>
          <w:caps w:val="0"/>
          <w:color w:val="auto"/>
          <w:sz w:val="18"/>
          <w:szCs w:val="18"/>
        </w:rPr>
        <w:t xml:space="preserve"> Bristol Water have seen broadly improving trends in performance in this metric.</w:t>
      </w:r>
      <w:r w:rsidR="005623F0" w:rsidRPr="00C732D7">
        <w:rPr>
          <w:rFonts w:cs="Arial"/>
          <w:b/>
          <w:bCs/>
          <w:sz w:val="18"/>
          <w:szCs w:val="18"/>
          <w:highlight w:val="yellow"/>
        </w:rPr>
        <w:br w:type="page"/>
      </w:r>
      <w:r w:rsidR="00A22292" w:rsidRPr="00A22292">
        <w:rPr>
          <w:sz w:val="32"/>
          <w:szCs w:val="32"/>
        </w:rPr>
        <w:lastRenderedPageBreak/>
        <w:t>CHIEF FINANCIAL OFFICER’S</w:t>
      </w:r>
      <w:r w:rsidR="00FD779A" w:rsidRPr="00A22292">
        <w:rPr>
          <w:sz w:val="32"/>
          <w:szCs w:val="32"/>
        </w:rPr>
        <w:t xml:space="preserve"> REVIEW</w:t>
      </w:r>
    </w:p>
    <w:p w14:paraId="0F096399" w14:textId="2D44829D" w:rsidR="00A22292" w:rsidRDefault="00A22292" w:rsidP="00A22292">
      <w:pPr>
        <w:rPr>
          <w:rFonts w:ascii="Arial" w:hAnsi="Arial" w:cs="Arial"/>
          <w:sz w:val="18"/>
          <w:szCs w:val="18"/>
        </w:rPr>
      </w:pPr>
      <w:r w:rsidRPr="00A22292">
        <w:rPr>
          <w:rFonts w:ascii="Arial" w:hAnsi="Arial" w:cs="Arial"/>
          <w:sz w:val="18"/>
          <w:szCs w:val="18"/>
        </w:rPr>
        <w:t>This financial year has marked a return to profitability in the first year of our five-year regulatory cycle.</w:t>
      </w:r>
    </w:p>
    <w:p w14:paraId="7A8613C0" w14:textId="62606F9A" w:rsidR="00F56951" w:rsidRPr="00A22292" w:rsidRDefault="00F56951" w:rsidP="00F56951">
      <w:pPr>
        <w:rPr>
          <w:rFonts w:ascii="Arial" w:hAnsi="Arial" w:cs="Arial"/>
          <w:sz w:val="18"/>
          <w:szCs w:val="18"/>
        </w:rPr>
      </w:pPr>
      <w:r>
        <w:rPr>
          <w:rFonts w:ascii="Arial" w:hAnsi="Arial" w:cs="Arial"/>
          <w:sz w:val="18"/>
          <w:szCs w:val="18"/>
        </w:rPr>
        <w:t xml:space="preserve">The Company has delivered a return to profitability in 2025/26. </w:t>
      </w:r>
      <w:r w:rsidRPr="00F56951">
        <w:rPr>
          <w:rFonts w:ascii="Arial" w:hAnsi="Arial" w:cs="Arial"/>
          <w:sz w:val="18"/>
          <w:szCs w:val="18"/>
        </w:rPr>
        <w:t>This is in line</w:t>
      </w:r>
      <w:r>
        <w:rPr>
          <w:rFonts w:ascii="Arial" w:hAnsi="Arial" w:cs="Arial"/>
          <w:sz w:val="18"/>
          <w:szCs w:val="18"/>
        </w:rPr>
        <w:t xml:space="preserve"> </w:t>
      </w:r>
      <w:r w:rsidRPr="00F56951">
        <w:rPr>
          <w:rFonts w:ascii="Arial" w:hAnsi="Arial" w:cs="Arial"/>
          <w:sz w:val="18"/>
          <w:szCs w:val="18"/>
        </w:rPr>
        <w:t>with expectations and reflects the step</w:t>
      </w:r>
      <w:r>
        <w:rPr>
          <w:rFonts w:ascii="Arial" w:hAnsi="Arial" w:cs="Arial"/>
          <w:sz w:val="18"/>
          <w:szCs w:val="18"/>
        </w:rPr>
        <w:t xml:space="preserve"> </w:t>
      </w:r>
      <w:r w:rsidRPr="00F56951">
        <w:rPr>
          <w:rFonts w:ascii="Arial" w:hAnsi="Arial" w:cs="Arial"/>
          <w:sz w:val="18"/>
          <w:szCs w:val="18"/>
        </w:rPr>
        <w:t>up in revenue from the first year of</w:t>
      </w:r>
      <w:r>
        <w:rPr>
          <w:rFonts w:ascii="Arial" w:hAnsi="Arial" w:cs="Arial"/>
          <w:sz w:val="18"/>
          <w:szCs w:val="18"/>
        </w:rPr>
        <w:t xml:space="preserve"> </w:t>
      </w:r>
      <w:r w:rsidRPr="00F56951">
        <w:rPr>
          <w:rFonts w:ascii="Arial" w:hAnsi="Arial" w:cs="Arial"/>
          <w:sz w:val="18"/>
          <w:szCs w:val="18"/>
        </w:rPr>
        <w:t>AMP8 coupled with a firm focus on</w:t>
      </w:r>
      <w:r>
        <w:rPr>
          <w:rFonts w:ascii="Arial" w:hAnsi="Arial" w:cs="Arial"/>
          <w:sz w:val="18"/>
          <w:szCs w:val="18"/>
        </w:rPr>
        <w:t xml:space="preserve"> </w:t>
      </w:r>
      <w:r w:rsidRPr="00F56951">
        <w:rPr>
          <w:rFonts w:ascii="Arial" w:hAnsi="Arial" w:cs="Arial"/>
          <w:sz w:val="18"/>
          <w:szCs w:val="18"/>
        </w:rPr>
        <w:t>operational costs, despite inflationary</w:t>
      </w:r>
      <w:r>
        <w:rPr>
          <w:rFonts w:ascii="Arial" w:hAnsi="Arial" w:cs="Arial"/>
          <w:sz w:val="18"/>
          <w:szCs w:val="18"/>
        </w:rPr>
        <w:t xml:space="preserve"> </w:t>
      </w:r>
      <w:r w:rsidRPr="00F56951">
        <w:rPr>
          <w:rFonts w:ascii="Arial" w:hAnsi="Arial" w:cs="Arial"/>
          <w:sz w:val="18"/>
          <w:szCs w:val="18"/>
        </w:rPr>
        <w:t>and operational pressures.</w:t>
      </w:r>
    </w:p>
    <w:p w14:paraId="0E2AB129" w14:textId="0D9360FB" w:rsidR="00A22292" w:rsidRPr="00A22292" w:rsidRDefault="00A22292" w:rsidP="00A22292">
      <w:pPr>
        <w:rPr>
          <w:rFonts w:ascii="Arial" w:hAnsi="Arial" w:cs="Arial"/>
          <w:sz w:val="18"/>
          <w:szCs w:val="18"/>
          <w:highlight w:val="yellow"/>
        </w:rPr>
      </w:pPr>
      <w:r w:rsidRPr="00A22292">
        <w:rPr>
          <w:rFonts w:ascii="Arial" w:hAnsi="Arial" w:cs="Arial"/>
          <w:sz w:val="18"/>
          <w:szCs w:val="18"/>
        </w:rPr>
        <w:t xml:space="preserve">Underlying EBITDA has increased by </w:t>
      </w:r>
      <w:r w:rsidR="00365801" w:rsidRPr="00365801">
        <w:rPr>
          <w:rFonts w:ascii="Arial" w:hAnsi="Arial" w:cs="Arial"/>
          <w:sz w:val="18"/>
          <w:szCs w:val="18"/>
        </w:rPr>
        <w:t>55.7</w:t>
      </w:r>
      <w:r w:rsidRPr="00365801">
        <w:rPr>
          <w:rFonts w:ascii="Arial" w:hAnsi="Arial" w:cs="Arial"/>
          <w:sz w:val="18"/>
          <w:szCs w:val="18"/>
        </w:rPr>
        <w:t>% year</w:t>
      </w:r>
      <w:r w:rsidRPr="00A22292">
        <w:rPr>
          <w:rFonts w:ascii="Arial" w:hAnsi="Arial" w:cs="Arial"/>
          <w:sz w:val="18"/>
          <w:szCs w:val="18"/>
        </w:rPr>
        <w:t>-on-year to</w:t>
      </w:r>
      <w:r w:rsidR="00365801">
        <w:rPr>
          <w:rFonts w:ascii="Arial" w:hAnsi="Arial" w:cs="Arial"/>
          <w:sz w:val="18"/>
          <w:szCs w:val="18"/>
        </w:rPr>
        <w:t xml:space="preserve"> </w:t>
      </w:r>
      <w:r w:rsidRPr="00365801">
        <w:rPr>
          <w:rFonts w:ascii="Arial" w:hAnsi="Arial" w:cs="Arial"/>
          <w:sz w:val="18"/>
          <w:szCs w:val="18"/>
        </w:rPr>
        <w:t>£</w:t>
      </w:r>
      <w:r w:rsidR="00365801" w:rsidRPr="00365801">
        <w:rPr>
          <w:rFonts w:ascii="Arial" w:hAnsi="Arial" w:cs="Arial"/>
          <w:sz w:val="18"/>
          <w:szCs w:val="18"/>
        </w:rPr>
        <w:t>482.4</w:t>
      </w:r>
      <w:r w:rsidRPr="00365801">
        <w:rPr>
          <w:rFonts w:ascii="Arial" w:hAnsi="Arial" w:cs="Arial"/>
          <w:sz w:val="18"/>
          <w:szCs w:val="18"/>
        </w:rPr>
        <w:t xml:space="preserve"> million (</w:t>
      </w:r>
      <w:r w:rsidRPr="002D6FC7">
        <w:rPr>
          <w:rFonts w:ascii="Arial" w:hAnsi="Arial" w:cs="Arial"/>
          <w:sz w:val="18"/>
          <w:szCs w:val="18"/>
        </w:rPr>
        <w:t>20</w:t>
      </w:r>
      <w:r w:rsidR="009B4663" w:rsidRPr="002D6FC7">
        <w:rPr>
          <w:rFonts w:ascii="Arial" w:hAnsi="Arial" w:cs="Arial"/>
          <w:sz w:val="18"/>
          <w:szCs w:val="18"/>
        </w:rPr>
        <w:t>24/</w:t>
      </w:r>
      <w:r w:rsidRPr="002D6FC7">
        <w:rPr>
          <w:rFonts w:ascii="Arial" w:hAnsi="Arial" w:cs="Arial"/>
          <w:sz w:val="18"/>
          <w:szCs w:val="18"/>
        </w:rPr>
        <w:t>25: £</w:t>
      </w:r>
      <w:r w:rsidR="002D6FC7" w:rsidRPr="002D6FC7">
        <w:rPr>
          <w:rFonts w:ascii="Arial" w:hAnsi="Arial" w:cs="Arial"/>
          <w:sz w:val="18"/>
          <w:szCs w:val="18"/>
        </w:rPr>
        <w:t>309.8</w:t>
      </w:r>
      <w:r w:rsidRPr="002D6FC7">
        <w:rPr>
          <w:rFonts w:ascii="Arial" w:hAnsi="Arial" w:cs="Arial"/>
          <w:sz w:val="18"/>
          <w:szCs w:val="18"/>
        </w:rPr>
        <w:t xml:space="preserve"> million) driven</w:t>
      </w:r>
      <w:r w:rsidRPr="00A22292">
        <w:rPr>
          <w:rFonts w:ascii="Arial" w:hAnsi="Arial" w:cs="Arial"/>
          <w:sz w:val="18"/>
          <w:szCs w:val="18"/>
        </w:rPr>
        <w:t xml:space="preserve"> by higher revenue and a focus on cost control. Whilst the first year of the five-year cycle results in a step up in the underlying cost base, due to inflationary pressures and regulatory charges, our integration and efficiency programmes have provided benefit and the restructuring of the Company, aligned with our strategic priorities, has allowed increased focus on cost control and driving further efficiencies throughout the business.</w:t>
      </w:r>
    </w:p>
    <w:p w14:paraId="0248EC6B" w14:textId="2E107D1F" w:rsidR="00A22292" w:rsidRDefault="00A22292" w:rsidP="00A22292">
      <w:pPr>
        <w:rPr>
          <w:rFonts w:ascii="Arial" w:hAnsi="Arial" w:cs="Arial"/>
          <w:sz w:val="18"/>
          <w:szCs w:val="18"/>
          <w:highlight w:val="yellow"/>
        </w:rPr>
      </w:pPr>
      <w:r w:rsidRPr="00A22292">
        <w:rPr>
          <w:rFonts w:ascii="Arial" w:hAnsi="Arial" w:cs="Arial"/>
          <w:sz w:val="18"/>
          <w:szCs w:val="18"/>
        </w:rPr>
        <w:t xml:space="preserve">Underlying operating profit more </w:t>
      </w:r>
      <w:r w:rsidRPr="00365801">
        <w:rPr>
          <w:rFonts w:ascii="Arial" w:hAnsi="Arial" w:cs="Arial"/>
          <w:sz w:val="18"/>
          <w:szCs w:val="18"/>
        </w:rPr>
        <w:t>than doubled year-on-year to £</w:t>
      </w:r>
      <w:r w:rsidR="00365801" w:rsidRPr="00365801">
        <w:rPr>
          <w:rFonts w:ascii="Arial" w:hAnsi="Arial" w:cs="Arial"/>
          <w:sz w:val="18"/>
          <w:szCs w:val="18"/>
        </w:rPr>
        <w:t>310.4</w:t>
      </w:r>
      <w:r w:rsidRPr="00365801">
        <w:rPr>
          <w:rFonts w:ascii="Arial" w:hAnsi="Arial" w:cs="Arial"/>
          <w:sz w:val="18"/>
          <w:szCs w:val="18"/>
        </w:rPr>
        <w:t xml:space="preserve"> million (</w:t>
      </w:r>
      <w:r w:rsidRPr="002D6FC7">
        <w:rPr>
          <w:rFonts w:ascii="Arial" w:hAnsi="Arial" w:cs="Arial"/>
          <w:sz w:val="18"/>
          <w:szCs w:val="18"/>
        </w:rPr>
        <w:t>202</w:t>
      </w:r>
      <w:r w:rsidR="009B4663" w:rsidRPr="002D6FC7">
        <w:rPr>
          <w:rFonts w:ascii="Arial" w:hAnsi="Arial" w:cs="Arial"/>
          <w:sz w:val="18"/>
          <w:szCs w:val="18"/>
        </w:rPr>
        <w:t>4/2</w:t>
      </w:r>
      <w:r w:rsidR="008C11D6" w:rsidRPr="002D6FC7">
        <w:rPr>
          <w:rFonts w:ascii="Arial" w:hAnsi="Arial" w:cs="Arial"/>
          <w:sz w:val="18"/>
          <w:szCs w:val="18"/>
        </w:rPr>
        <w:t>5</w:t>
      </w:r>
      <w:r w:rsidRPr="002D6FC7">
        <w:rPr>
          <w:rFonts w:ascii="Arial" w:hAnsi="Arial" w:cs="Arial"/>
          <w:sz w:val="18"/>
          <w:szCs w:val="18"/>
        </w:rPr>
        <w:t>: £</w:t>
      </w:r>
      <w:r w:rsidR="002D6FC7" w:rsidRPr="002D6FC7">
        <w:rPr>
          <w:rFonts w:ascii="Arial" w:hAnsi="Arial" w:cs="Arial"/>
          <w:sz w:val="18"/>
          <w:szCs w:val="18"/>
        </w:rPr>
        <w:t>141.5</w:t>
      </w:r>
      <w:r w:rsidRPr="002D6FC7">
        <w:rPr>
          <w:rFonts w:ascii="Arial" w:hAnsi="Arial" w:cs="Arial"/>
          <w:sz w:val="18"/>
          <w:szCs w:val="18"/>
        </w:rPr>
        <w:t xml:space="preserve"> million), with</w:t>
      </w:r>
      <w:r w:rsidRPr="00A22292">
        <w:rPr>
          <w:rFonts w:ascii="Arial" w:hAnsi="Arial" w:cs="Arial"/>
          <w:sz w:val="18"/>
          <w:szCs w:val="18"/>
        </w:rPr>
        <w:t xml:space="preserve"> EBITDA</w:t>
      </w:r>
      <w:r w:rsidRPr="008C11D6">
        <w:rPr>
          <w:rFonts w:ascii="Arial" w:hAnsi="Arial" w:cs="Arial"/>
          <w:sz w:val="18"/>
          <w:szCs w:val="18"/>
        </w:rPr>
        <w:t xml:space="preserve"> </w:t>
      </w:r>
      <w:r w:rsidRPr="00A22292">
        <w:rPr>
          <w:rFonts w:ascii="Arial" w:hAnsi="Arial" w:cs="Arial"/>
          <w:sz w:val="18"/>
          <w:szCs w:val="18"/>
        </w:rPr>
        <w:t>benefits moderated by modestly increased depreciation</w:t>
      </w:r>
      <w:r w:rsidRPr="008C11D6">
        <w:rPr>
          <w:rFonts w:ascii="Arial" w:hAnsi="Arial" w:cs="Arial"/>
          <w:sz w:val="18"/>
          <w:szCs w:val="18"/>
        </w:rPr>
        <w:t xml:space="preserve"> </w:t>
      </w:r>
      <w:r w:rsidRPr="00A22292">
        <w:rPr>
          <w:rFonts w:ascii="Arial" w:hAnsi="Arial" w:cs="Arial"/>
          <w:sz w:val="18"/>
          <w:szCs w:val="18"/>
        </w:rPr>
        <w:t xml:space="preserve">charges reflecting the </w:t>
      </w:r>
      <w:r w:rsidR="008C11D6" w:rsidRPr="008C11D6">
        <w:rPr>
          <w:rFonts w:ascii="Arial" w:hAnsi="Arial" w:cs="Arial"/>
          <w:sz w:val="18"/>
          <w:szCs w:val="18"/>
        </w:rPr>
        <w:t>Company’s</w:t>
      </w:r>
      <w:r w:rsidRPr="00A22292">
        <w:rPr>
          <w:rFonts w:ascii="Arial" w:hAnsi="Arial" w:cs="Arial"/>
          <w:sz w:val="18"/>
          <w:szCs w:val="18"/>
        </w:rPr>
        <w:t xml:space="preserve"> expanding asset base from</w:t>
      </w:r>
      <w:r w:rsidRPr="008C11D6">
        <w:rPr>
          <w:rFonts w:ascii="Arial" w:hAnsi="Arial" w:cs="Arial"/>
          <w:sz w:val="18"/>
          <w:szCs w:val="18"/>
        </w:rPr>
        <w:t xml:space="preserve"> </w:t>
      </w:r>
      <w:r w:rsidRPr="00A22292">
        <w:rPr>
          <w:rFonts w:ascii="Arial" w:hAnsi="Arial" w:cs="Arial"/>
          <w:sz w:val="18"/>
          <w:szCs w:val="18"/>
        </w:rPr>
        <w:t>the ongoing capital investment programme.</w:t>
      </w:r>
      <w:r w:rsidRPr="008C11D6">
        <w:rPr>
          <w:rFonts w:ascii="Arial" w:hAnsi="Arial" w:cs="Arial"/>
          <w:sz w:val="18"/>
          <w:szCs w:val="18"/>
        </w:rPr>
        <w:t xml:space="preserve"> </w:t>
      </w:r>
    </w:p>
    <w:p w14:paraId="1F0E574A" w14:textId="68796D88" w:rsidR="00A22292" w:rsidRPr="00A22292" w:rsidRDefault="00A22292" w:rsidP="00A22292">
      <w:pPr>
        <w:rPr>
          <w:rFonts w:ascii="Arial" w:hAnsi="Arial" w:cs="Arial"/>
          <w:sz w:val="18"/>
          <w:szCs w:val="18"/>
        </w:rPr>
      </w:pPr>
      <w:r w:rsidRPr="00A22292">
        <w:rPr>
          <w:rFonts w:ascii="Arial" w:hAnsi="Arial" w:cs="Arial"/>
          <w:sz w:val="18"/>
          <w:szCs w:val="18"/>
        </w:rPr>
        <w:t xml:space="preserve">Non-underlying </w:t>
      </w:r>
      <w:r w:rsidRPr="00365801">
        <w:rPr>
          <w:rFonts w:ascii="Arial" w:hAnsi="Arial" w:cs="Arial"/>
          <w:sz w:val="18"/>
          <w:szCs w:val="18"/>
        </w:rPr>
        <w:t>costs of £</w:t>
      </w:r>
      <w:r w:rsidR="00365801" w:rsidRPr="00365801">
        <w:rPr>
          <w:rFonts w:ascii="Arial" w:hAnsi="Arial" w:cs="Arial"/>
          <w:sz w:val="18"/>
          <w:szCs w:val="18"/>
        </w:rPr>
        <w:t>15.4</w:t>
      </w:r>
      <w:r w:rsidRPr="00365801">
        <w:rPr>
          <w:rFonts w:ascii="Arial" w:hAnsi="Arial" w:cs="Arial"/>
          <w:sz w:val="18"/>
          <w:szCs w:val="18"/>
        </w:rPr>
        <w:t xml:space="preserve"> million were</w:t>
      </w:r>
      <w:r w:rsidRPr="00A22292">
        <w:rPr>
          <w:rFonts w:ascii="Arial" w:hAnsi="Arial" w:cs="Arial"/>
          <w:sz w:val="18"/>
          <w:szCs w:val="18"/>
        </w:rPr>
        <w:t xml:space="preserve"> incurred</w:t>
      </w:r>
      <w:r w:rsidRPr="008C11D6">
        <w:rPr>
          <w:rFonts w:ascii="Arial" w:hAnsi="Arial" w:cs="Arial"/>
          <w:sz w:val="18"/>
          <w:szCs w:val="18"/>
        </w:rPr>
        <w:t xml:space="preserve"> </w:t>
      </w:r>
      <w:r w:rsidRPr="002D6FC7">
        <w:rPr>
          <w:rFonts w:ascii="Arial" w:hAnsi="Arial" w:cs="Arial"/>
          <w:sz w:val="18"/>
          <w:szCs w:val="18"/>
        </w:rPr>
        <w:t>(20</w:t>
      </w:r>
      <w:r w:rsidR="008C11D6" w:rsidRPr="002D6FC7">
        <w:rPr>
          <w:rFonts w:ascii="Arial" w:hAnsi="Arial" w:cs="Arial"/>
          <w:sz w:val="18"/>
          <w:szCs w:val="18"/>
        </w:rPr>
        <w:t>2</w:t>
      </w:r>
      <w:r w:rsidR="009B4663" w:rsidRPr="002D6FC7">
        <w:rPr>
          <w:rFonts w:ascii="Arial" w:hAnsi="Arial" w:cs="Arial"/>
          <w:sz w:val="18"/>
          <w:szCs w:val="18"/>
        </w:rPr>
        <w:t>4/2</w:t>
      </w:r>
      <w:r w:rsidR="008C11D6" w:rsidRPr="002D6FC7">
        <w:rPr>
          <w:rFonts w:ascii="Arial" w:hAnsi="Arial" w:cs="Arial"/>
          <w:sz w:val="18"/>
          <w:szCs w:val="18"/>
        </w:rPr>
        <w:t>5</w:t>
      </w:r>
      <w:r w:rsidRPr="002D6FC7">
        <w:rPr>
          <w:rFonts w:ascii="Arial" w:hAnsi="Arial" w:cs="Arial"/>
          <w:sz w:val="18"/>
          <w:szCs w:val="18"/>
        </w:rPr>
        <w:t>: £</w:t>
      </w:r>
      <w:r w:rsidR="002D6FC7" w:rsidRPr="002D6FC7">
        <w:rPr>
          <w:rFonts w:ascii="Arial" w:hAnsi="Arial" w:cs="Arial"/>
          <w:sz w:val="18"/>
          <w:szCs w:val="18"/>
        </w:rPr>
        <w:t>32.4</w:t>
      </w:r>
      <w:r w:rsidRPr="002D6FC7">
        <w:rPr>
          <w:rFonts w:ascii="Arial" w:hAnsi="Arial" w:cs="Arial"/>
          <w:sz w:val="18"/>
          <w:szCs w:val="18"/>
        </w:rPr>
        <w:t xml:space="preserve"> million) </w:t>
      </w:r>
      <w:proofErr w:type="gramStart"/>
      <w:r w:rsidRPr="002D6FC7">
        <w:rPr>
          <w:rFonts w:ascii="Arial" w:hAnsi="Arial" w:cs="Arial"/>
          <w:sz w:val="18"/>
          <w:szCs w:val="18"/>
        </w:rPr>
        <w:t>as</w:t>
      </w:r>
      <w:r w:rsidRPr="00A22292">
        <w:rPr>
          <w:rFonts w:ascii="Arial" w:hAnsi="Arial" w:cs="Arial"/>
          <w:sz w:val="18"/>
          <w:szCs w:val="18"/>
        </w:rPr>
        <w:t xml:space="preserve"> a result of</w:t>
      </w:r>
      <w:proofErr w:type="gramEnd"/>
      <w:r w:rsidRPr="00A22292">
        <w:rPr>
          <w:rFonts w:ascii="Arial" w:hAnsi="Arial" w:cs="Arial"/>
          <w:sz w:val="18"/>
          <w:szCs w:val="18"/>
        </w:rPr>
        <w:t xml:space="preserve"> ongoing restructuring</w:t>
      </w:r>
      <w:r w:rsidRPr="008C11D6">
        <w:rPr>
          <w:rFonts w:ascii="Arial" w:hAnsi="Arial" w:cs="Arial"/>
          <w:sz w:val="18"/>
          <w:szCs w:val="18"/>
        </w:rPr>
        <w:t xml:space="preserve"> </w:t>
      </w:r>
      <w:r w:rsidRPr="00A22292">
        <w:rPr>
          <w:rFonts w:ascii="Arial" w:hAnsi="Arial" w:cs="Arial"/>
          <w:sz w:val="18"/>
          <w:szCs w:val="18"/>
        </w:rPr>
        <w:t>charges, investment in new technology and costs</w:t>
      </w:r>
      <w:r w:rsidRPr="008C11D6">
        <w:rPr>
          <w:rFonts w:ascii="Arial" w:hAnsi="Arial" w:cs="Arial"/>
          <w:sz w:val="18"/>
          <w:szCs w:val="18"/>
        </w:rPr>
        <w:t xml:space="preserve"> </w:t>
      </w:r>
      <w:r w:rsidRPr="00A22292">
        <w:rPr>
          <w:rFonts w:ascii="Arial" w:hAnsi="Arial" w:cs="Arial"/>
          <w:sz w:val="18"/>
          <w:szCs w:val="18"/>
        </w:rPr>
        <w:t>associated with environmental and legal provisions.</w:t>
      </w:r>
    </w:p>
    <w:p w14:paraId="78FF745D" w14:textId="1096C816" w:rsidR="00A22292" w:rsidRPr="009474F2" w:rsidRDefault="00A22292" w:rsidP="00A22292">
      <w:pPr>
        <w:rPr>
          <w:rFonts w:ascii="Arial" w:hAnsi="Arial" w:cs="Arial"/>
          <w:sz w:val="18"/>
          <w:szCs w:val="18"/>
        </w:rPr>
      </w:pPr>
      <w:r w:rsidRPr="00A22292">
        <w:rPr>
          <w:rFonts w:ascii="Arial" w:hAnsi="Arial" w:cs="Arial"/>
          <w:sz w:val="18"/>
          <w:szCs w:val="18"/>
        </w:rPr>
        <w:t>Interest costs also increased, reflecting higher borrowing to</w:t>
      </w:r>
      <w:r w:rsidRPr="009474F2">
        <w:rPr>
          <w:rFonts w:ascii="Arial" w:hAnsi="Arial" w:cs="Arial"/>
          <w:sz w:val="18"/>
          <w:szCs w:val="18"/>
        </w:rPr>
        <w:t xml:space="preserve"> </w:t>
      </w:r>
      <w:r w:rsidRPr="00A22292">
        <w:rPr>
          <w:rFonts w:ascii="Arial" w:hAnsi="Arial" w:cs="Arial"/>
          <w:sz w:val="18"/>
          <w:szCs w:val="18"/>
        </w:rPr>
        <w:t>support the regulated capital programme. This was partially offset by higher year</w:t>
      </w:r>
      <w:r w:rsidRPr="009474F2">
        <w:rPr>
          <w:rFonts w:ascii="Arial" w:hAnsi="Arial" w:cs="Arial"/>
          <w:sz w:val="18"/>
          <w:szCs w:val="18"/>
        </w:rPr>
        <w:t>-on</w:t>
      </w:r>
      <w:r w:rsidR="009474F2" w:rsidRPr="009474F2">
        <w:rPr>
          <w:rFonts w:ascii="Arial" w:hAnsi="Arial" w:cs="Arial"/>
          <w:sz w:val="18"/>
          <w:szCs w:val="18"/>
        </w:rPr>
        <w:t>-</w:t>
      </w:r>
      <w:r w:rsidRPr="00A22292">
        <w:rPr>
          <w:rFonts w:ascii="Arial" w:hAnsi="Arial" w:cs="Arial"/>
          <w:sz w:val="18"/>
          <w:szCs w:val="18"/>
        </w:rPr>
        <w:t>year interest capitalisation, again stemming from the</w:t>
      </w:r>
      <w:r w:rsidRPr="009474F2">
        <w:rPr>
          <w:rFonts w:ascii="Arial" w:hAnsi="Arial" w:cs="Arial"/>
          <w:sz w:val="18"/>
          <w:szCs w:val="18"/>
        </w:rPr>
        <w:t xml:space="preserve"> ongoing capital</w:t>
      </w:r>
      <w:r w:rsidR="00F56951">
        <w:rPr>
          <w:rFonts w:ascii="Arial" w:hAnsi="Arial" w:cs="Arial"/>
          <w:sz w:val="18"/>
          <w:szCs w:val="18"/>
        </w:rPr>
        <w:t xml:space="preserve"> </w:t>
      </w:r>
      <w:r w:rsidRPr="009474F2">
        <w:rPr>
          <w:rFonts w:ascii="Arial" w:hAnsi="Arial" w:cs="Arial"/>
          <w:sz w:val="18"/>
          <w:szCs w:val="18"/>
        </w:rPr>
        <w:t>programme.</w:t>
      </w:r>
    </w:p>
    <w:p w14:paraId="5ABC1785" w14:textId="1279FB6E" w:rsidR="00542AC9" w:rsidRPr="002D6FC7" w:rsidRDefault="00A22292" w:rsidP="00A22292">
      <w:pPr>
        <w:rPr>
          <w:rFonts w:ascii="Arial" w:hAnsi="Arial" w:cs="Arial"/>
          <w:sz w:val="18"/>
          <w:szCs w:val="18"/>
        </w:rPr>
      </w:pPr>
      <w:r w:rsidRPr="00A22292">
        <w:rPr>
          <w:rFonts w:ascii="Arial" w:hAnsi="Arial" w:cs="Arial"/>
          <w:sz w:val="18"/>
          <w:szCs w:val="18"/>
        </w:rPr>
        <w:t xml:space="preserve">As a result, underlying </w:t>
      </w:r>
      <w:r w:rsidRPr="009F6A66">
        <w:rPr>
          <w:rFonts w:ascii="Arial" w:hAnsi="Arial" w:cs="Arial"/>
          <w:sz w:val="18"/>
          <w:szCs w:val="18"/>
        </w:rPr>
        <w:t>profit before tax was £</w:t>
      </w:r>
      <w:r w:rsidR="009F6A66" w:rsidRPr="009F6A66">
        <w:rPr>
          <w:rFonts w:ascii="Arial" w:hAnsi="Arial" w:cs="Arial"/>
          <w:sz w:val="18"/>
          <w:szCs w:val="18"/>
        </w:rPr>
        <w:t>140.3</w:t>
      </w:r>
      <w:r w:rsidRPr="009F6A66">
        <w:rPr>
          <w:rFonts w:ascii="Arial" w:hAnsi="Arial" w:cs="Arial"/>
          <w:sz w:val="18"/>
          <w:szCs w:val="18"/>
        </w:rPr>
        <w:t xml:space="preserve"> million (202</w:t>
      </w:r>
      <w:r w:rsidR="009B4663" w:rsidRPr="009F6A66">
        <w:rPr>
          <w:rFonts w:ascii="Arial" w:hAnsi="Arial" w:cs="Arial"/>
          <w:sz w:val="18"/>
          <w:szCs w:val="18"/>
        </w:rPr>
        <w:t>4/2</w:t>
      </w:r>
      <w:r w:rsidRPr="009F6A66">
        <w:rPr>
          <w:rFonts w:ascii="Arial" w:hAnsi="Arial" w:cs="Arial"/>
          <w:sz w:val="18"/>
          <w:szCs w:val="18"/>
        </w:rPr>
        <w:t>5: loss of £</w:t>
      </w:r>
      <w:r w:rsidR="002D6FC7" w:rsidRPr="009F6A66">
        <w:rPr>
          <w:rFonts w:ascii="Arial" w:hAnsi="Arial" w:cs="Arial"/>
          <w:sz w:val="18"/>
          <w:szCs w:val="18"/>
        </w:rPr>
        <w:t>28.8</w:t>
      </w:r>
      <w:r w:rsidRPr="009F6A66">
        <w:rPr>
          <w:rFonts w:ascii="Arial" w:hAnsi="Arial" w:cs="Arial"/>
          <w:sz w:val="18"/>
          <w:szCs w:val="18"/>
        </w:rPr>
        <w:t xml:space="preserve"> million), whilst statutory profit before tax was </w:t>
      </w:r>
      <w:r w:rsidR="00542AC9" w:rsidRPr="009F6A66">
        <w:rPr>
          <w:rFonts w:ascii="Arial" w:hAnsi="Arial" w:cs="Arial"/>
          <w:sz w:val="18"/>
          <w:szCs w:val="18"/>
        </w:rPr>
        <w:t>£</w:t>
      </w:r>
      <w:r w:rsidR="009F6A66" w:rsidRPr="009F6A66">
        <w:rPr>
          <w:rFonts w:ascii="Arial" w:hAnsi="Arial" w:cs="Arial"/>
          <w:sz w:val="18"/>
          <w:szCs w:val="18"/>
        </w:rPr>
        <w:t>124.9</w:t>
      </w:r>
      <w:r w:rsidR="00542AC9" w:rsidRPr="009F6A66">
        <w:rPr>
          <w:rFonts w:ascii="Arial" w:hAnsi="Arial" w:cs="Arial"/>
          <w:sz w:val="18"/>
          <w:szCs w:val="18"/>
        </w:rPr>
        <w:t xml:space="preserve"> million (20</w:t>
      </w:r>
      <w:r w:rsidR="009B4663" w:rsidRPr="009F6A66">
        <w:rPr>
          <w:rFonts w:ascii="Arial" w:hAnsi="Arial" w:cs="Arial"/>
          <w:sz w:val="18"/>
          <w:szCs w:val="18"/>
        </w:rPr>
        <w:t>24/</w:t>
      </w:r>
      <w:r w:rsidR="00542AC9" w:rsidRPr="009F6A66">
        <w:rPr>
          <w:rFonts w:ascii="Arial" w:hAnsi="Arial" w:cs="Arial"/>
          <w:sz w:val="18"/>
          <w:szCs w:val="18"/>
        </w:rPr>
        <w:t>25: loss of £</w:t>
      </w:r>
      <w:r w:rsidR="002D6FC7" w:rsidRPr="009F6A66">
        <w:rPr>
          <w:rFonts w:ascii="Arial" w:hAnsi="Arial" w:cs="Arial"/>
          <w:sz w:val="18"/>
          <w:szCs w:val="18"/>
        </w:rPr>
        <w:t>61.2</w:t>
      </w:r>
      <w:r w:rsidR="00542AC9" w:rsidRPr="009F6A66">
        <w:rPr>
          <w:rFonts w:ascii="Arial" w:hAnsi="Arial" w:cs="Arial"/>
          <w:sz w:val="18"/>
          <w:szCs w:val="18"/>
        </w:rPr>
        <w:t xml:space="preserve"> million). </w:t>
      </w:r>
      <w:r w:rsidRPr="009F6A66">
        <w:rPr>
          <w:rFonts w:ascii="Arial" w:hAnsi="Arial" w:cs="Arial"/>
          <w:sz w:val="18"/>
          <w:szCs w:val="18"/>
        </w:rPr>
        <w:t xml:space="preserve">Statutory profit after tax was </w:t>
      </w:r>
      <w:r w:rsidR="00542AC9" w:rsidRPr="009F6A66">
        <w:rPr>
          <w:rFonts w:ascii="Arial" w:hAnsi="Arial" w:cs="Arial"/>
          <w:sz w:val="18"/>
          <w:szCs w:val="18"/>
        </w:rPr>
        <w:t>£</w:t>
      </w:r>
      <w:r w:rsidR="009F6A66" w:rsidRPr="009F6A66">
        <w:rPr>
          <w:rFonts w:ascii="Arial" w:hAnsi="Arial" w:cs="Arial"/>
          <w:sz w:val="18"/>
          <w:szCs w:val="18"/>
        </w:rPr>
        <w:t>91.4</w:t>
      </w:r>
      <w:r w:rsidR="00542AC9" w:rsidRPr="009F6A66">
        <w:rPr>
          <w:rFonts w:ascii="Arial" w:hAnsi="Arial" w:cs="Arial"/>
          <w:sz w:val="18"/>
          <w:szCs w:val="18"/>
        </w:rPr>
        <w:t xml:space="preserve"> million </w:t>
      </w:r>
      <w:r w:rsidR="00542AC9" w:rsidRPr="002D6FC7">
        <w:rPr>
          <w:rFonts w:ascii="Arial" w:hAnsi="Arial" w:cs="Arial"/>
          <w:sz w:val="18"/>
          <w:szCs w:val="18"/>
        </w:rPr>
        <w:t>(20</w:t>
      </w:r>
      <w:r w:rsidR="009B4663" w:rsidRPr="002D6FC7">
        <w:rPr>
          <w:rFonts w:ascii="Arial" w:hAnsi="Arial" w:cs="Arial"/>
          <w:sz w:val="18"/>
          <w:szCs w:val="18"/>
        </w:rPr>
        <w:t>24/</w:t>
      </w:r>
      <w:r w:rsidR="00542AC9" w:rsidRPr="002D6FC7">
        <w:rPr>
          <w:rFonts w:ascii="Arial" w:hAnsi="Arial" w:cs="Arial"/>
          <w:sz w:val="18"/>
          <w:szCs w:val="18"/>
        </w:rPr>
        <w:t>25: loss of £</w:t>
      </w:r>
      <w:r w:rsidR="002D6FC7" w:rsidRPr="002D6FC7">
        <w:rPr>
          <w:rFonts w:ascii="Arial" w:hAnsi="Arial" w:cs="Arial"/>
          <w:sz w:val="18"/>
          <w:szCs w:val="18"/>
        </w:rPr>
        <w:t>48.6</w:t>
      </w:r>
      <w:r w:rsidR="00542AC9" w:rsidRPr="002D6FC7">
        <w:rPr>
          <w:rFonts w:ascii="Arial" w:hAnsi="Arial" w:cs="Arial"/>
          <w:sz w:val="18"/>
          <w:szCs w:val="18"/>
        </w:rPr>
        <w:t xml:space="preserve"> million).</w:t>
      </w:r>
    </w:p>
    <w:p w14:paraId="4287F52F" w14:textId="382EF8BF" w:rsidR="00A22292" w:rsidRPr="00E66D86" w:rsidRDefault="00A22292" w:rsidP="00A22292">
      <w:pPr>
        <w:rPr>
          <w:rFonts w:ascii="Arial" w:hAnsi="Arial" w:cs="Arial"/>
          <w:sz w:val="18"/>
          <w:szCs w:val="18"/>
        </w:rPr>
      </w:pPr>
      <w:r w:rsidRPr="00A22292">
        <w:rPr>
          <w:rFonts w:ascii="Arial" w:hAnsi="Arial" w:cs="Arial"/>
          <w:sz w:val="18"/>
          <w:szCs w:val="18"/>
        </w:rPr>
        <w:t>Our £3</w:t>
      </w:r>
      <w:r w:rsidR="000475DB" w:rsidRPr="000475DB">
        <w:rPr>
          <w:rFonts w:ascii="Arial" w:hAnsi="Arial" w:cs="Arial"/>
          <w:sz w:val="18"/>
          <w:szCs w:val="18"/>
        </w:rPr>
        <w:t>.0</w:t>
      </w:r>
      <w:r w:rsidRPr="00A22292">
        <w:rPr>
          <w:rFonts w:ascii="Arial" w:hAnsi="Arial" w:cs="Arial"/>
          <w:sz w:val="18"/>
          <w:szCs w:val="18"/>
        </w:rPr>
        <w:t xml:space="preserve"> billion</w:t>
      </w:r>
      <w:r w:rsidR="000475DB" w:rsidRPr="000475DB">
        <w:rPr>
          <w:rStyle w:val="FootnoteReference"/>
          <w:rFonts w:ascii="Arial" w:hAnsi="Arial" w:cs="Arial"/>
          <w:sz w:val="18"/>
          <w:szCs w:val="18"/>
        </w:rPr>
        <w:footnoteReference w:id="10"/>
      </w:r>
      <w:r w:rsidRPr="00A22292">
        <w:rPr>
          <w:rFonts w:ascii="Arial" w:hAnsi="Arial" w:cs="Arial"/>
          <w:sz w:val="18"/>
          <w:szCs w:val="18"/>
        </w:rPr>
        <w:t xml:space="preserve"> investment programme over the five-year</w:t>
      </w:r>
      <w:r w:rsidRPr="000475DB">
        <w:rPr>
          <w:rFonts w:ascii="Arial" w:hAnsi="Arial" w:cs="Arial"/>
          <w:sz w:val="18"/>
          <w:szCs w:val="18"/>
        </w:rPr>
        <w:t xml:space="preserve"> </w:t>
      </w:r>
      <w:r w:rsidRPr="00A22292">
        <w:rPr>
          <w:rFonts w:ascii="Arial" w:hAnsi="Arial" w:cs="Arial"/>
          <w:sz w:val="18"/>
          <w:szCs w:val="18"/>
        </w:rPr>
        <w:t xml:space="preserve">AMP8 period is a core focus across the </w:t>
      </w:r>
      <w:proofErr w:type="gramStart"/>
      <w:r w:rsidRPr="00A22292">
        <w:rPr>
          <w:rFonts w:ascii="Arial" w:hAnsi="Arial" w:cs="Arial"/>
          <w:sz w:val="18"/>
          <w:szCs w:val="18"/>
        </w:rPr>
        <w:t>business,</w:t>
      </w:r>
      <w:proofErr w:type="gramEnd"/>
      <w:r w:rsidRPr="00A22292">
        <w:rPr>
          <w:rFonts w:ascii="Arial" w:hAnsi="Arial" w:cs="Arial"/>
          <w:sz w:val="18"/>
          <w:szCs w:val="18"/>
        </w:rPr>
        <w:t xml:space="preserve"> to</w:t>
      </w:r>
      <w:r w:rsidRPr="000475DB">
        <w:rPr>
          <w:rFonts w:ascii="Arial" w:hAnsi="Arial" w:cs="Arial"/>
          <w:sz w:val="18"/>
          <w:szCs w:val="18"/>
        </w:rPr>
        <w:t xml:space="preserve"> </w:t>
      </w:r>
      <w:r w:rsidRPr="00A22292">
        <w:rPr>
          <w:rFonts w:ascii="Arial" w:hAnsi="Arial" w:cs="Arial"/>
          <w:sz w:val="18"/>
          <w:szCs w:val="18"/>
        </w:rPr>
        <w:t>deliver improvements for customers and to ensure we</w:t>
      </w:r>
      <w:r w:rsidRPr="000475DB">
        <w:rPr>
          <w:rFonts w:ascii="Arial" w:hAnsi="Arial" w:cs="Arial"/>
          <w:sz w:val="18"/>
          <w:szCs w:val="18"/>
        </w:rPr>
        <w:t xml:space="preserve"> </w:t>
      </w:r>
      <w:r w:rsidRPr="00A22292">
        <w:rPr>
          <w:rFonts w:ascii="Arial" w:hAnsi="Arial" w:cs="Arial"/>
          <w:sz w:val="18"/>
          <w:szCs w:val="18"/>
        </w:rPr>
        <w:t>improve the resilience and performance of our assets.</w:t>
      </w:r>
      <w:r w:rsidR="00F56951">
        <w:rPr>
          <w:rFonts w:ascii="Arial" w:hAnsi="Arial" w:cs="Arial"/>
          <w:sz w:val="18"/>
          <w:szCs w:val="18"/>
        </w:rPr>
        <w:t xml:space="preserve"> </w:t>
      </w:r>
      <w:r w:rsidRPr="00A22292">
        <w:rPr>
          <w:rFonts w:ascii="Arial" w:hAnsi="Arial" w:cs="Arial"/>
          <w:sz w:val="18"/>
          <w:szCs w:val="18"/>
        </w:rPr>
        <w:t>We remain focused on delivery, with clear priorities and</w:t>
      </w:r>
      <w:r w:rsidRPr="00E66D86">
        <w:rPr>
          <w:rFonts w:ascii="Arial" w:hAnsi="Arial" w:cs="Arial"/>
          <w:sz w:val="18"/>
          <w:szCs w:val="18"/>
        </w:rPr>
        <w:t xml:space="preserve"> </w:t>
      </w:r>
      <w:r w:rsidRPr="00A22292">
        <w:rPr>
          <w:rFonts w:ascii="Arial" w:hAnsi="Arial" w:cs="Arial"/>
          <w:sz w:val="18"/>
          <w:szCs w:val="18"/>
        </w:rPr>
        <w:t>tight control. This means delivering outcomes effectively,</w:t>
      </w:r>
      <w:r w:rsidRPr="00E66D86">
        <w:rPr>
          <w:rFonts w:ascii="Arial" w:hAnsi="Arial" w:cs="Arial"/>
          <w:sz w:val="18"/>
          <w:szCs w:val="18"/>
        </w:rPr>
        <w:t xml:space="preserve"> </w:t>
      </w:r>
      <w:r w:rsidRPr="00A22292">
        <w:rPr>
          <w:rFonts w:ascii="Arial" w:hAnsi="Arial" w:cs="Arial"/>
          <w:sz w:val="18"/>
          <w:szCs w:val="18"/>
        </w:rPr>
        <w:t>executing the capital programme efficiently and building</w:t>
      </w:r>
      <w:r w:rsidRPr="00E66D86">
        <w:rPr>
          <w:rFonts w:ascii="Arial" w:hAnsi="Arial" w:cs="Arial"/>
          <w:sz w:val="18"/>
          <w:szCs w:val="18"/>
        </w:rPr>
        <w:t xml:space="preserve"> </w:t>
      </w:r>
      <w:r w:rsidRPr="00A22292">
        <w:rPr>
          <w:rFonts w:ascii="Arial" w:hAnsi="Arial" w:cs="Arial"/>
          <w:sz w:val="18"/>
          <w:szCs w:val="18"/>
        </w:rPr>
        <w:t>on the momentum we have created this year. We remain</w:t>
      </w:r>
      <w:r w:rsidRPr="00E66D86">
        <w:rPr>
          <w:rFonts w:ascii="Arial" w:hAnsi="Arial" w:cs="Arial"/>
          <w:sz w:val="18"/>
          <w:szCs w:val="18"/>
        </w:rPr>
        <w:t xml:space="preserve"> </w:t>
      </w:r>
      <w:r w:rsidRPr="00A22292">
        <w:rPr>
          <w:rFonts w:ascii="Arial" w:hAnsi="Arial" w:cs="Arial"/>
          <w:sz w:val="18"/>
          <w:szCs w:val="18"/>
        </w:rPr>
        <w:t>on track to deliver on our Performance Commitment</w:t>
      </w:r>
      <w:r w:rsidRPr="00E66D86">
        <w:rPr>
          <w:rFonts w:ascii="Arial" w:hAnsi="Arial" w:cs="Arial"/>
          <w:sz w:val="18"/>
          <w:szCs w:val="18"/>
        </w:rPr>
        <w:t xml:space="preserve"> </w:t>
      </w:r>
      <w:r w:rsidRPr="00A22292">
        <w:rPr>
          <w:rFonts w:ascii="Arial" w:hAnsi="Arial" w:cs="Arial"/>
          <w:sz w:val="18"/>
          <w:szCs w:val="18"/>
        </w:rPr>
        <w:t>Deliverables (PCDs) over the five-year period, with a</w:t>
      </w:r>
      <w:r w:rsidRPr="00E66D86">
        <w:rPr>
          <w:rFonts w:ascii="Arial" w:hAnsi="Arial" w:cs="Arial"/>
          <w:sz w:val="18"/>
          <w:szCs w:val="18"/>
        </w:rPr>
        <w:t xml:space="preserve"> </w:t>
      </w:r>
      <w:r w:rsidRPr="00A22292">
        <w:rPr>
          <w:rFonts w:ascii="Arial" w:hAnsi="Arial" w:cs="Arial"/>
          <w:sz w:val="18"/>
          <w:szCs w:val="18"/>
        </w:rPr>
        <w:t>net neutral position at the end of year one in terms of</w:t>
      </w:r>
      <w:r w:rsidRPr="00E66D86">
        <w:rPr>
          <w:rFonts w:ascii="Arial" w:hAnsi="Arial" w:cs="Arial"/>
          <w:sz w:val="18"/>
          <w:szCs w:val="18"/>
        </w:rPr>
        <w:t xml:space="preserve"> </w:t>
      </w:r>
      <w:r w:rsidRPr="00A22292">
        <w:rPr>
          <w:rFonts w:ascii="Arial" w:hAnsi="Arial" w:cs="Arial"/>
          <w:sz w:val="18"/>
          <w:szCs w:val="18"/>
        </w:rPr>
        <w:t>delivery incentives.</w:t>
      </w:r>
    </w:p>
    <w:p w14:paraId="4F72D039" w14:textId="0E739AFF" w:rsidR="00A22292" w:rsidRPr="00A22292" w:rsidRDefault="00A22292" w:rsidP="00A22292">
      <w:pPr>
        <w:rPr>
          <w:rFonts w:ascii="Arial" w:hAnsi="Arial" w:cs="Arial"/>
          <w:sz w:val="18"/>
          <w:szCs w:val="18"/>
        </w:rPr>
      </w:pPr>
      <w:r w:rsidRPr="00A22292">
        <w:rPr>
          <w:rFonts w:ascii="Arial" w:hAnsi="Arial" w:cs="Arial"/>
          <w:sz w:val="18"/>
          <w:szCs w:val="18"/>
        </w:rPr>
        <w:t>In the first year of AMP8, we have continued to focus</w:t>
      </w:r>
      <w:r w:rsidRPr="00E66D86">
        <w:rPr>
          <w:rFonts w:ascii="Arial" w:hAnsi="Arial" w:cs="Arial"/>
          <w:sz w:val="18"/>
          <w:szCs w:val="18"/>
        </w:rPr>
        <w:t xml:space="preserve"> </w:t>
      </w:r>
      <w:r w:rsidRPr="00A22292">
        <w:rPr>
          <w:rFonts w:ascii="Arial" w:hAnsi="Arial" w:cs="Arial"/>
          <w:sz w:val="18"/>
          <w:szCs w:val="18"/>
        </w:rPr>
        <w:t>on delivering on our four strategic priorities through our</w:t>
      </w:r>
      <w:r w:rsidRPr="00E66D86">
        <w:rPr>
          <w:rFonts w:ascii="Arial" w:hAnsi="Arial" w:cs="Arial"/>
          <w:sz w:val="18"/>
          <w:szCs w:val="18"/>
        </w:rPr>
        <w:t xml:space="preserve"> </w:t>
      </w:r>
      <w:r w:rsidRPr="00A22292">
        <w:rPr>
          <w:rFonts w:ascii="Arial" w:hAnsi="Arial" w:cs="Arial"/>
          <w:sz w:val="18"/>
          <w:szCs w:val="18"/>
        </w:rPr>
        <w:t>business units, and to focus on efficiency opportunities</w:t>
      </w:r>
      <w:r w:rsidRPr="00E66D86">
        <w:rPr>
          <w:rFonts w:ascii="Arial" w:hAnsi="Arial" w:cs="Arial"/>
          <w:sz w:val="18"/>
          <w:szCs w:val="18"/>
        </w:rPr>
        <w:t xml:space="preserve"> </w:t>
      </w:r>
      <w:r w:rsidRPr="00A22292">
        <w:rPr>
          <w:rFonts w:ascii="Arial" w:hAnsi="Arial" w:cs="Arial"/>
          <w:sz w:val="18"/>
          <w:szCs w:val="18"/>
        </w:rPr>
        <w:t>across our integrated structures and operations. As we</w:t>
      </w:r>
      <w:r w:rsidRPr="00E66D86">
        <w:rPr>
          <w:rFonts w:ascii="Arial" w:hAnsi="Arial" w:cs="Arial"/>
          <w:sz w:val="18"/>
          <w:szCs w:val="18"/>
        </w:rPr>
        <w:t xml:space="preserve"> </w:t>
      </w:r>
      <w:r w:rsidRPr="00A22292">
        <w:rPr>
          <w:rFonts w:ascii="Arial" w:hAnsi="Arial" w:cs="Arial"/>
          <w:sz w:val="18"/>
          <w:szCs w:val="18"/>
        </w:rPr>
        <w:t>continue to challenge ourselves to focus our expenditure</w:t>
      </w:r>
      <w:r w:rsidRPr="00E66D86">
        <w:rPr>
          <w:rFonts w:ascii="Arial" w:hAnsi="Arial" w:cs="Arial"/>
          <w:sz w:val="18"/>
          <w:szCs w:val="18"/>
        </w:rPr>
        <w:t xml:space="preserve"> </w:t>
      </w:r>
      <w:r w:rsidRPr="00A22292">
        <w:rPr>
          <w:rFonts w:ascii="Arial" w:hAnsi="Arial" w:cs="Arial"/>
          <w:sz w:val="18"/>
          <w:szCs w:val="18"/>
        </w:rPr>
        <w:t>to deliver improved outcomes, we are also looking at how</w:t>
      </w:r>
      <w:r w:rsidRPr="00E66D86">
        <w:rPr>
          <w:rFonts w:ascii="Arial" w:hAnsi="Arial" w:cs="Arial"/>
          <w:sz w:val="18"/>
          <w:szCs w:val="18"/>
        </w:rPr>
        <w:t xml:space="preserve"> </w:t>
      </w:r>
      <w:r w:rsidRPr="00A22292">
        <w:rPr>
          <w:rFonts w:ascii="Arial" w:hAnsi="Arial" w:cs="Arial"/>
          <w:sz w:val="18"/>
          <w:szCs w:val="18"/>
        </w:rPr>
        <w:t>we learn from our different legacy businesses to deliver as</w:t>
      </w:r>
      <w:r w:rsidRPr="00E66D86">
        <w:rPr>
          <w:rFonts w:ascii="Arial" w:hAnsi="Arial" w:cs="Arial"/>
          <w:sz w:val="18"/>
          <w:szCs w:val="18"/>
        </w:rPr>
        <w:t xml:space="preserve"> </w:t>
      </w:r>
      <w:r w:rsidRPr="00A22292">
        <w:rPr>
          <w:rFonts w:ascii="Arial" w:hAnsi="Arial" w:cs="Arial"/>
          <w:sz w:val="18"/>
          <w:szCs w:val="18"/>
        </w:rPr>
        <w:t>efficiently and effectively as we can.</w:t>
      </w:r>
    </w:p>
    <w:p w14:paraId="69F43C36" w14:textId="1D2416CA" w:rsidR="00A22292" w:rsidRDefault="00A22292" w:rsidP="00A22292">
      <w:pPr>
        <w:rPr>
          <w:rFonts w:ascii="Arial" w:hAnsi="Arial" w:cs="Arial"/>
          <w:sz w:val="18"/>
          <w:szCs w:val="18"/>
          <w:highlight w:val="yellow"/>
        </w:rPr>
      </w:pPr>
      <w:r w:rsidRPr="00A22292">
        <w:rPr>
          <w:rFonts w:ascii="Arial" w:hAnsi="Arial" w:cs="Arial"/>
          <w:sz w:val="18"/>
          <w:szCs w:val="18"/>
        </w:rPr>
        <w:t>We invested record levels of capital to deliver network</w:t>
      </w:r>
      <w:r w:rsidRPr="00E66D86">
        <w:rPr>
          <w:rFonts w:ascii="Arial" w:hAnsi="Arial" w:cs="Arial"/>
          <w:sz w:val="18"/>
          <w:szCs w:val="18"/>
        </w:rPr>
        <w:t xml:space="preserve"> </w:t>
      </w:r>
      <w:r w:rsidRPr="00A22292">
        <w:rPr>
          <w:rFonts w:ascii="Arial" w:hAnsi="Arial" w:cs="Arial"/>
          <w:sz w:val="18"/>
          <w:szCs w:val="18"/>
        </w:rPr>
        <w:t>resilience and enhancements and benefits for the</w:t>
      </w:r>
      <w:r w:rsidRPr="00E66D86">
        <w:rPr>
          <w:rFonts w:ascii="Arial" w:hAnsi="Arial" w:cs="Arial"/>
          <w:sz w:val="18"/>
          <w:szCs w:val="18"/>
        </w:rPr>
        <w:t xml:space="preserve"> </w:t>
      </w:r>
      <w:r w:rsidRPr="00A22292">
        <w:rPr>
          <w:rFonts w:ascii="Arial" w:hAnsi="Arial" w:cs="Arial"/>
          <w:sz w:val="18"/>
          <w:szCs w:val="18"/>
        </w:rPr>
        <w:t xml:space="preserve">environment and our customers. Our </w:t>
      </w:r>
      <w:r w:rsidR="00E66D86" w:rsidRPr="00E66D86">
        <w:rPr>
          <w:rFonts w:ascii="Arial" w:hAnsi="Arial" w:cs="Arial"/>
          <w:sz w:val="18"/>
          <w:szCs w:val="18"/>
        </w:rPr>
        <w:t>Company</w:t>
      </w:r>
      <w:r w:rsidRPr="00A22292">
        <w:rPr>
          <w:rFonts w:ascii="Arial" w:hAnsi="Arial" w:cs="Arial"/>
          <w:sz w:val="18"/>
          <w:szCs w:val="18"/>
        </w:rPr>
        <w:t>-wide capital</w:t>
      </w:r>
      <w:r w:rsidRPr="00E66D86">
        <w:rPr>
          <w:rFonts w:ascii="Arial" w:hAnsi="Arial" w:cs="Arial"/>
          <w:sz w:val="18"/>
          <w:szCs w:val="18"/>
        </w:rPr>
        <w:t xml:space="preserve"> </w:t>
      </w:r>
      <w:r w:rsidRPr="00A22292">
        <w:rPr>
          <w:rFonts w:ascii="Arial" w:hAnsi="Arial" w:cs="Arial"/>
          <w:sz w:val="18"/>
          <w:szCs w:val="18"/>
        </w:rPr>
        <w:t>investment w</w:t>
      </w:r>
      <w:r w:rsidRPr="001800EF">
        <w:rPr>
          <w:rFonts w:ascii="Arial" w:hAnsi="Arial" w:cs="Arial"/>
          <w:sz w:val="18"/>
          <w:szCs w:val="18"/>
        </w:rPr>
        <w:t>as £</w:t>
      </w:r>
      <w:r w:rsidR="001800EF" w:rsidRPr="001800EF">
        <w:rPr>
          <w:rFonts w:ascii="Arial" w:hAnsi="Arial" w:cs="Arial"/>
          <w:sz w:val="18"/>
          <w:szCs w:val="18"/>
        </w:rPr>
        <w:t>563.3</w:t>
      </w:r>
      <w:r w:rsidRPr="001800EF">
        <w:rPr>
          <w:rFonts w:ascii="Arial" w:hAnsi="Arial" w:cs="Arial"/>
          <w:sz w:val="18"/>
          <w:szCs w:val="18"/>
        </w:rPr>
        <w:t xml:space="preserve"> million</w:t>
      </w:r>
      <w:r w:rsidRPr="00A22292">
        <w:rPr>
          <w:rFonts w:ascii="Arial" w:hAnsi="Arial" w:cs="Arial"/>
          <w:sz w:val="18"/>
          <w:szCs w:val="18"/>
        </w:rPr>
        <w:t xml:space="preserve"> as we focus on</w:t>
      </w:r>
      <w:r w:rsidRPr="00E66D86">
        <w:rPr>
          <w:rFonts w:ascii="Arial" w:hAnsi="Arial" w:cs="Arial"/>
          <w:sz w:val="18"/>
          <w:szCs w:val="18"/>
        </w:rPr>
        <w:t xml:space="preserve"> delivering on our AMP8 commitments.</w:t>
      </w:r>
    </w:p>
    <w:p w14:paraId="79E9D580" w14:textId="7883D9BD" w:rsidR="00E66D86" w:rsidRPr="00E66D86" w:rsidRDefault="00E66D86" w:rsidP="00E66D86">
      <w:pPr>
        <w:rPr>
          <w:rFonts w:ascii="Arial" w:hAnsi="Arial" w:cs="Arial"/>
          <w:sz w:val="18"/>
          <w:szCs w:val="18"/>
        </w:rPr>
      </w:pPr>
      <w:r w:rsidRPr="00E66D86">
        <w:rPr>
          <w:rFonts w:ascii="Arial" w:hAnsi="Arial" w:cs="Arial"/>
          <w:sz w:val="18"/>
          <w:szCs w:val="18"/>
        </w:rPr>
        <w:t xml:space="preserve">Our expenditure was slightly lower than anticipated </w:t>
      </w:r>
      <w:proofErr w:type="gramStart"/>
      <w:r w:rsidRPr="00E66D86">
        <w:rPr>
          <w:rFonts w:ascii="Arial" w:hAnsi="Arial" w:cs="Arial"/>
          <w:sz w:val="18"/>
          <w:szCs w:val="18"/>
        </w:rPr>
        <w:t>as a result of</w:t>
      </w:r>
      <w:proofErr w:type="gramEnd"/>
      <w:r w:rsidRPr="00E66D86">
        <w:rPr>
          <w:rFonts w:ascii="Arial" w:hAnsi="Arial" w:cs="Arial"/>
          <w:sz w:val="18"/>
          <w:szCs w:val="18"/>
        </w:rPr>
        <w:t xml:space="preserve"> reprofiling of spend, to ensure robust modelling and clear design across our major projects, prior to commencing on-site delivery. Across the business we have delivered key investments in storm overflow reductions, wastewater treatment and infrastructure, clean water treatment works, network resilience, leakage and metering. </w:t>
      </w:r>
    </w:p>
    <w:p w14:paraId="0D3C1C5A" w14:textId="4663E742" w:rsidR="00E66D86" w:rsidRPr="00E66D86" w:rsidRDefault="00E66D86" w:rsidP="00E66D86">
      <w:pPr>
        <w:rPr>
          <w:rFonts w:ascii="Arial" w:hAnsi="Arial" w:cs="Arial"/>
          <w:sz w:val="18"/>
          <w:szCs w:val="18"/>
          <w:highlight w:val="yellow"/>
        </w:rPr>
      </w:pPr>
      <w:r w:rsidRPr="00E66D86">
        <w:rPr>
          <w:rFonts w:ascii="Arial" w:hAnsi="Arial" w:cs="Arial"/>
          <w:sz w:val="18"/>
          <w:szCs w:val="18"/>
        </w:rPr>
        <w:t>Our current rate of investment for the Company aligns with that required to deliver our five-year programme of £3.0 billion</w:t>
      </w:r>
      <w:r w:rsidRPr="00E66D86">
        <w:rPr>
          <w:rFonts w:ascii="Arial" w:hAnsi="Arial" w:cs="Arial"/>
          <w:sz w:val="18"/>
          <w:szCs w:val="18"/>
          <w:vertAlign w:val="superscript"/>
        </w:rPr>
        <w:t>1</w:t>
      </w:r>
      <w:r w:rsidRPr="00E66D86">
        <w:rPr>
          <w:rFonts w:ascii="Arial" w:hAnsi="Arial" w:cs="Arial"/>
          <w:sz w:val="18"/>
          <w:szCs w:val="18"/>
        </w:rPr>
        <w:t xml:space="preserve"> and which will deliver 34% growth in our regulatory asset base to 2030. To support this growth, we are focused on ensuring we have a strong and resilient balance </w:t>
      </w:r>
      <w:proofErr w:type="gramStart"/>
      <w:r w:rsidRPr="00E66D86">
        <w:rPr>
          <w:rFonts w:ascii="Arial" w:hAnsi="Arial" w:cs="Arial"/>
          <w:sz w:val="18"/>
          <w:szCs w:val="18"/>
        </w:rPr>
        <w:t>sheet</w:t>
      </w:r>
      <w:proofErr w:type="gramEnd"/>
      <w:r w:rsidRPr="00E66D86">
        <w:rPr>
          <w:rFonts w:ascii="Arial" w:hAnsi="Arial" w:cs="Arial"/>
          <w:sz w:val="18"/>
          <w:szCs w:val="18"/>
        </w:rPr>
        <w:t xml:space="preserve"> and we end the first year of the AMP8 period with a gearing </w:t>
      </w:r>
      <w:r w:rsidRPr="001800EF">
        <w:rPr>
          <w:rFonts w:ascii="Arial" w:hAnsi="Arial" w:cs="Arial"/>
          <w:sz w:val="18"/>
          <w:szCs w:val="18"/>
        </w:rPr>
        <w:t xml:space="preserve">of </w:t>
      </w:r>
      <w:r w:rsidR="001800EF" w:rsidRPr="001800EF">
        <w:rPr>
          <w:rFonts w:ascii="Arial" w:hAnsi="Arial" w:cs="Arial"/>
          <w:sz w:val="18"/>
          <w:szCs w:val="18"/>
        </w:rPr>
        <w:t>63.0</w:t>
      </w:r>
      <w:r w:rsidRPr="001800EF">
        <w:rPr>
          <w:rFonts w:ascii="Arial" w:hAnsi="Arial" w:cs="Arial"/>
          <w:sz w:val="18"/>
          <w:szCs w:val="18"/>
        </w:rPr>
        <w:t>%</w:t>
      </w:r>
      <w:r w:rsidR="00BC756D">
        <w:rPr>
          <w:rStyle w:val="FootnoteReference"/>
          <w:rFonts w:ascii="Arial" w:hAnsi="Arial" w:cs="Arial"/>
          <w:sz w:val="18"/>
          <w:szCs w:val="18"/>
        </w:rPr>
        <w:footnoteReference w:id="11"/>
      </w:r>
      <w:r w:rsidRPr="001800EF">
        <w:rPr>
          <w:rFonts w:ascii="Arial" w:hAnsi="Arial" w:cs="Arial"/>
          <w:sz w:val="18"/>
          <w:szCs w:val="18"/>
        </w:rPr>
        <w:t xml:space="preserve">, </w:t>
      </w:r>
      <w:r w:rsidRPr="00E66D86">
        <w:rPr>
          <w:rFonts w:ascii="Arial" w:hAnsi="Arial" w:cs="Arial"/>
          <w:sz w:val="18"/>
          <w:szCs w:val="18"/>
        </w:rPr>
        <w:t>within our gearing policy of 55-65% and within our anticipated range of 60-65% to 2030 for our Company. The continued strong performance reflects the benefit of significantly improved operating cash flows in 2025/26, supporting investment in our capital programme.</w:t>
      </w:r>
    </w:p>
    <w:p w14:paraId="4D7842F6" w14:textId="66FFCF11" w:rsidR="00E66D86" w:rsidRPr="00E66D86" w:rsidRDefault="00E66D86" w:rsidP="00E66D86">
      <w:pPr>
        <w:rPr>
          <w:rFonts w:ascii="Arial" w:hAnsi="Arial" w:cs="Arial"/>
          <w:sz w:val="18"/>
          <w:szCs w:val="18"/>
        </w:rPr>
      </w:pPr>
      <w:r w:rsidRPr="00E66D86">
        <w:rPr>
          <w:rFonts w:ascii="Arial" w:hAnsi="Arial" w:cs="Arial"/>
          <w:sz w:val="18"/>
          <w:szCs w:val="18"/>
        </w:rPr>
        <w:lastRenderedPageBreak/>
        <w:t xml:space="preserve">Debt funding is also critical for our growth; </w:t>
      </w:r>
      <w:proofErr w:type="gramStart"/>
      <w:r w:rsidRPr="00E66D86">
        <w:rPr>
          <w:rFonts w:ascii="Arial" w:hAnsi="Arial" w:cs="Arial"/>
          <w:sz w:val="18"/>
          <w:szCs w:val="18"/>
        </w:rPr>
        <w:t>South West</w:t>
      </w:r>
      <w:proofErr w:type="gramEnd"/>
      <w:r w:rsidRPr="00E66D86">
        <w:rPr>
          <w:rFonts w:ascii="Arial" w:hAnsi="Arial" w:cs="Arial"/>
          <w:sz w:val="18"/>
          <w:szCs w:val="18"/>
        </w:rPr>
        <w:t xml:space="preserve"> Water continues to maintain investment-grade credit ratings, enabling access to competitive financing. During the year the Company has </w:t>
      </w:r>
      <w:r w:rsidRPr="002C549B">
        <w:rPr>
          <w:rFonts w:ascii="Arial" w:hAnsi="Arial" w:cs="Arial"/>
          <w:sz w:val="18"/>
          <w:szCs w:val="18"/>
        </w:rPr>
        <w:t xml:space="preserve">raised </w:t>
      </w:r>
      <w:r w:rsidRPr="009A2CAE">
        <w:rPr>
          <w:rFonts w:ascii="Arial" w:hAnsi="Arial" w:cs="Arial"/>
          <w:sz w:val="18"/>
          <w:szCs w:val="18"/>
        </w:rPr>
        <w:t>£</w:t>
      </w:r>
      <w:r w:rsidR="003D1D1D" w:rsidRPr="009A2CAE">
        <w:rPr>
          <w:rFonts w:ascii="Arial" w:hAnsi="Arial" w:cs="Arial"/>
          <w:sz w:val="18"/>
          <w:szCs w:val="18"/>
        </w:rPr>
        <w:t>4</w:t>
      </w:r>
      <w:r w:rsidR="0053333F" w:rsidRPr="009A2CAE">
        <w:rPr>
          <w:rFonts w:ascii="Arial" w:hAnsi="Arial" w:cs="Arial"/>
          <w:sz w:val="18"/>
          <w:szCs w:val="18"/>
        </w:rPr>
        <w:t>90</w:t>
      </w:r>
      <w:r w:rsidRPr="009A2CAE">
        <w:rPr>
          <w:rFonts w:ascii="Arial" w:hAnsi="Arial" w:cs="Arial"/>
          <w:sz w:val="18"/>
          <w:szCs w:val="18"/>
        </w:rPr>
        <w:t xml:space="preserve"> million</w:t>
      </w:r>
      <w:r w:rsidRPr="002C549B">
        <w:rPr>
          <w:rFonts w:ascii="Arial" w:hAnsi="Arial" w:cs="Arial"/>
          <w:sz w:val="18"/>
          <w:szCs w:val="18"/>
        </w:rPr>
        <w:t xml:space="preserve"> in</w:t>
      </w:r>
      <w:r w:rsidRPr="00E66D86">
        <w:rPr>
          <w:rFonts w:ascii="Arial" w:hAnsi="Arial" w:cs="Arial"/>
          <w:sz w:val="18"/>
          <w:szCs w:val="18"/>
        </w:rPr>
        <w:t xml:space="preserve"> additional funds to support the AMP8 capital programme and expects to continue to raise this quantum of debt each year through the AMP8 period.</w:t>
      </w:r>
    </w:p>
    <w:p w14:paraId="3F2019DD" w14:textId="0B25D039" w:rsidR="00FD779A" w:rsidRPr="002132EC" w:rsidRDefault="00FD779A" w:rsidP="00FD779A">
      <w:pPr>
        <w:pStyle w:val="HeadingLevel1"/>
        <w:spacing w:line="276" w:lineRule="auto"/>
        <w:rPr>
          <w:b/>
          <w:bCs/>
          <w:sz w:val="18"/>
          <w:szCs w:val="18"/>
        </w:rPr>
      </w:pPr>
      <w:r w:rsidRPr="002132EC">
        <w:rPr>
          <w:b/>
          <w:bCs/>
          <w:sz w:val="18"/>
          <w:szCs w:val="18"/>
        </w:rPr>
        <w:t>financial performance</w:t>
      </w:r>
    </w:p>
    <w:p w14:paraId="74001BAE" w14:textId="389B1759" w:rsidR="009B4663" w:rsidRPr="009B4663" w:rsidRDefault="009B4663" w:rsidP="009B4663">
      <w:pPr>
        <w:spacing w:after="160"/>
        <w:rPr>
          <w:rFonts w:ascii="Arial" w:hAnsi="Arial" w:cs="Arial"/>
          <w:sz w:val="18"/>
          <w:szCs w:val="18"/>
        </w:rPr>
      </w:pPr>
      <w:proofErr w:type="gramStart"/>
      <w:r w:rsidRPr="009B4663">
        <w:rPr>
          <w:rFonts w:ascii="Arial" w:hAnsi="Arial" w:cs="Arial"/>
          <w:sz w:val="18"/>
          <w:szCs w:val="18"/>
        </w:rPr>
        <w:t>South West</w:t>
      </w:r>
      <w:proofErr w:type="gramEnd"/>
      <w:r w:rsidRPr="009B4663">
        <w:rPr>
          <w:rFonts w:ascii="Arial" w:hAnsi="Arial" w:cs="Arial"/>
          <w:sz w:val="18"/>
          <w:szCs w:val="18"/>
        </w:rPr>
        <w:t xml:space="preserve"> </w:t>
      </w:r>
      <w:r w:rsidRPr="007D11D9">
        <w:rPr>
          <w:rFonts w:ascii="Arial" w:hAnsi="Arial" w:cs="Arial"/>
          <w:sz w:val="18"/>
          <w:szCs w:val="18"/>
        </w:rPr>
        <w:t>Water’s revenue for 2025/26 was £</w:t>
      </w:r>
      <w:r w:rsidR="001800EF" w:rsidRPr="007D11D9">
        <w:rPr>
          <w:rFonts w:ascii="Arial" w:hAnsi="Arial" w:cs="Arial"/>
          <w:sz w:val="18"/>
          <w:szCs w:val="18"/>
        </w:rPr>
        <w:t>939.2</w:t>
      </w:r>
      <w:r w:rsidRPr="007D11D9">
        <w:rPr>
          <w:rFonts w:ascii="Arial" w:hAnsi="Arial" w:cs="Arial"/>
          <w:sz w:val="18"/>
          <w:szCs w:val="18"/>
        </w:rPr>
        <w:t xml:space="preserve"> million (2024/25: £</w:t>
      </w:r>
      <w:r w:rsidR="002D6FC7" w:rsidRPr="007D11D9">
        <w:rPr>
          <w:rFonts w:ascii="Arial" w:hAnsi="Arial" w:cs="Arial"/>
          <w:sz w:val="18"/>
          <w:szCs w:val="18"/>
        </w:rPr>
        <w:t>739.2</w:t>
      </w:r>
      <w:r w:rsidRPr="007D11D9">
        <w:rPr>
          <w:rFonts w:ascii="Arial" w:hAnsi="Arial" w:cs="Arial"/>
          <w:sz w:val="18"/>
          <w:szCs w:val="18"/>
        </w:rPr>
        <w:t xml:space="preserve"> million) driven by regulated tariff increases. Underlying operating costs of £</w:t>
      </w:r>
      <w:r w:rsidR="008F4430" w:rsidRPr="007D11D9">
        <w:rPr>
          <w:rFonts w:ascii="Arial" w:hAnsi="Arial" w:cs="Arial"/>
          <w:sz w:val="18"/>
          <w:szCs w:val="18"/>
        </w:rPr>
        <w:t>456.8</w:t>
      </w:r>
      <w:r w:rsidRPr="007D11D9">
        <w:rPr>
          <w:rFonts w:ascii="Arial" w:hAnsi="Arial" w:cs="Arial"/>
          <w:sz w:val="18"/>
          <w:szCs w:val="18"/>
        </w:rPr>
        <w:t xml:space="preserve"> million (2024/25: £429.</w:t>
      </w:r>
      <w:r w:rsidR="002D6FC7" w:rsidRPr="007D11D9">
        <w:rPr>
          <w:rFonts w:ascii="Arial" w:hAnsi="Arial" w:cs="Arial"/>
          <w:sz w:val="18"/>
          <w:szCs w:val="18"/>
        </w:rPr>
        <w:t>4</w:t>
      </w:r>
      <w:r w:rsidRPr="007D11D9">
        <w:rPr>
          <w:rFonts w:ascii="Arial" w:hAnsi="Arial" w:cs="Arial"/>
          <w:sz w:val="18"/>
          <w:szCs w:val="18"/>
        </w:rPr>
        <w:t xml:space="preserve"> million) have increased year-on-year by £27.</w:t>
      </w:r>
      <w:r w:rsidR="007D11D9" w:rsidRPr="007D11D9">
        <w:rPr>
          <w:rFonts w:ascii="Arial" w:hAnsi="Arial" w:cs="Arial"/>
          <w:sz w:val="18"/>
          <w:szCs w:val="18"/>
        </w:rPr>
        <w:t>4</w:t>
      </w:r>
      <w:r w:rsidRPr="007D11D9">
        <w:rPr>
          <w:rFonts w:ascii="Arial" w:hAnsi="Arial" w:cs="Arial"/>
          <w:sz w:val="18"/>
          <w:szCs w:val="18"/>
        </w:rPr>
        <w:t xml:space="preserve"> million. This 6.</w:t>
      </w:r>
      <w:r w:rsidR="007D11D9" w:rsidRPr="007D11D9">
        <w:rPr>
          <w:rFonts w:ascii="Arial" w:hAnsi="Arial" w:cs="Arial"/>
          <w:sz w:val="18"/>
          <w:szCs w:val="18"/>
        </w:rPr>
        <w:t>4</w:t>
      </w:r>
      <w:r w:rsidRPr="007D11D9">
        <w:rPr>
          <w:rFonts w:ascii="Arial" w:hAnsi="Arial" w:cs="Arial"/>
          <w:sz w:val="18"/>
          <w:szCs w:val="18"/>
        </w:rPr>
        <w:t>% increase</w:t>
      </w:r>
      <w:r w:rsidRPr="009B4663">
        <w:rPr>
          <w:rFonts w:ascii="Arial" w:hAnsi="Arial" w:cs="Arial"/>
          <w:sz w:val="18"/>
          <w:szCs w:val="18"/>
        </w:rPr>
        <w:t xml:space="preserve"> reflects inflationary</w:t>
      </w:r>
      <w:r w:rsidRPr="002132EC">
        <w:rPr>
          <w:rFonts w:ascii="Arial" w:hAnsi="Arial" w:cs="Arial"/>
          <w:sz w:val="18"/>
          <w:szCs w:val="18"/>
        </w:rPr>
        <w:t xml:space="preserve"> </w:t>
      </w:r>
      <w:r w:rsidRPr="009B4663">
        <w:rPr>
          <w:rFonts w:ascii="Arial" w:hAnsi="Arial" w:cs="Arial"/>
          <w:sz w:val="18"/>
          <w:szCs w:val="18"/>
        </w:rPr>
        <w:t>cost pressures, plus the impact of increased regulatory</w:t>
      </w:r>
      <w:r w:rsidRPr="002132EC">
        <w:rPr>
          <w:rFonts w:ascii="Arial" w:hAnsi="Arial" w:cs="Arial"/>
          <w:sz w:val="18"/>
          <w:szCs w:val="18"/>
        </w:rPr>
        <w:t xml:space="preserve"> </w:t>
      </w:r>
      <w:r w:rsidRPr="009B4663">
        <w:rPr>
          <w:rFonts w:ascii="Arial" w:hAnsi="Arial" w:cs="Arial"/>
          <w:sz w:val="18"/>
          <w:szCs w:val="18"/>
        </w:rPr>
        <w:t>charges, higher bad debt charges linked to our step up</w:t>
      </w:r>
      <w:r w:rsidRPr="002132EC">
        <w:rPr>
          <w:rFonts w:ascii="Arial" w:hAnsi="Arial" w:cs="Arial"/>
          <w:sz w:val="18"/>
          <w:szCs w:val="18"/>
        </w:rPr>
        <w:t xml:space="preserve"> </w:t>
      </w:r>
      <w:r w:rsidRPr="009B4663">
        <w:rPr>
          <w:rFonts w:ascii="Arial" w:hAnsi="Arial" w:cs="Arial"/>
          <w:sz w:val="18"/>
          <w:szCs w:val="18"/>
        </w:rPr>
        <w:t>in revenue, increased operational costs resultant from</w:t>
      </w:r>
      <w:r w:rsidRPr="002132EC">
        <w:rPr>
          <w:rFonts w:ascii="Arial" w:hAnsi="Arial" w:cs="Arial"/>
          <w:sz w:val="18"/>
          <w:szCs w:val="18"/>
        </w:rPr>
        <w:t xml:space="preserve"> </w:t>
      </w:r>
      <w:r w:rsidRPr="009B4663">
        <w:rPr>
          <w:rFonts w:ascii="Arial" w:hAnsi="Arial" w:cs="Arial"/>
          <w:sz w:val="18"/>
          <w:szCs w:val="18"/>
        </w:rPr>
        <w:t xml:space="preserve">adverse weather and operational incidents, </w:t>
      </w:r>
      <w:r w:rsidRPr="007D11D9">
        <w:rPr>
          <w:rFonts w:ascii="Arial" w:hAnsi="Arial" w:cs="Arial"/>
          <w:sz w:val="18"/>
          <w:szCs w:val="18"/>
        </w:rPr>
        <w:t>including £5.7 million in cu</w:t>
      </w:r>
      <w:r w:rsidRPr="009B4663">
        <w:rPr>
          <w:rFonts w:ascii="Arial" w:hAnsi="Arial" w:cs="Arial"/>
          <w:sz w:val="18"/>
          <w:szCs w:val="18"/>
        </w:rPr>
        <w:t>stomer compensation.</w:t>
      </w:r>
    </w:p>
    <w:p w14:paraId="372796FA" w14:textId="77777777" w:rsidR="009B4663" w:rsidRPr="002132EC" w:rsidRDefault="009B4663" w:rsidP="009B4663">
      <w:pPr>
        <w:spacing w:after="160"/>
        <w:rPr>
          <w:rFonts w:ascii="Arial" w:hAnsi="Arial" w:cs="Arial"/>
          <w:sz w:val="18"/>
          <w:szCs w:val="18"/>
        </w:rPr>
      </w:pPr>
      <w:r w:rsidRPr="009B4663">
        <w:rPr>
          <w:rFonts w:ascii="Arial" w:hAnsi="Arial" w:cs="Arial"/>
          <w:sz w:val="18"/>
          <w:szCs w:val="18"/>
        </w:rPr>
        <w:t>Our efficiency programme has delivered benefits,</w:t>
      </w:r>
      <w:r w:rsidRPr="002132EC">
        <w:rPr>
          <w:rFonts w:ascii="Arial" w:hAnsi="Arial" w:cs="Arial"/>
          <w:sz w:val="18"/>
          <w:szCs w:val="18"/>
        </w:rPr>
        <w:t xml:space="preserve"> </w:t>
      </w:r>
      <w:r w:rsidRPr="009B4663">
        <w:rPr>
          <w:rFonts w:ascii="Arial" w:hAnsi="Arial" w:cs="Arial"/>
          <w:sz w:val="18"/>
          <w:szCs w:val="18"/>
        </w:rPr>
        <w:t>helping to mitigate these pressures whilst reduction</w:t>
      </w:r>
      <w:r w:rsidRPr="002132EC">
        <w:rPr>
          <w:rFonts w:ascii="Arial" w:hAnsi="Arial" w:cs="Arial"/>
          <w:sz w:val="18"/>
          <w:szCs w:val="18"/>
        </w:rPr>
        <w:t xml:space="preserve"> </w:t>
      </w:r>
      <w:r w:rsidRPr="009B4663">
        <w:rPr>
          <w:rFonts w:ascii="Arial" w:hAnsi="Arial" w:cs="Arial"/>
          <w:sz w:val="18"/>
          <w:szCs w:val="18"/>
        </w:rPr>
        <w:t>in commodity costs through our hedging strategy has</w:t>
      </w:r>
      <w:r w:rsidRPr="002132EC">
        <w:rPr>
          <w:rFonts w:ascii="Arial" w:hAnsi="Arial" w:cs="Arial"/>
          <w:sz w:val="18"/>
          <w:szCs w:val="18"/>
        </w:rPr>
        <w:t xml:space="preserve"> </w:t>
      </w:r>
      <w:r w:rsidRPr="009B4663">
        <w:rPr>
          <w:rFonts w:ascii="Arial" w:hAnsi="Arial" w:cs="Arial"/>
          <w:sz w:val="18"/>
          <w:szCs w:val="18"/>
        </w:rPr>
        <w:t>resulted in lower year-on-year power prices.</w:t>
      </w:r>
      <w:r w:rsidRPr="002132EC">
        <w:rPr>
          <w:rFonts w:ascii="Arial" w:hAnsi="Arial" w:cs="Arial"/>
          <w:sz w:val="18"/>
          <w:szCs w:val="18"/>
        </w:rPr>
        <w:t xml:space="preserve"> </w:t>
      </w:r>
    </w:p>
    <w:p w14:paraId="74116F0A" w14:textId="60F2DFF2" w:rsidR="009B4663" w:rsidRPr="009B4663" w:rsidRDefault="009B4663" w:rsidP="009B4663">
      <w:pPr>
        <w:spacing w:after="160"/>
        <w:rPr>
          <w:rFonts w:ascii="Arial" w:hAnsi="Arial" w:cs="Arial"/>
          <w:sz w:val="18"/>
          <w:szCs w:val="18"/>
          <w:highlight w:val="yellow"/>
        </w:rPr>
      </w:pPr>
      <w:proofErr w:type="gramStart"/>
      <w:r w:rsidRPr="009B4663">
        <w:rPr>
          <w:rFonts w:ascii="Arial" w:hAnsi="Arial" w:cs="Arial"/>
          <w:sz w:val="18"/>
          <w:szCs w:val="18"/>
        </w:rPr>
        <w:t>South West</w:t>
      </w:r>
      <w:proofErr w:type="gramEnd"/>
      <w:r w:rsidRPr="009B4663">
        <w:rPr>
          <w:rFonts w:ascii="Arial" w:hAnsi="Arial" w:cs="Arial"/>
          <w:sz w:val="18"/>
          <w:szCs w:val="18"/>
        </w:rPr>
        <w:t xml:space="preserve"> Water’s underlying EBITDA </w:t>
      </w:r>
      <w:r w:rsidRPr="007D11D9">
        <w:rPr>
          <w:rFonts w:ascii="Arial" w:hAnsi="Arial" w:cs="Arial"/>
          <w:sz w:val="18"/>
          <w:szCs w:val="18"/>
        </w:rPr>
        <w:t>increased by 5</w:t>
      </w:r>
      <w:r w:rsidR="007D11D9" w:rsidRPr="007D11D9">
        <w:rPr>
          <w:rFonts w:ascii="Arial" w:hAnsi="Arial" w:cs="Arial"/>
          <w:sz w:val="18"/>
          <w:szCs w:val="18"/>
        </w:rPr>
        <w:t>5.7</w:t>
      </w:r>
      <w:r w:rsidRPr="007D11D9">
        <w:rPr>
          <w:rFonts w:ascii="Arial" w:hAnsi="Arial" w:cs="Arial"/>
          <w:sz w:val="18"/>
          <w:szCs w:val="18"/>
        </w:rPr>
        <w:t>% to £48</w:t>
      </w:r>
      <w:r w:rsidR="007D11D9" w:rsidRPr="007D11D9">
        <w:rPr>
          <w:rFonts w:ascii="Arial" w:hAnsi="Arial" w:cs="Arial"/>
          <w:sz w:val="18"/>
          <w:szCs w:val="18"/>
        </w:rPr>
        <w:t>2.4</w:t>
      </w:r>
      <w:r w:rsidRPr="007D11D9">
        <w:rPr>
          <w:rFonts w:ascii="Arial" w:hAnsi="Arial" w:cs="Arial"/>
          <w:sz w:val="18"/>
          <w:szCs w:val="18"/>
        </w:rPr>
        <w:t xml:space="preserve"> million. Underlying operating profit has more than doubled, reflecting the strong EBITDA performance, offset by an increase in depreciation charges of £3.7 million compared</w:t>
      </w:r>
      <w:r w:rsidRPr="009B4663">
        <w:rPr>
          <w:rFonts w:ascii="Arial" w:hAnsi="Arial" w:cs="Arial"/>
          <w:sz w:val="18"/>
          <w:szCs w:val="18"/>
        </w:rPr>
        <w:t xml:space="preserve"> to last year and in line</w:t>
      </w:r>
      <w:r w:rsidRPr="002132EC">
        <w:rPr>
          <w:rFonts w:ascii="Arial" w:hAnsi="Arial" w:cs="Arial"/>
          <w:sz w:val="18"/>
          <w:szCs w:val="18"/>
        </w:rPr>
        <w:t xml:space="preserve"> </w:t>
      </w:r>
      <w:r w:rsidRPr="009B4663">
        <w:rPr>
          <w:rFonts w:ascii="Arial" w:hAnsi="Arial" w:cs="Arial"/>
          <w:sz w:val="18"/>
          <w:szCs w:val="18"/>
        </w:rPr>
        <w:t>with our ongoing capital investment programme.</w:t>
      </w:r>
    </w:p>
    <w:p w14:paraId="3D026CD9" w14:textId="12FF4C99" w:rsidR="009B4663" w:rsidRPr="002132EC" w:rsidRDefault="009B4663" w:rsidP="009B4663">
      <w:pPr>
        <w:spacing w:after="160"/>
        <w:rPr>
          <w:rFonts w:ascii="Arial" w:hAnsi="Arial" w:cs="Arial"/>
          <w:sz w:val="18"/>
          <w:szCs w:val="18"/>
        </w:rPr>
      </w:pPr>
      <w:r w:rsidRPr="009B4663">
        <w:rPr>
          <w:rFonts w:ascii="Arial" w:hAnsi="Arial" w:cs="Arial"/>
          <w:sz w:val="18"/>
          <w:szCs w:val="18"/>
        </w:rPr>
        <w:t xml:space="preserve">Net finance costs </w:t>
      </w:r>
      <w:r w:rsidRPr="007D11D9">
        <w:rPr>
          <w:rFonts w:ascii="Arial" w:hAnsi="Arial" w:cs="Arial"/>
          <w:sz w:val="18"/>
          <w:szCs w:val="18"/>
        </w:rPr>
        <w:t>of £170.1 million (2024</w:t>
      </w:r>
      <w:r w:rsidRPr="002D6FC7">
        <w:rPr>
          <w:rFonts w:ascii="Arial" w:hAnsi="Arial" w:cs="Arial"/>
          <w:sz w:val="18"/>
          <w:szCs w:val="18"/>
        </w:rPr>
        <w:t>/25: £170.</w:t>
      </w:r>
      <w:r w:rsidR="002D6FC7" w:rsidRPr="002D6FC7">
        <w:rPr>
          <w:rFonts w:ascii="Arial" w:hAnsi="Arial" w:cs="Arial"/>
          <w:sz w:val="18"/>
          <w:szCs w:val="18"/>
        </w:rPr>
        <w:t>3</w:t>
      </w:r>
      <w:r w:rsidRPr="002D6FC7">
        <w:rPr>
          <w:rFonts w:ascii="Arial" w:hAnsi="Arial" w:cs="Arial"/>
          <w:sz w:val="18"/>
          <w:szCs w:val="18"/>
        </w:rPr>
        <w:t xml:space="preserve"> million) reflect</w:t>
      </w:r>
      <w:r w:rsidRPr="009B4663">
        <w:rPr>
          <w:rFonts w:ascii="Arial" w:hAnsi="Arial" w:cs="Arial"/>
          <w:sz w:val="18"/>
          <w:szCs w:val="18"/>
        </w:rPr>
        <w:t xml:space="preserve"> an effective interest rate of </w:t>
      </w:r>
      <w:r w:rsidRPr="004C157E">
        <w:rPr>
          <w:rFonts w:ascii="Arial" w:hAnsi="Arial" w:cs="Arial"/>
          <w:sz w:val="18"/>
          <w:szCs w:val="18"/>
        </w:rPr>
        <w:t>5.</w:t>
      </w:r>
      <w:r w:rsidR="004C157E" w:rsidRPr="004C157E">
        <w:rPr>
          <w:rFonts w:ascii="Arial" w:hAnsi="Arial" w:cs="Arial"/>
          <w:sz w:val="18"/>
          <w:szCs w:val="18"/>
        </w:rPr>
        <w:t>5</w:t>
      </w:r>
      <w:r w:rsidRPr="004C157E">
        <w:rPr>
          <w:rFonts w:ascii="Arial" w:hAnsi="Arial" w:cs="Arial"/>
          <w:sz w:val="18"/>
          <w:szCs w:val="18"/>
        </w:rPr>
        <w:t>%</w:t>
      </w:r>
      <w:r w:rsidR="004C157E" w:rsidRPr="004C157E">
        <w:rPr>
          <w:rStyle w:val="FootnoteReference"/>
          <w:rFonts w:ascii="Arial" w:hAnsi="Arial" w:cs="Arial"/>
          <w:sz w:val="18"/>
          <w:szCs w:val="18"/>
        </w:rPr>
        <w:footnoteReference w:id="12"/>
      </w:r>
      <w:r w:rsidRPr="004C157E">
        <w:rPr>
          <w:rFonts w:ascii="Arial" w:hAnsi="Arial" w:cs="Arial"/>
          <w:sz w:val="18"/>
          <w:szCs w:val="18"/>
        </w:rPr>
        <w:t xml:space="preserve"> (</w:t>
      </w:r>
      <w:r w:rsidRPr="008458E1">
        <w:rPr>
          <w:rFonts w:ascii="Arial" w:hAnsi="Arial" w:cs="Arial"/>
          <w:sz w:val="18"/>
          <w:szCs w:val="18"/>
        </w:rPr>
        <w:t>2024/25: 5.</w:t>
      </w:r>
      <w:r w:rsidR="008458E1" w:rsidRPr="008458E1">
        <w:rPr>
          <w:rFonts w:ascii="Arial" w:hAnsi="Arial" w:cs="Arial"/>
          <w:sz w:val="18"/>
          <w:szCs w:val="18"/>
        </w:rPr>
        <w:t>2</w:t>
      </w:r>
      <w:r w:rsidRPr="008458E1">
        <w:rPr>
          <w:rFonts w:ascii="Arial" w:hAnsi="Arial" w:cs="Arial"/>
          <w:sz w:val="18"/>
          <w:szCs w:val="18"/>
        </w:rPr>
        <w:t xml:space="preserve">%) </w:t>
      </w:r>
      <w:r w:rsidRPr="009B4663">
        <w:rPr>
          <w:rFonts w:ascii="Arial" w:hAnsi="Arial" w:cs="Arial"/>
          <w:sz w:val="18"/>
          <w:szCs w:val="18"/>
        </w:rPr>
        <w:t xml:space="preserve">The year-on-year </w:t>
      </w:r>
      <w:r w:rsidRPr="007D11D9">
        <w:rPr>
          <w:rFonts w:ascii="Arial" w:hAnsi="Arial" w:cs="Arial"/>
          <w:sz w:val="18"/>
          <w:szCs w:val="18"/>
        </w:rPr>
        <w:t>decrease of £0.</w:t>
      </w:r>
      <w:r w:rsidR="007D11D9" w:rsidRPr="007D11D9">
        <w:rPr>
          <w:rFonts w:ascii="Arial" w:hAnsi="Arial" w:cs="Arial"/>
          <w:sz w:val="18"/>
          <w:szCs w:val="18"/>
        </w:rPr>
        <w:t>2</w:t>
      </w:r>
      <w:r w:rsidRPr="007D11D9">
        <w:rPr>
          <w:rFonts w:ascii="Arial" w:hAnsi="Arial" w:cs="Arial"/>
          <w:sz w:val="18"/>
          <w:szCs w:val="18"/>
        </w:rPr>
        <w:t xml:space="preserve"> million </w:t>
      </w:r>
      <w:r w:rsidRPr="009B4663">
        <w:rPr>
          <w:rFonts w:ascii="Arial" w:hAnsi="Arial" w:cs="Arial"/>
          <w:sz w:val="18"/>
          <w:szCs w:val="18"/>
        </w:rPr>
        <w:t>was a</w:t>
      </w:r>
      <w:r w:rsidRPr="002132EC">
        <w:rPr>
          <w:rFonts w:ascii="Arial" w:hAnsi="Arial" w:cs="Arial"/>
          <w:sz w:val="18"/>
          <w:szCs w:val="18"/>
        </w:rPr>
        <w:t xml:space="preserve"> </w:t>
      </w:r>
      <w:r w:rsidRPr="009B4663">
        <w:rPr>
          <w:rFonts w:ascii="Arial" w:hAnsi="Arial" w:cs="Arial"/>
          <w:sz w:val="18"/>
          <w:szCs w:val="18"/>
        </w:rPr>
        <w:t>result of higher capitalised interest partially offset by</w:t>
      </w:r>
      <w:r w:rsidRPr="002132EC">
        <w:rPr>
          <w:rFonts w:ascii="Arial" w:hAnsi="Arial" w:cs="Arial"/>
          <w:sz w:val="18"/>
          <w:szCs w:val="18"/>
        </w:rPr>
        <w:t xml:space="preserve"> </w:t>
      </w:r>
      <w:r w:rsidRPr="009B4663">
        <w:rPr>
          <w:rFonts w:ascii="Arial" w:hAnsi="Arial" w:cs="Arial"/>
          <w:sz w:val="18"/>
          <w:szCs w:val="18"/>
        </w:rPr>
        <w:t>higher debt to fund the ongoing capital programme.</w:t>
      </w:r>
      <w:r w:rsidRPr="002132EC">
        <w:rPr>
          <w:rFonts w:ascii="Arial" w:hAnsi="Arial" w:cs="Arial"/>
          <w:sz w:val="18"/>
          <w:szCs w:val="18"/>
        </w:rPr>
        <w:t xml:space="preserve"> </w:t>
      </w:r>
    </w:p>
    <w:p w14:paraId="735932F4" w14:textId="3D682A37" w:rsidR="009B4663" w:rsidRDefault="009B4663" w:rsidP="009B4663">
      <w:pPr>
        <w:spacing w:after="160"/>
        <w:rPr>
          <w:rFonts w:ascii="Arial" w:hAnsi="Arial" w:cs="Arial"/>
          <w:sz w:val="18"/>
          <w:szCs w:val="18"/>
          <w:highlight w:val="yellow"/>
        </w:rPr>
      </w:pPr>
      <w:proofErr w:type="gramStart"/>
      <w:r w:rsidRPr="009B4663">
        <w:rPr>
          <w:rFonts w:ascii="Arial" w:hAnsi="Arial" w:cs="Arial"/>
          <w:sz w:val="18"/>
          <w:szCs w:val="18"/>
        </w:rPr>
        <w:t>South West</w:t>
      </w:r>
      <w:proofErr w:type="gramEnd"/>
      <w:r w:rsidRPr="009B4663">
        <w:rPr>
          <w:rFonts w:ascii="Arial" w:hAnsi="Arial" w:cs="Arial"/>
          <w:sz w:val="18"/>
          <w:szCs w:val="18"/>
        </w:rPr>
        <w:t xml:space="preserve"> Water’s statutory profit b</w:t>
      </w:r>
      <w:r w:rsidRPr="004C157E">
        <w:rPr>
          <w:rFonts w:ascii="Arial" w:hAnsi="Arial" w:cs="Arial"/>
          <w:sz w:val="18"/>
          <w:szCs w:val="18"/>
        </w:rPr>
        <w:t>efore tax was £124.</w:t>
      </w:r>
      <w:r w:rsidR="004C157E" w:rsidRPr="004C157E">
        <w:rPr>
          <w:rFonts w:ascii="Arial" w:hAnsi="Arial" w:cs="Arial"/>
          <w:sz w:val="18"/>
          <w:szCs w:val="18"/>
        </w:rPr>
        <w:t>9</w:t>
      </w:r>
      <w:r w:rsidRPr="004C157E">
        <w:rPr>
          <w:rFonts w:ascii="Arial" w:hAnsi="Arial" w:cs="Arial"/>
          <w:sz w:val="18"/>
          <w:szCs w:val="18"/>
        </w:rPr>
        <w:t xml:space="preserve"> million (2024/25: loss of £6</w:t>
      </w:r>
      <w:r w:rsidR="00C35B78" w:rsidRPr="004C157E">
        <w:rPr>
          <w:rFonts w:ascii="Arial" w:hAnsi="Arial" w:cs="Arial"/>
          <w:sz w:val="18"/>
          <w:szCs w:val="18"/>
        </w:rPr>
        <w:t>1.2</w:t>
      </w:r>
      <w:r w:rsidRPr="004C157E">
        <w:rPr>
          <w:rFonts w:ascii="Arial" w:hAnsi="Arial" w:cs="Arial"/>
          <w:sz w:val="18"/>
          <w:szCs w:val="18"/>
        </w:rPr>
        <w:t xml:space="preserve"> million) after non-underlying costs of £15.4 million (2024</w:t>
      </w:r>
      <w:r w:rsidRPr="00C35B78">
        <w:rPr>
          <w:rFonts w:ascii="Arial" w:hAnsi="Arial" w:cs="Arial"/>
          <w:sz w:val="18"/>
          <w:szCs w:val="18"/>
        </w:rPr>
        <w:t xml:space="preserve">/25: £32.4 million). </w:t>
      </w:r>
    </w:p>
    <w:p w14:paraId="7E81FC9E" w14:textId="0389C751" w:rsidR="009B4663" w:rsidRDefault="009B4663" w:rsidP="009B4663">
      <w:pPr>
        <w:spacing w:after="160"/>
        <w:rPr>
          <w:rFonts w:ascii="Arial" w:hAnsi="Arial" w:cs="Arial"/>
          <w:sz w:val="18"/>
          <w:szCs w:val="18"/>
        </w:rPr>
      </w:pPr>
      <w:proofErr w:type="gramStart"/>
      <w:r w:rsidRPr="009B4663">
        <w:rPr>
          <w:rFonts w:ascii="Arial" w:hAnsi="Arial" w:cs="Arial"/>
          <w:sz w:val="18"/>
          <w:szCs w:val="18"/>
        </w:rPr>
        <w:t>South West</w:t>
      </w:r>
      <w:proofErr w:type="gramEnd"/>
      <w:r w:rsidRPr="009B4663">
        <w:rPr>
          <w:rFonts w:ascii="Arial" w:hAnsi="Arial" w:cs="Arial"/>
          <w:sz w:val="18"/>
          <w:szCs w:val="18"/>
        </w:rPr>
        <w:t xml:space="preserve"> Water’s capital </w:t>
      </w:r>
      <w:r w:rsidRPr="004C157E">
        <w:rPr>
          <w:rFonts w:ascii="Arial" w:hAnsi="Arial" w:cs="Arial"/>
          <w:sz w:val="18"/>
          <w:szCs w:val="18"/>
        </w:rPr>
        <w:t>expenditure was £563.3 million (2024</w:t>
      </w:r>
      <w:r w:rsidRPr="00C35B78">
        <w:rPr>
          <w:rFonts w:ascii="Arial" w:hAnsi="Arial" w:cs="Arial"/>
          <w:sz w:val="18"/>
          <w:szCs w:val="18"/>
        </w:rPr>
        <w:t xml:space="preserve">/25: £588.7 million), </w:t>
      </w:r>
      <w:r w:rsidRPr="009B4663">
        <w:rPr>
          <w:rFonts w:ascii="Arial" w:hAnsi="Arial" w:cs="Arial"/>
          <w:sz w:val="18"/>
          <w:szCs w:val="18"/>
        </w:rPr>
        <w:t>reflecting early</w:t>
      </w:r>
      <w:r w:rsidRPr="002132EC">
        <w:rPr>
          <w:rFonts w:ascii="Arial" w:hAnsi="Arial" w:cs="Arial"/>
          <w:sz w:val="18"/>
          <w:szCs w:val="18"/>
        </w:rPr>
        <w:t xml:space="preserve"> </w:t>
      </w:r>
      <w:r w:rsidRPr="009B4663">
        <w:rPr>
          <w:rFonts w:ascii="Arial" w:hAnsi="Arial" w:cs="Arial"/>
          <w:sz w:val="18"/>
          <w:szCs w:val="18"/>
        </w:rPr>
        <w:t>benefits being delivered to customers and communities</w:t>
      </w:r>
      <w:r w:rsidRPr="002132EC">
        <w:rPr>
          <w:rFonts w:ascii="Arial" w:hAnsi="Arial" w:cs="Arial"/>
          <w:sz w:val="18"/>
          <w:szCs w:val="18"/>
        </w:rPr>
        <w:t xml:space="preserve"> </w:t>
      </w:r>
      <w:r w:rsidRPr="009B4663">
        <w:rPr>
          <w:rFonts w:ascii="Arial" w:hAnsi="Arial" w:cs="Arial"/>
          <w:sz w:val="18"/>
          <w:szCs w:val="18"/>
        </w:rPr>
        <w:t>across our regions. We have already invested heavily</w:t>
      </w:r>
      <w:r w:rsidRPr="002132EC">
        <w:rPr>
          <w:rFonts w:ascii="Arial" w:hAnsi="Arial" w:cs="Arial"/>
          <w:sz w:val="18"/>
          <w:szCs w:val="18"/>
        </w:rPr>
        <w:t xml:space="preserve"> </w:t>
      </w:r>
      <w:r w:rsidRPr="009B4663">
        <w:rPr>
          <w:rFonts w:ascii="Arial" w:hAnsi="Arial" w:cs="Arial"/>
          <w:sz w:val="18"/>
          <w:szCs w:val="18"/>
        </w:rPr>
        <w:t>this year in storm overflow reductions, our wastewater</w:t>
      </w:r>
      <w:r w:rsidRPr="002132EC">
        <w:rPr>
          <w:rFonts w:ascii="Arial" w:hAnsi="Arial" w:cs="Arial"/>
          <w:sz w:val="18"/>
          <w:szCs w:val="18"/>
        </w:rPr>
        <w:t xml:space="preserve"> </w:t>
      </w:r>
      <w:r w:rsidRPr="009B4663">
        <w:rPr>
          <w:rFonts w:ascii="Arial" w:hAnsi="Arial" w:cs="Arial"/>
          <w:sz w:val="18"/>
          <w:szCs w:val="18"/>
        </w:rPr>
        <w:t>treatment and infrastructure, new water treatment</w:t>
      </w:r>
      <w:r w:rsidRPr="002132EC">
        <w:rPr>
          <w:rFonts w:ascii="Arial" w:hAnsi="Arial" w:cs="Arial"/>
          <w:sz w:val="18"/>
          <w:szCs w:val="18"/>
        </w:rPr>
        <w:t xml:space="preserve"> </w:t>
      </w:r>
      <w:r w:rsidRPr="009B4663">
        <w:rPr>
          <w:rFonts w:ascii="Arial" w:hAnsi="Arial" w:cs="Arial"/>
          <w:sz w:val="18"/>
          <w:szCs w:val="18"/>
        </w:rPr>
        <w:t>works, leakage detection and repair, smart metering,</w:t>
      </w:r>
      <w:r w:rsidRPr="002132EC">
        <w:rPr>
          <w:rFonts w:ascii="Arial" w:hAnsi="Arial" w:cs="Arial"/>
          <w:sz w:val="18"/>
          <w:szCs w:val="18"/>
        </w:rPr>
        <w:t xml:space="preserve"> and replacing lead pip</w:t>
      </w:r>
      <w:r w:rsidRPr="00C35B78">
        <w:rPr>
          <w:rFonts w:ascii="Arial" w:hAnsi="Arial" w:cs="Arial"/>
          <w:sz w:val="18"/>
          <w:szCs w:val="18"/>
        </w:rPr>
        <w:t>es.</w:t>
      </w:r>
    </w:p>
    <w:p w14:paraId="523A0E92" w14:textId="44B1DD78" w:rsidR="009B4663" w:rsidRDefault="00FD779A" w:rsidP="009B4663">
      <w:pPr>
        <w:spacing w:after="160"/>
        <w:rPr>
          <w:rFonts w:ascii="Arial" w:hAnsi="Arial" w:cs="Arial"/>
          <w:sz w:val="18"/>
          <w:szCs w:val="18"/>
          <w:highlight w:val="yellow"/>
        </w:rPr>
      </w:pPr>
      <w:r w:rsidRPr="009B4663">
        <w:rPr>
          <w:rFonts w:ascii="Arial" w:eastAsia="Times New Roman" w:hAnsi="Arial" w:cs="Arial"/>
          <w:i/>
          <w:caps/>
          <w:sz w:val="18"/>
          <w:szCs w:val="18"/>
        </w:rPr>
        <w:t>EXPECTED CREDIT LOSSES</w:t>
      </w:r>
      <w:r w:rsidRPr="009B4663">
        <w:rPr>
          <w:rFonts w:ascii="Arial" w:eastAsia="Times New Roman" w:hAnsi="Arial" w:cs="Arial"/>
          <w:i/>
          <w:caps/>
          <w:sz w:val="18"/>
          <w:szCs w:val="18"/>
        </w:rPr>
        <w:br/>
      </w:r>
      <w:bookmarkStart w:id="9" w:name="_Hlk137471825"/>
      <w:r w:rsidR="009B4663" w:rsidRPr="009B4663">
        <w:rPr>
          <w:rFonts w:ascii="Arial" w:hAnsi="Arial" w:cs="Arial"/>
          <w:sz w:val="18"/>
          <w:szCs w:val="18"/>
        </w:rPr>
        <w:t>Our ongoing commitment to affordability and support schemes for those in need will be critical going forward, both to support our customers and to ensure we maintain a strong collections profile. Despite the step up in revenues, cash collection remained strong a</w:t>
      </w:r>
      <w:r w:rsidR="009B4663" w:rsidRPr="00704113">
        <w:rPr>
          <w:rFonts w:ascii="Arial" w:hAnsi="Arial" w:cs="Arial"/>
          <w:sz w:val="18"/>
          <w:szCs w:val="18"/>
        </w:rPr>
        <w:t xml:space="preserve">cross the year. Expected credit loss charges </w:t>
      </w:r>
      <w:r w:rsidR="009B4663" w:rsidRPr="005F6874">
        <w:rPr>
          <w:rFonts w:ascii="Arial" w:hAnsi="Arial" w:cs="Arial"/>
          <w:sz w:val="18"/>
          <w:szCs w:val="18"/>
        </w:rPr>
        <w:t>were £1</w:t>
      </w:r>
      <w:r w:rsidR="00364718" w:rsidRPr="00277639">
        <w:rPr>
          <w:rFonts w:ascii="Arial" w:hAnsi="Arial" w:cs="Arial"/>
          <w:sz w:val="18"/>
          <w:szCs w:val="18"/>
        </w:rPr>
        <w:t>4.0</w:t>
      </w:r>
      <w:r w:rsidR="009B4663" w:rsidRPr="005F6874">
        <w:rPr>
          <w:rFonts w:ascii="Arial" w:hAnsi="Arial" w:cs="Arial"/>
          <w:sz w:val="18"/>
          <w:szCs w:val="18"/>
        </w:rPr>
        <w:t xml:space="preserve"> million (1.5% of revenue), slightly higher than the prior year (</w:t>
      </w:r>
      <w:r w:rsidR="00C35B78" w:rsidRPr="005F6874">
        <w:rPr>
          <w:rFonts w:ascii="Arial" w:hAnsi="Arial" w:cs="Arial"/>
          <w:sz w:val="18"/>
          <w:szCs w:val="18"/>
        </w:rPr>
        <w:t>1.1</w:t>
      </w:r>
      <w:r w:rsidR="009B4663" w:rsidRPr="005F6874">
        <w:rPr>
          <w:rFonts w:ascii="Arial" w:hAnsi="Arial" w:cs="Arial"/>
          <w:sz w:val="18"/>
          <w:szCs w:val="18"/>
        </w:rPr>
        <w:t>%</w:t>
      </w:r>
      <w:r w:rsidR="00364718" w:rsidRPr="00277639">
        <w:rPr>
          <w:rFonts w:ascii="Arial" w:hAnsi="Arial" w:cs="Arial"/>
          <w:sz w:val="18"/>
          <w:szCs w:val="18"/>
        </w:rPr>
        <w:t xml:space="preserve"> of revenue</w:t>
      </w:r>
      <w:r w:rsidR="009B4663" w:rsidRPr="005F6874">
        <w:rPr>
          <w:rFonts w:ascii="Arial" w:hAnsi="Arial" w:cs="Arial"/>
          <w:sz w:val="18"/>
          <w:szCs w:val="18"/>
        </w:rPr>
        <w:t>) but remaining strong with</w:t>
      </w:r>
      <w:r w:rsidR="009B4663" w:rsidRPr="009B4663">
        <w:rPr>
          <w:rFonts w:ascii="Arial" w:hAnsi="Arial" w:cs="Arial"/>
          <w:sz w:val="18"/>
          <w:szCs w:val="18"/>
        </w:rPr>
        <w:t>in the sector. Our teams continued to focus on both managing older debt profiles and ensuring effective collection of more recent billings, despite the increase in tariffs.</w:t>
      </w:r>
    </w:p>
    <w:p w14:paraId="1EA657D9" w14:textId="25660788" w:rsidR="00D079FD" w:rsidRPr="00D079FD" w:rsidRDefault="00FD779A" w:rsidP="00277639">
      <w:pPr>
        <w:spacing w:after="160"/>
        <w:rPr>
          <w:rFonts w:cs="Arial"/>
          <w:sz w:val="18"/>
          <w:szCs w:val="18"/>
        </w:rPr>
      </w:pPr>
      <w:r w:rsidRPr="00D079FD">
        <w:rPr>
          <w:rFonts w:ascii="Arial" w:eastAsia="Times New Roman" w:hAnsi="Arial" w:cs="Arial"/>
          <w:i/>
          <w:caps/>
          <w:sz w:val="18"/>
          <w:szCs w:val="18"/>
        </w:rPr>
        <w:t xml:space="preserve">net finance costs </w:t>
      </w:r>
      <w:bookmarkStart w:id="10" w:name="_Hlk137467336"/>
      <w:bookmarkEnd w:id="9"/>
      <w:r w:rsidR="00D62E2B">
        <w:rPr>
          <w:rFonts w:cs="Arial"/>
          <w:sz w:val="18"/>
          <w:szCs w:val="18"/>
        </w:rPr>
        <w:br/>
      </w:r>
      <w:r w:rsidR="00D079FD" w:rsidRPr="002C549B">
        <w:rPr>
          <w:rFonts w:ascii="Arial" w:hAnsi="Arial" w:cs="Arial"/>
          <w:sz w:val="18"/>
          <w:szCs w:val="18"/>
        </w:rPr>
        <w:t>The £</w:t>
      </w:r>
      <w:r w:rsidR="009348E8" w:rsidRPr="002C549B">
        <w:rPr>
          <w:rFonts w:ascii="Arial" w:hAnsi="Arial" w:cs="Arial"/>
          <w:sz w:val="18"/>
          <w:szCs w:val="18"/>
        </w:rPr>
        <w:t>0.2</w:t>
      </w:r>
      <w:r w:rsidR="00D079FD" w:rsidRPr="002C549B">
        <w:rPr>
          <w:rFonts w:ascii="Arial" w:hAnsi="Arial" w:cs="Arial"/>
          <w:sz w:val="18"/>
          <w:szCs w:val="18"/>
        </w:rPr>
        <w:t xml:space="preserve"> million </w:t>
      </w:r>
      <w:r w:rsidR="009348E8" w:rsidRPr="002C549B">
        <w:rPr>
          <w:rFonts w:ascii="Arial" w:hAnsi="Arial" w:cs="Arial"/>
          <w:sz w:val="18"/>
          <w:szCs w:val="18"/>
        </w:rPr>
        <w:t>decrease</w:t>
      </w:r>
      <w:r w:rsidR="00D079FD" w:rsidRPr="002C549B">
        <w:rPr>
          <w:rFonts w:ascii="Arial" w:hAnsi="Arial" w:cs="Arial"/>
          <w:sz w:val="18"/>
          <w:szCs w:val="18"/>
        </w:rPr>
        <w:t xml:space="preserve"> in finance costs (net) was primarily driven by new and renewed debt </w:t>
      </w:r>
      <w:r w:rsidR="00D079FD" w:rsidRPr="000853D1">
        <w:rPr>
          <w:rFonts w:ascii="Arial" w:hAnsi="Arial" w:cs="Arial"/>
          <w:sz w:val="18"/>
          <w:szCs w:val="18"/>
        </w:rPr>
        <w:t xml:space="preserve">facilities </w:t>
      </w:r>
      <w:r w:rsidR="00D079FD" w:rsidRPr="009A2CAE">
        <w:rPr>
          <w:rFonts w:ascii="Arial" w:hAnsi="Arial" w:cs="Arial"/>
          <w:sz w:val="18"/>
          <w:szCs w:val="18"/>
        </w:rPr>
        <w:t>(£</w:t>
      </w:r>
      <w:r w:rsidR="002C549B" w:rsidRPr="009A2CAE">
        <w:rPr>
          <w:rFonts w:ascii="Arial" w:hAnsi="Arial" w:cs="Arial"/>
          <w:sz w:val="18"/>
          <w:szCs w:val="18"/>
        </w:rPr>
        <w:t>26.1</w:t>
      </w:r>
      <w:r w:rsidR="00D079FD" w:rsidRPr="009A2CAE">
        <w:rPr>
          <w:rFonts w:ascii="Arial" w:hAnsi="Arial" w:cs="Arial"/>
          <w:sz w:val="18"/>
          <w:szCs w:val="18"/>
        </w:rPr>
        <w:t xml:space="preserve"> million)</w:t>
      </w:r>
      <w:r w:rsidR="00D079FD" w:rsidRPr="000853D1">
        <w:rPr>
          <w:rFonts w:ascii="Arial" w:hAnsi="Arial" w:cs="Arial"/>
          <w:sz w:val="18"/>
          <w:szCs w:val="18"/>
        </w:rPr>
        <w:t xml:space="preserve"> as we continue to invest record levels of capital in our water businesses, offset by lower interest rates </w:t>
      </w:r>
      <w:r w:rsidR="00D079FD" w:rsidRPr="009A2CAE">
        <w:rPr>
          <w:rFonts w:ascii="Arial" w:hAnsi="Arial" w:cs="Arial"/>
          <w:sz w:val="18"/>
          <w:szCs w:val="18"/>
        </w:rPr>
        <w:t>(£</w:t>
      </w:r>
      <w:r w:rsidR="002C549B" w:rsidRPr="009A2CAE">
        <w:rPr>
          <w:rFonts w:ascii="Arial" w:hAnsi="Arial" w:cs="Arial"/>
          <w:sz w:val="18"/>
          <w:szCs w:val="18"/>
        </w:rPr>
        <w:t>4.0</w:t>
      </w:r>
      <w:r w:rsidR="00D079FD" w:rsidRPr="009A2CAE">
        <w:rPr>
          <w:rFonts w:ascii="Arial" w:hAnsi="Arial" w:cs="Arial"/>
          <w:sz w:val="18"/>
          <w:szCs w:val="18"/>
        </w:rPr>
        <w:t xml:space="preserve"> million),</w:t>
      </w:r>
      <w:r w:rsidR="00D079FD" w:rsidRPr="000853D1">
        <w:rPr>
          <w:rFonts w:ascii="Arial" w:hAnsi="Arial" w:cs="Arial"/>
          <w:sz w:val="18"/>
          <w:szCs w:val="18"/>
        </w:rPr>
        <w:t xml:space="preserve"> increased interest receiv</w:t>
      </w:r>
      <w:r w:rsidR="005F6874" w:rsidRPr="000853D1">
        <w:rPr>
          <w:rFonts w:ascii="Arial" w:hAnsi="Arial" w:cs="Arial"/>
          <w:sz w:val="18"/>
          <w:szCs w:val="18"/>
        </w:rPr>
        <w:t>ed</w:t>
      </w:r>
      <w:r w:rsidR="00D079FD" w:rsidRPr="000853D1">
        <w:rPr>
          <w:rFonts w:ascii="Arial" w:hAnsi="Arial" w:cs="Arial"/>
          <w:sz w:val="18"/>
          <w:szCs w:val="18"/>
        </w:rPr>
        <w:t xml:space="preserve"> (£</w:t>
      </w:r>
      <w:r w:rsidR="0053333F" w:rsidRPr="000853D1">
        <w:rPr>
          <w:rFonts w:ascii="Arial" w:hAnsi="Arial" w:cs="Arial"/>
          <w:sz w:val="18"/>
          <w:szCs w:val="18"/>
        </w:rPr>
        <w:t>9.</w:t>
      </w:r>
      <w:r w:rsidR="009C2895" w:rsidRPr="000853D1">
        <w:rPr>
          <w:rFonts w:ascii="Arial" w:hAnsi="Arial" w:cs="Arial"/>
          <w:sz w:val="18"/>
          <w:szCs w:val="18"/>
        </w:rPr>
        <w:t>2</w:t>
      </w:r>
      <w:r w:rsidR="00D079FD" w:rsidRPr="000853D1">
        <w:rPr>
          <w:rFonts w:ascii="Arial" w:hAnsi="Arial" w:cs="Arial"/>
          <w:sz w:val="18"/>
          <w:szCs w:val="18"/>
        </w:rPr>
        <w:t xml:space="preserve"> million) and higher levels of capitalised interest (£</w:t>
      </w:r>
      <w:r w:rsidR="0053333F" w:rsidRPr="000853D1">
        <w:rPr>
          <w:rFonts w:ascii="Arial" w:hAnsi="Arial" w:cs="Arial"/>
          <w:sz w:val="18"/>
          <w:szCs w:val="18"/>
        </w:rPr>
        <w:t>10.9</w:t>
      </w:r>
      <w:r w:rsidR="00D079FD" w:rsidRPr="000853D1">
        <w:rPr>
          <w:rFonts w:ascii="Arial" w:hAnsi="Arial" w:cs="Arial"/>
          <w:sz w:val="18"/>
          <w:szCs w:val="18"/>
        </w:rPr>
        <w:t xml:space="preserve"> million),</w:t>
      </w:r>
      <w:r w:rsidR="00D079FD" w:rsidRPr="002C549B">
        <w:rPr>
          <w:rFonts w:ascii="Arial" w:hAnsi="Arial" w:cs="Arial"/>
          <w:sz w:val="18"/>
          <w:szCs w:val="18"/>
        </w:rPr>
        <w:t xml:space="preserve"> given ongoing investment</w:t>
      </w:r>
      <w:r w:rsidR="002C549B" w:rsidRPr="002C549B">
        <w:rPr>
          <w:rFonts w:ascii="Arial" w:hAnsi="Arial" w:cs="Arial"/>
          <w:sz w:val="18"/>
          <w:szCs w:val="18"/>
        </w:rPr>
        <w:t xml:space="preserve"> and other movements amounting to £2.2 million.</w:t>
      </w:r>
    </w:p>
    <w:p w14:paraId="224C3618" w14:textId="2FB69779" w:rsidR="00D079FD" w:rsidRPr="00D079FD" w:rsidRDefault="00D079FD" w:rsidP="00D079FD">
      <w:pPr>
        <w:pStyle w:val="HeadingLevel1"/>
        <w:spacing w:line="276" w:lineRule="auto"/>
        <w:outlineLvl w:val="0"/>
        <w:rPr>
          <w:rFonts w:eastAsiaTheme="minorHAnsi" w:cs="Arial"/>
          <w:caps w:val="0"/>
          <w:color w:val="auto"/>
          <w:sz w:val="18"/>
          <w:szCs w:val="18"/>
        </w:rPr>
      </w:pPr>
      <w:r w:rsidRPr="00D079FD">
        <w:rPr>
          <w:rFonts w:eastAsiaTheme="minorHAnsi" w:cs="Arial"/>
          <w:caps w:val="0"/>
          <w:color w:val="auto"/>
          <w:sz w:val="18"/>
          <w:szCs w:val="18"/>
        </w:rPr>
        <w:t>The Company continues to efficiently secure funding through its Sustainable Financing Framework and to ensure interest rate risk is mitigated in line with the Group Treasury Policy, this is achieved both through issuing fixed rate debt issuances and effective interest rate hedging, whilst a further component of the debt portfolio is being index-linked.</w:t>
      </w:r>
    </w:p>
    <w:p w14:paraId="5C4914CB" w14:textId="77777777" w:rsidR="00D079FD" w:rsidRDefault="00D079FD" w:rsidP="00D079FD">
      <w:pPr>
        <w:pStyle w:val="HeadingLevel1"/>
        <w:spacing w:line="276" w:lineRule="auto"/>
        <w:outlineLvl w:val="0"/>
        <w:rPr>
          <w:rFonts w:eastAsiaTheme="minorHAnsi" w:cs="Arial"/>
          <w:caps w:val="0"/>
          <w:color w:val="auto"/>
          <w:sz w:val="18"/>
          <w:szCs w:val="18"/>
          <w:highlight w:val="yellow"/>
        </w:rPr>
      </w:pPr>
    </w:p>
    <w:p w14:paraId="63A6A885" w14:textId="3C181552" w:rsidR="0053333F" w:rsidRDefault="00FD779A" w:rsidP="00277639">
      <w:pPr>
        <w:spacing w:after="160" w:line="259" w:lineRule="auto"/>
        <w:rPr>
          <w:rFonts w:ascii="Arial" w:hAnsi="Arial" w:cs="Arial"/>
          <w:sz w:val="18"/>
          <w:szCs w:val="18"/>
        </w:rPr>
      </w:pPr>
      <w:r w:rsidRPr="00D62E2B">
        <w:rPr>
          <w:rFonts w:ascii="Arial" w:eastAsia="Times New Roman" w:hAnsi="Arial" w:cs="Arial"/>
          <w:i/>
          <w:caps/>
          <w:sz w:val="18"/>
          <w:szCs w:val="18"/>
        </w:rPr>
        <w:t>NON-UNDERLYING ITEMS</w:t>
      </w:r>
      <w:r w:rsidRPr="001542AF">
        <w:rPr>
          <w:rFonts w:cs="Arial"/>
          <w:i/>
          <w:sz w:val="18"/>
          <w:szCs w:val="18"/>
        </w:rPr>
        <w:t xml:space="preserve"> </w:t>
      </w:r>
      <w:bookmarkEnd w:id="10"/>
      <w:r w:rsidR="00D62E2B">
        <w:rPr>
          <w:rFonts w:ascii="Arial" w:hAnsi="Arial" w:cs="Arial"/>
          <w:sz w:val="18"/>
          <w:szCs w:val="18"/>
        </w:rPr>
        <w:br/>
      </w:r>
      <w:proofErr w:type="gramStart"/>
      <w:r w:rsidR="001542AF" w:rsidRPr="001542AF">
        <w:rPr>
          <w:rFonts w:ascii="Arial" w:hAnsi="Arial" w:cs="Arial"/>
          <w:sz w:val="18"/>
          <w:szCs w:val="18"/>
        </w:rPr>
        <w:t>Non-underlying</w:t>
      </w:r>
      <w:proofErr w:type="gramEnd"/>
      <w:r w:rsidR="001542AF" w:rsidRPr="001542AF">
        <w:rPr>
          <w:rFonts w:ascii="Arial" w:hAnsi="Arial" w:cs="Arial"/>
          <w:sz w:val="18"/>
          <w:szCs w:val="18"/>
        </w:rPr>
        <w:t xml:space="preserve"> items for 2025/26 were a net charge before tax </w:t>
      </w:r>
      <w:r w:rsidR="001542AF" w:rsidRPr="009348E8">
        <w:rPr>
          <w:rFonts w:ascii="Arial" w:hAnsi="Arial" w:cs="Arial"/>
          <w:sz w:val="18"/>
          <w:szCs w:val="18"/>
        </w:rPr>
        <w:t>of £</w:t>
      </w:r>
      <w:r w:rsidR="009348E8" w:rsidRPr="009348E8">
        <w:rPr>
          <w:rFonts w:ascii="Arial" w:hAnsi="Arial" w:cs="Arial"/>
          <w:sz w:val="18"/>
          <w:szCs w:val="18"/>
        </w:rPr>
        <w:t>15.4</w:t>
      </w:r>
      <w:r w:rsidR="001542AF" w:rsidRPr="009348E8">
        <w:rPr>
          <w:rFonts w:ascii="Arial" w:hAnsi="Arial" w:cs="Arial"/>
          <w:sz w:val="18"/>
          <w:szCs w:val="18"/>
        </w:rPr>
        <w:t xml:space="preserve"> million (2024</w:t>
      </w:r>
      <w:r w:rsidR="001542AF" w:rsidRPr="008458E1">
        <w:rPr>
          <w:rFonts w:ascii="Arial" w:hAnsi="Arial" w:cs="Arial"/>
          <w:sz w:val="18"/>
          <w:szCs w:val="18"/>
        </w:rPr>
        <w:t>/25: net charge of £</w:t>
      </w:r>
      <w:r w:rsidR="008458E1" w:rsidRPr="008458E1">
        <w:rPr>
          <w:rFonts w:ascii="Arial" w:hAnsi="Arial" w:cs="Arial"/>
          <w:sz w:val="18"/>
          <w:szCs w:val="18"/>
        </w:rPr>
        <w:t>32.4</w:t>
      </w:r>
      <w:r w:rsidR="001542AF" w:rsidRPr="008458E1">
        <w:rPr>
          <w:rFonts w:ascii="Arial" w:hAnsi="Arial" w:cs="Arial"/>
          <w:sz w:val="18"/>
          <w:szCs w:val="18"/>
        </w:rPr>
        <w:t xml:space="preserve"> million). </w:t>
      </w:r>
      <w:r w:rsidR="0053333F" w:rsidRPr="0053333F">
        <w:rPr>
          <w:rFonts w:ascii="Arial" w:hAnsi="Arial" w:cs="Arial"/>
          <w:sz w:val="18"/>
          <w:szCs w:val="18"/>
        </w:rPr>
        <w:t>Non-underlying items are those that in the</w:t>
      </w:r>
      <w:r w:rsidR="0053333F">
        <w:rPr>
          <w:rFonts w:ascii="Arial" w:hAnsi="Arial" w:cs="Arial"/>
          <w:sz w:val="18"/>
          <w:szCs w:val="18"/>
        </w:rPr>
        <w:t xml:space="preserve"> </w:t>
      </w:r>
      <w:r w:rsidR="0053333F" w:rsidRPr="0053333F">
        <w:rPr>
          <w:rFonts w:ascii="Arial" w:hAnsi="Arial" w:cs="Arial"/>
          <w:sz w:val="18"/>
          <w:szCs w:val="18"/>
        </w:rPr>
        <w:t>Directors’ view should be separately identified by virtue</w:t>
      </w:r>
      <w:r w:rsidR="0053333F">
        <w:rPr>
          <w:rFonts w:ascii="Arial" w:hAnsi="Arial" w:cs="Arial"/>
          <w:sz w:val="18"/>
          <w:szCs w:val="18"/>
        </w:rPr>
        <w:t xml:space="preserve"> </w:t>
      </w:r>
      <w:r w:rsidR="0053333F" w:rsidRPr="0053333F">
        <w:rPr>
          <w:rFonts w:ascii="Arial" w:hAnsi="Arial" w:cs="Arial"/>
          <w:sz w:val="18"/>
          <w:szCs w:val="18"/>
        </w:rPr>
        <w:t>of their size, nature or incidence and where they believe</w:t>
      </w:r>
      <w:r w:rsidR="0053333F">
        <w:rPr>
          <w:rFonts w:ascii="Arial" w:hAnsi="Arial" w:cs="Arial"/>
          <w:sz w:val="18"/>
          <w:szCs w:val="18"/>
        </w:rPr>
        <w:t xml:space="preserve"> </w:t>
      </w:r>
      <w:r w:rsidR="0053333F" w:rsidRPr="0053333F">
        <w:rPr>
          <w:rFonts w:ascii="Arial" w:hAnsi="Arial" w:cs="Arial"/>
          <w:sz w:val="18"/>
          <w:szCs w:val="18"/>
        </w:rPr>
        <w:t>excluding these items is considered to provide additional</w:t>
      </w:r>
      <w:r w:rsidR="0053333F">
        <w:rPr>
          <w:rFonts w:ascii="Arial" w:hAnsi="Arial" w:cs="Arial"/>
          <w:sz w:val="18"/>
          <w:szCs w:val="18"/>
        </w:rPr>
        <w:t xml:space="preserve"> </w:t>
      </w:r>
      <w:r w:rsidR="0053333F" w:rsidRPr="0053333F">
        <w:rPr>
          <w:rFonts w:ascii="Arial" w:hAnsi="Arial" w:cs="Arial"/>
          <w:sz w:val="18"/>
          <w:szCs w:val="18"/>
        </w:rPr>
        <w:t>useful information on the performance and the position</w:t>
      </w:r>
      <w:r w:rsidR="0053333F">
        <w:rPr>
          <w:rFonts w:ascii="Arial" w:hAnsi="Arial" w:cs="Arial"/>
          <w:sz w:val="18"/>
          <w:szCs w:val="18"/>
        </w:rPr>
        <w:t xml:space="preserve"> </w:t>
      </w:r>
      <w:r w:rsidR="0053333F" w:rsidRPr="0053333F">
        <w:rPr>
          <w:rFonts w:ascii="Arial" w:hAnsi="Arial" w:cs="Arial"/>
          <w:sz w:val="18"/>
          <w:szCs w:val="18"/>
        </w:rPr>
        <w:t xml:space="preserve">of the </w:t>
      </w:r>
      <w:r w:rsidR="0053333F">
        <w:rPr>
          <w:rFonts w:ascii="Arial" w:hAnsi="Arial" w:cs="Arial"/>
          <w:sz w:val="18"/>
          <w:szCs w:val="18"/>
        </w:rPr>
        <w:t>Company</w:t>
      </w:r>
      <w:r w:rsidR="0053333F" w:rsidRPr="0053333F">
        <w:rPr>
          <w:rFonts w:ascii="Arial" w:hAnsi="Arial" w:cs="Arial"/>
          <w:sz w:val="18"/>
          <w:szCs w:val="18"/>
        </w:rPr>
        <w:t xml:space="preserve"> as well as enhancing the comparability of</w:t>
      </w:r>
      <w:r w:rsidR="0053333F">
        <w:rPr>
          <w:rFonts w:ascii="Arial" w:hAnsi="Arial" w:cs="Arial"/>
          <w:sz w:val="18"/>
          <w:szCs w:val="18"/>
        </w:rPr>
        <w:t xml:space="preserve"> </w:t>
      </w:r>
      <w:r w:rsidR="0053333F" w:rsidRPr="0053333F">
        <w:rPr>
          <w:rFonts w:ascii="Arial" w:hAnsi="Arial" w:cs="Arial"/>
          <w:sz w:val="18"/>
          <w:szCs w:val="18"/>
        </w:rPr>
        <w:t>information between reporting periods.</w:t>
      </w:r>
    </w:p>
    <w:p w14:paraId="543AB895" w14:textId="3131EEE6" w:rsidR="00FD779A" w:rsidRPr="001542AF" w:rsidRDefault="00FD779A" w:rsidP="0053333F">
      <w:pPr>
        <w:rPr>
          <w:rFonts w:ascii="Arial" w:hAnsi="Arial" w:cs="Arial"/>
          <w:sz w:val="18"/>
          <w:szCs w:val="18"/>
        </w:rPr>
      </w:pPr>
      <w:r w:rsidRPr="001542AF">
        <w:rPr>
          <w:rFonts w:ascii="Arial" w:hAnsi="Arial" w:cs="Arial"/>
          <w:sz w:val="18"/>
          <w:szCs w:val="18"/>
        </w:rPr>
        <w:t xml:space="preserve">The non-underlying charge includes: </w:t>
      </w:r>
    </w:p>
    <w:p w14:paraId="38FE8041" w14:textId="7A47613C" w:rsidR="001542AF" w:rsidRPr="0053333F" w:rsidRDefault="001542AF" w:rsidP="001542AF">
      <w:pPr>
        <w:pStyle w:val="ListParagraph"/>
        <w:numPr>
          <w:ilvl w:val="0"/>
          <w:numId w:val="107"/>
        </w:numPr>
        <w:spacing w:after="120"/>
        <w:rPr>
          <w:rFonts w:ascii="Arial" w:hAnsi="Arial" w:cs="Arial"/>
          <w:sz w:val="18"/>
          <w:szCs w:val="18"/>
        </w:rPr>
      </w:pPr>
      <w:bookmarkStart w:id="11" w:name="_Hlk137467354"/>
      <w:bookmarkStart w:id="12" w:name="_Hlk201140097"/>
      <w:r w:rsidRPr="0053333F">
        <w:rPr>
          <w:rFonts w:ascii="Arial" w:hAnsi="Arial" w:cs="Arial"/>
          <w:sz w:val="18"/>
          <w:szCs w:val="18"/>
        </w:rPr>
        <w:lastRenderedPageBreak/>
        <w:t>£</w:t>
      </w:r>
      <w:r w:rsidR="0053333F" w:rsidRPr="0053333F">
        <w:rPr>
          <w:rFonts w:ascii="Arial" w:hAnsi="Arial" w:cs="Arial"/>
          <w:sz w:val="18"/>
          <w:szCs w:val="18"/>
        </w:rPr>
        <w:t>8.7</w:t>
      </w:r>
      <w:r w:rsidRPr="0053333F">
        <w:rPr>
          <w:rFonts w:ascii="Arial" w:hAnsi="Arial" w:cs="Arial"/>
          <w:sz w:val="18"/>
          <w:szCs w:val="18"/>
        </w:rPr>
        <w:t xml:space="preserve"> million of technological enhancement costs in connection with implementation of new customer technology platforms </w:t>
      </w:r>
    </w:p>
    <w:p w14:paraId="59539370" w14:textId="4A88939C" w:rsidR="001542AF" w:rsidRPr="0053333F" w:rsidRDefault="001542AF" w:rsidP="001542AF">
      <w:pPr>
        <w:pStyle w:val="ListParagraph"/>
        <w:numPr>
          <w:ilvl w:val="0"/>
          <w:numId w:val="107"/>
        </w:numPr>
        <w:spacing w:after="120"/>
        <w:rPr>
          <w:rFonts w:ascii="Arial" w:hAnsi="Arial" w:cs="Arial"/>
          <w:sz w:val="18"/>
          <w:szCs w:val="18"/>
        </w:rPr>
      </w:pPr>
      <w:r w:rsidRPr="0053333F">
        <w:rPr>
          <w:rFonts w:ascii="Arial" w:hAnsi="Arial" w:cs="Arial"/>
          <w:sz w:val="18"/>
          <w:szCs w:val="18"/>
        </w:rPr>
        <w:t>£6.</w:t>
      </w:r>
      <w:r w:rsidR="0053333F" w:rsidRPr="0053333F">
        <w:rPr>
          <w:rFonts w:ascii="Arial" w:hAnsi="Arial" w:cs="Arial"/>
          <w:sz w:val="18"/>
          <w:szCs w:val="18"/>
        </w:rPr>
        <w:t>7</w:t>
      </w:r>
      <w:r w:rsidRPr="0053333F">
        <w:rPr>
          <w:rFonts w:ascii="Arial" w:hAnsi="Arial" w:cs="Arial"/>
          <w:sz w:val="18"/>
          <w:szCs w:val="18"/>
        </w:rPr>
        <w:t xml:space="preserve"> million includes costs of settlement of both the DWI’s prosecution in respect of the May 2024 Brixham water quality incident, and the enforcement undertakings agreed with Ofwat in August 2025 in respect of the wastewater investigations, together with associated legal fees</w:t>
      </w:r>
    </w:p>
    <w:p w14:paraId="1836550E" w14:textId="38016A2D" w:rsidR="001542AF" w:rsidRPr="001542AF" w:rsidRDefault="001542AF" w:rsidP="001542AF">
      <w:pPr>
        <w:spacing w:after="120"/>
        <w:rPr>
          <w:rFonts w:ascii="Arial" w:hAnsi="Arial" w:cs="Arial"/>
          <w:sz w:val="18"/>
          <w:szCs w:val="18"/>
          <w:highlight w:val="cyan"/>
        </w:rPr>
      </w:pPr>
      <w:r w:rsidRPr="001542AF">
        <w:rPr>
          <w:rFonts w:ascii="Arial" w:hAnsi="Arial" w:cs="Arial"/>
          <w:sz w:val="18"/>
          <w:szCs w:val="18"/>
        </w:rPr>
        <w:t xml:space="preserve">The non-underlying charges in the year give rise to a net tax credit </w:t>
      </w:r>
      <w:r w:rsidRPr="00FD45C8">
        <w:rPr>
          <w:rFonts w:ascii="Arial" w:hAnsi="Arial" w:cs="Arial"/>
          <w:sz w:val="18"/>
          <w:szCs w:val="18"/>
        </w:rPr>
        <w:t>of £</w:t>
      </w:r>
      <w:r w:rsidR="00FD45C8" w:rsidRPr="00FD45C8">
        <w:rPr>
          <w:rFonts w:ascii="Arial" w:hAnsi="Arial" w:cs="Arial"/>
          <w:sz w:val="18"/>
          <w:szCs w:val="18"/>
        </w:rPr>
        <w:t>3.0</w:t>
      </w:r>
      <w:r w:rsidRPr="00FD45C8">
        <w:rPr>
          <w:rFonts w:ascii="Arial" w:hAnsi="Arial" w:cs="Arial"/>
          <w:sz w:val="18"/>
          <w:szCs w:val="18"/>
        </w:rPr>
        <w:t xml:space="preserve"> million in</w:t>
      </w:r>
      <w:r w:rsidRPr="001542AF">
        <w:rPr>
          <w:rFonts w:ascii="Arial" w:hAnsi="Arial" w:cs="Arial"/>
          <w:sz w:val="18"/>
          <w:szCs w:val="18"/>
        </w:rPr>
        <w:t xml:space="preserve"> relation to the above items.</w:t>
      </w:r>
    </w:p>
    <w:p w14:paraId="1A8ECF1A" w14:textId="06F3AC02" w:rsidR="00544062" w:rsidRPr="00544062" w:rsidRDefault="00FD779A" w:rsidP="00544062">
      <w:pPr>
        <w:spacing w:after="120"/>
        <w:rPr>
          <w:rFonts w:ascii="Arial" w:hAnsi="Arial" w:cs="Arial"/>
          <w:sz w:val="18"/>
          <w:szCs w:val="18"/>
        </w:rPr>
      </w:pPr>
      <w:r w:rsidRPr="00544062">
        <w:rPr>
          <w:rFonts w:ascii="Arial" w:eastAsia="Times New Roman" w:hAnsi="Arial" w:cs="Arial"/>
          <w:i/>
          <w:caps/>
          <w:sz w:val="18"/>
          <w:szCs w:val="18"/>
        </w:rPr>
        <w:t>tax</w:t>
      </w:r>
      <w:r w:rsidRPr="00544062">
        <w:rPr>
          <w:rFonts w:ascii="Arial" w:eastAsia="Times New Roman" w:hAnsi="Arial" w:cs="Arial"/>
          <w:i/>
          <w:caps/>
          <w:sz w:val="18"/>
          <w:szCs w:val="18"/>
        </w:rPr>
        <w:br/>
      </w:r>
      <w:bookmarkEnd w:id="11"/>
      <w:bookmarkEnd w:id="12"/>
      <w:r w:rsidR="00544062" w:rsidRPr="00544062">
        <w:rPr>
          <w:rFonts w:ascii="Arial" w:hAnsi="Arial" w:cs="Arial"/>
          <w:sz w:val="18"/>
          <w:szCs w:val="18"/>
        </w:rPr>
        <w:t xml:space="preserve">The overall 2025/26 tax </w:t>
      </w:r>
      <w:r w:rsidR="00544062" w:rsidRPr="00510B62">
        <w:rPr>
          <w:rFonts w:ascii="Arial" w:hAnsi="Arial" w:cs="Arial"/>
          <w:sz w:val="18"/>
          <w:szCs w:val="18"/>
        </w:rPr>
        <w:t>charge for the Company was £</w:t>
      </w:r>
      <w:r w:rsidR="00510B62" w:rsidRPr="00510B62">
        <w:rPr>
          <w:rFonts w:ascii="Arial" w:hAnsi="Arial" w:cs="Arial"/>
          <w:sz w:val="18"/>
          <w:szCs w:val="18"/>
        </w:rPr>
        <w:t>33.5</w:t>
      </w:r>
      <w:r w:rsidR="00544062" w:rsidRPr="00510B62">
        <w:rPr>
          <w:rFonts w:ascii="Arial" w:hAnsi="Arial" w:cs="Arial"/>
          <w:sz w:val="18"/>
          <w:szCs w:val="18"/>
        </w:rPr>
        <w:t xml:space="preserve"> million (2024</w:t>
      </w:r>
      <w:r w:rsidR="00544062" w:rsidRPr="008458E1">
        <w:rPr>
          <w:rFonts w:ascii="Arial" w:hAnsi="Arial" w:cs="Arial"/>
          <w:sz w:val="18"/>
          <w:szCs w:val="18"/>
        </w:rPr>
        <w:t>/25: credit of £1</w:t>
      </w:r>
      <w:r w:rsidR="008458E1" w:rsidRPr="008458E1">
        <w:rPr>
          <w:rFonts w:ascii="Arial" w:hAnsi="Arial" w:cs="Arial"/>
          <w:sz w:val="18"/>
          <w:szCs w:val="18"/>
        </w:rPr>
        <w:t>2.6</w:t>
      </w:r>
      <w:r w:rsidR="00544062" w:rsidRPr="008458E1">
        <w:rPr>
          <w:rFonts w:ascii="Arial" w:hAnsi="Arial" w:cs="Arial"/>
          <w:sz w:val="18"/>
          <w:szCs w:val="18"/>
        </w:rPr>
        <w:t xml:space="preserve"> million). On</w:t>
      </w:r>
      <w:r w:rsidR="00544062" w:rsidRPr="00544062">
        <w:rPr>
          <w:rFonts w:ascii="Arial" w:hAnsi="Arial" w:cs="Arial"/>
          <w:sz w:val="18"/>
          <w:szCs w:val="18"/>
        </w:rPr>
        <w:t xml:space="preserve"> an underlying basis, the </w:t>
      </w:r>
      <w:r w:rsidR="00544062" w:rsidRPr="00510B62">
        <w:rPr>
          <w:rFonts w:ascii="Arial" w:hAnsi="Arial" w:cs="Arial"/>
          <w:sz w:val="18"/>
          <w:szCs w:val="18"/>
        </w:rPr>
        <w:t>tax charge for 2025/26 for the Company of £</w:t>
      </w:r>
      <w:r w:rsidR="00510B62" w:rsidRPr="00510B62">
        <w:rPr>
          <w:rFonts w:ascii="Arial" w:hAnsi="Arial" w:cs="Arial"/>
          <w:sz w:val="18"/>
          <w:szCs w:val="18"/>
        </w:rPr>
        <w:t>36.5</w:t>
      </w:r>
      <w:r w:rsidR="00544062" w:rsidRPr="00510B62">
        <w:rPr>
          <w:rFonts w:ascii="Arial" w:hAnsi="Arial" w:cs="Arial"/>
          <w:sz w:val="18"/>
          <w:szCs w:val="18"/>
        </w:rPr>
        <w:t xml:space="preserve"> million </w:t>
      </w:r>
      <w:r w:rsidR="00544062" w:rsidRPr="00664626">
        <w:rPr>
          <w:rFonts w:ascii="Arial" w:hAnsi="Arial" w:cs="Arial"/>
          <w:sz w:val="18"/>
          <w:szCs w:val="18"/>
        </w:rPr>
        <w:t>(2024/25: credit of £</w:t>
      </w:r>
      <w:r w:rsidR="00664626" w:rsidRPr="00664626">
        <w:rPr>
          <w:rFonts w:ascii="Arial" w:hAnsi="Arial" w:cs="Arial"/>
          <w:sz w:val="18"/>
          <w:szCs w:val="18"/>
        </w:rPr>
        <w:t>4.5</w:t>
      </w:r>
      <w:r w:rsidR="00544062" w:rsidRPr="00664626">
        <w:rPr>
          <w:rFonts w:ascii="Arial" w:hAnsi="Arial" w:cs="Arial"/>
          <w:sz w:val="18"/>
          <w:szCs w:val="18"/>
        </w:rPr>
        <w:t xml:space="preserve"> million) </w:t>
      </w:r>
      <w:r w:rsidR="00544062" w:rsidRPr="00544062">
        <w:rPr>
          <w:rFonts w:ascii="Arial" w:hAnsi="Arial" w:cs="Arial"/>
          <w:sz w:val="18"/>
          <w:szCs w:val="18"/>
        </w:rPr>
        <w:t xml:space="preserve">consisted of: </w:t>
      </w:r>
    </w:p>
    <w:p w14:paraId="5D397B55" w14:textId="728BC65E" w:rsidR="00544062" w:rsidRPr="00510B62" w:rsidRDefault="00544062" w:rsidP="00544062">
      <w:pPr>
        <w:pStyle w:val="ListParagraph"/>
        <w:numPr>
          <w:ilvl w:val="0"/>
          <w:numId w:val="108"/>
        </w:numPr>
        <w:spacing w:after="120"/>
        <w:rPr>
          <w:rFonts w:ascii="Arial" w:hAnsi="Arial" w:cs="Arial"/>
          <w:sz w:val="18"/>
          <w:szCs w:val="18"/>
        </w:rPr>
      </w:pPr>
      <w:r w:rsidRPr="00510B62">
        <w:rPr>
          <w:rFonts w:ascii="Arial" w:hAnsi="Arial" w:cs="Arial"/>
          <w:sz w:val="18"/>
          <w:szCs w:val="18"/>
        </w:rPr>
        <w:t>Deferred tax charge of £</w:t>
      </w:r>
      <w:r w:rsidR="00510B62" w:rsidRPr="00510B62">
        <w:rPr>
          <w:rFonts w:ascii="Arial" w:hAnsi="Arial" w:cs="Arial"/>
          <w:sz w:val="18"/>
          <w:szCs w:val="18"/>
        </w:rPr>
        <w:t>33.3</w:t>
      </w:r>
      <w:r w:rsidRPr="00510B62">
        <w:rPr>
          <w:rFonts w:ascii="Arial" w:hAnsi="Arial" w:cs="Arial"/>
          <w:sz w:val="18"/>
          <w:szCs w:val="18"/>
        </w:rPr>
        <w:t xml:space="preserve"> million (2024/25: credit of £</w:t>
      </w:r>
      <w:r w:rsidR="00664626" w:rsidRPr="00510B62">
        <w:rPr>
          <w:rFonts w:ascii="Arial" w:hAnsi="Arial" w:cs="Arial"/>
          <w:sz w:val="18"/>
          <w:szCs w:val="18"/>
        </w:rPr>
        <w:t>3.0</w:t>
      </w:r>
      <w:r w:rsidRPr="00510B62">
        <w:rPr>
          <w:rFonts w:ascii="Arial" w:hAnsi="Arial" w:cs="Arial"/>
          <w:sz w:val="18"/>
          <w:szCs w:val="18"/>
        </w:rPr>
        <w:t xml:space="preserve"> million). This charge primarily arises in relation to capital allowances </w:t>
      </w:r>
      <w:proofErr w:type="gramStart"/>
      <w:r w:rsidRPr="00510B62">
        <w:rPr>
          <w:rFonts w:ascii="Arial" w:hAnsi="Arial" w:cs="Arial"/>
          <w:sz w:val="18"/>
          <w:szCs w:val="18"/>
        </w:rPr>
        <w:t>in excess of</w:t>
      </w:r>
      <w:proofErr w:type="gramEnd"/>
      <w:r w:rsidRPr="00510B62">
        <w:rPr>
          <w:rFonts w:ascii="Arial" w:hAnsi="Arial" w:cs="Arial"/>
          <w:sz w:val="18"/>
          <w:szCs w:val="18"/>
        </w:rPr>
        <w:t xml:space="preserve"> depreciation charged across the Company, largely due to full expensing. This is partially offset by a current year deferred tax credit in relation to tax losses carried forward for utilisation in later periods</w:t>
      </w:r>
      <w:r w:rsidR="000C07AE">
        <w:rPr>
          <w:rFonts w:ascii="Arial" w:hAnsi="Arial" w:cs="Arial"/>
          <w:sz w:val="18"/>
          <w:szCs w:val="18"/>
        </w:rPr>
        <w:t>.</w:t>
      </w:r>
    </w:p>
    <w:p w14:paraId="26049CE4" w14:textId="009AAF33" w:rsidR="00544062" w:rsidRPr="00544062" w:rsidRDefault="00544062" w:rsidP="00544062">
      <w:pPr>
        <w:pStyle w:val="ListParagraph"/>
        <w:numPr>
          <w:ilvl w:val="0"/>
          <w:numId w:val="108"/>
        </w:numPr>
        <w:spacing w:after="120"/>
        <w:rPr>
          <w:rFonts w:ascii="Arial" w:hAnsi="Arial" w:cs="Arial"/>
          <w:sz w:val="18"/>
          <w:szCs w:val="18"/>
        </w:rPr>
      </w:pPr>
      <w:r w:rsidRPr="00510B62">
        <w:rPr>
          <w:rFonts w:ascii="Arial" w:hAnsi="Arial" w:cs="Arial"/>
          <w:sz w:val="18"/>
          <w:szCs w:val="18"/>
        </w:rPr>
        <w:t>Current tax charge of £</w:t>
      </w:r>
      <w:r w:rsidR="00510B62" w:rsidRPr="00510B62">
        <w:rPr>
          <w:rFonts w:ascii="Arial" w:hAnsi="Arial" w:cs="Arial"/>
          <w:sz w:val="18"/>
          <w:szCs w:val="18"/>
        </w:rPr>
        <w:t>3.2</w:t>
      </w:r>
      <w:r w:rsidRPr="00510B62">
        <w:rPr>
          <w:rFonts w:ascii="Arial" w:hAnsi="Arial" w:cs="Arial"/>
          <w:sz w:val="18"/>
          <w:szCs w:val="18"/>
        </w:rPr>
        <w:t xml:space="preserve"> million (2024</w:t>
      </w:r>
      <w:r w:rsidRPr="00664626">
        <w:rPr>
          <w:rFonts w:ascii="Arial" w:hAnsi="Arial" w:cs="Arial"/>
          <w:sz w:val="18"/>
          <w:szCs w:val="18"/>
        </w:rPr>
        <w:t xml:space="preserve">/25: </w:t>
      </w:r>
      <w:r w:rsidR="00664626" w:rsidRPr="00664626">
        <w:rPr>
          <w:rFonts w:ascii="Arial" w:hAnsi="Arial" w:cs="Arial"/>
          <w:sz w:val="18"/>
          <w:szCs w:val="18"/>
        </w:rPr>
        <w:t>credit</w:t>
      </w:r>
      <w:r w:rsidRPr="00664626">
        <w:rPr>
          <w:rFonts w:ascii="Arial" w:hAnsi="Arial" w:cs="Arial"/>
          <w:sz w:val="18"/>
          <w:szCs w:val="18"/>
        </w:rPr>
        <w:t xml:space="preserve"> of £</w:t>
      </w:r>
      <w:r w:rsidR="00664626" w:rsidRPr="00664626">
        <w:rPr>
          <w:rFonts w:ascii="Arial" w:hAnsi="Arial" w:cs="Arial"/>
          <w:sz w:val="18"/>
          <w:szCs w:val="18"/>
        </w:rPr>
        <w:t>1.5</w:t>
      </w:r>
      <w:r w:rsidRPr="00664626">
        <w:rPr>
          <w:rFonts w:ascii="Arial" w:hAnsi="Arial" w:cs="Arial"/>
          <w:sz w:val="18"/>
          <w:szCs w:val="18"/>
        </w:rPr>
        <w:t xml:space="preserve"> million) predominantly</w:t>
      </w:r>
      <w:r w:rsidRPr="00544062">
        <w:rPr>
          <w:rFonts w:ascii="Arial" w:hAnsi="Arial" w:cs="Arial"/>
          <w:sz w:val="18"/>
          <w:szCs w:val="18"/>
        </w:rPr>
        <w:t xml:space="preserve"> relating to prior year items.</w:t>
      </w:r>
    </w:p>
    <w:p w14:paraId="1DCC38E7" w14:textId="4EFA76AB" w:rsidR="00544062" w:rsidRPr="00544062" w:rsidRDefault="00544062" w:rsidP="00544062">
      <w:pPr>
        <w:spacing w:after="120"/>
        <w:rPr>
          <w:rFonts w:ascii="Arial" w:hAnsi="Arial" w:cs="Arial"/>
          <w:sz w:val="18"/>
          <w:szCs w:val="18"/>
        </w:rPr>
      </w:pPr>
      <w:r w:rsidRPr="00510B62">
        <w:rPr>
          <w:rFonts w:ascii="Arial" w:hAnsi="Arial" w:cs="Arial"/>
          <w:sz w:val="18"/>
          <w:szCs w:val="18"/>
        </w:rPr>
        <w:t>There was also a non-underlying deferred tax credit in the year of £3</w:t>
      </w:r>
      <w:r w:rsidR="00510B62" w:rsidRPr="00510B62">
        <w:rPr>
          <w:rFonts w:ascii="Arial" w:hAnsi="Arial" w:cs="Arial"/>
          <w:sz w:val="18"/>
          <w:szCs w:val="18"/>
        </w:rPr>
        <w:t>.0</w:t>
      </w:r>
      <w:r w:rsidRPr="00510B62">
        <w:rPr>
          <w:rFonts w:ascii="Arial" w:hAnsi="Arial" w:cs="Arial"/>
          <w:sz w:val="18"/>
          <w:szCs w:val="18"/>
        </w:rPr>
        <w:t xml:space="preserve"> million (2024/25:</w:t>
      </w:r>
      <w:r w:rsidRPr="00664626">
        <w:rPr>
          <w:rFonts w:ascii="Arial" w:hAnsi="Arial" w:cs="Arial"/>
          <w:sz w:val="18"/>
          <w:szCs w:val="18"/>
        </w:rPr>
        <w:t xml:space="preserve"> £</w:t>
      </w:r>
      <w:r w:rsidR="00664626" w:rsidRPr="00664626">
        <w:rPr>
          <w:rFonts w:ascii="Arial" w:hAnsi="Arial" w:cs="Arial"/>
          <w:sz w:val="18"/>
          <w:szCs w:val="18"/>
        </w:rPr>
        <w:t>8.1</w:t>
      </w:r>
      <w:r w:rsidRPr="00664626">
        <w:rPr>
          <w:rFonts w:ascii="Arial" w:hAnsi="Arial" w:cs="Arial"/>
          <w:sz w:val="18"/>
          <w:szCs w:val="18"/>
        </w:rPr>
        <w:t xml:space="preserve"> million) </w:t>
      </w:r>
      <w:r w:rsidRPr="00544062">
        <w:rPr>
          <w:rFonts w:ascii="Arial" w:hAnsi="Arial" w:cs="Arial"/>
          <w:sz w:val="18"/>
          <w:szCs w:val="18"/>
        </w:rPr>
        <w:t>relating to the non-underlying items.</w:t>
      </w:r>
    </w:p>
    <w:p w14:paraId="2A1F1920" w14:textId="02F6CA8D" w:rsidR="00544062" w:rsidRPr="00544062" w:rsidRDefault="00544062" w:rsidP="00544062">
      <w:pPr>
        <w:spacing w:after="120"/>
        <w:rPr>
          <w:rFonts w:ascii="Arial" w:hAnsi="Arial" w:cs="Arial"/>
          <w:sz w:val="18"/>
          <w:szCs w:val="18"/>
        </w:rPr>
      </w:pPr>
      <w:r w:rsidRPr="00544062">
        <w:rPr>
          <w:rFonts w:ascii="Arial" w:hAnsi="Arial" w:cs="Arial"/>
          <w:sz w:val="18"/>
          <w:szCs w:val="18"/>
        </w:rPr>
        <w:t xml:space="preserve">The Company continues to generate tax losses, all of which are carried forward for future relief. These tax losses arise </w:t>
      </w:r>
      <w:proofErr w:type="gramStart"/>
      <w:r w:rsidRPr="00544062">
        <w:rPr>
          <w:rFonts w:ascii="Arial" w:hAnsi="Arial" w:cs="Arial"/>
          <w:sz w:val="18"/>
          <w:szCs w:val="18"/>
        </w:rPr>
        <w:t>as a result of</w:t>
      </w:r>
      <w:proofErr w:type="gramEnd"/>
      <w:r w:rsidRPr="00544062">
        <w:rPr>
          <w:rFonts w:ascii="Arial" w:hAnsi="Arial" w:cs="Arial"/>
          <w:sz w:val="18"/>
          <w:szCs w:val="18"/>
        </w:rPr>
        <w:t xml:space="preserve"> the enhanced capital allowances available because of full expensing and first year</w:t>
      </w:r>
      <w:r w:rsidR="00BC0ADE">
        <w:rPr>
          <w:rFonts w:ascii="Arial" w:hAnsi="Arial" w:cs="Arial"/>
          <w:sz w:val="18"/>
          <w:szCs w:val="18"/>
        </w:rPr>
        <w:t xml:space="preserve"> </w:t>
      </w:r>
      <w:r w:rsidRPr="00544062">
        <w:rPr>
          <w:rFonts w:ascii="Arial" w:hAnsi="Arial" w:cs="Arial"/>
          <w:sz w:val="18"/>
          <w:szCs w:val="18"/>
        </w:rPr>
        <w:t xml:space="preserve">allowances, and capitalised interest, which for tax purposes is deductible in the year incurred. </w:t>
      </w:r>
    </w:p>
    <w:p w14:paraId="2FEA6850" w14:textId="06BFA4B0" w:rsidR="00544062" w:rsidRPr="00544062" w:rsidRDefault="00544062" w:rsidP="00544062">
      <w:pPr>
        <w:spacing w:after="120"/>
        <w:rPr>
          <w:rFonts w:ascii="Arial" w:hAnsi="Arial" w:cs="Arial"/>
          <w:sz w:val="18"/>
          <w:szCs w:val="18"/>
        </w:rPr>
      </w:pPr>
      <w:r w:rsidRPr="00544062">
        <w:rPr>
          <w:rFonts w:ascii="Arial" w:hAnsi="Arial" w:cs="Arial"/>
          <w:sz w:val="18"/>
          <w:szCs w:val="18"/>
        </w:rPr>
        <w:t>Given the Company’s continued capital investment programme and full expensing deductions together with 50% first year allowances on long life assets and integral features, the Company does not expect to generate taxable profits or make any corporation tax payments for the foreseeable future.</w:t>
      </w:r>
    </w:p>
    <w:p w14:paraId="3DE366D6" w14:textId="4A29BE98" w:rsidR="00544062" w:rsidRPr="00544062" w:rsidRDefault="00544062" w:rsidP="00544062">
      <w:pPr>
        <w:spacing w:after="120"/>
        <w:rPr>
          <w:rFonts w:ascii="Arial" w:hAnsi="Arial" w:cs="Arial"/>
          <w:sz w:val="18"/>
          <w:szCs w:val="18"/>
        </w:rPr>
      </w:pPr>
      <w:r w:rsidRPr="00544062">
        <w:rPr>
          <w:rFonts w:ascii="Arial" w:hAnsi="Arial" w:cs="Arial"/>
          <w:sz w:val="18"/>
          <w:szCs w:val="18"/>
        </w:rPr>
        <w:t>The UK Finance (No.2) Act 2023 introduced the Pillar Two global minimum effective tax rate of 15%. The legislation implements a domestic top-up tax and a multinational top-up tax in line with OECD BEPS Pillar Two principles. The UK is the only jurisdiction in which the Company operates therefore an assessment of any potential Pillar Two tax exposure has been performed focusing solely on the application of the UK domestic top-up tax rules. The assessment performed by the Company, based on country-by-country reporting principles and financial statements has determined that no top-up tax is expected to arise.</w:t>
      </w:r>
    </w:p>
    <w:p w14:paraId="0F599D2F" w14:textId="329D5E68" w:rsidR="00544062" w:rsidRPr="00544062" w:rsidRDefault="00FD779A" w:rsidP="00544062">
      <w:pPr>
        <w:spacing w:after="120"/>
        <w:rPr>
          <w:rFonts w:ascii="Arial" w:hAnsi="Arial" w:cs="Arial"/>
          <w:sz w:val="18"/>
          <w:szCs w:val="18"/>
          <w:highlight w:val="yellow"/>
        </w:rPr>
      </w:pPr>
      <w:r w:rsidRPr="00544062">
        <w:rPr>
          <w:rFonts w:ascii="Arial" w:eastAsia="Times New Roman" w:hAnsi="Arial" w:cs="Arial"/>
          <w:i/>
          <w:caps/>
          <w:sz w:val="18"/>
          <w:szCs w:val="18"/>
        </w:rPr>
        <w:t>MOVEMENT IN NET DEBT</w:t>
      </w:r>
      <w:r w:rsidRPr="00544062">
        <w:rPr>
          <w:rFonts w:ascii="Arial" w:eastAsia="Times New Roman" w:hAnsi="Arial" w:cs="Arial"/>
          <w:i/>
          <w:caps/>
          <w:sz w:val="18"/>
          <w:szCs w:val="18"/>
        </w:rPr>
        <w:br/>
      </w:r>
      <w:bookmarkStart w:id="13" w:name="_Hlk137471845"/>
      <w:bookmarkStart w:id="14" w:name="_Hlk137559065"/>
      <w:r w:rsidR="00544062" w:rsidRPr="00544062">
        <w:rPr>
          <w:rFonts w:ascii="Arial" w:hAnsi="Arial" w:cs="Arial"/>
          <w:sz w:val="18"/>
          <w:szCs w:val="18"/>
        </w:rPr>
        <w:t>The Company’s cash flow from operations for 2025/26 was £</w:t>
      </w:r>
      <w:r w:rsidR="00544062" w:rsidRPr="00510B62">
        <w:rPr>
          <w:rFonts w:ascii="Arial" w:hAnsi="Arial" w:cs="Arial"/>
          <w:sz w:val="18"/>
          <w:szCs w:val="18"/>
        </w:rPr>
        <w:t>5</w:t>
      </w:r>
      <w:r w:rsidR="00510B62" w:rsidRPr="00510B62">
        <w:rPr>
          <w:rFonts w:ascii="Arial" w:hAnsi="Arial" w:cs="Arial"/>
          <w:sz w:val="18"/>
          <w:szCs w:val="18"/>
        </w:rPr>
        <w:t>0</w:t>
      </w:r>
      <w:r w:rsidR="00935C64">
        <w:rPr>
          <w:rFonts w:ascii="Arial" w:hAnsi="Arial" w:cs="Arial"/>
          <w:sz w:val="18"/>
          <w:szCs w:val="18"/>
        </w:rPr>
        <w:t>3.8</w:t>
      </w:r>
      <w:r w:rsidR="00544062" w:rsidRPr="00510B62">
        <w:rPr>
          <w:rFonts w:ascii="Arial" w:hAnsi="Arial" w:cs="Arial"/>
          <w:sz w:val="18"/>
          <w:szCs w:val="18"/>
        </w:rPr>
        <w:t xml:space="preserve"> million</w:t>
      </w:r>
      <w:r w:rsidR="00544062" w:rsidRPr="00BC0ADE">
        <w:rPr>
          <w:rFonts w:ascii="Arial" w:hAnsi="Arial" w:cs="Arial"/>
          <w:sz w:val="18"/>
          <w:szCs w:val="18"/>
        </w:rPr>
        <w:t xml:space="preserve"> (2024/25: £2</w:t>
      </w:r>
      <w:r w:rsidR="00BC0ADE" w:rsidRPr="00BC0ADE">
        <w:rPr>
          <w:rFonts w:ascii="Arial" w:hAnsi="Arial" w:cs="Arial"/>
          <w:sz w:val="18"/>
          <w:szCs w:val="18"/>
        </w:rPr>
        <w:t>18.8</w:t>
      </w:r>
      <w:r w:rsidR="00544062" w:rsidRPr="00BC0ADE">
        <w:rPr>
          <w:rFonts w:ascii="Arial" w:hAnsi="Arial" w:cs="Arial"/>
          <w:sz w:val="18"/>
          <w:szCs w:val="18"/>
        </w:rPr>
        <w:t xml:space="preserve"> million). Our</w:t>
      </w:r>
      <w:r w:rsidR="00544062" w:rsidRPr="00544062">
        <w:rPr>
          <w:rFonts w:ascii="Arial" w:hAnsi="Arial" w:cs="Arial"/>
          <w:sz w:val="18"/>
          <w:szCs w:val="18"/>
        </w:rPr>
        <w:t xml:space="preserve"> improved operating cash flows reflect the higher levels of underlying profitability, benefitting from higher tariffs and operational efficiencies, added to by improved working capital management, partially offset by cost pressures from inflation and delivering on our operational performance commitments.</w:t>
      </w:r>
    </w:p>
    <w:p w14:paraId="5DE6EECA" w14:textId="358B2708" w:rsidR="00544062" w:rsidRPr="00544062" w:rsidRDefault="00544062" w:rsidP="00544062">
      <w:pPr>
        <w:spacing w:after="120"/>
        <w:rPr>
          <w:rFonts w:ascii="Arial" w:hAnsi="Arial" w:cs="Arial"/>
          <w:sz w:val="18"/>
          <w:szCs w:val="18"/>
        </w:rPr>
      </w:pPr>
      <w:r w:rsidRPr="00544062">
        <w:rPr>
          <w:rFonts w:ascii="Arial" w:hAnsi="Arial" w:cs="Arial"/>
          <w:sz w:val="18"/>
          <w:szCs w:val="18"/>
        </w:rPr>
        <w:t xml:space="preserve">Net interest payments were </w:t>
      </w:r>
      <w:r w:rsidRPr="00510B62">
        <w:rPr>
          <w:rFonts w:ascii="Arial" w:hAnsi="Arial" w:cs="Arial"/>
          <w:sz w:val="18"/>
          <w:szCs w:val="18"/>
        </w:rPr>
        <w:t>£1</w:t>
      </w:r>
      <w:r w:rsidR="00510B62" w:rsidRPr="00510B62">
        <w:rPr>
          <w:rFonts w:ascii="Arial" w:hAnsi="Arial" w:cs="Arial"/>
          <w:sz w:val="18"/>
          <w:szCs w:val="18"/>
        </w:rPr>
        <w:t>28.9</w:t>
      </w:r>
      <w:r w:rsidRPr="00510B62">
        <w:rPr>
          <w:rFonts w:ascii="Arial" w:hAnsi="Arial" w:cs="Arial"/>
          <w:sz w:val="18"/>
          <w:szCs w:val="18"/>
        </w:rPr>
        <w:t xml:space="preserve"> million (</w:t>
      </w:r>
      <w:r w:rsidRPr="00BC0ADE">
        <w:rPr>
          <w:rFonts w:ascii="Arial" w:hAnsi="Arial" w:cs="Arial"/>
          <w:sz w:val="18"/>
          <w:szCs w:val="18"/>
        </w:rPr>
        <w:t>2024/25: £1</w:t>
      </w:r>
      <w:r w:rsidR="00BC0ADE" w:rsidRPr="00BC0ADE">
        <w:rPr>
          <w:rFonts w:ascii="Arial" w:hAnsi="Arial" w:cs="Arial"/>
          <w:sz w:val="18"/>
          <w:szCs w:val="18"/>
        </w:rPr>
        <w:t>12.3</w:t>
      </w:r>
      <w:r w:rsidRPr="00BC0ADE">
        <w:rPr>
          <w:rFonts w:ascii="Arial" w:hAnsi="Arial" w:cs="Arial"/>
          <w:sz w:val="18"/>
          <w:szCs w:val="18"/>
        </w:rPr>
        <w:t xml:space="preserve"> million) with</w:t>
      </w:r>
      <w:r w:rsidRPr="00544062">
        <w:rPr>
          <w:rFonts w:ascii="Arial" w:hAnsi="Arial" w:cs="Arial"/>
          <w:sz w:val="18"/>
          <w:szCs w:val="18"/>
        </w:rPr>
        <w:t xml:space="preserve"> the higher payment in 2025/26 driven by increased debt consequent on our ongoing record levels of capital investment. </w:t>
      </w:r>
    </w:p>
    <w:p w14:paraId="3ABE20AD" w14:textId="7A8E6624" w:rsidR="00544062" w:rsidRPr="00544062" w:rsidRDefault="00544062" w:rsidP="00544062">
      <w:pPr>
        <w:spacing w:after="120"/>
        <w:rPr>
          <w:rFonts w:ascii="Arial" w:hAnsi="Arial" w:cs="Arial"/>
          <w:sz w:val="18"/>
          <w:szCs w:val="18"/>
        </w:rPr>
      </w:pPr>
      <w:r w:rsidRPr="00544062">
        <w:rPr>
          <w:rFonts w:ascii="Arial" w:hAnsi="Arial" w:cs="Arial"/>
          <w:sz w:val="18"/>
          <w:szCs w:val="18"/>
        </w:rPr>
        <w:t xml:space="preserve">Capital investment has resulted in slightly lower cash outflows </w:t>
      </w:r>
      <w:r w:rsidRPr="00510B62">
        <w:rPr>
          <w:rFonts w:ascii="Arial" w:hAnsi="Arial" w:cs="Arial"/>
          <w:sz w:val="18"/>
          <w:szCs w:val="18"/>
        </w:rPr>
        <w:t>of £3</w:t>
      </w:r>
      <w:r w:rsidR="00510B62" w:rsidRPr="00510B62">
        <w:rPr>
          <w:rFonts w:ascii="Arial" w:hAnsi="Arial" w:cs="Arial"/>
          <w:sz w:val="18"/>
          <w:szCs w:val="18"/>
        </w:rPr>
        <w:t>9.</w:t>
      </w:r>
      <w:r w:rsidR="0050496A">
        <w:rPr>
          <w:rFonts w:ascii="Arial" w:hAnsi="Arial" w:cs="Arial"/>
          <w:sz w:val="18"/>
          <w:szCs w:val="18"/>
        </w:rPr>
        <w:t>8</w:t>
      </w:r>
      <w:r w:rsidRPr="00510B62">
        <w:rPr>
          <w:rFonts w:ascii="Arial" w:hAnsi="Arial" w:cs="Arial"/>
          <w:sz w:val="18"/>
          <w:szCs w:val="18"/>
        </w:rPr>
        <w:t xml:space="preserve"> million to £</w:t>
      </w:r>
      <w:r w:rsidR="00510B62" w:rsidRPr="00510B62">
        <w:rPr>
          <w:rFonts w:ascii="Arial" w:hAnsi="Arial" w:cs="Arial"/>
          <w:sz w:val="18"/>
          <w:szCs w:val="18"/>
        </w:rPr>
        <w:t>564.</w:t>
      </w:r>
      <w:r w:rsidR="00E77722">
        <w:rPr>
          <w:rFonts w:ascii="Arial" w:hAnsi="Arial" w:cs="Arial"/>
          <w:sz w:val="18"/>
          <w:szCs w:val="18"/>
        </w:rPr>
        <w:t>3</w:t>
      </w:r>
      <w:r w:rsidRPr="00510B62">
        <w:rPr>
          <w:rFonts w:ascii="Arial" w:hAnsi="Arial" w:cs="Arial"/>
          <w:sz w:val="18"/>
          <w:szCs w:val="18"/>
        </w:rPr>
        <w:t xml:space="preserve"> million (2024</w:t>
      </w:r>
      <w:r w:rsidRPr="00BC0ADE">
        <w:rPr>
          <w:rFonts w:ascii="Arial" w:hAnsi="Arial" w:cs="Arial"/>
          <w:sz w:val="18"/>
          <w:szCs w:val="18"/>
        </w:rPr>
        <w:t>/25: £6</w:t>
      </w:r>
      <w:r w:rsidR="00BC0ADE" w:rsidRPr="00BC0ADE">
        <w:rPr>
          <w:rFonts w:ascii="Arial" w:hAnsi="Arial" w:cs="Arial"/>
          <w:sz w:val="18"/>
          <w:szCs w:val="18"/>
        </w:rPr>
        <w:t>04.1</w:t>
      </w:r>
      <w:r w:rsidRPr="00BC0ADE">
        <w:rPr>
          <w:rFonts w:ascii="Arial" w:hAnsi="Arial" w:cs="Arial"/>
          <w:sz w:val="18"/>
          <w:szCs w:val="18"/>
        </w:rPr>
        <w:t xml:space="preserve"> million).</w:t>
      </w:r>
    </w:p>
    <w:p w14:paraId="193F697F" w14:textId="3B15DB5E" w:rsidR="00544062" w:rsidRDefault="00544062" w:rsidP="00544062">
      <w:pPr>
        <w:spacing w:after="120"/>
        <w:rPr>
          <w:rFonts w:ascii="Arial" w:hAnsi="Arial" w:cs="Arial"/>
          <w:i/>
          <w:sz w:val="18"/>
          <w:szCs w:val="18"/>
          <w:highlight w:val="yellow"/>
        </w:rPr>
      </w:pPr>
      <w:r w:rsidRPr="00544062">
        <w:rPr>
          <w:rFonts w:ascii="Arial" w:hAnsi="Arial" w:cs="Arial"/>
          <w:sz w:val="18"/>
          <w:szCs w:val="18"/>
        </w:rPr>
        <w:t xml:space="preserve">Other significant movements in net debt in 2025/26 include payment of </w:t>
      </w:r>
      <w:r w:rsidR="00DD6B9C" w:rsidRPr="00DB283F">
        <w:rPr>
          <w:rFonts w:ascii="Arial" w:hAnsi="Arial" w:cs="Arial"/>
          <w:sz w:val="18"/>
          <w:szCs w:val="18"/>
        </w:rPr>
        <w:t>a</w:t>
      </w:r>
      <w:r w:rsidRPr="00DB283F">
        <w:rPr>
          <w:rFonts w:ascii="Arial" w:hAnsi="Arial" w:cs="Arial"/>
          <w:sz w:val="18"/>
          <w:szCs w:val="18"/>
        </w:rPr>
        <w:t xml:space="preserve"> dividend totalling £</w:t>
      </w:r>
      <w:r w:rsidR="00DD6B9C" w:rsidRPr="00DB283F">
        <w:rPr>
          <w:rFonts w:ascii="Arial" w:hAnsi="Arial" w:cs="Arial"/>
          <w:sz w:val="18"/>
          <w:szCs w:val="18"/>
        </w:rPr>
        <w:t>75.0</w:t>
      </w:r>
      <w:r w:rsidRPr="00DB283F">
        <w:rPr>
          <w:rFonts w:ascii="Arial" w:hAnsi="Arial" w:cs="Arial"/>
          <w:sz w:val="18"/>
          <w:szCs w:val="18"/>
        </w:rPr>
        <w:t xml:space="preserve"> million (</w:t>
      </w:r>
      <w:r w:rsidR="00DB283F">
        <w:rPr>
          <w:rFonts w:ascii="Arial" w:hAnsi="Arial" w:cs="Arial"/>
          <w:sz w:val="18"/>
          <w:szCs w:val="18"/>
        </w:rPr>
        <w:t>2024/</w:t>
      </w:r>
      <w:r w:rsidR="00DB283F" w:rsidRPr="00DB283F">
        <w:rPr>
          <w:rFonts w:ascii="Arial" w:hAnsi="Arial" w:cs="Arial"/>
          <w:sz w:val="18"/>
          <w:szCs w:val="18"/>
        </w:rPr>
        <w:t>25: £nil).</w:t>
      </w:r>
      <w:r w:rsidRPr="00DB283F">
        <w:rPr>
          <w:rFonts w:ascii="Arial" w:hAnsi="Arial" w:cs="Arial"/>
          <w:sz w:val="18"/>
          <w:szCs w:val="18"/>
        </w:rPr>
        <w:t xml:space="preserve"> In </w:t>
      </w:r>
      <w:r w:rsidR="004E31B1" w:rsidRPr="00DB283F">
        <w:rPr>
          <w:rFonts w:ascii="Arial" w:hAnsi="Arial" w:cs="Arial"/>
          <w:sz w:val="18"/>
          <w:szCs w:val="18"/>
        </w:rPr>
        <w:t>addition,</w:t>
      </w:r>
      <w:r w:rsidRPr="00DB283F">
        <w:rPr>
          <w:rFonts w:ascii="Arial" w:hAnsi="Arial" w:cs="Arial"/>
          <w:sz w:val="18"/>
          <w:szCs w:val="18"/>
        </w:rPr>
        <w:t xml:space="preserve"> there was non-cash indexation on our loan instruments </w:t>
      </w:r>
      <w:r w:rsidRPr="007D48B3">
        <w:rPr>
          <w:rFonts w:ascii="Arial" w:hAnsi="Arial" w:cs="Arial"/>
          <w:sz w:val="18"/>
          <w:szCs w:val="18"/>
        </w:rPr>
        <w:t>totalling £</w:t>
      </w:r>
      <w:r w:rsidR="00DB283F" w:rsidRPr="007D48B3">
        <w:rPr>
          <w:rFonts w:ascii="Arial" w:hAnsi="Arial" w:cs="Arial"/>
          <w:sz w:val="18"/>
          <w:szCs w:val="18"/>
        </w:rPr>
        <w:t>3</w:t>
      </w:r>
      <w:r w:rsidR="007D48B3" w:rsidRPr="007D48B3">
        <w:rPr>
          <w:rFonts w:ascii="Arial" w:hAnsi="Arial" w:cs="Arial"/>
          <w:sz w:val="18"/>
          <w:szCs w:val="18"/>
        </w:rPr>
        <w:t>2.3</w:t>
      </w:r>
      <w:r w:rsidR="00E408E0">
        <w:rPr>
          <w:rFonts w:ascii="Arial" w:hAnsi="Arial" w:cs="Arial"/>
          <w:sz w:val="18"/>
          <w:szCs w:val="18"/>
        </w:rPr>
        <w:t xml:space="preserve"> </w:t>
      </w:r>
      <w:r w:rsidRPr="007D48B3">
        <w:rPr>
          <w:rFonts w:ascii="Arial" w:hAnsi="Arial" w:cs="Arial"/>
          <w:sz w:val="18"/>
          <w:szCs w:val="18"/>
        </w:rPr>
        <w:t xml:space="preserve">million </w:t>
      </w:r>
      <w:r w:rsidRPr="00E408E0">
        <w:rPr>
          <w:rFonts w:ascii="Arial" w:hAnsi="Arial" w:cs="Arial"/>
          <w:sz w:val="18"/>
          <w:szCs w:val="18"/>
        </w:rPr>
        <w:t>(2024/25: £</w:t>
      </w:r>
      <w:r w:rsidR="00DB283F" w:rsidRPr="00E408E0">
        <w:rPr>
          <w:rFonts w:ascii="Arial" w:hAnsi="Arial" w:cs="Arial"/>
          <w:sz w:val="18"/>
          <w:szCs w:val="18"/>
        </w:rPr>
        <w:t>26.</w:t>
      </w:r>
      <w:r w:rsidR="00E408E0" w:rsidRPr="00E408E0">
        <w:rPr>
          <w:rFonts w:ascii="Arial" w:hAnsi="Arial" w:cs="Arial"/>
          <w:sz w:val="18"/>
          <w:szCs w:val="18"/>
        </w:rPr>
        <w:t>5</w:t>
      </w:r>
      <w:r w:rsidRPr="00E408E0">
        <w:rPr>
          <w:rFonts w:ascii="Arial" w:hAnsi="Arial" w:cs="Arial"/>
          <w:sz w:val="18"/>
          <w:szCs w:val="18"/>
        </w:rPr>
        <w:t xml:space="preserve"> million).</w:t>
      </w:r>
    </w:p>
    <w:p w14:paraId="68869D9A" w14:textId="065E910B" w:rsidR="00544062" w:rsidRPr="000A51B7" w:rsidRDefault="00544062" w:rsidP="00544062">
      <w:pPr>
        <w:spacing w:after="120"/>
        <w:rPr>
          <w:rFonts w:ascii="Arial" w:hAnsi="Arial" w:cs="Arial"/>
          <w:sz w:val="18"/>
          <w:szCs w:val="18"/>
        </w:rPr>
      </w:pPr>
      <w:r w:rsidRPr="000A51B7">
        <w:rPr>
          <w:rFonts w:ascii="Arial" w:eastAsia="Times New Roman" w:hAnsi="Arial" w:cs="Arial"/>
          <w:i/>
          <w:caps/>
          <w:sz w:val="18"/>
          <w:szCs w:val="18"/>
        </w:rPr>
        <w:t>NET DEBT AND LIQUIDITY</w:t>
      </w:r>
      <w:r>
        <w:rPr>
          <w:rFonts w:ascii="Arial" w:eastAsia="Times New Roman" w:hAnsi="Arial" w:cs="Arial"/>
          <w:i/>
          <w:caps/>
          <w:sz w:val="18"/>
          <w:szCs w:val="18"/>
          <w:highlight w:val="yellow"/>
        </w:rPr>
        <w:br/>
      </w:r>
      <w:r w:rsidRPr="00544062">
        <w:rPr>
          <w:rFonts w:ascii="Arial" w:hAnsi="Arial" w:cs="Arial"/>
          <w:sz w:val="18"/>
          <w:szCs w:val="18"/>
        </w:rPr>
        <w:t xml:space="preserve">As </w:t>
      </w:r>
      <w:proofErr w:type="gramStart"/>
      <w:r w:rsidRPr="00544062">
        <w:rPr>
          <w:rFonts w:ascii="Arial" w:hAnsi="Arial" w:cs="Arial"/>
          <w:sz w:val="18"/>
          <w:szCs w:val="18"/>
        </w:rPr>
        <w:t>at</w:t>
      </w:r>
      <w:proofErr w:type="gramEnd"/>
      <w:r w:rsidRPr="00544062">
        <w:rPr>
          <w:rFonts w:ascii="Arial" w:hAnsi="Arial" w:cs="Arial"/>
          <w:sz w:val="18"/>
          <w:szCs w:val="18"/>
        </w:rPr>
        <w:t xml:space="preserve"> 31 </w:t>
      </w:r>
      <w:r w:rsidRPr="00CA08BF">
        <w:rPr>
          <w:rFonts w:ascii="Arial" w:hAnsi="Arial" w:cs="Arial"/>
          <w:sz w:val="18"/>
          <w:szCs w:val="18"/>
        </w:rPr>
        <w:t xml:space="preserve">March 2026, the </w:t>
      </w:r>
      <w:r w:rsidR="000A51B7" w:rsidRPr="00CA08BF">
        <w:rPr>
          <w:rFonts w:ascii="Arial" w:hAnsi="Arial" w:cs="Arial"/>
          <w:sz w:val="18"/>
          <w:szCs w:val="18"/>
        </w:rPr>
        <w:t>Company</w:t>
      </w:r>
      <w:r w:rsidRPr="00CA08BF">
        <w:rPr>
          <w:rFonts w:ascii="Arial" w:hAnsi="Arial" w:cs="Arial"/>
          <w:sz w:val="18"/>
          <w:szCs w:val="18"/>
        </w:rPr>
        <w:t xml:space="preserve"> had £</w:t>
      </w:r>
      <w:r w:rsidR="00CA08BF" w:rsidRPr="00CA08BF">
        <w:rPr>
          <w:rFonts w:ascii="Arial" w:hAnsi="Arial" w:cs="Arial"/>
          <w:sz w:val="18"/>
          <w:szCs w:val="18"/>
        </w:rPr>
        <w:t xml:space="preserve">740.9 </w:t>
      </w:r>
      <w:r w:rsidRPr="00CA08BF">
        <w:rPr>
          <w:rFonts w:ascii="Arial" w:hAnsi="Arial" w:cs="Arial"/>
          <w:sz w:val="18"/>
          <w:szCs w:val="18"/>
        </w:rPr>
        <w:t>million of</w:t>
      </w:r>
      <w:r w:rsidR="000A51B7" w:rsidRPr="00CA08BF">
        <w:rPr>
          <w:rFonts w:ascii="Arial" w:hAnsi="Arial" w:cs="Arial"/>
          <w:sz w:val="18"/>
          <w:szCs w:val="18"/>
        </w:rPr>
        <w:t xml:space="preserve"> </w:t>
      </w:r>
      <w:r w:rsidRPr="00CA08BF">
        <w:rPr>
          <w:rFonts w:ascii="Arial" w:hAnsi="Arial" w:cs="Arial"/>
          <w:sz w:val="18"/>
          <w:szCs w:val="18"/>
        </w:rPr>
        <w:t>liquidity through a combination of cash and committed</w:t>
      </w:r>
      <w:r w:rsidR="000A51B7" w:rsidRPr="00CA08BF">
        <w:rPr>
          <w:rFonts w:ascii="Arial" w:hAnsi="Arial" w:cs="Arial"/>
          <w:sz w:val="18"/>
          <w:szCs w:val="18"/>
        </w:rPr>
        <w:t xml:space="preserve"> </w:t>
      </w:r>
      <w:r w:rsidRPr="00CA08BF">
        <w:rPr>
          <w:rFonts w:ascii="Arial" w:hAnsi="Arial" w:cs="Arial"/>
          <w:sz w:val="18"/>
          <w:szCs w:val="18"/>
        </w:rPr>
        <w:t>facilities (31 March 202</w:t>
      </w:r>
      <w:r w:rsidR="008C2B97" w:rsidRPr="00CA08BF">
        <w:rPr>
          <w:rFonts w:ascii="Arial" w:hAnsi="Arial" w:cs="Arial"/>
          <w:sz w:val="18"/>
          <w:szCs w:val="18"/>
        </w:rPr>
        <w:t>5</w:t>
      </w:r>
      <w:r w:rsidRPr="00CA08BF">
        <w:rPr>
          <w:rFonts w:ascii="Arial" w:hAnsi="Arial" w:cs="Arial"/>
          <w:sz w:val="18"/>
          <w:szCs w:val="18"/>
        </w:rPr>
        <w:t>: £</w:t>
      </w:r>
      <w:r w:rsidR="008C2B97" w:rsidRPr="00CA08BF">
        <w:rPr>
          <w:rFonts w:ascii="Arial" w:hAnsi="Arial" w:cs="Arial"/>
          <w:sz w:val="18"/>
          <w:szCs w:val="18"/>
        </w:rPr>
        <w:t>6</w:t>
      </w:r>
      <w:r w:rsidR="00CA08BF" w:rsidRPr="00CA08BF">
        <w:rPr>
          <w:rFonts w:ascii="Arial" w:hAnsi="Arial" w:cs="Arial"/>
          <w:sz w:val="18"/>
          <w:szCs w:val="18"/>
        </w:rPr>
        <w:t>96.7</w:t>
      </w:r>
      <w:r w:rsidRPr="00CA08BF">
        <w:rPr>
          <w:rFonts w:ascii="Arial" w:hAnsi="Arial" w:cs="Arial"/>
          <w:sz w:val="18"/>
          <w:szCs w:val="18"/>
        </w:rPr>
        <w:t xml:space="preserve"> million). This consists</w:t>
      </w:r>
      <w:r w:rsidR="000A51B7" w:rsidRPr="00CA08BF">
        <w:rPr>
          <w:rFonts w:ascii="Arial" w:hAnsi="Arial" w:cs="Arial"/>
          <w:sz w:val="18"/>
          <w:szCs w:val="18"/>
        </w:rPr>
        <w:t xml:space="preserve"> </w:t>
      </w:r>
      <w:r w:rsidRPr="00CA08BF">
        <w:rPr>
          <w:rFonts w:ascii="Arial" w:hAnsi="Arial" w:cs="Arial"/>
          <w:sz w:val="18"/>
          <w:szCs w:val="18"/>
        </w:rPr>
        <w:t xml:space="preserve">of cash and cash </w:t>
      </w:r>
      <w:r w:rsidR="00F64956" w:rsidRPr="00CA08BF">
        <w:rPr>
          <w:rFonts w:ascii="Arial" w:hAnsi="Arial" w:cs="Arial"/>
          <w:sz w:val="18"/>
          <w:szCs w:val="18"/>
        </w:rPr>
        <w:t>equivalents</w:t>
      </w:r>
      <w:r w:rsidRPr="00CA08BF">
        <w:rPr>
          <w:rFonts w:ascii="Arial" w:hAnsi="Arial" w:cs="Arial"/>
          <w:sz w:val="18"/>
          <w:szCs w:val="18"/>
        </w:rPr>
        <w:t xml:space="preserve"> </w:t>
      </w:r>
      <w:r w:rsidR="00F64956" w:rsidRPr="00CA08BF">
        <w:rPr>
          <w:rFonts w:ascii="Arial" w:hAnsi="Arial" w:cs="Arial"/>
          <w:sz w:val="18"/>
          <w:szCs w:val="18"/>
        </w:rPr>
        <w:t xml:space="preserve">and restricted funds </w:t>
      </w:r>
      <w:r w:rsidRPr="00CA08BF">
        <w:rPr>
          <w:rFonts w:ascii="Arial" w:hAnsi="Arial" w:cs="Arial"/>
          <w:sz w:val="18"/>
          <w:szCs w:val="18"/>
        </w:rPr>
        <w:t>of £</w:t>
      </w:r>
      <w:r w:rsidR="00CA08BF" w:rsidRPr="00CA08BF">
        <w:rPr>
          <w:rFonts w:ascii="Arial" w:hAnsi="Arial" w:cs="Arial"/>
          <w:sz w:val="18"/>
          <w:szCs w:val="18"/>
        </w:rPr>
        <w:t>295.9</w:t>
      </w:r>
      <w:r w:rsidRPr="00CA08BF">
        <w:rPr>
          <w:rFonts w:ascii="Arial" w:hAnsi="Arial" w:cs="Arial"/>
          <w:sz w:val="18"/>
          <w:szCs w:val="18"/>
        </w:rPr>
        <w:t xml:space="preserve"> million (31 March</w:t>
      </w:r>
      <w:r w:rsidR="000A51B7" w:rsidRPr="00CA08BF">
        <w:rPr>
          <w:rFonts w:ascii="Arial" w:hAnsi="Arial" w:cs="Arial"/>
          <w:sz w:val="18"/>
          <w:szCs w:val="18"/>
        </w:rPr>
        <w:t xml:space="preserve"> </w:t>
      </w:r>
      <w:r w:rsidRPr="00CA08BF">
        <w:rPr>
          <w:rFonts w:ascii="Arial" w:hAnsi="Arial" w:cs="Arial"/>
          <w:sz w:val="18"/>
          <w:szCs w:val="18"/>
        </w:rPr>
        <w:t>2025: £</w:t>
      </w:r>
      <w:r w:rsidR="00CA08BF" w:rsidRPr="00CA08BF">
        <w:rPr>
          <w:rFonts w:ascii="Arial" w:hAnsi="Arial" w:cs="Arial"/>
          <w:sz w:val="18"/>
          <w:szCs w:val="18"/>
        </w:rPr>
        <w:t>326.7</w:t>
      </w:r>
      <w:r w:rsidRPr="00CA08BF">
        <w:rPr>
          <w:rFonts w:ascii="Arial" w:hAnsi="Arial" w:cs="Arial"/>
          <w:sz w:val="18"/>
          <w:szCs w:val="18"/>
        </w:rPr>
        <w:t xml:space="preserve"> million), and</w:t>
      </w:r>
      <w:r w:rsidR="000A51B7" w:rsidRPr="00CA08BF">
        <w:rPr>
          <w:rFonts w:ascii="Arial" w:hAnsi="Arial" w:cs="Arial"/>
          <w:sz w:val="18"/>
          <w:szCs w:val="18"/>
        </w:rPr>
        <w:t xml:space="preserve"> </w:t>
      </w:r>
      <w:r w:rsidRPr="00CA08BF">
        <w:rPr>
          <w:rFonts w:ascii="Arial" w:hAnsi="Arial" w:cs="Arial"/>
          <w:sz w:val="18"/>
          <w:szCs w:val="18"/>
        </w:rPr>
        <w:t>£</w:t>
      </w:r>
      <w:r w:rsidR="00F64956" w:rsidRPr="00CA08BF">
        <w:rPr>
          <w:rFonts w:ascii="Arial" w:hAnsi="Arial" w:cs="Arial"/>
          <w:sz w:val="18"/>
          <w:szCs w:val="18"/>
        </w:rPr>
        <w:t>445</w:t>
      </w:r>
      <w:r w:rsidR="00E77722">
        <w:rPr>
          <w:rFonts w:ascii="Arial" w:hAnsi="Arial" w:cs="Arial"/>
          <w:sz w:val="18"/>
          <w:szCs w:val="18"/>
        </w:rPr>
        <w:t>.0</w:t>
      </w:r>
      <w:r w:rsidRPr="00CA08BF">
        <w:rPr>
          <w:rFonts w:ascii="Arial" w:hAnsi="Arial" w:cs="Arial"/>
          <w:sz w:val="18"/>
          <w:szCs w:val="18"/>
        </w:rPr>
        <w:t xml:space="preserve"> million (31 March 202</w:t>
      </w:r>
      <w:r w:rsidR="00F64956" w:rsidRPr="00CA08BF">
        <w:rPr>
          <w:rFonts w:ascii="Arial" w:hAnsi="Arial" w:cs="Arial"/>
          <w:sz w:val="18"/>
          <w:szCs w:val="18"/>
        </w:rPr>
        <w:t>5</w:t>
      </w:r>
      <w:r w:rsidRPr="00CA08BF">
        <w:rPr>
          <w:rFonts w:ascii="Arial" w:hAnsi="Arial" w:cs="Arial"/>
          <w:sz w:val="18"/>
          <w:szCs w:val="18"/>
        </w:rPr>
        <w:t>: £</w:t>
      </w:r>
      <w:r w:rsidR="00F64956" w:rsidRPr="00CA08BF">
        <w:rPr>
          <w:rFonts w:ascii="Arial" w:hAnsi="Arial" w:cs="Arial"/>
          <w:sz w:val="18"/>
          <w:szCs w:val="18"/>
        </w:rPr>
        <w:t>370</w:t>
      </w:r>
      <w:r w:rsidRPr="00CA08BF">
        <w:rPr>
          <w:rFonts w:ascii="Arial" w:hAnsi="Arial" w:cs="Arial"/>
          <w:sz w:val="18"/>
          <w:szCs w:val="18"/>
        </w:rPr>
        <w:t>.0 million) of undrawn</w:t>
      </w:r>
      <w:r w:rsidR="000A51B7" w:rsidRPr="00CA08BF">
        <w:rPr>
          <w:rFonts w:ascii="Arial" w:hAnsi="Arial" w:cs="Arial"/>
          <w:sz w:val="18"/>
          <w:szCs w:val="18"/>
        </w:rPr>
        <w:t xml:space="preserve"> </w:t>
      </w:r>
      <w:r w:rsidRPr="00CA08BF">
        <w:rPr>
          <w:rFonts w:ascii="Arial" w:hAnsi="Arial" w:cs="Arial"/>
          <w:sz w:val="18"/>
          <w:szCs w:val="18"/>
        </w:rPr>
        <w:t>committed facilities.</w:t>
      </w:r>
    </w:p>
    <w:p w14:paraId="2B812E65" w14:textId="4A2EFEBA" w:rsidR="003D1D1D" w:rsidRPr="002C549B" w:rsidRDefault="000A51B7" w:rsidP="000A51B7">
      <w:pPr>
        <w:spacing w:after="120"/>
        <w:rPr>
          <w:rFonts w:ascii="Arial" w:hAnsi="Arial" w:cs="Arial"/>
          <w:sz w:val="18"/>
          <w:szCs w:val="18"/>
        </w:rPr>
      </w:pPr>
      <w:r w:rsidRPr="000A51B7">
        <w:rPr>
          <w:rFonts w:ascii="Arial" w:hAnsi="Arial" w:cs="Arial"/>
          <w:sz w:val="18"/>
          <w:szCs w:val="18"/>
        </w:rPr>
        <w:t xml:space="preserve">During </w:t>
      </w:r>
      <w:r w:rsidRPr="002C549B">
        <w:rPr>
          <w:rFonts w:ascii="Arial" w:hAnsi="Arial" w:cs="Arial"/>
          <w:sz w:val="18"/>
          <w:szCs w:val="18"/>
        </w:rPr>
        <w:t xml:space="preserve">the year the Company has secured </w:t>
      </w:r>
      <w:r w:rsidR="00DD6B9C" w:rsidRPr="009A2CAE">
        <w:rPr>
          <w:rFonts w:ascii="Arial" w:hAnsi="Arial" w:cs="Arial"/>
          <w:sz w:val="18"/>
          <w:szCs w:val="18"/>
        </w:rPr>
        <w:t>£</w:t>
      </w:r>
      <w:r w:rsidR="003D1D1D" w:rsidRPr="009A2CAE">
        <w:rPr>
          <w:rFonts w:ascii="Arial" w:hAnsi="Arial" w:cs="Arial"/>
          <w:sz w:val="18"/>
          <w:szCs w:val="18"/>
        </w:rPr>
        <w:t>4</w:t>
      </w:r>
      <w:r w:rsidR="00DD6B9C" w:rsidRPr="009A2CAE">
        <w:rPr>
          <w:rFonts w:ascii="Arial" w:hAnsi="Arial" w:cs="Arial"/>
          <w:sz w:val="18"/>
          <w:szCs w:val="18"/>
        </w:rPr>
        <w:t>90</w:t>
      </w:r>
      <w:r w:rsidRPr="009A2CAE">
        <w:rPr>
          <w:rFonts w:ascii="Arial" w:hAnsi="Arial" w:cs="Arial"/>
          <w:sz w:val="18"/>
          <w:szCs w:val="18"/>
        </w:rPr>
        <w:t xml:space="preserve"> million</w:t>
      </w:r>
      <w:r w:rsidRPr="002C549B">
        <w:rPr>
          <w:rFonts w:ascii="Arial" w:hAnsi="Arial" w:cs="Arial"/>
          <w:sz w:val="18"/>
          <w:szCs w:val="18"/>
        </w:rPr>
        <w:t xml:space="preserve"> of new debt, </w:t>
      </w:r>
      <w:r w:rsidR="00DD6B9C" w:rsidRPr="002C549B">
        <w:rPr>
          <w:rFonts w:ascii="Arial" w:hAnsi="Arial" w:cs="Arial"/>
          <w:sz w:val="18"/>
          <w:szCs w:val="18"/>
        </w:rPr>
        <w:t>consisting of</w:t>
      </w:r>
      <w:r w:rsidR="003D1D1D" w:rsidRPr="002C549B">
        <w:rPr>
          <w:rFonts w:ascii="Arial" w:hAnsi="Arial" w:cs="Arial"/>
          <w:sz w:val="18"/>
          <w:szCs w:val="18"/>
        </w:rPr>
        <w:t>:</w:t>
      </w:r>
    </w:p>
    <w:p w14:paraId="301DADDE" w14:textId="07EF0C60" w:rsidR="000A51B7" w:rsidRPr="009A2CAE" w:rsidRDefault="003D1D1D" w:rsidP="003D1D1D">
      <w:pPr>
        <w:pStyle w:val="ListParagraph"/>
        <w:numPr>
          <w:ilvl w:val="0"/>
          <w:numId w:val="124"/>
        </w:numPr>
        <w:spacing w:after="120"/>
        <w:rPr>
          <w:rFonts w:ascii="Arial" w:hAnsi="Arial" w:cs="Arial"/>
          <w:sz w:val="18"/>
          <w:szCs w:val="18"/>
        </w:rPr>
      </w:pPr>
      <w:r w:rsidRPr="009A2CAE">
        <w:rPr>
          <w:rFonts w:ascii="Arial" w:hAnsi="Arial" w:cs="Arial"/>
          <w:sz w:val="18"/>
          <w:szCs w:val="18"/>
        </w:rPr>
        <w:t xml:space="preserve">£190 million of </w:t>
      </w:r>
      <w:r w:rsidR="00DD6B9C" w:rsidRPr="009A2CAE">
        <w:rPr>
          <w:rFonts w:ascii="Arial" w:hAnsi="Arial" w:cs="Arial"/>
          <w:sz w:val="18"/>
          <w:szCs w:val="18"/>
        </w:rPr>
        <w:t>new term loans and leasing with an average maturity of seven years</w:t>
      </w:r>
    </w:p>
    <w:p w14:paraId="1ED5D366" w14:textId="78BA7A71" w:rsidR="003D1D1D" w:rsidRPr="009A2CAE" w:rsidRDefault="003D1D1D" w:rsidP="00277639">
      <w:pPr>
        <w:pStyle w:val="ListParagraph"/>
        <w:numPr>
          <w:ilvl w:val="0"/>
          <w:numId w:val="124"/>
        </w:numPr>
        <w:spacing w:after="120"/>
        <w:rPr>
          <w:rFonts w:ascii="Arial" w:hAnsi="Arial" w:cs="Arial"/>
          <w:sz w:val="18"/>
          <w:szCs w:val="18"/>
        </w:rPr>
      </w:pPr>
      <w:r w:rsidRPr="009A2CAE">
        <w:rPr>
          <w:rFonts w:ascii="Arial" w:hAnsi="Arial" w:cs="Arial"/>
          <w:sz w:val="18"/>
          <w:szCs w:val="18"/>
        </w:rPr>
        <w:lastRenderedPageBreak/>
        <w:t>£300 million through our public bond issuances under ou</w:t>
      </w:r>
      <w:r w:rsidR="00287C58" w:rsidRPr="009A2CAE">
        <w:rPr>
          <w:rFonts w:ascii="Arial" w:hAnsi="Arial" w:cs="Arial"/>
          <w:sz w:val="18"/>
          <w:szCs w:val="18"/>
        </w:rPr>
        <w:t>r</w:t>
      </w:r>
      <w:r w:rsidRPr="009A2CAE">
        <w:rPr>
          <w:rFonts w:ascii="Arial" w:hAnsi="Arial" w:cs="Arial"/>
          <w:sz w:val="18"/>
          <w:szCs w:val="18"/>
        </w:rPr>
        <w:t xml:space="preserve"> EMTN</w:t>
      </w:r>
      <w:r w:rsidRPr="009A2CAE">
        <w:rPr>
          <w:rStyle w:val="FootnoteReference"/>
          <w:rFonts w:ascii="Arial" w:hAnsi="Arial" w:cs="Arial"/>
          <w:sz w:val="18"/>
          <w:szCs w:val="18"/>
        </w:rPr>
        <w:footnoteReference w:id="13"/>
      </w:r>
      <w:r w:rsidRPr="009A2CAE">
        <w:rPr>
          <w:rFonts w:ascii="Arial" w:hAnsi="Arial" w:cs="Arial"/>
          <w:sz w:val="18"/>
          <w:szCs w:val="18"/>
        </w:rPr>
        <w:t xml:space="preserve"> programme</w:t>
      </w:r>
    </w:p>
    <w:p w14:paraId="6F23B3E3" w14:textId="24F82A67" w:rsidR="000A51B7" w:rsidRPr="009A2CAE" w:rsidRDefault="000A51B7" w:rsidP="000A51B7">
      <w:pPr>
        <w:spacing w:after="120"/>
        <w:rPr>
          <w:rFonts w:ascii="Arial" w:hAnsi="Arial" w:cs="Arial"/>
          <w:sz w:val="18"/>
          <w:szCs w:val="18"/>
        </w:rPr>
      </w:pPr>
      <w:r w:rsidRPr="009A2CAE">
        <w:rPr>
          <w:rFonts w:ascii="Arial" w:hAnsi="Arial" w:cs="Arial"/>
          <w:sz w:val="18"/>
          <w:szCs w:val="18"/>
        </w:rPr>
        <w:t>In addition to this, a further Private placement of £49 million has been completed post year end.</w:t>
      </w:r>
    </w:p>
    <w:p w14:paraId="669B788C" w14:textId="5F7F73E1" w:rsidR="000A51B7" w:rsidRPr="009A2CAE" w:rsidRDefault="000A51B7" w:rsidP="000A51B7">
      <w:pPr>
        <w:spacing w:after="120"/>
        <w:rPr>
          <w:rFonts w:ascii="Arial" w:hAnsi="Arial" w:cs="Arial"/>
          <w:sz w:val="18"/>
          <w:szCs w:val="18"/>
        </w:rPr>
      </w:pPr>
      <w:r w:rsidRPr="009A2CAE">
        <w:rPr>
          <w:rFonts w:ascii="Arial" w:hAnsi="Arial" w:cs="Arial"/>
          <w:sz w:val="18"/>
          <w:szCs w:val="18"/>
        </w:rPr>
        <w:t>The Company has secured an additional £</w:t>
      </w:r>
      <w:r w:rsidR="00DD6B9C" w:rsidRPr="009A2CAE">
        <w:rPr>
          <w:rFonts w:ascii="Arial" w:hAnsi="Arial" w:cs="Arial"/>
          <w:sz w:val="18"/>
          <w:szCs w:val="18"/>
        </w:rPr>
        <w:t>175</w:t>
      </w:r>
      <w:r w:rsidRPr="009A2CAE">
        <w:rPr>
          <w:rFonts w:ascii="Arial" w:hAnsi="Arial" w:cs="Arial"/>
          <w:sz w:val="18"/>
          <w:szCs w:val="18"/>
        </w:rPr>
        <w:t xml:space="preserve"> million in new and renewed Revolving credit facilities </w:t>
      </w:r>
      <w:r w:rsidR="00DF1018" w:rsidRPr="009A2CAE">
        <w:rPr>
          <w:rFonts w:ascii="Arial" w:hAnsi="Arial" w:cs="Arial"/>
          <w:sz w:val="18"/>
          <w:szCs w:val="18"/>
        </w:rPr>
        <w:t xml:space="preserve">and </w:t>
      </w:r>
      <w:r w:rsidRPr="009A2CAE">
        <w:rPr>
          <w:rFonts w:ascii="Arial" w:hAnsi="Arial" w:cs="Arial"/>
          <w:sz w:val="18"/>
          <w:szCs w:val="18"/>
        </w:rPr>
        <w:t>since March 202</w:t>
      </w:r>
      <w:r w:rsidR="00C440A6" w:rsidRPr="009A2CAE">
        <w:rPr>
          <w:rFonts w:ascii="Arial" w:hAnsi="Arial" w:cs="Arial"/>
          <w:sz w:val="18"/>
          <w:szCs w:val="18"/>
        </w:rPr>
        <w:t>6</w:t>
      </w:r>
      <w:r w:rsidRPr="009A2CAE">
        <w:rPr>
          <w:rFonts w:ascii="Arial" w:hAnsi="Arial" w:cs="Arial"/>
          <w:sz w:val="18"/>
          <w:szCs w:val="18"/>
        </w:rPr>
        <w:t xml:space="preserve">. </w:t>
      </w:r>
    </w:p>
    <w:p w14:paraId="762155B0" w14:textId="39086CEF" w:rsidR="000A51B7" w:rsidRPr="000A51B7" w:rsidRDefault="000A51B7" w:rsidP="000A51B7">
      <w:pPr>
        <w:spacing w:after="120"/>
        <w:rPr>
          <w:rFonts w:ascii="Arial" w:hAnsi="Arial" w:cs="Arial"/>
          <w:sz w:val="18"/>
          <w:szCs w:val="18"/>
        </w:rPr>
      </w:pPr>
      <w:r w:rsidRPr="000A51B7">
        <w:rPr>
          <w:rFonts w:ascii="Arial" w:hAnsi="Arial" w:cs="Arial"/>
          <w:sz w:val="18"/>
          <w:szCs w:val="18"/>
        </w:rPr>
        <w:t xml:space="preserve">Resulting from the changes above and drawing of new debt during the year, </w:t>
      </w:r>
      <w:proofErr w:type="gramStart"/>
      <w:r w:rsidRPr="000A51B7">
        <w:rPr>
          <w:rFonts w:ascii="Arial" w:hAnsi="Arial" w:cs="Arial"/>
          <w:sz w:val="18"/>
          <w:szCs w:val="18"/>
        </w:rPr>
        <w:t>South West</w:t>
      </w:r>
      <w:proofErr w:type="gramEnd"/>
      <w:r w:rsidRPr="000A51B7">
        <w:rPr>
          <w:rFonts w:ascii="Arial" w:hAnsi="Arial" w:cs="Arial"/>
          <w:sz w:val="18"/>
          <w:szCs w:val="18"/>
        </w:rPr>
        <w:t xml:space="preserve"> Water gross debt </w:t>
      </w:r>
      <w:proofErr w:type="gramStart"/>
      <w:r w:rsidRPr="000A51B7">
        <w:rPr>
          <w:rFonts w:ascii="Arial" w:hAnsi="Arial" w:cs="Arial"/>
          <w:sz w:val="18"/>
          <w:szCs w:val="18"/>
        </w:rPr>
        <w:t>at</w:t>
      </w:r>
      <w:proofErr w:type="gramEnd"/>
      <w:r w:rsidRPr="000A51B7">
        <w:rPr>
          <w:rFonts w:ascii="Arial" w:hAnsi="Arial" w:cs="Arial"/>
          <w:sz w:val="18"/>
          <w:szCs w:val="18"/>
        </w:rPr>
        <w:t xml:space="preserve"> 31 March 2026 was </w:t>
      </w:r>
      <w:r w:rsidRPr="00EE0701">
        <w:rPr>
          <w:rFonts w:ascii="Arial" w:hAnsi="Arial" w:cs="Arial"/>
          <w:sz w:val="18"/>
          <w:szCs w:val="18"/>
        </w:rPr>
        <w:t>£4,</w:t>
      </w:r>
      <w:r w:rsidR="00EE0701" w:rsidRPr="00EE0701">
        <w:rPr>
          <w:rFonts w:ascii="Arial" w:hAnsi="Arial" w:cs="Arial"/>
          <w:sz w:val="18"/>
          <w:szCs w:val="18"/>
        </w:rPr>
        <w:t>152.3</w:t>
      </w:r>
      <w:r w:rsidRPr="00EE0701">
        <w:rPr>
          <w:rFonts w:ascii="Arial" w:hAnsi="Arial" w:cs="Arial"/>
          <w:sz w:val="18"/>
          <w:szCs w:val="18"/>
        </w:rPr>
        <w:t xml:space="preserve"> million (31</w:t>
      </w:r>
      <w:r w:rsidRPr="00ED4239">
        <w:rPr>
          <w:rFonts w:ascii="Arial" w:hAnsi="Arial" w:cs="Arial"/>
          <w:sz w:val="18"/>
          <w:szCs w:val="18"/>
        </w:rPr>
        <w:t xml:space="preserve"> March 2025: £3,</w:t>
      </w:r>
      <w:r w:rsidR="00ED4239" w:rsidRPr="00ED4239">
        <w:rPr>
          <w:rFonts w:ascii="Arial" w:hAnsi="Arial" w:cs="Arial"/>
          <w:sz w:val="18"/>
          <w:szCs w:val="18"/>
        </w:rPr>
        <w:t>884.3</w:t>
      </w:r>
      <w:r w:rsidRPr="00ED4239">
        <w:rPr>
          <w:rFonts w:ascii="Arial" w:hAnsi="Arial" w:cs="Arial"/>
          <w:sz w:val="18"/>
          <w:szCs w:val="18"/>
        </w:rPr>
        <w:t xml:space="preserve"> million). The</w:t>
      </w:r>
      <w:r w:rsidRPr="000A51B7">
        <w:rPr>
          <w:rFonts w:ascii="Arial" w:hAnsi="Arial" w:cs="Arial"/>
          <w:sz w:val="18"/>
          <w:szCs w:val="18"/>
        </w:rPr>
        <w:t xml:space="preserve"> debt has a maturity of up to 31 years with a weighted average maturity of 12 years.</w:t>
      </w:r>
    </w:p>
    <w:bookmarkEnd w:id="13"/>
    <w:p w14:paraId="451FA8FE" w14:textId="593F866B" w:rsidR="00FD779A" w:rsidRPr="00B318D0" w:rsidRDefault="00FD779A" w:rsidP="00FD779A">
      <w:pPr>
        <w:rPr>
          <w:rFonts w:ascii="Arial" w:hAnsi="Arial" w:cs="Arial"/>
          <w:sz w:val="18"/>
          <w:szCs w:val="18"/>
          <w:highlight w:val="yellow"/>
        </w:rPr>
      </w:pPr>
      <w:proofErr w:type="gramStart"/>
      <w:r w:rsidRPr="005513AA">
        <w:rPr>
          <w:rFonts w:ascii="Arial" w:hAnsi="Arial" w:cs="Arial"/>
          <w:sz w:val="18"/>
          <w:szCs w:val="18"/>
        </w:rPr>
        <w:t>South West</w:t>
      </w:r>
      <w:proofErr w:type="gramEnd"/>
      <w:r w:rsidRPr="005513AA">
        <w:rPr>
          <w:rFonts w:ascii="Arial" w:hAnsi="Arial" w:cs="Arial"/>
          <w:sz w:val="18"/>
          <w:szCs w:val="18"/>
        </w:rPr>
        <w:t xml:space="preserve"> Water net debt </w:t>
      </w:r>
      <w:proofErr w:type="gramStart"/>
      <w:r w:rsidRPr="005513AA">
        <w:rPr>
          <w:rFonts w:ascii="Arial" w:hAnsi="Arial" w:cs="Arial"/>
          <w:sz w:val="18"/>
          <w:szCs w:val="18"/>
        </w:rPr>
        <w:t>at</w:t>
      </w:r>
      <w:proofErr w:type="gramEnd"/>
      <w:r w:rsidRPr="005513AA">
        <w:rPr>
          <w:rFonts w:ascii="Arial" w:hAnsi="Arial" w:cs="Arial"/>
          <w:sz w:val="18"/>
          <w:szCs w:val="18"/>
        </w:rPr>
        <w:t xml:space="preserve"> 31 March 20</w:t>
      </w:r>
      <w:r w:rsidR="000A51B7" w:rsidRPr="005513AA">
        <w:rPr>
          <w:rFonts w:ascii="Arial" w:hAnsi="Arial" w:cs="Arial"/>
          <w:sz w:val="18"/>
          <w:szCs w:val="18"/>
        </w:rPr>
        <w:t>26</w:t>
      </w:r>
      <w:r w:rsidRPr="000A51B7">
        <w:rPr>
          <w:rFonts w:ascii="Arial" w:hAnsi="Arial" w:cs="Arial"/>
          <w:sz w:val="18"/>
          <w:szCs w:val="18"/>
        </w:rPr>
        <w:t xml:space="preserve"> </w:t>
      </w:r>
      <w:r w:rsidR="00153F31">
        <w:rPr>
          <w:rFonts w:ascii="Arial" w:hAnsi="Arial" w:cs="Arial"/>
          <w:sz w:val="18"/>
          <w:szCs w:val="18"/>
        </w:rPr>
        <w:t>was</w:t>
      </w:r>
      <w:r w:rsidR="00153F31" w:rsidRPr="000A51B7">
        <w:rPr>
          <w:rFonts w:ascii="Arial" w:hAnsi="Arial" w:cs="Arial"/>
          <w:sz w:val="18"/>
          <w:szCs w:val="18"/>
        </w:rPr>
        <w:t xml:space="preserve"> </w:t>
      </w:r>
      <w:r w:rsidR="00153F31">
        <w:rPr>
          <w:rFonts w:ascii="Arial" w:hAnsi="Arial" w:cs="Arial"/>
          <w:sz w:val="18"/>
          <w:szCs w:val="18"/>
        </w:rPr>
        <w:t xml:space="preserve">£3,856.4 million </w:t>
      </w:r>
      <w:r w:rsidR="005513AA">
        <w:rPr>
          <w:rFonts w:ascii="Arial" w:hAnsi="Arial" w:cs="Arial"/>
          <w:sz w:val="18"/>
          <w:szCs w:val="18"/>
        </w:rPr>
        <w:t xml:space="preserve">(31 March 2025: £3,557.6 million) </w:t>
      </w:r>
      <w:r w:rsidR="00153F31">
        <w:rPr>
          <w:rFonts w:ascii="Arial" w:hAnsi="Arial" w:cs="Arial"/>
          <w:sz w:val="18"/>
          <w:szCs w:val="18"/>
        </w:rPr>
        <w:t xml:space="preserve">and is </w:t>
      </w:r>
      <w:r w:rsidRPr="000A51B7">
        <w:rPr>
          <w:rFonts w:ascii="Arial" w:hAnsi="Arial" w:cs="Arial"/>
          <w:sz w:val="18"/>
          <w:szCs w:val="18"/>
        </w:rPr>
        <w:t>a mix of fixed/</w:t>
      </w:r>
      <w:r w:rsidRPr="00ED4239">
        <w:rPr>
          <w:rFonts w:ascii="Arial" w:hAnsi="Arial" w:cs="Arial"/>
          <w:sz w:val="18"/>
          <w:szCs w:val="18"/>
        </w:rPr>
        <w:t>swapped (£2,</w:t>
      </w:r>
      <w:r w:rsidR="00ED4239" w:rsidRPr="00ED4239">
        <w:rPr>
          <w:rFonts w:ascii="Arial" w:hAnsi="Arial" w:cs="Arial"/>
          <w:sz w:val="18"/>
          <w:szCs w:val="18"/>
        </w:rPr>
        <w:t>788.5</w:t>
      </w:r>
      <w:r w:rsidRPr="00ED4239">
        <w:rPr>
          <w:rFonts w:ascii="Arial" w:hAnsi="Arial" w:cs="Arial"/>
          <w:sz w:val="18"/>
          <w:szCs w:val="18"/>
        </w:rPr>
        <w:t xml:space="preserve"> million, </w:t>
      </w:r>
      <w:r w:rsidR="00ED4239" w:rsidRPr="00ED4239">
        <w:rPr>
          <w:rFonts w:ascii="Arial" w:hAnsi="Arial" w:cs="Arial"/>
          <w:sz w:val="18"/>
          <w:szCs w:val="18"/>
        </w:rPr>
        <w:t>72</w:t>
      </w:r>
      <w:r w:rsidRPr="00ED4239">
        <w:rPr>
          <w:rFonts w:ascii="Arial" w:hAnsi="Arial" w:cs="Arial"/>
          <w:sz w:val="18"/>
          <w:szCs w:val="18"/>
        </w:rPr>
        <w:t>%), floating (£</w:t>
      </w:r>
      <w:r w:rsidR="00ED4239" w:rsidRPr="00ED4239">
        <w:rPr>
          <w:rFonts w:ascii="Arial" w:hAnsi="Arial" w:cs="Arial"/>
          <w:sz w:val="18"/>
          <w:szCs w:val="18"/>
        </w:rPr>
        <w:t>259.8</w:t>
      </w:r>
      <w:r w:rsidRPr="00ED4239">
        <w:rPr>
          <w:rFonts w:ascii="Arial" w:hAnsi="Arial" w:cs="Arial"/>
          <w:sz w:val="18"/>
          <w:szCs w:val="18"/>
        </w:rPr>
        <w:t xml:space="preserve"> million, 7%) and index-linked borrowings (£</w:t>
      </w:r>
      <w:r w:rsidR="00ED4239" w:rsidRPr="00ED4239">
        <w:rPr>
          <w:rFonts w:ascii="Arial" w:hAnsi="Arial" w:cs="Arial"/>
          <w:sz w:val="18"/>
          <w:szCs w:val="18"/>
        </w:rPr>
        <w:t>808.1</w:t>
      </w:r>
      <w:r w:rsidRPr="00ED4239">
        <w:rPr>
          <w:rFonts w:ascii="Arial" w:hAnsi="Arial" w:cs="Arial"/>
          <w:sz w:val="18"/>
          <w:szCs w:val="18"/>
        </w:rPr>
        <w:t xml:space="preserve"> million, </w:t>
      </w:r>
      <w:r w:rsidR="00ED4239" w:rsidRPr="00ED4239">
        <w:rPr>
          <w:rFonts w:ascii="Arial" w:hAnsi="Arial" w:cs="Arial"/>
          <w:sz w:val="18"/>
          <w:szCs w:val="18"/>
        </w:rPr>
        <w:t>21</w:t>
      </w:r>
      <w:r w:rsidRPr="00ED4239">
        <w:rPr>
          <w:rFonts w:ascii="Arial" w:hAnsi="Arial" w:cs="Arial"/>
          <w:sz w:val="18"/>
          <w:szCs w:val="18"/>
        </w:rPr>
        <w:t>%), which re</w:t>
      </w:r>
      <w:r w:rsidRPr="000A51B7">
        <w:rPr>
          <w:rFonts w:ascii="Arial" w:hAnsi="Arial" w:cs="Arial"/>
          <w:sz w:val="18"/>
          <w:szCs w:val="18"/>
        </w:rPr>
        <w:t>flects our diverse debt. Where appropriate, derivatives are used to fix the rate on floating rate debt.</w:t>
      </w:r>
    </w:p>
    <w:p w14:paraId="190B0B98" w14:textId="7514A0E4" w:rsidR="00E81778" w:rsidRPr="00EE0701" w:rsidRDefault="00FD779A" w:rsidP="00E81778">
      <w:pPr>
        <w:rPr>
          <w:rFonts w:ascii="Arial" w:hAnsi="Arial" w:cs="Arial"/>
          <w:sz w:val="18"/>
          <w:szCs w:val="18"/>
          <w:highlight w:val="magenta"/>
        </w:rPr>
      </w:pPr>
      <w:proofErr w:type="gramStart"/>
      <w:r w:rsidRPr="00E81778">
        <w:rPr>
          <w:rFonts w:ascii="Arial" w:hAnsi="Arial" w:cs="Arial"/>
          <w:sz w:val="18"/>
          <w:szCs w:val="18"/>
        </w:rPr>
        <w:t>At</w:t>
      </w:r>
      <w:proofErr w:type="gramEnd"/>
      <w:r w:rsidRPr="00E81778">
        <w:rPr>
          <w:rFonts w:ascii="Arial" w:hAnsi="Arial" w:cs="Arial"/>
          <w:sz w:val="18"/>
          <w:szCs w:val="18"/>
        </w:rPr>
        <w:t xml:space="preserve"> 31 March 202</w:t>
      </w:r>
      <w:r w:rsidR="000A51B7" w:rsidRPr="00E81778">
        <w:rPr>
          <w:rFonts w:ascii="Arial" w:hAnsi="Arial" w:cs="Arial"/>
          <w:sz w:val="18"/>
          <w:szCs w:val="18"/>
        </w:rPr>
        <w:t>6</w:t>
      </w:r>
      <w:r w:rsidRPr="00E81778">
        <w:rPr>
          <w:rFonts w:ascii="Arial" w:hAnsi="Arial" w:cs="Arial"/>
          <w:sz w:val="18"/>
          <w:szCs w:val="18"/>
        </w:rPr>
        <w:t xml:space="preserve">, </w:t>
      </w:r>
      <w:proofErr w:type="gramStart"/>
      <w:r w:rsidRPr="00E81778">
        <w:rPr>
          <w:rFonts w:ascii="Arial" w:hAnsi="Arial" w:cs="Arial"/>
          <w:sz w:val="18"/>
          <w:szCs w:val="18"/>
        </w:rPr>
        <w:t>South West</w:t>
      </w:r>
      <w:proofErr w:type="gramEnd"/>
      <w:r w:rsidRPr="00E81778">
        <w:rPr>
          <w:rFonts w:ascii="Arial" w:hAnsi="Arial" w:cs="Arial"/>
          <w:sz w:val="18"/>
          <w:szCs w:val="18"/>
        </w:rPr>
        <w:t xml:space="preserve"> Water’s net debt to RCV ratio </w:t>
      </w:r>
      <w:r w:rsidRPr="00EE0701">
        <w:rPr>
          <w:rFonts w:ascii="Arial" w:hAnsi="Arial" w:cs="Arial"/>
          <w:sz w:val="18"/>
          <w:szCs w:val="18"/>
        </w:rPr>
        <w:t>stood at 63.</w:t>
      </w:r>
      <w:r w:rsidR="00EE0701" w:rsidRPr="00EE0701">
        <w:rPr>
          <w:rFonts w:ascii="Arial" w:hAnsi="Arial" w:cs="Arial"/>
          <w:sz w:val="18"/>
          <w:szCs w:val="18"/>
        </w:rPr>
        <w:t>0</w:t>
      </w:r>
      <w:r w:rsidRPr="00EE0701">
        <w:rPr>
          <w:rFonts w:ascii="Arial" w:hAnsi="Arial" w:cs="Arial"/>
          <w:sz w:val="18"/>
          <w:szCs w:val="18"/>
        </w:rPr>
        <w:t>% (31 March</w:t>
      </w:r>
      <w:r w:rsidRPr="00ED4239">
        <w:rPr>
          <w:rFonts w:ascii="Arial" w:hAnsi="Arial" w:cs="Arial"/>
          <w:sz w:val="18"/>
          <w:szCs w:val="18"/>
        </w:rPr>
        <w:t xml:space="preserve"> 202</w:t>
      </w:r>
      <w:r w:rsidR="00E81778" w:rsidRPr="00ED4239">
        <w:rPr>
          <w:rFonts w:ascii="Arial" w:hAnsi="Arial" w:cs="Arial"/>
          <w:sz w:val="18"/>
          <w:szCs w:val="18"/>
        </w:rPr>
        <w:t>5</w:t>
      </w:r>
      <w:r w:rsidRPr="00ED4239">
        <w:rPr>
          <w:rFonts w:ascii="Arial" w:hAnsi="Arial" w:cs="Arial"/>
          <w:sz w:val="18"/>
          <w:szCs w:val="18"/>
        </w:rPr>
        <w:t>: 6</w:t>
      </w:r>
      <w:r w:rsidR="005F6874">
        <w:rPr>
          <w:rFonts w:ascii="Arial" w:hAnsi="Arial" w:cs="Arial"/>
          <w:sz w:val="18"/>
          <w:szCs w:val="18"/>
        </w:rPr>
        <w:t>3.3</w:t>
      </w:r>
      <w:r w:rsidRPr="00ED4239">
        <w:rPr>
          <w:rFonts w:ascii="Arial" w:hAnsi="Arial" w:cs="Arial"/>
          <w:sz w:val="18"/>
          <w:szCs w:val="18"/>
        </w:rPr>
        <w:t xml:space="preserve">%). </w:t>
      </w:r>
      <w:r w:rsidR="00E81778" w:rsidRPr="00ED4239">
        <w:rPr>
          <w:rFonts w:ascii="Arial" w:hAnsi="Arial" w:cs="Arial"/>
          <w:sz w:val="18"/>
          <w:szCs w:val="18"/>
        </w:rPr>
        <w:t>This</w:t>
      </w:r>
      <w:r w:rsidR="00E81778" w:rsidRPr="00E81778">
        <w:rPr>
          <w:rFonts w:ascii="Arial" w:hAnsi="Arial" w:cs="Arial"/>
          <w:sz w:val="18"/>
          <w:szCs w:val="18"/>
        </w:rPr>
        <w:t xml:space="preserve"> remains broadly neutral year-on-year </w:t>
      </w:r>
      <w:proofErr w:type="gramStart"/>
      <w:r w:rsidR="00E81778" w:rsidRPr="00E81778">
        <w:rPr>
          <w:rFonts w:ascii="Arial" w:hAnsi="Arial" w:cs="Arial"/>
          <w:sz w:val="18"/>
          <w:szCs w:val="18"/>
        </w:rPr>
        <w:t>as a result of</w:t>
      </w:r>
      <w:proofErr w:type="gramEnd"/>
      <w:r w:rsidR="00E81778" w:rsidRPr="00E81778">
        <w:rPr>
          <w:rFonts w:ascii="Arial" w:hAnsi="Arial" w:cs="Arial"/>
          <w:sz w:val="18"/>
          <w:szCs w:val="18"/>
        </w:rPr>
        <w:t xml:space="preserve"> increasing RCV offsetting in year debt funding of our investment programme. </w:t>
      </w:r>
    </w:p>
    <w:p w14:paraId="3E5934B9" w14:textId="6BFE4FE4" w:rsidR="00E81778" w:rsidRDefault="00E81778" w:rsidP="00E81778">
      <w:pPr>
        <w:rPr>
          <w:rFonts w:ascii="Arial" w:hAnsi="Arial" w:cs="Arial"/>
          <w:sz w:val="18"/>
          <w:szCs w:val="18"/>
          <w:highlight w:val="yellow"/>
        </w:rPr>
      </w:pPr>
      <w:bookmarkStart w:id="15" w:name="_Hlk137471865"/>
      <w:bookmarkEnd w:id="14"/>
      <w:proofErr w:type="gramStart"/>
      <w:r w:rsidRPr="00E81778">
        <w:rPr>
          <w:rFonts w:ascii="Arial" w:hAnsi="Arial" w:cs="Arial"/>
          <w:sz w:val="18"/>
          <w:szCs w:val="18"/>
        </w:rPr>
        <w:t>South West</w:t>
      </w:r>
      <w:proofErr w:type="gramEnd"/>
      <w:r w:rsidRPr="00E81778">
        <w:rPr>
          <w:rFonts w:ascii="Arial" w:hAnsi="Arial" w:cs="Arial"/>
          <w:sz w:val="18"/>
          <w:szCs w:val="18"/>
        </w:rPr>
        <w:t xml:space="preserve"> Water’s cost of finance, with an effective interest rate in 2025/26 of </w:t>
      </w:r>
      <w:r w:rsidRPr="00EE0701">
        <w:rPr>
          <w:rFonts w:ascii="Arial" w:hAnsi="Arial" w:cs="Arial"/>
          <w:sz w:val="18"/>
          <w:szCs w:val="18"/>
        </w:rPr>
        <w:t>5.</w:t>
      </w:r>
      <w:r w:rsidR="00EE0701" w:rsidRPr="00EE0701">
        <w:rPr>
          <w:rFonts w:ascii="Arial" w:hAnsi="Arial" w:cs="Arial"/>
          <w:sz w:val="18"/>
          <w:szCs w:val="18"/>
        </w:rPr>
        <w:t>5</w:t>
      </w:r>
      <w:r w:rsidRPr="00EE0701">
        <w:rPr>
          <w:rFonts w:ascii="Arial" w:hAnsi="Arial" w:cs="Arial"/>
          <w:sz w:val="18"/>
          <w:szCs w:val="18"/>
        </w:rPr>
        <w:t>%</w:t>
      </w:r>
      <w:r w:rsidR="00E77722">
        <w:rPr>
          <w:rStyle w:val="FootnoteReference"/>
          <w:rFonts w:ascii="Arial" w:hAnsi="Arial" w:cs="Arial"/>
          <w:sz w:val="18"/>
          <w:szCs w:val="18"/>
        </w:rPr>
        <w:footnoteReference w:id="14"/>
      </w:r>
      <w:r w:rsidRPr="00EE0701">
        <w:rPr>
          <w:rFonts w:ascii="Arial" w:hAnsi="Arial" w:cs="Arial"/>
          <w:sz w:val="18"/>
          <w:szCs w:val="18"/>
        </w:rPr>
        <w:t xml:space="preserve"> (2024</w:t>
      </w:r>
      <w:r w:rsidRPr="00ED4239">
        <w:rPr>
          <w:rFonts w:ascii="Arial" w:hAnsi="Arial" w:cs="Arial"/>
          <w:sz w:val="18"/>
          <w:szCs w:val="18"/>
        </w:rPr>
        <w:t>/25: 5.</w:t>
      </w:r>
      <w:r w:rsidR="00ED4239" w:rsidRPr="00ED4239">
        <w:rPr>
          <w:rFonts w:ascii="Arial" w:hAnsi="Arial" w:cs="Arial"/>
          <w:sz w:val="18"/>
          <w:szCs w:val="18"/>
        </w:rPr>
        <w:t>2</w:t>
      </w:r>
      <w:r w:rsidRPr="00ED4239">
        <w:rPr>
          <w:rFonts w:ascii="Arial" w:hAnsi="Arial" w:cs="Arial"/>
          <w:sz w:val="18"/>
          <w:szCs w:val="18"/>
        </w:rPr>
        <w:t>%), reflects</w:t>
      </w:r>
      <w:r w:rsidRPr="00E81778">
        <w:rPr>
          <w:rFonts w:ascii="Arial" w:hAnsi="Arial" w:cs="Arial"/>
          <w:sz w:val="18"/>
          <w:szCs w:val="18"/>
        </w:rPr>
        <w:t xml:space="preserve"> higher interest rates and the impact of full year interest charges on new issuances in 2024/25.</w:t>
      </w:r>
    </w:p>
    <w:p w14:paraId="41EA774F" w14:textId="508D8043" w:rsidR="00FD779A" w:rsidRPr="00E81778" w:rsidRDefault="00FD779A" w:rsidP="00E81778">
      <w:pPr>
        <w:rPr>
          <w:rFonts w:ascii="Arial" w:hAnsi="Arial" w:cs="Arial"/>
          <w:sz w:val="18"/>
          <w:szCs w:val="18"/>
        </w:rPr>
      </w:pPr>
      <w:r w:rsidRPr="00E81778">
        <w:rPr>
          <w:rFonts w:ascii="Arial" w:eastAsia="Times New Roman" w:hAnsi="Arial" w:cs="Arial"/>
          <w:i/>
          <w:caps/>
          <w:sz w:val="18"/>
          <w:szCs w:val="18"/>
        </w:rPr>
        <w:t xml:space="preserve">INVESTMENT GRADE </w:t>
      </w:r>
      <w:r w:rsidR="002D5256">
        <w:rPr>
          <w:rFonts w:ascii="Arial" w:eastAsia="Times New Roman" w:hAnsi="Arial" w:cs="Arial"/>
          <w:i/>
          <w:caps/>
          <w:sz w:val="18"/>
          <w:szCs w:val="18"/>
        </w:rPr>
        <w:t>RATINGS</w:t>
      </w:r>
      <w:r w:rsidRPr="00E81778">
        <w:rPr>
          <w:rFonts w:ascii="Arial" w:eastAsia="Times New Roman" w:hAnsi="Arial" w:cs="Arial"/>
          <w:i/>
          <w:caps/>
          <w:sz w:val="18"/>
          <w:szCs w:val="18"/>
        </w:rPr>
        <w:br/>
      </w:r>
      <w:proofErr w:type="gramStart"/>
      <w:r w:rsidR="00E81778" w:rsidRPr="00E81778">
        <w:rPr>
          <w:rFonts w:ascii="Arial" w:hAnsi="Arial" w:cs="Arial"/>
          <w:sz w:val="18"/>
          <w:szCs w:val="18"/>
        </w:rPr>
        <w:t>South West</w:t>
      </w:r>
      <w:proofErr w:type="gramEnd"/>
      <w:r w:rsidR="00E81778" w:rsidRPr="00E81778">
        <w:rPr>
          <w:rFonts w:ascii="Arial" w:hAnsi="Arial" w:cs="Arial"/>
          <w:sz w:val="18"/>
          <w:szCs w:val="18"/>
        </w:rPr>
        <w:t xml:space="preserve"> Water, maintains two investment grade credit ratings with Moody’s and Fitch, which was a new licence requirement from April 2025. The Moody’s rating remains on negative </w:t>
      </w:r>
      <w:proofErr w:type="gramStart"/>
      <w:r w:rsidR="00E81778" w:rsidRPr="00E81778">
        <w:rPr>
          <w:rFonts w:ascii="Arial" w:hAnsi="Arial" w:cs="Arial"/>
          <w:sz w:val="18"/>
          <w:szCs w:val="18"/>
        </w:rPr>
        <w:t>watch</w:t>
      </w:r>
      <w:proofErr w:type="gramEnd"/>
      <w:r w:rsidR="00E81778" w:rsidRPr="00E81778">
        <w:rPr>
          <w:rFonts w:ascii="Arial" w:hAnsi="Arial" w:cs="Arial"/>
          <w:sz w:val="18"/>
          <w:szCs w:val="18"/>
        </w:rPr>
        <w:t xml:space="preserve"> and the </w:t>
      </w:r>
      <w:r w:rsidR="00153F31">
        <w:rPr>
          <w:rFonts w:ascii="Arial" w:hAnsi="Arial" w:cs="Arial"/>
          <w:sz w:val="18"/>
          <w:szCs w:val="18"/>
        </w:rPr>
        <w:t>Company</w:t>
      </w:r>
      <w:r w:rsidR="00153F31" w:rsidRPr="00E81778">
        <w:rPr>
          <w:rFonts w:ascii="Arial" w:hAnsi="Arial" w:cs="Arial"/>
          <w:sz w:val="18"/>
          <w:szCs w:val="18"/>
        </w:rPr>
        <w:t xml:space="preserve"> </w:t>
      </w:r>
      <w:r w:rsidR="00E81778" w:rsidRPr="00E81778">
        <w:rPr>
          <w:rFonts w:ascii="Arial" w:hAnsi="Arial" w:cs="Arial"/>
          <w:sz w:val="18"/>
          <w:szCs w:val="18"/>
        </w:rPr>
        <w:t>remains committed to supporting an investment grade credit rating.</w:t>
      </w:r>
    </w:p>
    <w:bookmarkEnd w:id="15"/>
    <w:p w14:paraId="6096BC76" w14:textId="77777777" w:rsidR="00FD779A" w:rsidRPr="00E81778" w:rsidRDefault="00FD779A" w:rsidP="00FD779A">
      <w:pPr>
        <w:rPr>
          <w:rFonts w:ascii="Arial" w:eastAsia="Times New Roman" w:hAnsi="Arial" w:cs="Arial"/>
          <w:i/>
          <w:caps/>
          <w:sz w:val="18"/>
          <w:szCs w:val="18"/>
        </w:rPr>
      </w:pPr>
      <w:r w:rsidRPr="00E81778">
        <w:rPr>
          <w:rFonts w:ascii="Arial" w:eastAsia="Times New Roman" w:hAnsi="Arial" w:cs="Arial"/>
          <w:i/>
          <w:caps/>
          <w:sz w:val="18"/>
          <w:szCs w:val="18"/>
        </w:rPr>
        <w:t>Internal borrowing</w:t>
      </w:r>
      <w:r w:rsidRPr="00E81778">
        <w:rPr>
          <w:rFonts w:ascii="Arial" w:eastAsia="Times New Roman" w:hAnsi="Arial" w:cs="Arial"/>
          <w:i/>
          <w:caps/>
          <w:sz w:val="18"/>
          <w:szCs w:val="18"/>
        </w:rPr>
        <w:br/>
      </w:r>
      <w:proofErr w:type="gramStart"/>
      <w:r w:rsidRPr="00E81778">
        <w:rPr>
          <w:rFonts w:ascii="Arial" w:hAnsi="Arial" w:cs="Arial"/>
          <w:sz w:val="18"/>
          <w:szCs w:val="18"/>
        </w:rPr>
        <w:t>South West</w:t>
      </w:r>
      <w:proofErr w:type="gramEnd"/>
      <w:r w:rsidRPr="00E81778">
        <w:rPr>
          <w:rFonts w:ascii="Arial" w:hAnsi="Arial" w:cs="Arial"/>
          <w:sz w:val="18"/>
          <w:szCs w:val="18"/>
        </w:rPr>
        <w:t xml:space="preserve"> Water’s funding is treated for regulatory purposes as ring-fenced. This means that funds raised by </w:t>
      </w:r>
      <w:proofErr w:type="gramStart"/>
      <w:r w:rsidRPr="00E81778">
        <w:rPr>
          <w:rFonts w:ascii="Arial" w:hAnsi="Arial" w:cs="Arial"/>
          <w:sz w:val="18"/>
          <w:szCs w:val="18"/>
        </w:rPr>
        <w:t>South West</w:t>
      </w:r>
      <w:proofErr w:type="gramEnd"/>
      <w:r w:rsidRPr="00E81778">
        <w:rPr>
          <w:rFonts w:ascii="Arial" w:hAnsi="Arial" w:cs="Arial"/>
          <w:sz w:val="18"/>
          <w:szCs w:val="18"/>
        </w:rPr>
        <w:t xml:space="preserve"> Water are not available for other areas of the Pennon Group. </w:t>
      </w:r>
    </w:p>
    <w:p w14:paraId="1AF1684D" w14:textId="76E7FE0C" w:rsidR="00CB4A13" w:rsidRDefault="00FD779A" w:rsidP="00CB4A13">
      <w:pPr>
        <w:rPr>
          <w:rFonts w:ascii="Arial" w:hAnsi="Arial" w:cs="Arial"/>
          <w:sz w:val="18"/>
          <w:szCs w:val="18"/>
        </w:rPr>
      </w:pPr>
      <w:bookmarkStart w:id="16" w:name="_Hlk137467371"/>
      <w:bookmarkStart w:id="17" w:name="_Hlk201140716"/>
      <w:r w:rsidRPr="00CB4A13">
        <w:rPr>
          <w:rFonts w:ascii="Arial" w:eastAsia="Times New Roman" w:hAnsi="Arial" w:cs="Arial"/>
          <w:i/>
          <w:caps/>
          <w:sz w:val="18"/>
          <w:szCs w:val="18"/>
        </w:rPr>
        <w:t>Taxation strateg</w:t>
      </w:r>
      <w:bookmarkStart w:id="18" w:name="_Hlk137467379"/>
      <w:bookmarkEnd w:id="16"/>
      <w:r w:rsidRPr="00CB4A13">
        <w:rPr>
          <w:rFonts w:ascii="Arial" w:eastAsia="Times New Roman" w:hAnsi="Arial" w:cs="Arial"/>
          <w:i/>
          <w:caps/>
          <w:sz w:val="18"/>
          <w:szCs w:val="18"/>
        </w:rPr>
        <w:t>Y</w:t>
      </w:r>
      <w:r w:rsidRPr="00CB4A13">
        <w:rPr>
          <w:rFonts w:ascii="Arial" w:eastAsia="Times New Roman" w:hAnsi="Arial" w:cs="Arial"/>
          <w:i/>
          <w:caps/>
          <w:sz w:val="18"/>
          <w:szCs w:val="18"/>
        </w:rPr>
        <w:br/>
      </w:r>
      <w:r w:rsidRPr="00CB4A13">
        <w:rPr>
          <w:rFonts w:ascii="Arial" w:hAnsi="Arial" w:cs="Arial"/>
          <w:sz w:val="18"/>
          <w:szCs w:val="18"/>
        </w:rPr>
        <w:t xml:space="preserve">Transparency remains a critical component of our approach, recognising that openness and honesty with our customers is essential. </w:t>
      </w:r>
      <w:r w:rsidR="00CB4A13" w:rsidRPr="00CB4A13">
        <w:rPr>
          <w:rFonts w:ascii="Arial" w:hAnsi="Arial" w:cs="Arial"/>
          <w:sz w:val="18"/>
          <w:szCs w:val="18"/>
        </w:rPr>
        <w:t xml:space="preserve">There has been a dramatic shift in how tax transparency is viewed over the last decade and the Company is proud to stand as a leader in ethical and transparent business practices across the UK utilities sector. </w:t>
      </w:r>
    </w:p>
    <w:p w14:paraId="338FD221" w14:textId="2A61AE0B" w:rsidR="001509AA" w:rsidRPr="001509AA" w:rsidRDefault="00CB4A13" w:rsidP="001509AA">
      <w:pPr>
        <w:rPr>
          <w:rFonts w:ascii="Arial" w:hAnsi="Arial" w:cs="Arial"/>
          <w:sz w:val="18"/>
          <w:szCs w:val="18"/>
        </w:rPr>
      </w:pPr>
      <w:r w:rsidRPr="001509AA">
        <w:rPr>
          <w:rFonts w:ascii="Arial" w:hAnsi="Arial" w:cs="Arial"/>
          <w:sz w:val="18"/>
          <w:szCs w:val="18"/>
        </w:rPr>
        <w:t xml:space="preserve">We are proud that our parent </w:t>
      </w:r>
      <w:r w:rsidR="003B36A4">
        <w:rPr>
          <w:rFonts w:ascii="Arial" w:hAnsi="Arial" w:cs="Arial"/>
          <w:sz w:val="18"/>
          <w:szCs w:val="18"/>
        </w:rPr>
        <w:t>C</w:t>
      </w:r>
      <w:r w:rsidRPr="001509AA">
        <w:rPr>
          <w:rFonts w:ascii="Arial" w:hAnsi="Arial" w:cs="Arial"/>
          <w:sz w:val="18"/>
          <w:szCs w:val="18"/>
        </w:rPr>
        <w:t xml:space="preserve">ompany </w:t>
      </w:r>
      <w:r w:rsidR="000C07AE">
        <w:rPr>
          <w:rFonts w:ascii="Arial" w:hAnsi="Arial" w:cs="Arial"/>
          <w:sz w:val="18"/>
          <w:szCs w:val="18"/>
        </w:rPr>
        <w:t>has</w:t>
      </w:r>
      <w:r w:rsidR="000C07AE" w:rsidRPr="001509AA">
        <w:rPr>
          <w:rFonts w:ascii="Arial" w:hAnsi="Arial" w:cs="Arial"/>
          <w:sz w:val="18"/>
          <w:szCs w:val="18"/>
        </w:rPr>
        <w:t xml:space="preserve"> </w:t>
      </w:r>
      <w:r w:rsidRPr="001509AA">
        <w:rPr>
          <w:rFonts w:ascii="Arial" w:hAnsi="Arial" w:cs="Arial"/>
          <w:sz w:val="18"/>
          <w:szCs w:val="18"/>
        </w:rPr>
        <w:t xml:space="preserve">been awarded the Fair Tax Mark for the </w:t>
      </w:r>
      <w:r w:rsidR="001509AA" w:rsidRPr="001509AA">
        <w:rPr>
          <w:rFonts w:ascii="Arial" w:hAnsi="Arial" w:cs="Arial"/>
          <w:sz w:val="18"/>
          <w:szCs w:val="18"/>
        </w:rPr>
        <w:t>eighth</w:t>
      </w:r>
      <w:r w:rsidRPr="001509AA">
        <w:rPr>
          <w:rFonts w:ascii="Arial" w:hAnsi="Arial" w:cs="Arial"/>
          <w:sz w:val="18"/>
          <w:szCs w:val="18"/>
        </w:rPr>
        <w:t xml:space="preserve"> year in a row in October 202</w:t>
      </w:r>
      <w:r w:rsidR="001509AA" w:rsidRPr="001509AA">
        <w:rPr>
          <w:rFonts w:ascii="Arial" w:hAnsi="Arial" w:cs="Arial"/>
          <w:sz w:val="18"/>
          <w:szCs w:val="18"/>
        </w:rPr>
        <w:t>5</w:t>
      </w:r>
      <w:r w:rsidRPr="001509AA">
        <w:rPr>
          <w:rFonts w:ascii="Arial" w:hAnsi="Arial" w:cs="Arial"/>
          <w:sz w:val="18"/>
          <w:szCs w:val="18"/>
        </w:rPr>
        <w:t>. The Fair Tax Mark accreditation scheme is the gold standard of responsible tax conduct</w:t>
      </w:r>
      <w:r w:rsidR="000C07AE">
        <w:rPr>
          <w:rFonts w:ascii="Arial" w:hAnsi="Arial" w:cs="Arial"/>
          <w:sz w:val="18"/>
          <w:szCs w:val="18"/>
        </w:rPr>
        <w:t>.</w:t>
      </w:r>
      <w:r w:rsidR="001509AA" w:rsidRPr="001509AA">
        <w:rPr>
          <w:rFonts w:ascii="Arial" w:hAnsi="Arial" w:cs="Arial"/>
          <w:sz w:val="18"/>
          <w:szCs w:val="18"/>
        </w:rPr>
        <w:t xml:space="preserve"> It recognises organisations that are leaders in corporate tax transparency.</w:t>
      </w:r>
    </w:p>
    <w:p w14:paraId="45CBE7B7" w14:textId="730BCB53" w:rsidR="00CB4A13" w:rsidRPr="00CB4A13" w:rsidRDefault="001509AA" w:rsidP="001509AA">
      <w:pPr>
        <w:rPr>
          <w:rFonts w:ascii="Arial" w:hAnsi="Arial" w:cs="Arial"/>
          <w:sz w:val="18"/>
          <w:szCs w:val="18"/>
        </w:rPr>
      </w:pPr>
      <w:r w:rsidRPr="001509AA">
        <w:rPr>
          <w:rFonts w:ascii="Arial" w:hAnsi="Arial" w:cs="Arial"/>
          <w:sz w:val="18"/>
          <w:szCs w:val="18"/>
        </w:rPr>
        <w:t>Like any successful business, we continue to work hard</w:t>
      </w:r>
      <w:r>
        <w:rPr>
          <w:rFonts w:ascii="Arial" w:hAnsi="Arial" w:cs="Arial"/>
          <w:sz w:val="18"/>
          <w:szCs w:val="18"/>
        </w:rPr>
        <w:t xml:space="preserve"> </w:t>
      </w:r>
      <w:r w:rsidRPr="001509AA">
        <w:rPr>
          <w:rFonts w:ascii="Arial" w:hAnsi="Arial" w:cs="Arial"/>
          <w:sz w:val="18"/>
          <w:szCs w:val="18"/>
        </w:rPr>
        <w:t>to be efficient and effective in delivering the best possible</w:t>
      </w:r>
      <w:r>
        <w:rPr>
          <w:rFonts w:ascii="Arial" w:hAnsi="Arial" w:cs="Arial"/>
          <w:sz w:val="18"/>
          <w:szCs w:val="18"/>
        </w:rPr>
        <w:t xml:space="preserve"> </w:t>
      </w:r>
      <w:r w:rsidRPr="001509AA">
        <w:rPr>
          <w:rFonts w:ascii="Arial" w:hAnsi="Arial" w:cs="Arial"/>
          <w:sz w:val="18"/>
          <w:szCs w:val="18"/>
        </w:rPr>
        <w:t xml:space="preserve">results for customers, communities and </w:t>
      </w:r>
      <w:r>
        <w:rPr>
          <w:rFonts w:ascii="Arial" w:hAnsi="Arial" w:cs="Arial"/>
          <w:sz w:val="18"/>
          <w:szCs w:val="18"/>
        </w:rPr>
        <w:t>stakeholders</w:t>
      </w:r>
      <w:r w:rsidRPr="001509AA">
        <w:rPr>
          <w:rFonts w:ascii="Arial" w:hAnsi="Arial" w:cs="Arial"/>
          <w:sz w:val="18"/>
          <w:szCs w:val="18"/>
        </w:rPr>
        <w:t>.</w:t>
      </w:r>
      <w:r>
        <w:rPr>
          <w:rFonts w:ascii="Arial" w:hAnsi="Arial" w:cs="Arial"/>
          <w:sz w:val="18"/>
          <w:szCs w:val="18"/>
        </w:rPr>
        <w:t xml:space="preserve"> </w:t>
      </w:r>
      <w:r w:rsidRPr="001509AA">
        <w:rPr>
          <w:rFonts w:ascii="Arial" w:hAnsi="Arial" w:cs="Arial"/>
          <w:sz w:val="18"/>
          <w:szCs w:val="18"/>
        </w:rPr>
        <w:t xml:space="preserve">We do not </w:t>
      </w:r>
      <w:proofErr w:type="gramStart"/>
      <w:r w:rsidRPr="001509AA">
        <w:rPr>
          <w:rFonts w:ascii="Arial" w:hAnsi="Arial" w:cs="Arial"/>
          <w:sz w:val="18"/>
          <w:szCs w:val="18"/>
        </w:rPr>
        <w:t>enter into</w:t>
      </w:r>
      <w:proofErr w:type="gramEnd"/>
      <w:r w:rsidRPr="001509AA">
        <w:rPr>
          <w:rFonts w:ascii="Arial" w:hAnsi="Arial" w:cs="Arial"/>
          <w:sz w:val="18"/>
          <w:szCs w:val="18"/>
        </w:rPr>
        <w:t xml:space="preserve"> artificial tax arrangements, use tax</w:t>
      </w:r>
      <w:r>
        <w:rPr>
          <w:rFonts w:ascii="Arial" w:hAnsi="Arial" w:cs="Arial"/>
          <w:sz w:val="18"/>
          <w:szCs w:val="18"/>
        </w:rPr>
        <w:t xml:space="preserve"> </w:t>
      </w:r>
      <w:r w:rsidRPr="001509AA">
        <w:rPr>
          <w:rFonts w:ascii="Arial" w:hAnsi="Arial" w:cs="Arial"/>
          <w:sz w:val="18"/>
          <w:szCs w:val="18"/>
        </w:rPr>
        <w:t>havens or take an aggressive stance in the interpretation</w:t>
      </w:r>
      <w:r>
        <w:rPr>
          <w:rFonts w:ascii="Arial" w:hAnsi="Arial" w:cs="Arial"/>
          <w:sz w:val="18"/>
          <w:szCs w:val="18"/>
        </w:rPr>
        <w:t xml:space="preserve"> </w:t>
      </w:r>
      <w:r w:rsidRPr="001509AA">
        <w:rPr>
          <w:rFonts w:ascii="Arial" w:hAnsi="Arial" w:cs="Arial"/>
          <w:sz w:val="18"/>
          <w:szCs w:val="18"/>
        </w:rPr>
        <w:t>of tax legislation. As a long-term business with a long-term</w:t>
      </w:r>
      <w:r>
        <w:rPr>
          <w:rFonts w:ascii="Arial" w:hAnsi="Arial" w:cs="Arial"/>
          <w:sz w:val="18"/>
          <w:szCs w:val="18"/>
        </w:rPr>
        <w:t xml:space="preserve"> </w:t>
      </w:r>
      <w:r w:rsidRPr="001509AA">
        <w:rPr>
          <w:rFonts w:ascii="Arial" w:hAnsi="Arial" w:cs="Arial"/>
          <w:sz w:val="18"/>
          <w:szCs w:val="18"/>
        </w:rPr>
        <w:t>approach to financial management, there have been</w:t>
      </w:r>
      <w:r>
        <w:rPr>
          <w:rFonts w:ascii="Arial" w:hAnsi="Arial" w:cs="Arial"/>
          <w:sz w:val="18"/>
          <w:szCs w:val="18"/>
        </w:rPr>
        <w:t xml:space="preserve"> </w:t>
      </w:r>
      <w:r w:rsidRPr="001509AA">
        <w:rPr>
          <w:rFonts w:ascii="Arial" w:hAnsi="Arial" w:cs="Arial"/>
          <w:sz w:val="18"/>
          <w:szCs w:val="18"/>
        </w:rPr>
        <w:t xml:space="preserve">no changes to the </w:t>
      </w:r>
      <w:r>
        <w:rPr>
          <w:rFonts w:ascii="Arial" w:hAnsi="Arial" w:cs="Arial"/>
          <w:sz w:val="18"/>
          <w:szCs w:val="18"/>
        </w:rPr>
        <w:t>Company’s</w:t>
      </w:r>
      <w:r w:rsidRPr="001509AA">
        <w:rPr>
          <w:rFonts w:ascii="Arial" w:hAnsi="Arial" w:cs="Arial"/>
          <w:sz w:val="18"/>
          <w:szCs w:val="18"/>
        </w:rPr>
        <w:t xml:space="preserve"> overall tax strategy this year</w:t>
      </w:r>
      <w:r>
        <w:rPr>
          <w:rFonts w:ascii="Arial" w:hAnsi="Arial" w:cs="Arial"/>
          <w:sz w:val="18"/>
          <w:szCs w:val="18"/>
        </w:rPr>
        <w:t xml:space="preserve"> </w:t>
      </w:r>
      <w:r w:rsidRPr="001509AA">
        <w:rPr>
          <w:rFonts w:ascii="Arial" w:hAnsi="Arial" w:cs="Arial"/>
          <w:sz w:val="18"/>
          <w:szCs w:val="18"/>
        </w:rPr>
        <w:t>compared to last.</w:t>
      </w:r>
    </w:p>
    <w:p w14:paraId="7B84DCAE" w14:textId="6D276242" w:rsidR="00FD779A" w:rsidRPr="001509AA" w:rsidRDefault="00FD779A" w:rsidP="00CB4A13">
      <w:pPr>
        <w:rPr>
          <w:rFonts w:ascii="Arial" w:hAnsi="Arial" w:cs="Arial"/>
          <w:sz w:val="18"/>
          <w:szCs w:val="18"/>
        </w:rPr>
      </w:pPr>
      <w:r w:rsidRPr="001509AA">
        <w:rPr>
          <w:rFonts w:ascii="Arial" w:hAnsi="Arial" w:cs="Arial"/>
          <w:sz w:val="18"/>
          <w:szCs w:val="18"/>
        </w:rPr>
        <w:t>Under our tax strategy we:</w:t>
      </w:r>
    </w:p>
    <w:p w14:paraId="3312FDC4" w14:textId="3F2481BF" w:rsidR="00FD779A" w:rsidRPr="001509AA" w:rsidRDefault="00FD779A" w:rsidP="00FD779A">
      <w:pPr>
        <w:pStyle w:val="ListParagraph"/>
        <w:numPr>
          <w:ilvl w:val="0"/>
          <w:numId w:val="13"/>
        </w:numPr>
        <w:rPr>
          <w:rFonts w:ascii="Arial" w:hAnsi="Arial" w:cs="Arial"/>
          <w:sz w:val="18"/>
          <w:szCs w:val="18"/>
        </w:rPr>
      </w:pPr>
      <w:r w:rsidRPr="001509AA">
        <w:rPr>
          <w:rFonts w:ascii="Arial" w:hAnsi="Arial" w:cs="Arial"/>
          <w:sz w:val="18"/>
          <w:szCs w:val="18"/>
        </w:rPr>
        <w:t>At all times consider the Company’s corporate and social responsibilities in relation to its tax affairs</w:t>
      </w:r>
      <w:r w:rsidR="000C07AE">
        <w:rPr>
          <w:rFonts w:ascii="Arial" w:hAnsi="Arial" w:cs="Arial"/>
          <w:sz w:val="18"/>
          <w:szCs w:val="18"/>
        </w:rPr>
        <w:t>.</w:t>
      </w:r>
    </w:p>
    <w:p w14:paraId="7A9E1A19" w14:textId="4B8A4811" w:rsidR="00FD779A" w:rsidRPr="001509AA" w:rsidRDefault="00FD779A" w:rsidP="00FD779A">
      <w:pPr>
        <w:pStyle w:val="ListParagraph"/>
        <w:numPr>
          <w:ilvl w:val="0"/>
          <w:numId w:val="13"/>
        </w:numPr>
        <w:rPr>
          <w:rFonts w:ascii="Arial" w:hAnsi="Arial" w:cs="Arial"/>
          <w:sz w:val="18"/>
          <w:szCs w:val="18"/>
        </w:rPr>
      </w:pPr>
      <w:r w:rsidRPr="001509AA">
        <w:rPr>
          <w:rFonts w:ascii="Arial" w:hAnsi="Arial" w:cs="Arial"/>
          <w:sz w:val="18"/>
          <w:szCs w:val="18"/>
        </w:rPr>
        <w:t>Operate appropriate tax risk governance processes to ensure that the policies are applied throughout the Company</w:t>
      </w:r>
      <w:r w:rsidR="000C07AE">
        <w:rPr>
          <w:rFonts w:ascii="Arial" w:hAnsi="Arial" w:cs="Arial"/>
          <w:sz w:val="18"/>
          <w:szCs w:val="18"/>
        </w:rPr>
        <w:t>.</w:t>
      </w:r>
    </w:p>
    <w:p w14:paraId="1E5C1F61" w14:textId="4F8F15E6" w:rsidR="00FD779A" w:rsidRPr="001509AA" w:rsidRDefault="00FD779A" w:rsidP="00FD779A">
      <w:pPr>
        <w:pStyle w:val="ListParagraph"/>
        <w:numPr>
          <w:ilvl w:val="0"/>
          <w:numId w:val="13"/>
        </w:numPr>
        <w:rPr>
          <w:rFonts w:ascii="Arial" w:hAnsi="Arial" w:cs="Arial"/>
          <w:sz w:val="18"/>
          <w:szCs w:val="18"/>
        </w:rPr>
      </w:pPr>
      <w:r w:rsidRPr="001509AA">
        <w:rPr>
          <w:rFonts w:ascii="Arial" w:hAnsi="Arial" w:cs="Arial"/>
          <w:sz w:val="18"/>
          <w:szCs w:val="18"/>
        </w:rPr>
        <w:t>Comply with our legal requirements, file all appropriate returns on time and make all tax payments by the due date</w:t>
      </w:r>
      <w:r w:rsidR="000C07AE">
        <w:rPr>
          <w:rFonts w:ascii="Arial" w:hAnsi="Arial" w:cs="Arial"/>
          <w:sz w:val="18"/>
          <w:szCs w:val="18"/>
        </w:rPr>
        <w:t>.</w:t>
      </w:r>
    </w:p>
    <w:p w14:paraId="4F2C8E1A" w14:textId="4A0A2954" w:rsidR="00FD779A" w:rsidRPr="001509AA" w:rsidRDefault="00FD779A" w:rsidP="00FD779A">
      <w:pPr>
        <w:pStyle w:val="ListParagraph"/>
        <w:numPr>
          <w:ilvl w:val="0"/>
          <w:numId w:val="13"/>
        </w:numPr>
        <w:rPr>
          <w:rFonts w:ascii="Arial" w:hAnsi="Arial" w:cs="Arial"/>
          <w:sz w:val="18"/>
          <w:szCs w:val="18"/>
        </w:rPr>
      </w:pPr>
      <w:r w:rsidRPr="001509AA">
        <w:rPr>
          <w:rFonts w:ascii="Arial" w:hAnsi="Arial" w:cs="Arial"/>
          <w:sz w:val="18"/>
          <w:szCs w:val="18"/>
        </w:rPr>
        <w:t>Consider all taxes as part of ongoing decisions</w:t>
      </w:r>
      <w:r w:rsidR="000C07AE">
        <w:rPr>
          <w:rFonts w:ascii="Arial" w:hAnsi="Arial" w:cs="Arial"/>
          <w:sz w:val="18"/>
          <w:szCs w:val="18"/>
        </w:rPr>
        <w:t>.</w:t>
      </w:r>
    </w:p>
    <w:p w14:paraId="7B544852" w14:textId="712D527D" w:rsidR="00FD779A" w:rsidRPr="001509AA" w:rsidRDefault="00FD779A" w:rsidP="00FD779A">
      <w:pPr>
        <w:pStyle w:val="ListParagraph"/>
        <w:numPr>
          <w:ilvl w:val="0"/>
          <w:numId w:val="13"/>
        </w:numPr>
        <w:rPr>
          <w:rFonts w:ascii="Arial" w:hAnsi="Arial" w:cs="Arial"/>
          <w:sz w:val="18"/>
          <w:szCs w:val="18"/>
        </w:rPr>
      </w:pPr>
      <w:r w:rsidRPr="001509AA">
        <w:rPr>
          <w:rFonts w:ascii="Arial" w:hAnsi="Arial" w:cs="Arial"/>
          <w:sz w:val="18"/>
          <w:szCs w:val="18"/>
        </w:rPr>
        <w:lastRenderedPageBreak/>
        <w:t xml:space="preserve">Do not </w:t>
      </w:r>
      <w:proofErr w:type="gramStart"/>
      <w:r w:rsidRPr="001509AA">
        <w:rPr>
          <w:rFonts w:ascii="Arial" w:hAnsi="Arial" w:cs="Arial"/>
          <w:sz w:val="18"/>
          <w:szCs w:val="18"/>
        </w:rPr>
        <w:t>enter into</w:t>
      </w:r>
      <w:proofErr w:type="gramEnd"/>
      <w:r w:rsidRPr="001509AA">
        <w:rPr>
          <w:rFonts w:ascii="Arial" w:hAnsi="Arial" w:cs="Arial"/>
          <w:sz w:val="18"/>
          <w:szCs w:val="18"/>
        </w:rPr>
        <w:t xml:space="preserve"> artificial tax arrangements or take an aggressive stance in the interpretation of tax legislation</w:t>
      </w:r>
      <w:r w:rsidR="000C07AE">
        <w:rPr>
          <w:rFonts w:ascii="Arial" w:hAnsi="Arial" w:cs="Arial"/>
          <w:sz w:val="18"/>
          <w:szCs w:val="18"/>
        </w:rPr>
        <w:t>.</w:t>
      </w:r>
    </w:p>
    <w:p w14:paraId="6B675990" w14:textId="29D737A0" w:rsidR="00FD779A" w:rsidRPr="001509AA" w:rsidRDefault="00FD779A" w:rsidP="00FD779A">
      <w:pPr>
        <w:pStyle w:val="ListParagraph"/>
        <w:numPr>
          <w:ilvl w:val="0"/>
          <w:numId w:val="13"/>
        </w:numPr>
        <w:rPr>
          <w:rFonts w:ascii="Arial" w:hAnsi="Arial" w:cs="Arial"/>
          <w:sz w:val="18"/>
          <w:szCs w:val="18"/>
        </w:rPr>
      </w:pPr>
      <w:r w:rsidRPr="001509AA">
        <w:rPr>
          <w:rFonts w:ascii="Arial" w:hAnsi="Arial" w:cs="Arial"/>
          <w:sz w:val="18"/>
          <w:szCs w:val="18"/>
        </w:rPr>
        <w:t>Do not undertake transactions which are outside the Company’s low risk appetite for tax or not in line with the Code of Conduct</w:t>
      </w:r>
      <w:r w:rsidR="000C07AE">
        <w:rPr>
          <w:rFonts w:ascii="Arial" w:hAnsi="Arial" w:cs="Arial"/>
          <w:sz w:val="18"/>
          <w:szCs w:val="18"/>
        </w:rPr>
        <w:t>.</w:t>
      </w:r>
    </w:p>
    <w:p w14:paraId="76E3D92D" w14:textId="00FF118F" w:rsidR="00FD779A" w:rsidRPr="001509AA" w:rsidRDefault="00FD779A" w:rsidP="00FD779A">
      <w:pPr>
        <w:pStyle w:val="ListParagraph"/>
        <w:numPr>
          <w:ilvl w:val="0"/>
          <w:numId w:val="13"/>
        </w:numPr>
        <w:rPr>
          <w:rFonts w:ascii="Arial" w:hAnsi="Arial" w:cs="Arial"/>
          <w:sz w:val="18"/>
          <w:szCs w:val="18"/>
        </w:rPr>
      </w:pPr>
      <w:r w:rsidRPr="001509AA">
        <w:rPr>
          <w:rFonts w:ascii="Arial" w:hAnsi="Arial" w:cs="Arial"/>
          <w:sz w:val="18"/>
          <w:szCs w:val="18"/>
        </w:rPr>
        <w:t>Engage with HMRC in a proactive and transparent way and discuss our interpretation of tax laws in real-time, such interpretations following both the letter and spirit of the laws</w:t>
      </w:r>
      <w:r w:rsidR="000C07AE">
        <w:rPr>
          <w:rFonts w:ascii="Arial" w:hAnsi="Arial" w:cs="Arial"/>
          <w:sz w:val="18"/>
          <w:szCs w:val="18"/>
        </w:rPr>
        <w:t>.</w:t>
      </w:r>
    </w:p>
    <w:p w14:paraId="1E0F9AE5" w14:textId="02254971" w:rsidR="00FD779A" w:rsidRPr="001509AA" w:rsidRDefault="00FD779A" w:rsidP="00FD779A">
      <w:pPr>
        <w:pStyle w:val="ListParagraph"/>
        <w:numPr>
          <w:ilvl w:val="0"/>
          <w:numId w:val="13"/>
        </w:numPr>
        <w:rPr>
          <w:rFonts w:ascii="Arial" w:hAnsi="Arial" w:cs="Arial"/>
          <w:sz w:val="18"/>
          <w:szCs w:val="18"/>
        </w:rPr>
      </w:pPr>
      <w:r w:rsidRPr="001509AA">
        <w:rPr>
          <w:rFonts w:ascii="Arial" w:hAnsi="Arial" w:cs="Arial"/>
          <w:sz w:val="18"/>
          <w:szCs w:val="18"/>
        </w:rPr>
        <w:t>Do not have any connections with tax havens unless it is necessary for the purposes of trading within those jurisdictions</w:t>
      </w:r>
      <w:r w:rsidR="000C07AE">
        <w:rPr>
          <w:rFonts w:ascii="Arial" w:hAnsi="Arial" w:cs="Arial"/>
          <w:sz w:val="18"/>
          <w:szCs w:val="18"/>
        </w:rPr>
        <w:t>.</w:t>
      </w:r>
    </w:p>
    <w:p w14:paraId="7E28E8BC" w14:textId="77777777" w:rsidR="00FD779A" w:rsidRPr="001509AA" w:rsidRDefault="00FD779A" w:rsidP="00FD779A">
      <w:pPr>
        <w:rPr>
          <w:rFonts w:ascii="Arial" w:hAnsi="Arial" w:cs="Arial"/>
          <w:sz w:val="18"/>
          <w:szCs w:val="18"/>
        </w:rPr>
      </w:pPr>
      <w:r w:rsidRPr="001509AA">
        <w:rPr>
          <w:rFonts w:ascii="Arial" w:hAnsi="Arial" w:cs="Arial"/>
          <w:sz w:val="18"/>
          <w:szCs w:val="18"/>
        </w:rPr>
        <w:t>Further details are given in the Company’s Tax Strategy document which is available on the Pennon website.</w:t>
      </w:r>
    </w:p>
    <w:p w14:paraId="0275631F" w14:textId="005E9B9D" w:rsidR="00FD779A" w:rsidRPr="00B318D0" w:rsidRDefault="00FD779A" w:rsidP="00FD779A">
      <w:pPr>
        <w:rPr>
          <w:rFonts w:ascii="Arial" w:hAnsi="Arial" w:cs="Arial"/>
          <w:sz w:val="18"/>
          <w:szCs w:val="18"/>
          <w:highlight w:val="yellow"/>
        </w:rPr>
      </w:pPr>
      <w:bookmarkStart w:id="19" w:name="_Hlk201140725"/>
      <w:bookmarkEnd w:id="17"/>
      <w:r w:rsidRPr="001509AA">
        <w:rPr>
          <w:rFonts w:ascii="Arial" w:eastAsia="Times New Roman" w:hAnsi="Arial" w:cs="Arial"/>
          <w:i/>
          <w:caps/>
          <w:sz w:val="18"/>
          <w:szCs w:val="18"/>
        </w:rPr>
        <w:t>TAX CONTRIBUTION 2025</w:t>
      </w:r>
      <w:r w:rsidR="001509AA" w:rsidRPr="001509AA">
        <w:rPr>
          <w:rFonts w:ascii="Arial" w:eastAsia="Times New Roman" w:hAnsi="Arial" w:cs="Arial"/>
          <w:i/>
          <w:caps/>
          <w:sz w:val="18"/>
          <w:szCs w:val="18"/>
        </w:rPr>
        <w:t>/26</w:t>
      </w:r>
      <w:r w:rsidRPr="001509AA">
        <w:rPr>
          <w:rFonts w:ascii="Arial" w:eastAsia="Times New Roman" w:hAnsi="Arial" w:cs="Arial"/>
          <w:i/>
          <w:caps/>
          <w:sz w:val="18"/>
          <w:szCs w:val="18"/>
        </w:rPr>
        <w:t xml:space="preserve"> </w:t>
      </w:r>
      <w:r w:rsidR="006C1BA9">
        <w:rPr>
          <w:rFonts w:ascii="Arial" w:eastAsia="Times New Roman" w:hAnsi="Arial" w:cs="Arial"/>
          <w:i/>
          <w:caps/>
          <w:sz w:val="18"/>
          <w:szCs w:val="18"/>
        </w:rPr>
        <w:t>-</w:t>
      </w:r>
      <w:r w:rsidR="006C1BA9" w:rsidRPr="001509AA">
        <w:rPr>
          <w:rFonts w:ascii="Arial" w:eastAsia="Times New Roman" w:hAnsi="Arial" w:cs="Arial"/>
          <w:i/>
          <w:caps/>
          <w:sz w:val="18"/>
          <w:szCs w:val="18"/>
        </w:rPr>
        <w:t xml:space="preserve"> </w:t>
      </w:r>
      <w:r w:rsidRPr="001509AA">
        <w:rPr>
          <w:rFonts w:ascii="Arial" w:eastAsia="Times New Roman" w:hAnsi="Arial" w:cs="Arial"/>
          <w:i/>
          <w:caps/>
          <w:sz w:val="18"/>
          <w:szCs w:val="18"/>
        </w:rPr>
        <w:t>BORNE/COLLECTED</w:t>
      </w:r>
      <w:bookmarkEnd w:id="18"/>
      <w:r w:rsidRPr="00B318D0">
        <w:rPr>
          <w:rFonts w:ascii="Arial" w:eastAsia="Times New Roman" w:hAnsi="Arial" w:cs="Arial"/>
          <w:i/>
          <w:caps/>
          <w:sz w:val="18"/>
          <w:szCs w:val="18"/>
          <w:highlight w:val="yellow"/>
        </w:rPr>
        <w:br/>
      </w:r>
      <w:r w:rsidRPr="00F157A3">
        <w:rPr>
          <w:rFonts w:ascii="Arial" w:hAnsi="Arial" w:cs="Arial"/>
          <w:sz w:val="18"/>
          <w:szCs w:val="18"/>
        </w:rPr>
        <w:t xml:space="preserve">The Company’s total tax contribution (TTC) for </w:t>
      </w:r>
      <w:r w:rsidR="00F157A3" w:rsidRPr="00F157A3">
        <w:rPr>
          <w:rFonts w:ascii="Arial" w:hAnsi="Arial" w:cs="Arial"/>
          <w:sz w:val="18"/>
          <w:szCs w:val="18"/>
        </w:rPr>
        <w:t>2025/26</w:t>
      </w:r>
      <w:r w:rsidRPr="00F157A3">
        <w:rPr>
          <w:rFonts w:ascii="Arial" w:hAnsi="Arial" w:cs="Arial"/>
          <w:sz w:val="18"/>
          <w:szCs w:val="18"/>
        </w:rPr>
        <w:t xml:space="preserve"> amounted </w:t>
      </w:r>
      <w:r w:rsidRPr="00056F26">
        <w:rPr>
          <w:rFonts w:ascii="Arial" w:hAnsi="Arial" w:cs="Arial"/>
          <w:sz w:val="18"/>
          <w:szCs w:val="18"/>
        </w:rPr>
        <w:t>to £</w:t>
      </w:r>
      <w:r w:rsidR="00056F26" w:rsidRPr="00056F26">
        <w:rPr>
          <w:rFonts w:ascii="Arial" w:hAnsi="Arial" w:cs="Arial"/>
          <w:sz w:val="18"/>
          <w:szCs w:val="18"/>
        </w:rPr>
        <w:t>103</w:t>
      </w:r>
      <w:r w:rsidRPr="00056F26">
        <w:rPr>
          <w:rFonts w:ascii="Arial" w:hAnsi="Arial" w:cs="Arial"/>
          <w:sz w:val="18"/>
          <w:szCs w:val="18"/>
        </w:rPr>
        <w:t xml:space="preserve"> million (excluding £1</w:t>
      </w:r>
      <w:r w:rsidR="00056F26" w:rsidRPr="00056F26">
        <w:rPr>
          <w:rFonts w:ascii="Arial" w:hAnsi="Arial" w:cs="Arial"/>
          <w:sz w:val="18"/>
          <w:szCs w:val="18"/>
        </w:rPr>
        <w:t>25</w:t>
      </w:r>
      <w:r w:rsidRPr="00056F26">
        <w:rPr>
          <w:rFonts w:ascii="Arial" w:hAnsi="Arial" w:cs="Arial"/>
          <w:sz w:val="18"/>
          <w:szCs w:val="18"/>
        </w:rPr>
        <w:t xml:space="preserve"> million of VAT receipts) (2024</w:t>
      </w:r>
      <w:r w:rsidR="000C07AE">
        <w:rPr>
          <w:rFonts w:ascii="Arial" w:hAnsi="Arial" w:cs="Arial"/>
          <w:sz w:val="18"/>
          <w:szCs w:val="18"/>
        </w:rPr>
        <w:t>/</w:t>
      </w:r>
      <w:r w:rsidR="00F157A3" w:rsidRPr="00056F26">
        <w:rPr>
          <w:rFonts w:ascii="Arial" w:hAnsi="Arial" w:cs="Arial"/>
          <w:sz w:val="18"/>
          <w:szCs w:val="18"/>
        </w:rPr>
        <w:t>25</w:t>
      </w:r>
      <w:r w:rsidRPr="00056F26">
        <w:rPr>
          <w:rFonts w:ascii="Arial" w:hAnsi="Arial" w:cs="Arial"/>
          <w:sz w:val="18"/>
          <w:szCs w:val="18"/>
        </w:rPr>
        <w:t>: £</w:t>
      </w:r>
      <w:r w:rsidR="00F157A3" w:rsidRPr="00056F26">
        <w:rPr>
          <w:rFonts w:ascii="Arial" w:hAnsi="Arial" w:cs="Arial"/>
          <w:sz w:val="18"/>
          <w:szCs w:val="18"/>
        </w:rPr>
        <w:t>9</w:t>
      </w:r>
      <w:r w:rsidRPr="00056F26">
        <w:rPr>
          <w:rFonts w:ascii="Arial" w:hAnsi="Arial" w:cs="Arial"/>
          <w:sz w:val="18"/>
          <w:szCs w:val="18"/>
        </w:rPr>
        <w:t>2 million excluding £1</w:t>
      </w:r>
      <w:r w:rsidR="00F157A3" w:rsidRPr="00056F26">
        <w:rPr>
          <w:rFonts w:ascii="Arial" w:hAnsi="Arial" w:cs="Arial"/>
          <w:sz w:val="18"/>
          <w:szCs w:val="18"/>
        </w:rPr>
        <w:t>34</w:t>
      </w:r>
      <w:r w:rsidRPr="00056F26">
        <w:rPr>
          <w:rFonts w:ascii="Arial" w:hAnsi="Arial" w:cs="Arial"/>
          <w:sz w:val="18"/>
          <w:szCs w:val="18"/>
        </w:rPr>
        <w:t xml:space="preserve"> million of VAT receipts).</w:t>
      </w:r>
      <w:r w:rsidRPr="00F157A3">
        <w:rPr>
          <w:rFonts w:ascii="Arial" w:hAnsi="Arial" w:cs="Arial"/>
          <w:sz w:val="18"/>
          <w:szCs w:val="18"/>
        </w:rPr>
        <w:t xml:space="preserve"> TTC is a standardised measure of a Company’s total tax contribution, having been developed by PwC and the 100 Group (FTSE 100 Finance Directors). It is acknowledged as being a fair and comparable representation of total tax cost. </w:t>
      </w:r>
    </w:p>
    <w:p w14:paraId="6C68423F" w14:textId="77777777" w:rsidR="00FD779A" w:rsidRPr="00B318D0" w:rsidRDefault="00FD779A" w:rsidP="00FD779A">
      <w:pPr>
        <w:rPr>
          <w:rFonts w:ascii="Arial" w:hAnsi="Arial" w:cs="Arial"/>
          <w:sz w:val="18"/>
          <w:szCs w:val="18"/>
          <w:highlight w:val="yellow"/>
        </w:rPr>
      </w:pPr>
      <w:r w:rsidRPr="00F157A3">
        <w:rPr>
          <w:rFonts w:ascii="Arial" w:hAnsi="Arial" w:cs="Arial"/>
          <w:sz w:val="18"/>
          <w:szCs w:val="18"/>
        </w:rPr>
        <w:t>TTC looks at taxes borne, and taxes collected. Taxes borne includes all taxes which are a cost to the Company, such as business rates, corporation tax and employers’ National Insurance contributions (NICs). Taxes collected and recovered highlights where the business is collecting tax on behalf of HMRC.</w:t>
      </w:r>
    </w:p>
    <w:p w14:paraId="76C26E9C" w14:textId="28CB2C81" w:rsidR="00FD779A" w:rsidRPr="008957AF" w:rsidRDefault="00FD779A" w:rsidP="00DE7C4D">
      <w:pPr>
        <w:rPr>
          <w:rFonts w:ascii="Arial" w:hAnsi="Arial" w:cs="Arial"/>
          <w:sz w:val="18"/>
          <w:szCs w:val="18"/>
        </w:rPr>
      </w:pPr>
      <w:r w:rsidRPr="00F157A3">
        <w:rPr>
          <w:rFonts w:ascii="Arial" w:hAnsi="Arial" w:cs="Arial"/>
          <w:sz w:val="18"/>
          <w:szCs w:val="18"/>
        </w:rPr>
        <w:t xml:space="preserve">Employment taxes </w:t>
      </w:r>
      <w:r w:rsidRPr="008957AF">
        <w:rPr>
          <w:rFonts w:ascii="Arial" w:hAnsi="Arial" w:cs="Arial"/>
          <w:sz w:val="18"/>
          <w:szCs w:val="18"/>
        </w:rPr>
        <w:t>totalled £</w:t>
      </w:r>
      <w:r w:rsidR="00056F26" w:rsidRPr="008957AF">
        <w:rPr>
          <w:rFonts w:ascii="Arial" w:hAnsi="Arial" w:cs="Arial"/>
          <w:sz w:val="18"/>
          <w:szCs w:val="18"/>
        </w:rPr>
        <w:t>43</w:t>
      </w:r>
      <w:r w:rsidRPr="008957AF">
        <w:rPr>
          <w:rFonts w:ascii="Arial" w:hAnsi="Arial" w:cs="Arial"/>
          <w:sz w:val="18"/>
          <w:szCs w:val="18"/>
        </w:rPr>
        <w:t xml:space="preserve"> million (202</w:t>
      </w:r>
      <w:r w:rsidR="00F157A3" w:rsidRPr="008957AF">
        <w:rPr>
          <w:rFonts w:ascii="Arial" w:hAnsi="Arial" w:cs="Arial"/>
          <w:sz w:val="18"/>
          <w:szCs w:val="18"/>
        </w:rPr>
        <w:t>4/25</w:t>
      </w:r>
      <w:r w:rsidRPr="008957AF">
        <w:rPr>
          <w:rFonts w:ascii="Arial" w:hAnsi="Arial" w:cs="Arial"/>
          <w:sz w:val="18"/>
          <w:szCs w:val="18"/>
        </w:rPr>
        <w:t>: £3</w:t>
      </w:r>
      <w:r w:rsidR="00F157A3" w:rsidRPr="008957AF">
        <w:rPr>
          <w:rFonts w:ascii="Arial" w:hAnsi="Arial" w:cs="Arial"/>
          <w:sz w:val="18"/>
          <w:szCs w:val="18"/>
        </w:rPr>
        <w:t>9</w:t>
      </w:r>
      <w:r w:rsidRPr="008957AF">
        <w:rPr>
          <w:rFonts w:ascii="Arial" w:hAnsi="Arial" w:cs="Arial"/>
          <w:sz w:val="18"/>
          <w:szCs w:val="18"/>
        </w:rPr>
        <w:t xml:space="preserve"> million) including employees’ Pay </w:t>
      </w:r>
      <w:proofErr w:type="gramStart"/>
      <w:r w:rsidRPr="008957AF">
        <w:rPr>
          <w:rFonts w:ascii="Arial" w:hAnsi="Arial" w:cs="Arial"/>
          <w:sz w:val="18"/>
          <w:szCs w:val="18"/>
        </w:rPr>
        <w:t>As</w:t>
      </w:r>
      <w:proofErr w:type="gramEnd"/>
      <w:r w:rsidRPr="008957AF">
        <w:rPr>
          <w:rFonts w:ascii="Arial" w:hAnsi="Arial" w:cs="Arial"/>
          <w:sz w:val="18"/>
          <w:szCs w:val="18"/>
        </w:rPr>
        <w:t xml:space="preserve"> You Earn (PAYE) and total NICs. A net amount of £2</w:t>
      </w:r>
      <w:r w:rsidR="008957AF" w:rsidRPr="008957AF">
        <w:rPr>
          <w:rFonts w:ascii="Arial" w:hAnsi="Arial" w:cs="Arial"/>
          <w:sz w:val="18"/>
          <w:szCs w:val="18"/>
        </w:rPr>
        <w:t>6</w:t>
      </w:r>
      <w:r w:rsidRPr="008957AF">
        <w:rPr>
          <w:rFonts w:ascii="Arial" w:hAnsi="Arial" w:cs="Arial"/>
          <w:sz w:val="18"/>
          <w:szCs w:val="18"/>
        </w:rPr>
        <w:t xml:space="preserve"> million (202</w:t>
      </w:r>
      <w:r w:rsidR="00F157A3" w:rsidRPr="008957AF">
        <w:rPr>
          <w:rFonts w:ascii="Arial" w:hAnsi="Arial" w:cs="Arial"/>
          <w:sz w:val="18"/>
          <w:szCs w:val="18"/>
        </w:rPr>
        <w:t>4/25</w:t>
      </w:r>
      <w:r w:rsidRPr="008957AF">
        <w:rPr>
          <w:rFonts w:ascii="Arial" w:hAnsi="Arial" w:cs="Arial"/>
          <w:sz w:val="18"/>
          <w:szCs w:val="18"/>
        </w:rPr>
        <w:t>: £25 million) was collected on behalf of the authorities for employee payroll taxes.</w:t>
      </w:r>
    </w:p>
    <w:p w14:paraId="22927B6A" w14:textId="630075B4" w:rsidR="00161E81" w:rsidRPr="008957AF" w:rsidRDefault="00FD779A" w:rsidP="00FD779A">
      <w:pPr>
        <w:rPr>
          <w:rFonts w:ascii="Arial" w:hAnsi="Arial" w:cs="Arial"/>
          <w:sz w:val="18"/>
          <w:szCs w:val="18"/>
        </w:rPr>
      </w:pPr>
      <w:r w:rsidRPr="008957AF">
        <w:rPr>
          <w:rFonts w:ascii="Arial" w:hAnsi="Arial" w:cs="Arial"/>
          <w:sz w:val="18"/>
          <w:szCs w:val="18"/>
        </w:rPr>
        <w:t>Business rates of £3</w:t>
      </w:r>
      <w:r w:rsidR="00056F26" w:rsidRPr="008957AF">
        <w:rPr>
          <w:rFonts w:ascii="Arial" w:hAnsi="Arial" w:cs="Arial"/>
          <w:sz w:val="18"/>
          <w:szCs w:val="18"/>
        </w:rPr>
        <w:t>3</w:t>
      </w:r>
      <w:r w:rsidRPr="008957AF">
        <w:rPr>
          <w:rFonts w:ascii="Arial" w:hAnsi="Arial" w:cs="Arial"/>
          <w:sz w:val="18"/>
          <w:szCs w:val="18"/>
        </w:rPr>
        <w:t xml:space="preserve"> million (202</w:t>
      </w:r>
      <w:r w:rsidR="00161E81" w:rsidRPr="008957AF">
        <w:rPr>
          <w:rFonts w:ascii="Arial" w:hAnsi="Arial" w:cs="Arial"/>
          <w:sz w:val="18"/>
          <w:szCs w:val="18"/>
        </w:rPr>
        <w:t>4/25</w:t>
      </w:r>
      <w:r w:rsidRPr="008957AF">
        <w:rPr>
          <w:rFonts w:ascii="Arial" w:hAnsi="Arial" w:cs="Arial"/>
          <w:sz w:val="18"/>
          <w:szCs w:val="18"/>
        </w:rPr>
        <w:t>: £</w:t>
      </w:r>
      <w:r w:rsidR="00161E81" w:rsidRPr="008957AF">
        <w:rPr>
          <w:rFonts w:ascii="Arial" w:hAnsi="Arial" w:cs="Arial"/>
          <w:sz w:val="18"/>
          <w:szCs w:val="18"/>
        </w:rPr>
        <w:t>32</w:t>
      </w:r>
      <w:r w:rsidRPr="008957AF">
        <w:rPr>
          <w:rFonts w:ascii="Arial" w:hAnsi="Arial" w:cs="Arial"/>
          <w:sz w:val="18"/>
          <w:szCs w:val="18"/>
        </w:rPr>
        <w:t xml:space="preserve"> million) were paid to local authorities. This is a direct cost to the Company and reduces profit before tax. </w:t>
      </w:r>
    </w:p>
    <w:p w14:paraId="1C1A5408" w14:textId="404879D6" w:rsidR="00FD779A" w:rsidRPr="008957AF" w:rsidRDefault="00FD779A" w:rsidP="00FD779A">
      <w:pPr>
        <w:rPr>
          <w:rFonts w:ascii="Arial" w:hAnsi="Arial" w:cs="Arial"/>
          <w:sz w:val="18"/>
          <w:szCs w:val="18"/>
        </w:rPr>
      </w:pPr>
      <w:r w:rsidRPr="008957AF">
        <w:rPr>
          <w:rFonts w:ascii="Arial" w:hAnsi="Arial" w:cs="Arial"/>
          <w:sz w:val="18"/>
          <w:szCs w:val="18"/>
        </w:rPr>
        <w:t>UK Corporation Tax receipts from HMRC in the year were £</w:t>
      </w:r>
      <w:r w:rsidR="00056F26" w:rsidRPr="008957AF">
        <w:rPr>
          <w:rFonts w:ascii="Arial" w:hAnsi="Arial" w:cs="Arial"/>
          <w:sz w:val="18"/>
          <w:szCs w:val="18"/>
        </w:rPr>
        <w:t>1</w:t>
      </w:r>
      <w:r w:rsidRPr="008957AF">
        <w:rPr>
          <w:rFonts w:ascii="Arial" w:hAnsi="Arial" w:cs="Arial"/>
          <w:sz w:val="18"/>
          <w:szCs w:val="18"/>
        </w:rPr>
        <w:t xml:space="preserve"> million (202</w:t>
      </w:r>
      <w:r w:rsidR="00161E81" w:rsidRPr="008957AF">
        <w:rPr>
          <w:rFonts w:ascii="Arial" w:hAnsi="Arial" w:cs="Arial"/>
          <w:sz w:val="18"/>
          <w:szCs w:val="18"/>
        </w:rPr>
        <w:t>4/25</w:t>
      </w:r>
      <w:r w:rsidRPr="008957AF">
        <w:rPr>
          <w:rFonts w:ascii="Arial" w:hAnsi="Arial" w:cs="Arial"/>
          <w:sz w:val="18"/>
          <w:szCs w:val="18"/>
        </w:rPr>
        <w:t>: £3 million receipts) in relation to over-payments made in prior years. There were no payments due in respect of 20</w:t>
      </w:r>
      <w:r w:rsidR="00161E81" w:rsidRPr="008957AF">
        <w:rPr>
          <w:rFonts w:ascii="Arial" w:hAnsi="Arial" w:cs="Arial"/>
          <w:sz w:val="18"/>
          <w:szCs w:val="18"/>
        </w:rPr>
        <w:t>25/26</w:t>
      </w:r>
      <w:r w:rsidRPr="008957AF">
        <w:rPr>
          <w:rFonts w:ascii="Arial" w:hAnsi="Arial" w:cs="Arial"/>
          <w:sz w:val="18"/>
          <w:szCs w:val="18"/>
        </w:rPr>
        <w:t xml:space="preserve"> or 202</w:t>
      </w:r>
      <w:r w:rsidR="00161E81" w:rsidRPr="008957AF">
        <w:rPr>
          <w:rFonts w:ascii="Arial" w:hAnsi="Arial" w:cs="Arial"/>
          <w:sz w:val="18"/>
          <w:szCs w:val="18"/>
        </w:rPr>
        <w:t>4/25</w:t>
      </w:r>
      <w:r w:rsidRPr="008957AF">
        <w:rPr>
          <w:rFonts w:ascii="Arial" w:hAnsi="Arial" w:cs="Arial"/>
          <w:sz w:val="18"/>
          <w:szCs w:val="18"/>
        </w:rPr>
        <w:t xml:space="preserve"> as the Company has generated tax losses in both years.</w:t>
      </w:r>
    </w:p>
    <w:p w14:paraId="39166609" w14:textId="72C27FD7" w:rsidR="00FD779A" w:rsidRPr="00B318D0" w:rsidRDefault="00FD779A" w:rsidP="00FD779A">
      <w:pPr>
        <w:rPr>
          <w:rFonts w:ascii="Arial" w:hAnsi="Arial" w:cs="Arial"/>
          <w:sz w:val="18"/>
          <w:szCs w:val="18"/>
          <w:highlight w:val="yellow"/>
        </w:rPr>
      </w:pPr>
      <w:r w:rsidRPr="008957AF">
        <w:rPr>
          <w:rFonts w:ascii="Arial" w:hAnsi="Arial" w:cs="Arial"/>
          <w:sz w:val="18"/>
          <w:szCs w:val="18"/>
        </w:rPr>
        <w:t>Payments to the Environment Agency and other regulatory bodies totalled £2</w:t>
      </w:r>
      <w:r w:rsidR="00690079">
        <w:rPr>
          <w:rFonts w:ascii="Arial" w:hAnsi="Arial" w:cs="Arial"/>
          <w:sz w:val="18"/>
          <w:szCs w:val="18"/>
        </w:rPr>
        <w:t>7</w:t>
      </w:r>
      <w:r w:rsidRPr="008957AF">
        <w:rPr>
          <w:rFonts w:ascii="Arial" w:hAnsi="Arial" w:cs="Arial"/>
          <w:sz w:val="18"/>
          <w:szCs w:val="18"/>
        </w:rPr>
        <w:t xml:space="preserve"> million (202</w:t>
      </w:r>
      <w:r w:rsidR="001F4528" w:rsidRPr="008957AF">
        <w:rPr>
          <w:rFonts w:ascii="Arial" w:hAnsi="Arial" w:cs="Arial"/>
          <w:sz w:val="18"/>
          <w:szCs w:val="18"/>
        </w:rPr>
        <w:t>4/25</w:t>
      </w:r>
      <w:r w:rsidRPr="008957AF">
        <w:rPr>
          <w:rFonts w:ascii="Arial" w:hAnsi="Arial" w:cs="Arial"/>
          <w:sz w:val="18"/>
          <w:szCs w:val="18"/>
        </w:rPr>
        <w:t>: £</w:t>
      </w:r>
      <w:r w:rsidR="001F4528" w:rsidRPr="008957AF">
        <w:rPr>
          <w:rFonts w:ascii="Arial" w:hAnsi="Arial" w:cs="Arial"/>
          <w:sz w:val="18"/>
          <w:szCs w:val="18"/>
        </w:rPr>
        <w:t>20</w:t>
      </w:r>
      <w:r w:rsidRPr="008957AF">
        <w:rPr>
          <w:rFonts w:ascii="Arial" w:hAnsi="Arial" w:cs="Arial"/>
          <w:sz w:val="18"/>
          <w:szCs w:val="18"/>
        </w:rPr>
        <w:t xml:space="preserve"> million). This reduces profit before tax. Fuel excise duty of £1 million (2024</w:t>
      </w:r>
      <w:r w:rsidR="001F4528" w:rsidRPr="008957AF">
        <w:rPr>
          <w:rFonts w:ascii="Arial" w:hAnsi="Arial" w:cs="Arial"/>
          <w:sz w:val="18"/>
          <w:szCs w:val="18"/>
        </w:rPr>
        <w:t>/25</w:t>
      </w:r>
      <w:r w:rsidRPr="00056F26">
        <w:rPr>
          <w:rFonts w:ascii="Arial" w:hAnsi="Arial" w:cs="Arial"/>
          <w:sz w:val="18"/>
          <w:szCs w:val="18"/>
        </w:rPr>
        <w:t>: £1 million) related to transport costs. This reduces profit before tax. VAT repayments of £1</w:t>
      </w:r>
      <w:r w:rsidR="00056F26" w:rsidRPr="00056F26">
        <w:rPr>
          <w:rFonts w:ascii="Arial" w:hAnsi="Arial" w:cs="Arial"/>
          <w:sz w:val="18"/>
          <w:szCs w:val="18"/>
        </w:rPr>
        <w:t>25</w:t>
      </w:r>
      <w:r w:rsidRPr="00056F26">
        <w:rPr>
          <w:rFonts w:ascii="Arial" w:hAnsi="Arial" w:cs="Arial"/>
          <w:sz w:val="18"/>
          <w:szCs w:val="18"/>
        </w:rPr>
        <w:t xml:space="preserve"> million (202</w:t>
      </w:r>
      <w:r w:rsidR="001F4528" w:rsidRPr="00056F26">
        <w:rPr>
          <w:rFonts w:ascii="Arial" w:hAnsi="Arial" w:cs="Arial"/>
          <w:sz w:val="18"/>
          <w:szCs w:val="18"/>
        </w:rPr>
        <w:t>4/25</w:t>
      </w:r>
      <w:r w:rsidRPr="00056F26">
        <w:rPr>
          <w:rFonts w:ascii="Arial" w:hAnsi="Arial" w:cs="Arial"/>
          <w:sz w:val="18"/>
          <w:szCs w:val="18"/>
        </w:rPr>
        <w:t>: £1</w:t>
      </w:r>
      <w:r w:rsidR="001F4528" w:rsidRPr="00056F26">
        <w:rPr>
          <w:rFonts w:ascii="Arial" w:hAnsi="Arial" w:cs="Arial"/>
          <w:sz w:val="18"/>
          <w:szCs w:val="18"/>
        </w:rPr>
        <w:t>3</w:t>
      </w:r>
      <w:r w:rsidR="001F4528" w:rsidRPr="001F4528">
        <w:rPr>
          <w:rFonts w:ascii="Arial" w:hAnsi="Arial" w:cs="Arial"/>
          <w:sz w:val="18"/>
          <w:szCs w:val="18"/>
        </w:rPr>
        <w:t>4</w:t>
      </w:r>
      <w:r w:rsidRPr="001F4528">
        <w:rPr>
          <w:rFonts w:ascii="Arial" w:hAnsi="Arial" w:cs="Arial"/>
          <w:sz w:val="18"/>
          <w:szCs w:val="18"/>
        </w:rPr>
        <w:t xml:space="preserve"> million) have been received by the Company from HMRC. VAT has no material impact on profit and is excluded from the TTC figure to avoid distortions in this.</w:t>
      </w:r>
    </w:p>
    <w:bookmarkEnd w:id="19"/>
    <w:p w14:paraId="2434C03F" w14:textId="290B3FD0" w:rsidR="0020035B" w:rsidRPr="0020035B" w:rsidRDefault="00FD779A" w:rsidP="0020035B">
      <w:pPr>
        <w:rPr>
          <w:rFonts w:ascii="Arial" w:hAnsi="Arial" w:cs="Arial"/>
          <w:sz w:val="18"/>
          <w:szCs w:val="18"/>
        </w:rPr>
      </w:pPr>
      <w:r w:rsidRPr="003F34DB">
        <w:rPr>
          <w:rFonts w:ascii="Arial" w:eastAsia="Times New Roman" w:hAnsi="Arial" w:cs="Arial"/>
          <w:i/>
          <w:caps/>
          <w:sz w:val="18"/>
          <w:szCs w:val="18"/>
        </w:rPr>
        <w:t>contingencies</w:t>
      </w:r>
      <w:r w:rsidRPr="003F34DB">
        <w:rPr>
          <w:rFonts w:ascii="Arial" w:eastAsia="Times New Roman" w:hAnsi="Arial" w:cs="Arial"/>
          <w:i/>
          <w:caps/>
          <w:sz w:val="18"/>
          <w:szCs w:val="18"/>
        </w:rPr>
        <w:br/>
      </w:r>
      <w:r w:rsidR="0020035B" w:rsidRPr="0020035B">
        <w:rPr>
          <w:rFonts w:ascii="Arial" w:hAnsi="Arial" w:cs="Arial"/>
          <w:sz w:val="18"/>
          <w:szCs w:val="18"/>
        </w:rPr>
        <w:t>Ofwat and the Environment Agency (EA) announced an</w:t>
      </w:r>
      <w:r w:rsidR="0020035B">
        <w:rPr>
          <w:rFonts w:ascii="Arial" w:hAnsi="Arial" w:cs="Arial"/>
          <w:sz w:val="18"/>
          <w:szCs w:val="18"/>
        </w:rPr>
        <w:t xml:space="preserve"> </w:t>
      </w:r>
      <w:r w:rsidR="0020035B" w:rsidRPr="0020035B">
        <w:rPr>
          <w:rFonts w:ascii="Arial" w:hAnsi="Arial" w:cs="Arial"/>
          <w:sz w:val="18"/>
          <w:szCs w:val="18"/>
        </w:rPr>
        <w:t>industry-wide investigation into sewage treatment works</w:t>
      </w:r>
      <w:r w:rsidR="0020035B">
        <w:rPr>
          <w:rFonts w:ascii="Arial" w:hAnsi="Arial" w:cs="Arial"/>
          <w:sz w:val="18"/>
          <w:szCs w:val="18"/>
        </w:rPr>
        <w:t xml:space="preserve"> </w:t>
      </w:r>
      <w:r w:rsidR="0020035B" w:rsidRPr="0020035B">
        <w:rPr>
          <w:rFonts w:ascii="Arial" w:hAnsi="Arial" w:cs="Arial"/>
          <w:sz w:val="18"/>
          <w:szCs w:val="18"/>
        </w:rPr>
        <w:t>on 18 November 2021. On 10 July 2025, Ofwat announced</w:t>
      </w:r>
      <w:r w:rsidR="0020035B">
        <w:rPr>
          <w:rFonts w:ascii="Arial" w:hAnsi="Arial" w:cs="Arial"/>
          <w:sz w:val="18"/>
          <w:szCs w:val="18"/>
        </w:rPr>
        <w:t xml:space="preserve"> </w:t>
      </w:r>
      <w:r w:rsidR="0020035B" w:rsidRPr="0020035B">
        <w:rPr>
          <w:rFonts w:ascii="Arial" w:hAnsi="Arial" w:cs="Arial"/>
          <w:sz w:val="18"/>
          <w:szCs w:val="18"/>
        </w:rPr>
        <w:t xml:space="preserve">its findings for </w:t>
      </w:r>
      <w:proofErr w:type="gramStart"/>
      <w:r w:rsidR="0020035B" w:rsidRPr="0020035B">
        <w:rPr>
          <w:rFonts w:ascii="Arial" w:hAnsi="Arial" w:cs="Arial"/>
          <w:sz w:val="18"/>
          <w:szCs w:val="18"/>
        </w:rPr>
        <w:t>South West</w:t>
      </w:r>
      <w:proofErr w:type="gramEnd"/>
      <w:r w:rsidR="0020035B" w:rsidRPr="0020035B">
        <w:rPr>
          <w:rFonts w:ascii="Arial" w:hAnsi="Arial" w:cs="Arial"/>
          <w:sz w:val="18"/>
          <w:szCs w:val="18"/>
        </w:rPr>
        <w:t xml:space="preserve"> Water and its decision to</w:t>
      </w:r>
      <w:r w:rsidR="0020035B">
        <w:rPr>
          <w:rFonts w:ascii="Arial" w:hAnsi="Arial" w:cs="Arial"/>
          <w:sz w:val="18"/>
          <w:szCs w:val="18"/>
        </w:rPr>
        <w:t xml:space="preserve"> </w:t>
      </w:r>
      <w:r w:rsidR="0020035B" w:rsidRPr="0020035B">
        <w:rPr>
          <w:rFonts w:ascii="Arial" w:hAnsi="Arial" w:cs="Arial"/>
          <w:sz w:val="18"/>
          <w:szCs w:val="18"/>
        </w:rPr>
        <w:t xml:space="preserve">accept </w:t>
      </w:r>
      <w:proofErr w:type="gramStart"/>
      <w:r w:rsidR="0020035B" w:rsidRPr="0020035B">
        <w:rPr>
          <w:rFonts w:ascii="Arial" w:hAnsi="Arial" w:cs="Arial"/>
          <w:sz w:val="18"/>
          <w:szCs w:val="18"/>
        </w:rPr>
        <w:t>South West</w:t>
      </w:r>
      <w:proofErr w:type="gramEnd"/>
      <w:r w:rsidR="0020035B" w:rsidRPr="0020035B">
        <w:rPr>
          <w:rFonts w:ascii="Arial" w:hAnsi="Arial" w:cs="Arial"/>
          <w:sz w:val="18"/>
          <w:szCs w:val="18"/>
        </w:rPr>
        <w:t xml:space="preserve"> Water’s enforcement package, in lieu</w:t>
      </w:r>
      <w:r w:rsidR="0020035B">
        <w:rPr>
          <w:rFonts w:ascii="Arial" w:hAnsi="Arial" w:cs="Arial"/>
          <w:sz w:val="18"/>
          <w:szCs w:val="18"/>
        </w:rPr>
        <w:t xml:space="preserve"> </w:t>
      </w:r>
      <w:r w:rsidR="0020035B" w:rsidRPr="0020035B">
        <w:rPr>
          <w:rFonts w:ascii="Arial" w:hAnsi="Arial" w:cs="Arial"/>
          <w:sz w:val="18"/>
          <w:szCs w:val="18"/>
        </w:rPr>
        <w:t>of a financial penalty. The agreed undertakings consist</w:t>
      </w:r>
      <w:r w:rsidR="0020035B">
        <w:rPr>
          <w:rFonts w:ascii="Arial" w:hAnsi="Arial" w:cs="Arial"/>
          <w:sz w:val="18"/>
          <w:szCs w:val="18"/>
        </w:rPr>
        <w:t xml:space="preserve"> </w:t>
      </w:r>
      <w:r w:rsidR="0020035B" w:rsidRPr="0020035B">
        <w:rPr>
          <w:rFonts w:ascii="Arial" w:hAnsi="Arial" w:cs="Arial"/>
          <w:sz w:val="18"/>
          <w:szCs w:val="18"/>
        </w:rPr>
        <w:t>of investing £20 million between 2025-2030 to reduce</w:t>
      </w:r>
      <w:r w:rsidR="0020035B">
        <w:rPr>
          <w:rFonts w:ascii="Arial" w:hAnsi="Arial" w:cs="Arial"/>
          <w:sz w:val="18"/>
          <w:szCs w:val="18"/>
        </w:rPr>
        <w:t xml:space="preserve"> </w:t>
      </w:r>
      <w:r w:rsidR="0020035B" w:rsidRPr="0020035B">
        <w:rPr>
          <w:rFonts w:ascii="Arial" w:hAnsi="Arial" w:cs="Arial"/>
          <w:sz w:val="18"/>
          <w:szCs w:val="18"/>
        </w:rPr>
        <w:t>spills from specific outflows, establishing a £2 million</w:t>
      </w:r>
      <w:r w:rsidR="0020035B">
        <w:rPr>
          <w:rFonts w:ascii="Arial" w:hAnsi="Arial" w:cs="Arial"/>
          <w:sz w:val="18"/>
          <w:szCs w:val="18"/>
        </w:rPr>
        <w:t xml:space="preserve"> </w:t>
      </w:r>
      <w:r w:rsidR="0020035B" w:rsidRPr="0020035B">
        <w:rPr>
          <w:rFonts w:ascii="Arial" w:hAnsi="Arial" w:cs="Arial"/>
          <w:sz w:val="18"/>
          <w:szCs w:val="18"/>
        </w:rPr>
        <w:t>local fund to tackle sewer misconnections and providing</w:t>
      </w:r>
      <w:r w:rsidR="0020035B">
        <w:rPr>
          <w:rFonts w:ascii="Arial" w:hAnsi="Arial" w:cs="Arial"/>
          <w:sz w:val="18"/>
          <w:szCs w:val="18"/>
        </w:rPr>
        <w:t xml:space="preserve"> </w:t>
      </w:r>
      <w:r w:rsidR="0020035B" w:rsidRPr="0020035B">
        <w:rPr>
          <w:rFonts w:ascii="Arial" w:hAnsi="Arial" w:cs="Arial"/>
          <w:sz w:val="18"/>
          <w:szCs w:val="18"/>
        </w:rPr>
        <w:t>£2 million of funding through a Nature Recovery Fund</w:t>
      </w:r>
      <w:r w:rsidR="0020035B">
        <w:rPr>
          <w:rFonts w:ascii="Arial" w:hAnsi="Arial" w:cs="Arial"/>
          <w:sz w:val="18"/>
          <w:szCs w:val="18"/>
        </w:rPr>
        <w:t xml:space="preserve"> </w:t>
      </w:r>
      <w:r w:rsidR="0020035B" w:rsidRPr="0020035B">
        <w:rPr>
          <w:rFonts w:ascii="Arial" w:hAnsi="Arial" w:cs="Arial"/>
          <w:sz w:val="18"/>
          <w:szCs w:val="18"/>
        </w:rPr>
        <w:t>to support environmental groups. The costs in relation</w:t>
      </w:r>
      <w:r w:rsidR="0020035B">
        <w:rPr>
          <w:rFonts w:ascii="Arial" w:hAnsi="Arial" w:cs="Arial"/>
          <w:sz w:val="18"/>
          <w:szCs w:val="18"/>
        </w:rPr>
        <w:t xml:space="preserve"> </w:t>
      </w:r>
      <w:r w:rsidR="0020035B" w:rsidRPr="0020035B">
        <w:rPr>
          <w:rFonts w:ascii="Arial" w:hAnsi="Arial" w:cs="Arial"/>
          <w:sz w:val="18"/>
          <w:szCs w:val="18"/>
        </w:rPr>
        <w:t>to the £20 million investment will be accounted for as</w:t>
      </w:r>
      <w:r w:rsidR="0020035B">
        <w:rPr>
          <w:rFonts w:ascii="Arial" w:hAnsi="Arial" w:cs="Arial"/>
          <w:sz w:val="18"/>
          <w:szCs w:val="18"/>
        </w:rPr>
        <w:t xml:space="preserve"> </w:t>
      </w:r>
      <w:r w:rsidR="0020035B" w:rsidRPr="0020035B">
        <w:rPr>
          <w:rFonts w:ascii="Arial" w:hAnsi="Arial" w:cs="Arial"/>
          <w:sz w:val="18"/>
          <w:szCs w:val="18"/>
        </w:rPr>
        <w:t>capital when incurred.</w:t>
      </w:r>
    </w:p>
    <w:p w14:paraId="66642C71" w14:textId="2000422D" w:rsidR="0020035B" w:rsidRPr="0020035B" w:rsidRDefault="0020035B" w:rsidP="0020035B">
      <w:pPr>
        <w:rPr>
          <w:rFonts w:ascii="Arial" w:hAnsi="Arial" w:cs="Arial"/>
          <w:sz w:val="18"/>
          <w:szCs w:val="18"/>
        </w:rPr>
      </w:pPr>
      <w:r w:rsidRPr="0020035B">
        <w:rPr>
          <w:rFonts w:ascii="Arial" w:hAnsi="Arial" w:cs="Arial"/>
          <w:sz w:val="18"/>
          <w:szCs w:val="18"/>
        </w:rPr>
        <w:t xml:space="preserve">On 2 February 2024, a summons was received by </w:t>
      </w:r>
      <w:proofErr w:type="gramStart"/>
      <w:r w:rsidRPr="0020035B">
        <w:rPr>
          <w:rFonts w:ascii="Arial" w:hAnsi="Arial" w:cs="Arial"/>
          <w:sz w:val="18"/>
          <w:szCs w:val="18"/>
        </w:rPr>
        <w:t>South</w:t>
      </w:r>
      <w:r>
        <w:rPr>
          <w:rFonts w:ascii="Arial" w:hAnsi="Arial" w:cs="Arial"/>
          <w:sz w:val="18"/>
          <w:szCs w:val="18"/>
        </w:rPr>
        <w:t xml:space="preserve"> </w:t>
      </w:r>
      <w:r w:rsidRPr="0020035B">
        <w:rPr>
          <w:rFonts w:ascii="Arial" w:hAnsi="Arial" w:cs="Arial"/>
          <w:sz w:val="18"/>
          <w:szCs w:val="18"/>
        </w:rPr>
        <w:t>West</w:t>
      </w:r>
      <w:proofErr w:type="gramEnd"/>
      <w:r w:rsidRPr="0020035B">
        <w:rPr>
          <w:rFonts w:ascii="Arial" w:hAnsi="Arial" w:cs="Arial"/>
          <w:sz w:val="18"/>
          <w:szCs w:val="18"/>
        </w:rPr>
        <w:t xml:space="preserve"> Water from the EA in relation to water discharge</w:t>
      </w:r>
      <w:r>
        <w:rPr>
          <w:rFonts w:ascii="Arial" w:hAnsi="Arial" w:cs="Arial"/>
          <w:sz w:val="18"/>
          <w:szCs w:val="18"/>
        </w:rPr>
        <w:t xml:space="preserve"> </w:t>
      </w:r>
      <w:r w:rsidRPr="0020035B">
        <w:rPr>
          <w:rFonts w:ascii="Arial" w:hAnsi="Arial" w:cs="Arial"/>
          <w:sz w:val="18"/>
          <w:szCs w:val="18"/>
        </w:rPr>
        <w:t>activity at seven locations with a total of 30 charges.</w:t>
      </w:r>
      <w:r>
        <w:rPr>
          <w:rFonts w:ascii="Arial" w:hAnsi="Arial" w:cs="Arial"/>
          <w:sz w:val="18"/>
          <w:szCs w:val="18"/>
        </w:rPr>
        <w:t xml:space="preserve"> </w:t>
      </w:r>
      <w:r w:rsidRPr="0020035B">
        <w:rPr>
          <w:rFonts w:ascii="Arial" w:hAnsi="Arial" w:cs="Arial"/>
          <w:sz w:val="18"/>
          <w:szCs w:val="18"/>
        </w:rPr>
        <w:t>The EA have since withdrawn six of these charges</w:t>
      </w:r>
      <w:r>
        <w:rPr>
          <w:rFonts w:ascii="Arial" w:hAnsi="Arial" w:cs="Arial"/>
          <w:sz w:val="18"/>
          <w:szCs w:val="18"/>
        </w:rPr>
        <w:t xml:space="preserve"> </w:t>
      </w:r>
      <w:r w:rsidRPr="0020035B">
        <w:rPr>
          <w:rFonts w:ascii="Arial" w:hAnsi="Arial" w:cs="Arial"/>
          <w:sz w:val="18"/>
          <w:szCs w:val="18"/>
        </w:rPr>
        <w:t>relating to one site. Sentencing was held on 12 and</w:t>
      </w:r>
      <w:r>
        <w:rPr>
          <w:rFonts w:ascii="Arial" w:hAnsi="Arial" w:cs="Arial"/>
          <w:sz w:val="18"/>
          <w:szCs w:val="18"/>
        </w:rPr>
        <w:t xml:space="preserve"> </w:t>
      </w:r>
      <w:r w:rsidRPr="0020035B">
        <w:rPr>
          <w:rFonts w:ascii="Arial" w:hAnsi="Arial" w:cs="Arial"/>
          <w:sz w:val="18"/>
          <w:szCs w:val="18"/>
        </w:rPr>
        <w:t>13 March 2026, although the value of any fine will not</w:t>
      </w:r>
      <w:r>
        <w:rPr>
          <w:rFonts w:ascii="Arial" w:hAnsi="Arial" w:cs="Arial"/>
          <w:sz w:val="18"/>
          <w:szCs w:val="18"/>
        </w:rPr>
        <w:t xml:space="preserve"> </w:t>
      </w:r>
      <w:r w:rsidRPr="0020035B">
        <w:rPr>
          <w:rFonts w:ascii="Arial" w:hAnsi="Arial" w:cs="Arial"/>
          <w:sz w:val="18"/>
          <w:szCs w:val="18"/>
        </w:rPr>
        <w:t>be known until the judgement is handed down on</w:t>
      </w:r>
      <w:r>
        <w:rPr>
          <w:rFonts w:ascii="Arial" w:hAnsi="Arial" w:cs="Arial"/>
          <w:sz w:val="18"/>
          <w:szCs w:val="18"/>
        </w:rPr>
        <w:t xml:space="preserve"> </w:t>
      </w:r>
      <w:r w:rsidRPr="0020035B">
        <w:rPr>
          <w:rFonts w:ascii="Arial" w:hAnsi="Arial" w:cs="Arial"/>
          <w:sz w:val="18"/>
          <w:szCs w:val="18"/>
        </w:rPr>
        <w:t>30 July 2026.</w:t>
      </w:r>
    </w:p>
    <w:p w14:paraId="5E969E34" w14:textId="446E991C" w:rsidR="0020035B" w:rsidRPr="0020035B" w:rsidRDefault="0020035B" w:rsidP="0020035B">
      <w:pPr>
        <w:rPr>
          <w:rFonts w:ascii="Arial" w:hAnsi="Arial" w:cs="Arial"/>
          <w:sz w:val="18"/>
          <w:szCs w:val="18"/>
        </w:rPr>
      </w:pPr>
      <w:r w:rsidRPr="0020035B">
        <w:rPr>
          <w:rFonts w:ascii="Arial" w:hAnsi="Arial" w:cs="Arial"/>
          <w:sz w:val="18"/>
          <w:szCs w:val="18"/>
        </w:rPr>
        <w:t>On 23 May 2023, Ofwat announced an investigation into</w:t>
      </w:r>
      <w:r>
        <w:rPr>
          <w:rFonts w:ascii="Arial" w:hAnsi="Arial" w:cs="Arial"/>
          <w:sz w:val="18"/>
          <w:szCs w:val="18"/>
        </w:rPr>
        <w:t xml:space="preserve"> </w:t>
      </w:r>
      <w:proofErr w:type="gramStart"/>
      <w:r w:rsidRPr="0020035B">
        <w:rPr>
          <w:rFonts w:ascii="Arial" w:hAnsi="Arial" w:cs="Arial"/>
          <w:sz w:val="18"/>
          <w:szCs w:val="18"/>
        </w:rPr>
        <w:t>South West</w:t>
      </w:r>
      <w:proofErr w:type="gramEnd"/>
      <w:r w:rsidRPr="0020035B">
        <w:rPr>
          <w:rFonts w:ascii="Arial" w:hAnsi="Arial" w:cs="Arial"/>
          <w:sz w:val="18"/>
          <w:szCs w:val="18"/>
        </w:rPr>
        <w:t xml:space="preserve"> Water’s 2021/22 operational performance</w:t>
      </w:r>
      <w:r>
        <w:rPr>
          <w:rFonts w:ascii="Arial" w:hAnsi="Arial" w:cs="Arial"/>
          <w:sz w:val="18"/>
          <w:szCs w:val="18"/>
        </w:rPr>
        <w:t xml:space="preserve"> </w:t>
      </w:r>
      <w:r w:rsidRPr="0020035B">
        <w:rPr>
          <w:rFonts w:ascii="Arial" w:hAnsi="Arial" w:cs="Arial"/>
          <w:sz w:val="18"/>
          <w:szCs w:val="18"/>
        </w:rPr>
        <w:t>data relating to leakage and per capita consumption.</w:t>
      </w:r>
      <w:r>
        <w:rPr>
          <w:rFonts w:ascii="Arial" w:hAnsi="Arial" w:cs="Arial"/>
          <w:sz w:val="18"/>
          <w:szCs w:val="18"/>
        </w:rPr>
        <w:t xml:space="preserve"> </w:t>
      </w:r>
      <w:r w:rsidRPr="0020035B">
        <w:rPr>
          <w:rFonts w:ascii="Arial" w:hAnsi="Arial" w:cs="Arial"/>
          <w:sz w:val="18"/>
          <w:szCs w:val="18"/>
        </w:rPr>
        <w:t>This operational performance data was reported in</w:t>
      </w:r>
      <w:r>
        <w:rPr>
          <w:rFonts w:ascii="Arial" w:hAnsi="Arial" w:cs="Arial"/>
          <w:sz w:val="18"/>
          <w:szCs w:val="18"/>
        </w:rPr>
        <w:t xml:space="preserve"> </w:t>
      </w:r>
      <w:proofErr w:type="gramStart"/>
      <w:r w:rsidRPr="0020035B">
        <w:rPr>
          <w:rFonts w:ascii="Arial" w:hAnsi="Arial" w:cs="Arial"/>
          <w:sz w:val="18"/>
          <w:szCs w:val="18"/>
        </w:rPr>
        <w:t>South West</w:t>
      </w:r>
      <w:proofErr w:type="gramEnd"/>
      <w:r w:rsidRPr="0020035B">
        <w:rPr>
          <w:rFonts w:ascii="Arial" w:hAnsi="Arial" w:cs="Arial"/>
          <w:sz w:val="18"/>
          <w:szCs w:val="18"/>
        </w:rPr>
        <w:t xml:space="preserve"> Water’s Annual Performance Report 2021/22.</w:t>
      </w:r>
      <w:r>
        <w:rPr>
          <w:rFonts w:ascii="Arial" w:hAnsi="Arial" w:cs="Arial"/>
          <w:sz w:val="18"/>
          <w:szCs w:val="18"/>
        </w:rPr>
        <w:t xml:space="preserve"> </w:t>
      </w:r>
      <w:r w:rsidRPr="0020035B">
        <w:rPr>
          <w:rFonts w:ascii="Arial" w:hAnsi="Arial" w:cs="Arial"/>
          <w:sz w:val="18"/>
          <w:szCs w:val="18"/>
        </w:rPr>
        <w:t>This report is subject to assurance processes which</w:t>
      </w:r>
      <w:r>
        <w:rPr>
          <w:rFonts w:ascii="Arial" w:hAnsi="Arial" w:cs="Arial"/>
          <w:sz w:val="18"/>
          <w:szCs w:val="18"/>
        </w:rPr>
        <w:t xml:space="preserve"> </w:t>
      </w:r>
      <w:r w:rsidRPr="0020035B">
        <w:rPr>
          <w:rFonts w:ascii="Arial" w:hAnsi="Arial" w:cs="Arial"/>
          <w:sz w:val="18"/>
          <w:szCs w:val="18"/>
        </w:rPr>
        <w:t>include independent checks and balances carried out</w:t>
      </w:r>
      <w:r>
        <w:rPr>
          <w:rFonts w:ascii="Arial" w:hAnsi="Arial" w:cs="Arial"/>
          <w:sz w:val="18"/>
          <w:szCs w:val="18"/>
        </w:rPr>
        <w:t xml:space="preserve"> </w:t>
      </w:r>
      <w:r w:rsidRPr="0020035B">
        <w:rPr>
          <w:rFonts w:ascii="Arial" w:hAnsi="Arial" w:cs="Arial"/>
          <w:sz w:val="18"/>
          <w:szCs w:val="18"/>
        </w:rPr>
        <w:t xml:space="preserve">by an external technical auditor. The </w:t>
      </w:r>
      <w:r>
        <w:rPr>
          <w:rFonts w:ascii="Arial" w:hAnsi="Arial" w:cs="Arial"/>
          <w:sz w:val="18"/>
          <w:szCs w:val="18"/>
        </w:rPr>
        <w:t>Company</w:t>
      </w:r>
      <w:r w:rsidRPr="0020035B">
        <w:rPr>
          <w:rFonts w:ascii="Arial" w:hAnsi="Arial" w:cs="Arial"/>
          <w:sz w:val="18"/>
          <w:szCs w:val="18"/>
        </w:rPr>
        <w:t xml:space="preserve"> continues to</w:t>
      </w:r>
      <w:r>
        <w:rPr>
          <w:rFonts w:ascii="Arial" w:hAnsi="Arial" w:cs="Arial"/>
          <w:sz w:val="18"/>
          <w:szCs w:val="18"/>
        </w:rPr>
        <w:t xml:space="preserve"> </w:t>
      </w:r>
      <w:r w:rsidRPr="0020035B">
        <w:rPr>
          <w:rFonts w:ascii="Arial" w:hAnsi="Arial" w:cs="Arial"/>
          <w:sz w:val="18"/>
          <w:szCs w:val="18"/>
        </w:rPr>
        <w:t>work openly and constructively with Ofwat to comply with</w:t>
      </w:r>
      <w:r>
        <w:rPr>
          <w:rFonts w:ascii="Arial" w:hAnsi="Arial" w:cs="Arial"/>
          <w:sz w:val="18"/>
          <w:szCs w:val="18"/>
        </w:rPr>
        <w:t xml:space="preserve"> </w:t>
      </w:r>
      <w:r w:rsidRPr="0020035B">
        <w:rPr>
          <w:rFonts w:ascii="Arial" w:hAnsi="Arial" w:cs="Arial"/>
          <w:sz w:val="18"/>
          <w:szCs w:val="18"/>
        </w:rPr>
        <w:t xml:space="preserve">the formal notice issued to </w:t>
      </w:r>
      <w:proofErr w:type="gramStart"/>
      <w:r w:rsidRPr="0020035B">
        <w:rPr>
          <w:rFonts w:ascii="Arial" w:hAnsi="Arial" w:cs="Arial"/>
          <w:sz w:val="18"/>
          <w:szCs w:val="18"/>
        </w:rPr>
        <w:t>South West</w:t>
      </w:r>
      <w:proofErr w:type="gramEnd"/>
      <w:r w:rsidRPr="0020035B">
        <w:rPr>
          <w:rFonts w:ascii="Arial" w:hAnsi="Arial" w:cs="Arial"/>
          <w:sz w:val="18"/>
          <w:szCs w:val="18"/>
        </w:rPr>
        <w:t xml:space="preserve"> Water as part of</w:t>
      </w:r>
      <w:r>
        <w:rPr>
          <w:rFonts w:ascii="Arial" w:hAnsi="Arial" w:cs="Arial"/>
          <w:sz w:val="18"/>
          <w:szCs w:val="18"/>
        </w:rPr>
        <w:t xml:space="preserve"> </w:t>
      </w:r>
      <w:r w:rsidRPr="0020035B">
        <w:rPr>
          <w:rFonts w:ascii="Arial" w:hAnsi="Arial" w:cs="Arial"/>
          <w:sz w:val="18"/>
          <w:szCs w:val="18"/>
        </w:rPr>
        <w:t>this investigation.</w:t>
      </w:r>
    </w:p>
    <w:p w14:paraId="743E4D6F" w14:textId="2E64C228" w:rsidR="0020035B" w:rsidRPr="0020035B" w:rsidRDefault="0020035B" w:rsidP="0020035B">
      <w:pPr>
        <w:rPr>
          <w:rFonts w:ascii="Arial" w:hAnsi="Arial" w:cs="Arial"/>
          <w:sz w:val="18"/>
          <w:szCs w:val="18"/>
        </w:rPr>
      </w:pPr>
      <w:r w:rsidRPr="0020035B">
        <w:rPr>
          <w:rFonts w:ascii="Arial" w:hAnsi="Arial" w:cs="Arial"/>
          <w:sz w:val="18"/>
          <w:szCs w:val="18"/>
        </w:rPr>
        <w:lastRenderedPageBreak/>
        <w:t xml:space="preserve">The </w:t>
      </w:r>
      <w:r>
        <w:rPr>
          <w:rFonts w:ascii="Arial" w:hAnsi="Arial" w:cs="Arial"/>
          <w:sz w:val="18"/>
          <w:szCs w:val="18"/>
        </w:rPr>
        <w:t>Company</w:t>
      </w:r>
      <w:r w:rsidRPr="0020035B">
        <w:rPr>
          <w:rFonts w:ascii="Arial" w:hAnsi="Arial" w:cs="Arial"/>
          <w:sz w:val="18"/>
          <w:szCs w:val="18"/>
        </w:rPr>
        <w:t xml:space="preserve"> has undertaken its own internal investigation</w:t>
      </w:r>
      <w:r>
        <w:rPr>
          <w:rFonts w:ascii="Arial" w:hAnsi="Arial" w:cs="Arial"/>
          <w:sz w:val="18"/>
          <w:szCs w:val="18"/>
        </w:rPr>
        <w:t xml:space="preserve"> </w:t>
      </w:r>
      <w:r w:rsidRPr="0020035B">
        <w:rPr>
          <w:rFonts w:ascii="Arial" w:hAnsi="Arial" w:cs="Arial"/>
          <w:sz w:val="18"/>
          <w:szCs w:val="18"/>
        </w:rPr>
        <w:t>into the data and third-party experts have concluded the</w:t>
      </w:r>
      <w:r>
        <w:rPr>
          <w:rFonts w:ascii="Arial" w:hAnsi="Arial" w:cs="Arial"/>
          <w:sz w:val="18"/>
          <w:szCs w:val="18"/>
        </w:rPr>
        <w:t xml:space="preserve"> </w:t>
      </w:r>
      <w:r w:rsidRPr="0020035B">
        <w:rPr>
          <w:rFonts w:ascii="Arial" w:hAnsi="Arial" w:cs="Arial"/>
          <w:sz w:val="18"/>
          <w:szCs w:val="18"/>
        </w:rPr>
        <w:t xml:space="preserve">calculations are within a tolerance as reported; as a </w:t>
      </w:r>
      <w:proofErr w:type="gramStart"/>
      <w:r w:rsidRPr="0020035B">
        <w:rPr>
          <w:rFonts w:ascii="Arial" w:hAnsi="Arial" w:cs="Arial"/>
          <w:sz w:val="18"/>
          <w:szCs w:val="18"/>
        </w:rPr>
        <w:t>result</w:t>
      </w:r>
      <w:proofErr w:type="gramEnd"/>
      <w:r>
        <w:rPr>
          <w:rFonts w:ascii="Arial" w:hAnsi="Arial" w:cs="Arial"/>
          <w:sz w:val="18"/>
          <w:szCs w:val="18"/>
        </w:rPr>
        <w:t xml:space="preserve"> </w:t>
      </w:r>
      <w:r w:rsidRPr="0020035B">
        <w:rPr>
          <w:rFonts w:ascii="Arial" w:hAnsi="Arial" w:cs="Arial"/>
          <w:sz w:val="18"/>
          <w:szCs w:val="18"/>
        </w:rPr>
        <w:t>there were no detrimental impacts to customers</w:t>
      </w:r>
      <w:r>
        <w:rPr>
          <w:rFonts w:ascii="Arial" w:hAnsi="Arial" w:cs="Arial"/>
          <w:sz w:val="18"/>
          <w:szCs w:val="18"/>
        </w:rPr>
        <w:t xml:space="preserve"> </w:t>
      </w:r>
      <w:r w:rsidRPr="0020035B">
        <w:rPr>
          <w:rFonts w:ascii="Arial" w:hAnsi="Arial" w:cs="Arial"/>
          <w:sz w:val="18"/>
          <w:szCs w:val="18"/>
        </w:rPr>
        <w:t>through</w:t>
      </w:r>
      <w:r>
        <w:rPr>
          <w:rFonts w:ascii="Arial" w:hAnsi="Arial" w:cs="Arial"/>
          <w:sz w:val="18"/>
          <w:szCs w:val="18"/>
        </w:rPr>
        <w:t xml:space="preserve"> </w:t>
      </w:r>
      <w:r w:rsidRPr="0020035B">
        <w:rPr>
          <w:rFonts w:ascii="Arial" w:hAnsi="Arial" w:cs="Arial"/>
          <w:sz w:val="18"/>
          <w:szCs w:val="18"/>
        </w:rPr>
        <w:t xml:space="preserve">ODIs. The </w:t>
      </w:r>
      <w:r>
        <w:rPr>
          <w:rFonts w:ascii="Arial" w:hAnsi="Arial" w:cs="Arial"/>
          <w:sz w:val="18"/>
          <w:szCs w:val="18"/>
        </w:rPr>
        <w:t>Company</w:t>
      </w:r>
      <w:r w:rsidRPr="0020035B">
        <w:rPr>
          <w:rFonts w:ascii="Arial" w:hAnsi="Arial" w:cs="Arial"/>
          <w:sz w:val="18"/>
          <w:szCs w:val="18"/>
        </w:rPr>
        <w:t xml:space="preserve"> recognises opportunities to enhance</w:t>
      </w:r>
      <w:r>
        <w:rPr>
          <w:rFonts w:ascii="Arial" w:hAnsi="Arial" w:cs="Arial"/>
          <w:sz w:val="18"/>
          <w:szCs w:val="18"/>
        </w:rPr>
        <w:t xml:space="preserve"> </w:t>
      </w:r>
      <w:r w:rsidRPr="0020035B">
        <w:rPr>
          <w:rFonts w:ascii="Arial" w:hAnsi="Arial" w:cs="Arial"/>
          <w:sz w:val="18"/>
          <w:szCs w:val="18"/>
        </w:rPr>
        <w:t xml:space="preserve">data quality to improve the estimation </w:t>
      </w:r>
      <w:proofErr w:type="gramStart"/>
      <w:r w:rsidRPr="0020035B">
        <w:rPr>
          <w:rFonts w:ascii="Arial" w:hAnsi="Arial" w:cs="Arial"/>
          <w:sz w:val="18"/>
          <w:szCs w:val="18"/>
        </w:rPr>
        <w:t>process</w:t>
      </w:r>
      <w:proofErr w:type="gramEnd"/>
      <w:r w:rsidRPr="0020035B">
        <w:rPr>
          <w:rFonts w:ascii="Arial" w:hAnsi="Arial" w:cs="Arial"/>
          <w:sz w:val="18"/>
          <w:szCs w:val="18"/>
        </w:rPr>
        <w:t xml:space="preserve"> and these</w:t>
      </w:r>
      <w:r>
        <w:rPr>
          <w:rFonts w:ascii="Arial" w:hAnsi="Arial" w:cs="Arial"/>
          <w:sz w:val="18"/>
          <w:szCs w:val="18"/>
        </w:rPr>
        <w:t xml:space="preserve"> </w:t>
      </w:r>
      <w:r w:rsidRPr="0020035B">
        <w:rPr>
          <w:rFonts w:ascii="Arial" w:hAnsi="Arial" w:cs="Arial"/>
          <w:sz w:val="18"/>
          <w:szCs w:val="18"/>
        </w:rPr>
        <w:t>have been shared with Ofwat. Until such time that an</w:t>
      </w:r>
      <w:r>
        <w:rPr>
          <w:rFonts w:ascii="Arial" w:hAnsi="Arial" w:cs="Arial"/>
          <w:sz w:val="18"/>
          <w:szCs w:val="18"/>
        </w:rPr>
        <w:t xml:space="preserve"> </w:t>
      </w:r>
      <w:r w:rsidRPr="0020035B">
        <w:rPr>
          <w:rFonts w:ascii="Arial" w:hAnsi="Arial" w:cs="Arial"/>
          <w:sz w:val="18"/>
          <w:szCs w:val="18"/>
        </w:rPr>
        <w:t>initial response is received, the potential outcome of</w:t>
      </w:r>
      <w:r>
        <w:rPr>
          <w:rFonts w:ascii="Arial" w:hAnsi="Arial" w:cs="Arial"/>
          <w:sz w:val="18"/>
          <w:szCs w:val="18"/>
        </w:rPr>
        <w:t xml:space="preserve"> </w:t>
      </w:r>
      <w:r w:rsidRPr="0020035B">
        <w:rPr>
          <w:rFonts w:ascii="Arial" w:hAnsi="Arial" w:cs="Arial"/>
          <w:sz w:val="18"/>
          <w:szCs w:val="18"/>
        </w:rPr>
        <w:t>these investigations continues to be unknown. Ofwat has</w:t>
      </w:r>
      <w:r>
        <w:rPr>
          <w:rFonts w:ascii="Arial" w:hAnsi="Arial" w:cs="Arial"/>
          <w:sz w:val="18"/>
          <w:szCs w:val="18"/>
        </w:rPr>
        <w:t xml:space="preserve"> </w:t>
      </w:r>
      <w:r w:rsidRPr="0020035B">
        <w:rPr>
          <w:rFonts w:ascii="Arial" w:hAnsi="Arial" w:cs="Arial"/>
          <w:sz w:val="18"/>
          <w:szCs w:val="18"/>
        </w:rPr>
        <w:t>a range of options that it could apply, from closing the</w:t>
      </w:r>
      <w:r>
        <w:rPr>
          <w:rFonts w:ascii="Arial" w:hAnsi="Arial" w:cs="Arial"/>
          <w:sz w:val="18"/>
          <w:szCs w:val="18"/>
        </w:rPr>
        <w:t xml:space="preserve"> </w:t>
      </w:r>
      <w:r w:rsidRPr="0020035B">
        <w:rPr>
          <w:rFonts w:ascii="Arial" w:hAnsi="Arial" w:cs="Arial"/>
          <w:sz w:val="18"/>
          <w:szCs w:val="18"/>
        </w:rPr>
        <w:t>investigation with no further action, agreeing to formal</w:t>
      </w:r>
      <w:r>
        <w:rPr>
          <w:rFonts w:ascii="Arial" w:hAnsi="Arial" w:cs="Arial"/>
          <w:sz w:val="18"/>
          <w:szCs w:val="18"/>
        </w:rPr>
        <w:t xml:space="preserve"> </w:t>
      </w:r>
      <w:r w:rsidRPr="0020035B">
        <w:rPr>
          <w:rFonts w:ascii="Arial" w:hAnsi="Arial" w:cs="Arial"/>
          <w:sz w:val="18"/>
          <w:szCs w:val="18"/>
        </w:rPr>
        <w:t xml:space="preserve">S.19 undertakings, through to fining the </w:t>
      </w:r>
      <w:r>
        <w:rPr>
          <w:rFonts w:ascii="Arial" w:hAnsi="Arial" w:cs="Arial"/>
          <w:sz w:val="18"/>
          <w:szCs w:val="18"/>
        </w:rPr>
        <w:t>Company</w:t>
      </w:r>
      <w:r w:rsidRPr="0020035B">
        <w:rPr>
          <w:rFonts w:ascii="Arial" w:hAnsi="Arial" w:cs="Arial"/>
          <w:sz w:val="18"/>
          <w:szCs w:val="18"/>
        </w:rPr>
        <w:t xml:space="preserve"> up to 10%</w:t>
      </w:r>
      <w:r>
        <w:rPr>
          <w:rFonts w:ascii="Arial" w:hAnsi="Arial" w:cs="Arial"/>
          <w:sz w:val="18"/>
          <w:szCs w:val="18"/>
        </w:rPr>
        <w:t xml:space="preserve"> </w:t>
      </w:r>
      <w:r w:rsidRPr="0020035B">
        <w:rPr>
          <w:rFonts w:ascii="Arial" w:hAnsi="Arial" w:cs="Arial"/>
          <w:sz w:val="18"/>
          <w:szCs w:val="18"/>
        </w:rPr>
        <w:t>of its revenue, in relation to the regulated drinking water</w:t>
      </w:r>
      <w:r>
        <w:rPr>
          <w:rFonts w:ascii="Arial" w:hAnsi="Arial" w:cs="Arial"/>
          <w:sz w:val="18"/>
          <w:szCs w:val="18"/>
        </w:rPr>
        <w:t xml:space="preserve"> </w:t>
      </w:r>
      <w:r w:rsidRPr="0020035B">
        <w:rPr>
          <w:rFonts w:ascii="Arial" w:hAnsi="Arial" w:cs="Arial"/>
          <w:sz w:val="18"/>
          <w:szCs w:val="18"/>
        </w:rPr>
        <w:t>business. Given the wide range of possible outcomes</w:t>
      </w:r>
      <w:r>
        <w:rPr>
          <w:rFonts w:ascii="Arial" w:hAnsi="Arial" w:cs="Arial"/>
          <w:sz w:val="18"/>
          <w:szCs w:val="18"/>
        </w:rPr>
        <w:t xml:space="preserve"> </w:t>
      </w:r>
      <w:r w:rsidRPr="0020035B">
        <w:rPr>
          <w:rFonts w:ascii="Arial" w:hAnsi="Arial" w:cs="Arial"/>
          <w:sz w:val="18"/>
          <w:szCs w:val="18"/>
        </w:rPr>
        <w:t>therefore the potential outcome of this investigation</w:t>
      </w:r>
      <w:r>
        <w:rPr>
          <w:rFonts w:ascii="Arial" w:hAnsi="Arial" w:cs="Arial"/>
          <w:sz w:val="18"/>
          <w:szCs w:val="18"/>
        </w:rPr>
        <w:t xml:space="preserve"> </w:t>
      </w:r>
      <w:r w:rsidRPr="0020035B">
        <w:rPr>
          <w:rFonts w:ascii="Arial" w:hAnsi="Arial" w:cs="Arial"/>
          <w:sz w:val="18"/>
          <w:szCs w:val="18"/>
        </w:rPr>
        <w:t>continues to be unknown, and it is not possible to</w:t>
      </w:r>
      <w:r>
        <w:rPr>
          <w:rFonts w:ascii="Arial" w:hAnsi="Arial" w:cs="Arial"/>
          <w:sz w:val="18"/>
          <w:szCs w:val="18"/>
        </w:rPr>
        <w:t xml:space="preserve"> </w:t>
      </w:r>
      <w:r w:rsidRPr="0020035B">
        <w:rPr>
          <w:rFonts w:ascii="Arial" w:hAnsi="Arial" w:cs="Arial"/>
          <w:sz w:val="18"/>
          <w:szCs w:val="18"/>
        </w:rPr>
        <w:t>estimate any obligations arising from the investigation</w:t>
      </w:r>
      <w:r>
        <w:rPr>
          <w:rFonts w:ascii="Arial" w:hAnsi="Arial" w:cs="Arial"/>
          <w:sz w:val="18"/>
          <w:szCs w:val="18"/>
        </w:rPr>
        <w:t xml:space="preserve"> </w:t>
      </w:r>
      <w:r w:rsidRPr="0020035B">
        <w:rPr>
          <w:rFonts w:ascii="Arial" w:hAnsi="Arial" w:cs="Arial"/>
          <w:sz w:val="18"/>
          <w:szCs w:val="18"/>
        </w:rPr>
        <w:t>with any certainty.</w:t>
      </w:r>
    </w:p>
    <w:p w14:paraId="0366F478" w14:textId="0322DA9C" w:rsidR="0020035B" w:rsidRPr="0020035B" w:rsidRDefault="0020035B" w:rsidP="0020035B">
      <w:pPr>
        <w:rPr>
          <w:rFonts w:ascii="Arial" w:hAnsi="Arial" w:cs="Arial"/>
          <w:sz w:val="18"/>
          <w:szCs w:val="18"/>
        </w:rPr>
      </w:pPr>
      <w:r w:rsidRPr="0020035B">
        <w:rPr>
          <w:rFonts w:ascii="Arial" w:hAnsi="Arial" w:cs="Arial"/>
          <w:sz w:val="18"/>
          <w:szCs w:val="18"/>
        </w:rPr>
        <w:t>Following the Brixham cryptosporidium outbreak in</w:t>
      </w:r>
      <w:r>
        <w:rPr>
          <w:rFonts w:ascii="Arial" w:hAnsi="Arial" w:cs="Arial"/>
          <w:sz w:val="18"/>
          <w:szCs w:val="18"/>
        </w:rPr>
        <w:t xml:space="preserve"> </w:t>
      </w:r>
      <w:r w:rsidRPr="0020035B">
        <w:rPr>
          <w:rFonts w:ascii="Arial" w:hAnsi="Arial" w:cs="Arial"/>
          <w:sz w:val="18"/>
          <w:szCs w:val="18"/>
        </w:rPr>
        <w:t>May 2024, legal proceedings were brought by the</w:t>
      </w:r>
      <w:r>
        <w:rPr>
          <w:rFonts w:ascii="Arial" w:hAnsi="Arial" w:cs="Arial"/>
          <w:sz w:val="18"/>
          <w:szCs w:val="18"/>
        </w:rPr>
        <w:t xml:space="preserve"> </w:t>
      </w:r>
      <w:r w:rsidRPr="0020035B">
        <w:rPr>
          <w:rFonts w:ascii="Arial" w:hAnsi="Arial" w:cs="Arial"/>
          <w:sz w:val="18"/>
          <w:szCs w:val="18"/>
        </w:rPr>
        <w:t xml:space="preserve">Drinking Water Inspectorate (DWI). </w:t>
      </w:r>
      <w:proofErr w:type="gramStart"/>
      <w:r w:rsidRPr="0020035B">
        <w:rPr>
          <w:rFonts w:ascii="Arial" w:hAnsi="Arial" w:cs="Arial"/>
          <w:sz w:val="18"/>
          <w:szCs w:val="18"/>
        </w:rPr>
        <w:t>South West</w:t>
      </w:r>
      <w:proofErr w:type="gramEnd"/>
      <w:r w:rsidRPr="0020035B">
        <w:rPr>
          <w:rFonts w:ascii="Arial" w:hAnsi="Arial" w:cs="Arial"/>
          <w:sz w:val="18"/>
          <w:szCs w:val="18"/>
        </w:rPr>
        <w:t xml:space="preserve"> Water</w:t>
      </w:r>
      <w:r>
        <w:rPr>
          <w:rFonts w:ascii="Arial" w:hAnsi="Arial" w:cs="Arial"/>
          <w:sz w:val="18"/>
          <w:szCs w:val="18"/>
        </w:rPr>
        <w:t xml:space="preserve"> </w:t>
      </w:r>
      <w:r w:rsidRPr="0020035B">
        <w:rPr>
          <w:rFonts w:ascii="Arial" w:hAnsi="Arial" w:cs="Arial"/>
          <w:sz w:val="18"/>
          <w:szCs w:val="18"/>
        </w:rPr>
        <w:t>pleaded guilty to the charge of supplying water unfit for</w:t>
      </w:r>
      <w:r>
        <w:rPr>
          <w:rFonts w:ascii="Arial" w:hAnsi="Arial" w:cs="Arial"/>
          <w:sz w:val="18"/>
          <w:szCs w:val="18"/>
        </w:rPr>
        <w:t xml:space="preserve"> </w:t>
      </w:r>
      <w:r w:rsidRPr="0020035B">
        <w:rPr>
          <w:rFonts w:ascii="Arial" w:hAnsi="Arial" w:cs="Arial"/>
          <w:sz w:val="18"/>
          <w:szCs w:val="18"/>
        </w:rPr>
        <w:t>human consumption on 4 March 2026, with sentence</w:t>
      </w:r>
      <w:r>
        <w:rPr>
          <w:rFonts w:ascii="Arial" w:hAnsi="Arial" w:cs="Arial"/>
          <w:sz w:val="18"/>
          <w:szCs w:val="18"/>
        </w:rPr>
        <w:t xml:space="preserve"> </w:t>
      </w:r>
      <w:r w:rsidRPr="0020035B">
        <w:rPr>
          <w:rFonts w:ascii="Arial" w:hAnsi="Arial" w:cs="Arial"/>
          <w:sz w:val="18"/>
          <w:szCs w:val="18"/>
        </w:rPr>
        <w:t>received on 2 June 2026. The Court levied a fine of</w:t>
      </w:r>
      <w:r>
        <w:rPr>
          <w:rFonts w:ascii="Arial" w:hAnsi="Arial" w:cs="Arial"/>
          <w:sz w:val="18"/>
          <w:szCs w:val="18"/>
        </w:rPr>
        <w:t xml:space="preserve"> </w:t>
      </w:r>
      <w:r w:rsidRPr="0020035B">
        <w:rPr>
          <w:rFonts w:ascii="Arial" w:hAnsi="Arial" w:cs="Arial"/>
          <w:sz w:val="18"/>
          <w:szCs w:val="18"/>
        </w:rPr>
        <w:t>£1.9 million, reflecting the serious impact this incident</w:t>
      </w:r>
      <w:r>
        <w:rPr>
          <w:rFonts w:ascii="Arial" w:hAnsi="Arial" w:cs="Arial"/>
          <w:sz w:val="18"/>
          <w:szCs w:val="18"/>
        </w:rPr>
        <w:t xml:space="preserve"> </w:t>
      </w:r>
      <w:r w:rsidRPr="0020035B">
        <w:rPr>
          <w:rFonts w:ascii="Arial" w:hAnsi="Arial" w:cs="Arial"/>
          <w:sz w:val="18"/>
          <w:szCs w:val="18"/>
        </w:rPr>
        <w:t>had on customers in the area, whilst also recognising the</w:t>
      </w:r>
      <w:r>
        <w:rPr>
          <w:rFonts w:ascii="Arial" w:hAnsi="Arial" w:cs="Arial"/>
          <w:sz w:val="18"/>
          <w:szCs w:val="18"/>
        </w:rPr>
        <w:t xml:space="preserve"> </w:t>
      </w:r>
      <w:r w:rsidRPr="0020035B">
        <w:rPr>
          <w:rFonts w:ascii="Arial" w:hAnsi="Arial" w:cs="Arial"/>
          <w:sz w:val="18"/>
          <w:szCs w:val="18"/>
        </w:rPr>
        <w:t>extensive customer support and remedial actions taken</w:t>
      </w:r>
      <w:r>
        <w:rPr>
          <w:rFonts w:ascii="Arial" w:hAnsi="Arial" w:cs="Arial"/>
          <w:sz w:val="18"/>
          <w:szCs w:val="18"/>
        </w:rPr>
        <w:t xml:space="preserve"> </w:t>
      </w:r>
      <w:r w:rsidRPr="0020035B">
        <w:rPr>
          <w:rFonts w:ascii="Arial" w:hAnsi="Arial" w:cs="Arial"/>
          <w:sz w:val="18"/>
          <w:szCs w:val="18"/>
        </w:rPr>
        <w:t xml:space="preserve">by </w:t>
      </w:r>
      <w:proofErr w:type="gramStart"/>
      <w:r w:rsidRPr="0020035B">
        <w:rPr>
          <w:rFonts w:ascii="Arial" w:hAnsi="Arial" w:cs="Arial"/>
          <w:sz w:val="18"/>
          <w:szCs w:val="18"/>
        </w:rPr>
        <w:t>South West</w:t>
      </w:r>
      <w:proofErr w:type="gramEnd"/>
      <w:r w:rsidRPr="0020035B">
        <w:rPr>
          <w:rFonts w:ascii="Arial" w:hAnsi="Arial" w:cs="Arial"/>
          <w:sz w:val="18"/>
          <w:szCs w:val="18"/>
        </w:rPr>
        <w:t xml:space="preserve"> Water.</w:t>
      </w:r>
    </w:p>
    <w:p w14:paraId="17BCD294" w14:textId="2B0C8270" w:rsidR="0020035B" w:rsidRPr="007F1BEC" w:rsidRDefault="0020035B" w:rsidP="0020035B">
      <w:pPr>
        <w:rPr>
          <w:rFonts w:ascii="Arial" w:hAnsi="Arial" w:cs="Arial"/>
          <w:sz w:val="18"/>
          <w:szCs w:val="18"/>
        </w:rPr>
      </w:pPr>
      <w:r w:rsidRPr="0020035B">
        <w:rPr>
          <w:rFonts w:ascii="Arial" w:hAnsi="Arial" w:cs="Arial"/>
          <w:sz w:val="18"/>
          <w:szCs w:val="18"/>
        </w:rPr>
        <w:t>An amount of £6.7 million has been included within the</w:t>
      </w:r>
      <w:r w:rsidRPr="007F1BEC">
        <w:rPr>
          <w:rFonts w:ascii="Arial" w:hAnsi="Arial" w:cs="Arial"/>
          <w:sz w:val="18"/>
          <w:szCs w:val="18"/>
        </w:rPr>
        <w:t xml:space="preserve"> non-underlying costs for the matters set out above.</w:t>
      </w:r>
    </w:p>
    <w:p w14:paraId="3073921C" w14:textId="314EF385" w:rsidR="007F1BEC" w:rsidRPr="007F1BEC" w:rsidRDefault="00FD779A" w:rsidP="007F1BEC">
      <w:pPr>
        <w:rPr>
          <w:rFonts w:ascii="Arial" w:hAnsi="Arial" w:cs="Arial"/>
          <w:sz w:val="18"/>
          <w:szCs w:val="18"/>
        </w:rPr>
      </w:pPr>
      <w:r w:rsidRPr="007F1BEC">
        <w:rPr>
          <w:rFonts w:ascii="Arial" w:eastAsia="Times New Roman" w:hAnsi="Arial" w:cs="Arial"/>
          <w:i/>
          <w:caps/>
          <w:sz w:val="18"/>
          <w:szCs w:val="18"/>
        </w:rPr>
        <w:t xml:space="preserve">Pensions </w:t>
      </w:r>
      <w:r w:rsidRPr="007F1BEC">
        <w:rPr>
          <w:rFonts w:ascii="Arial" w:eastAsia="Times New Roman" w:hAnsi="Arial" w:cs="Arial"/>
          <w:i/>
          <w:caps/>
          <w:sz w:val="18"/>
          <w:szCs w:val="18"/>
        </w:rPr>
        <w:br/>
      </w:r>
      <w:proofErr w:type="gramStart"/>
      <w:r w:rsidR="007F1BEC" w:rsidRPr="007F1BEC">
        <w:rPr>
          <w:rFonts w:ascii="Arial" w:hAnsi="Arial" w:cs="Arial"/>
          <w:sz w:val="18"/>
          <w:szCs w:val="18"/>
        </w:rPr>
        <w:t>At</w:t>
      </w:r>
      <w:proofErr w:type="gramEnd"/>
      <w:r w:rsidR="007F1BEC" w:rsidRPr="007F1BEC">
        <w:rPr>
          <w:rFonts w:ascii="Arial" w:hAnsi="Arial" w:cs="Arial"/>
          <w:sz w:val="18"/>
          <w:szCs w:val="18"/>
        </w:rPr>
        <w:t xml:space="preserve"> 31 March 2026, the overall Company surplus on retirement obligations was £13.3 million (31 March 2025: £14.7 million).</w:t>
      </w:r>
    </w:p>
    <w:p w14:paraId="5CB90740" w14:textId="675F13B4" w:rsidR="007F1BEC" w:rsidRPr="007F1BEC" w:rsidRDefault="007F1BEC" w:rsidP="007F1BEC">
      <w:pPr>
        <w:rPr>
          <w:rFonts w:ascii="Arial" w:hAnsi="Arial" w:cs="Arial"/>
          <w:sz w:val="18"/>
          <w:szCs w:val="18"/>
        </w:rPr>
      </w:pPr>
      <w:r w:rsidRPr="007F1BEC">
        <w:rPr>
          <w:rFonts w:ascii="Arial" w:hAnsi="Arial" w:cs="Arial"/>
          <w:sz w:val="18"/>
          <w:szCs w:val="18"/>
        </w:rPr>
        <w:t xml:space="preserve">The decrease in the surplus in 2025/26 of £1.4 million is largely from the Pennon Group Pension Scheme (PGPS), recognised in other comprehensive </w:t>
      </w:r>
      <w:r w:rsidR="009C2895">
        <w:rPr>
          <w:rFonts w:ascii="Arial" w:hAnsi="Arial" w:cs="Arial"/>
          <w:sz w:val="18"/>
          <w:szCs w:val="18"/>
        </w:rPr>
        <w:t>expense</w:t>
      </w:r>
      <w:r w:rsidRPr="007F1BEC">
        <w:rPr>
          <w:rFonts w:ascii="Arial" w:hAnsi="Arial" w:cs="Arial"/>
          <w:sz w:val="18"/>
          <w:szCs w:val="18"/>
        </w:rPr>
        <w:t xml:space="preserve">. Total liabilities have reduced by £7.9 million, largely due to changes in the financial assumptions driven by the increase in the discount rate. Total assets have reduced by £9.3 million, driven by the reduction in the value of assets from the prior year. The triennial valuation of PGPS as </w:t>
      </w:r>
      <w:proofErr w:type="gramStart"/>
      <w:r w:rsidRPr="007F1BEC">
        <w:rPr>
          <w:rFonts w:ascii="Arial" w:hAnsi="Arial" w:cs="Arial"/>
          <w:sz w:val="18"/>
          <w:szCs w:val="18"/>
        </w:rPr>
        <w:t>at</w:t>
      </w:r>
      <w:proofErr w:type="gramEnd"/>
      <w:r w:rsidRPr="007F1BEC">
        <w:rPr>
          <w:rFonts w:ascii="Arial" w:hAnsi="Arial" w:cs="Arial"/>
          <w:sz w:val="18"/>
          <w:szCs w:val="18"/>
        </w:rPr>
        <w:t xml:space="preserve"> 31 March 2025 has been </w:t>
      </w:r>
      <w:proofErr w:type="gramStart"/>
      <w:r w:rsidRPr="007F1BEC">
        <w:rPr>
          <w:rFonts w:ascii="Arial" w:hAnsi="Arial" w:cs="Arial"/>
          <w:sz w:val="18"/>
          <w:szCs w:val="18"/>
        </w:rPr>
        <w:t>completed</w:t>
      </w:r>
      <w:proofErr w:type="gramEnd"/>
      <w:r w:rsidRPr="007F1BEC">
        <w:rPr>
          <w:rFonts w:ascii="Arial" w:hAnsi="Arial" w:cs="Arial"/>
          <w:sz w:val="18"/>
          <w:szCs w:val="18"/>
        </w:rPr>
        <w:t xml:space="preserve"> and no deficit recovery contributions are required. The ongoing funding requirements for the Company to the scheme were limited to the continuing administration expenses. </w:t>
      </w:r>
    </w:p>
    <w:p w14:paraId="692406C0" w14:textId="77777777" w:rsidR="00FD779A" w:rsidRPr="007F1BEC" w:rsidRDefault="00FD779A" w:rsidP="00FD779A">
      <w:pPr>
        <w:rPr>
          <w:rFonts w:ascii="Arial" w:hAnsi="Arial" w:cs="Arial"/>
          <w:sz w:val="18"/>
          <w:szCs w:val="18"/>
        </w:rPr>
      </w:pPr>
      <w:r w:rsidRPr="007F1BEC">
        <w:rPr>
          <w:rFonts w:ascii="Arial" w:eastAsia="Times New Roman" w:hAnsi="Arial" w:cs="Arial"/>
          <w:i/>
          <w:caps/>
          <w:sz w:val="18"/>
          <w:szCs w:val="18"/>
        </w:rPr>
        <w:t xml:space="preserve">dividends </w:t>
      </w:r>
      <w:r w:rsidRPr="007F1BEC">
        <w:rPr>
          <w:rFonts w:ascii="Arial" w:eastAsia="Times New Roman" w:hAnsi="Arial" w:cs="Arial"/>
          <w:i/>
          <w:caps/>
          <w:sz w:val="18"/>
          <w:szCs w:val="18"/>
        </w:rPr>
        <w:br/>
      </w:r>
      <w:r w:rsidRPr="007F1BEC">
        <w:rPr>
          <w:rFonts w:ascii="Arial" w:hAnsi="Arial" w:cs="Arial"/>
          <w:sz w:val="18"/>
          <w:szCs w:val="18"/>
        </w:rPr>
        <w:t>The Company has established a dividend policy which includes the following components:</w:t>
      </w:r>
    </w:p>
    <w:p w14:paraId="2623D7EE" w14:textId="77777777" w:rsidR="00FD779A" w:rsidRPr="007F1BEC" w:rsidRDefault="00FD779A" w:rsidP="00FD779A">
      <w:pPr>
        <w:pStyle w:val="ListParagraph"/>
        <w:numPr>
          <w:ilvl w:val="0"/>
          <w:numId w:val="1"/>
        </w:numPr>
        <w:autoSpaceDE w:val="0"/>
        <w:autoSpaceDN w:val="0"/>
        <w:adjustRightInd w:val="0"/>
        <w:spacing w:after="0"/>
        <w:rPr>
          <w:rFonts w:ascii="Arial" w:hAnsi="Arial" w:cs="Arial"/>
          <w:sz w:val="18"/>
          <w:szCs w:val="18"/>
        </w:rPr>
      </w:pPr>
      <w:r w:rsidRPr="007F1BEC">
        <w:rPr>
          <w:rFonts w:ascii="Arial" w:hAnsi="Arial" w:cs="Arial"/>
          <w:sz w:val="18"/>
          <w:szCs w:val="18"/>
        </w:rPr>
        <w:t xml:space="preserve">a sustainable level of base dividend growth, determined by </w:t>
      </w:r>
      <w:proofErr w:type="gramStart"/>
      <w:r w:rsidRPr="007F1BEC">
        <w:rPr>
          <w:rFonts w:ascii="Arial" w:hAnsi="Arial" w:cs="Arial"/>
          <w:sz w:val="18"/>
          <w:szCs w:val="18"/>
        </w:rPr>
        <w:t>a number of</w:t>
      </w:r>
      <w:proofErr w:type="gramEnd"/>
      <w:r w:rsidRPr="007F1BEC">
        <w:rPr>
          <w:rFonts w:ascii="Arial" w:hAnsi="Arial" w:cs="Arial"/>
          <w:sz w:val="18"/>
          <w:szCs w:val="18"/>
        </w:rPr>
        <w:t xml:space="preserve"> factors including the shareholder’s investment and the cost of capital </w:t>
      </w:r>
    </w:p>
    <w:p w14:paraId="481F99AE" w14:textId="77777777" w:rsidR="00FD779A" w:rsidRPr="007F1BEC" w:rsidRDefault="00FD779A" w:rsidP="00FD779A">
      <w:pPr>
        <w:pStyle w:val="ListParagraph"/>
        <w:numPr>
          <w:ilvl w:val="0"/>
          <w:numId w:val="1"/>
        </w:numPr>
        <w:autoSpaceDE w:val="0"/>
        <w:autoSpaceDN w:val="0"/>
        <w:adjustRightInd w:val="0"/>
        <w:spacing w:after="0"/>
        <w:rPr>
          <w:rFonts w:ascii="Arial" w:hAnsi="Arial" w:cs="Arial"/>
          <w:sz w:val="18"/>
          <w:szCs w:val="18"/>
        </w:rPr>
      </w:pPr>
      <w:r w:rsidRPr="007F1BEC">
        <w:rPr>
          <w:rFonts w:ascii="Arial" w:hAnsi="Arial" w:cs="Arial"/>
          <w:sz w:val="18"/>
          <w:szCs w:val="18"/>
        </w:rPr>
        <w:t>a further level of growth funded by efficiency outperformance</w:t>
      </w:r>
    </w:p>
    <w:p w14:paraId="7F578857" w14:textId="77777777" w:rsidR="00FD779A" w:rsidRPr="007F1BEC" w:rsidRDefault="00FD779A" w:rsidP="00FD779A">
      <w:pPr>
        <w:pStyle w:val="ListParagraph"/>
        <w:numPr>
          <w:ilvl w:val="0"/>
          <w:numId w:val="1"/>
        </w:numPr>
        <w:autoSpaceDE w:val="0"/>
        <w:autoSpaceDN w:val="0"/>
        <w:adjustRightInd w:val="0"/>
        <w:spacing w:after="0"/>
        <w:rPr>
          <w:rFonts w:ascii="Arial" w:hAnsi="Arial" w:cs="Arial"/>
          <w:sz w:val="18"/>
          <w:szCs w:val="18"/>
        </w:rPr>
      </w:pPr>
      <w:r w:rsidRPr="007F1BEC">
        <w:rPr>
          <w:rFonts w:ascii="Arial" w:hAnsi="Arial" w:cs="Arial"/>
          <w:sz w:val="18"/>
          <w:szCs w:val="18"/>
        </w:rPr>
        <w:t>comparison with the assumptions made by Ofwat in setting prices for the regulatory period.</w:t>
      </w:r>
    </w:p>
    <w:p w14:paraId="5C167388" w14:textId="77777777" w:rsidR="00FD779A" w:rsidRPr="007F1BEC" w:rsidRDefault="00FD779A" w:rsidP="00FD779A">
      <w:pPr>
        <w:pStyle w:val="ListParagraph"/>
        <w:autoSpaceDE w:val="0"/>
        <w:autoSpaceDN w:val="0"/>
        <w:adjustRightInd w:val="0"/>
        <w:spacing w:after="0"/>
        <w:rPr>
          <w:rFonts w:ascii="Arial" w:hAnsi="Arial" w:cs="Arial"/>
          <w:sz w:val="18"/>
          <w:szCs w:val="18"/>
        </w:rPr>
      </w:pPr>
    </w:p>
    <w:p w14:paraId="645B010B" w14:textId="2F2AAEBA" w:rsidR="00FD779A" w:rsidRPr="007F1BEC" w:rsidRDefault="00FD779A" w:rsidP="00FD779A">
      <w:pPr>
        <w:rPr>
          <w:rFonts w:ascii="Arial" w:hAnsi="Arial" w:cs="Arial"/>
          <w:sz w:val="18"/>
          <w:szCs w:val="18"/>
        </w:rPr>
      </w:pPr>
      <w:r w:rsidRPr="007F1BEC">
        <w:rPr>
          <w:rFonts w:ascii="Arial" w:hAnsi="Arial" w:cs="Arial"/>
          <w:sz w:val="18"/>
          <w:szCs w:val="18"/>
        </w:rPr>
        <w:t xml:space="preserve">Dividend payments are designed to ensure that key financial ratios are not prejudiced, whilst also </w:t>
      </w:r>
      <w:proofErr w:type="gramStart"/>
      <w:r w:rsidRPr="007F1BEC">
        <w:rPr>
          <w:rFonts w:ascii="Arial" w:hAnsi="Arial" w:cs="Arial"/>
          <w:sz w:val="18"/>
          <w:szCs w:val="18"/>
        </w:rPr>
        <w:t>taking into account</w:t>
      </w:r>
      <w:proofErr w:type="gramEnd"/>
      <w:r w:rsidRPr="007F1BEC">
        <w:rPr>
          <w:rFonts w:ascii="Arial" w:hAnsi="Arial" w:cs="Arial"/>
          <w:sz w:val="18"/>
          <w:szCs w:val="18"/>
        </w:rPr>
        <w:t xml:space="preserve"> balance sheet considerations. </w:t>
      </w:r>
      <w:proofErr w:type="gramStart"/>
      <w:r w:rsidRPr="007F1BEC">
        <w:rPr>
          <w:rFonts w:ascii="Arial" w:hAnsi="Arial" w:cs="Arial"/>
          <w:sz w:val="18"/>
          <w:szCs w:val="18"/>
        </w:rPr>
        <w:t>With this in mind, the</w:t>
      </w:r>
      <w:proofErr w:type="gramEnd"/>
      <w:r w:rsidRPr="007F1BEC">
        <w:rPr>
          <w:rFonts w:ascii="Arial" w:hAnsi="Arial" w:cs="Arial"/>
          <w:sz w:val="18"/>
          <w:szCs w:val="18"/>
        </w:rPr>
        <w:t xml:space="preserve"> dividend policy also states that the total dividend payment will not exceed the retained underlying profit in any year, except </w:t>
      </w:r>
      <w:proofErr w:type="gramStart"/>
      <w:r w:rsidRPr="007F1BEC">
        <w:rPr>
          <w:rFonts w:ascii="Arial" w:hAnsi="Arial" w:cs="Arial"/>
          <w:sz w:val="18"/>
          <w:szCs w:val="18"/>
        </w:rPr>
        <w:t>as a result of</w:t>
      </w:r>
      <w:proofErr w:type="gramEnd"/>
      <w:r w:rsidRPr="007F1BEC">
        <w:rPr>
          <w:rFonts w:ascii="Arial" w:hAnsi="Arial" w:cs="Arial"/>
          <w:sz w:val="18"/>
          <w:szCs w:val="18"/>
        </w:rPr>
        <w:t xml:space="preserve"> a special dividend and balance sheet restructuring, or where there is a significant non-underlying non-cash impact (such as deferred tax).</w:t>
      </w:r>
      <w:r w:rsidR="003B49C3">
        <w:rPr>
          <w:rFonts w:ascii="Arial" w:hAnsi="Arial" w:cs="Arial"/>
          <w:sz w:val="18"/>
          <w:szCs w:val="18"/>
        </w:rPr>
        <w:t xml:space="preserve"> </w:t>
      </w:r>
      <w:r w:rsidR="003B49C3" w:rsidRPr="007F1BEC">
        <w:rPr>
          <w:rFonts w:ascii="Arial" w:hAnsi="Arial" w:cs="Arial"/>
          <w:sz w:val="18"/>
          <w:szCs w:val="18"/>
        </w:rPr>
        <w:t xml:space="preserve">Payments are made </w:t>
      </w:r>
      <w:proofErr w:type="gramStart"/>
      <w:r w:rsidR="003B49C3" w:rsidRPr="007F1BEC">
        <w:rPr>
          <w:rFonts w:ascii="Arial" w:hAnsi="Arial" w:cs="Arial"/>
          <w:sz w:val="18"/>
          <w:szCs w:val="18"/>
        </w:rPr>
        <w:t>taking into account</w:t>
      </w:r>
      <w:proofErr w:type="gramEnd"/>
      <w:r w:rsidR="003B49C3" w:rsidRPr="007F1BEC">
        <w:rPr>
          <w:rFonts w:ascii="Arial" w:hAnsi="Arial" w:cs="Arial"/>
          <w:sz w:val="18"/>
          <w:szCs w:val="18"/>
        </w:rPr>
        <w:t xml:space="preserve"> the ability of the Appointee to finance its Appointed Business.</w:t>
      </w:r>
    </w:p>
    <w:p w14:paraId="42697B33" w14:textId="77777777" w:rsidR="003B49C3" w:rsidRDefault="003B49C3" w:rsidP="003B49C3">
      <w:pPr>
        <w:rPr>
          <w:rFonts w:ascii="Arial" w:hAnsi="Arial" w:cs="Arial"/>
          <w:sz w:val="18"/>
          <w:szCs w:val="18"/>
        </w:rPr>
      </w:pPr>
      <w:bookmarkStart w:id="20" w:name="_Hlk137471884"/>
      <w:r>
        <w:rPr>
          <w:rFonts w:ascii="Arial" w:hAnsi="Arial" w:cs="Arial"/>
          <w:sz w:val="18"/>
          <w:szCs w:val="18"/>
        </w:rPr>
        <w:t>A</w:t>
      </w:r>
      <w:r w:rsidRPr="007F1BEC">
        <w:rPr>
          <w:rFonts w:ascii="Arial" w:hAnsi="Arial" w:cs="Arial"/>
          <w:sz w:val="18"/>
          <w:szCs w:val="18"/>
        </w:rPr>
        <w:t xml:space="preserve"> dividend of £125.0 million</w:t>
      </w:r>
      <w:r>
        <w:rPr>
          <w:rFonts w:ascii="Arial" w:hAnsi="Arial" w:cs="Arial"/>
          <w:sz w:val="18"/>
          <w:szCs w:val="18"/>
        </w:rPr>
        <w:t xml:space="preserve"> in respect of 2024/25</w:t>
      </w:r>
      <w:r w:rsidRPr="007F1BEC">
        <w:rPr>
          <w:rFonts w:ascii="Arial" w:hAnsi="Arial" w:cs="Arial"/>
          <w:sz w:val="18"/>
          <w:szCs w:val="18"/>
        </w:rPr>
        <w:t xml:space="preserve"> was declared and approved by the Board on 4 July 2025. </w:t>
      </w:r>
      <w:r>
        <w:rPr>
          <w:rFonts w:ascii="Arial" w:hAnsi="Arial" w:cs="Arial"/>
          <w:sz w:val="18"/>
          <w:szCs w:val="18"/>
        </w:rPr>
        <w:t>Additionally</w:t>
      </w:r>
      <w:r w:rsidRPr="007F1BEC">
        <w:rPr>
          <w:rFonts w:ascii="Arial" w:hAnsi="Arial" w:cs="Arial"/>
          <w:sz w:val="18"/>
          <w:szCs w:val="18"/>
        </w:rPr>
        <w:t>, a dividend of £75.0 million</w:t>
      </w:r>
      <w:r>
        <w:rPr>
          <w:rFonts w:ascii="Arial" w:hAnsi="Arial" w:cs="Arial"/>
          <w:sz w:val="18"/>
          <w:szCs w:val="18"/>
        </w:rPr>
        <w:t xml:space="preserve"> in respect of 2025/26</w:t>
      </w:r>
      <w:r w:rsidRPr="007F1BEC">
        <w:rPr>
          <w:rFonts w:ascii="Arial" w:hAnsi="Arial" w:cs="Arial"/>
          <w:sz w:val="18"/>
          <w:szCs w:val="18"/>
        </w:rPr>
        <w:t xml:space="preserve"> was declared and approved by the Board on 27 March 2026</w:t>
      </w:r>
      <w:r>
        <w:rPr>
          <w:rFonts w:ascii="Arial" w:hAnsi="Arial" w:cs="Arial"/>
          <w:sz w:val="18"/>
          <w:szCs w:val="18"/>
        </w:rPr>
        <w:t>.</w:t>
      </w:r>
    </w:p>
    <w:p w14:paraId="63A83E73" w14:textId="77777777" w:rsidR="003B49C3" w:rsidRPr="007F1BEC" w:rsidRDefault="003B49C3" w:rsidP="003B49C3">
      <w:pPr>
        <w:rPr>
          <w:rFonts w:ascii="Arial" w:hAnsi="Arial" w:cs="Arial"/>
          <w:sz w:val="18"/>
          <w:szCs w:val="18"/>
        </w:rPr>
      </w:pPr>
      <w:r w:rsidRPr="007F1BEC">
        <w:rPr>
          <w:rFonts w:ascii="Arial" w:hAnsi="Arial" w:cs="Arial"/>
          <w:sz w:val="18"/>
          <w:szCs w:val="18"/>
        </w:rPr>
        <w:t>A dividend of £75.0 million was paid in August 2025.</w:t>
      </w:r>
      <w:r>
        <w:rPr>
          <w:rFonts w:ascii="Arial" w:hAnsi="Arial" w:cs="Arial"/>
          <w:sz w:val="18"/>
          <w:szCs w:val="18"/>
        </w:rPr>
        <w:t xml:space="preserve"> As </w:t>
      </w:r>
      <w:proofErr w:type="gramStart"/>
      <w:r>
        <w:rPr>
          <w:rFonts w:ascii="Arial" w:hAnsi="Arial" w:cs="Arial"/>
          <w:sz w:val="18"/>
          <w:szCs w:val="18"/>
        </w:rPr>
        <w:t>at</w:t>
      </w:r>
      <w:proofErr w:type="gramEnd"/>
      <w:r>
        <w:rPr>
          <w:rFonts w:ascii="Arial" w:hAnsi="Arial" w:cs="Arial"/>
          <w:sz w:val="18"/>
          <w:szCs w:val="18"/>
        </w:rPr>
        <w:t xml:space="preserve"> 31 March 2026, dividends declared but not yet paid amounted to £170.0 million (31 March 2025: £45.0 million). </w:t>
      </w:r>
      <w:r w:rsidRPr="007F1BEC">
        <w:rPr>
          <w:rFonts w:ascii="Arial" w:hAnsi="Arial" w:cs="Arial"/>
          <w:sz w:val="18"/>
          <w:szCs w:val="18"/>
        </w:rPr>
        <w:t xml:space="preserve">Payment of declared dividends will be considered in 2026/27, </w:t>
      </w:r>
      <w:proofErr w:type="gramStart"/>
      <w:r w:rsidRPr="007F1BEC">
        <w:rPr>
          <w:rFonts w:ascii="Arial" w:hAnsi="Arial" w:cs="Arial"/>
          <w:sz w:val="18"/>
          <w:szCs w:val="18"/>
        </w:rPr>
        <w:t>taking into account</w:t>
      </w:r>
      <w:proofErr w:type="gramEnd"/>
      <w:r w:rsidRPr="007F1BEC">
        <w:rPr>
          <w:rFonts w:ascii="Arial" w:hAnsi="Arial" w:cs="Arial"/>
          <w:sz w:val="18"/>
          <w:szCs w:val="18"/>
        </w:rPr>
        <w:t xml:space="preserve"> the financial resilience of the Company.</w:t>
      </w:r>
    </w:p>
    <w:p w14:paraId="56DEA770" w14:textId="77777777" w:rsidR="00351D8D" w:rsidRPr="007F1BEC" w:rsidRDefault="00351D8D" w:rsidP="00FD779A">
      <w:pPr>
        <w:spacing w:after="0"/>
        <w:rPr>
          <w:rFonts w:ascii="Arial" w:hAnsi="Arial" w:cs="Arial"/>
          <w:i/>
          <w:iCs/>
          <w:sz w:val="18"/>
          <w:szCs w:val="18"/>
        </w:rPr>
      </w:pPr>
      <w:r w:rsidRPr="007F1BEC">
        <w:rPr>
          <w:rFonts w:ascii="Arial" w:hAnsi="Arial" w:cs="Arial"/>
          <w:i/>
          <w:iCs/>
          <w:sz w:val="18"/>
          <w:szCs w:val="18"/>
        </w:rPr>
        <w:t>COST CHANGE PROCESS</w:t>
      </w:r>
    </w:p>
    <w:p w14:paraId="53FBC933" w14:textId="751BA715" w:rsidR="00351D8D" w:rsidRPr="00351D8D" w:rsidRDefault="00351D8D" w:rsidP="00351D8D">
      <w:pPr>
        <w:spacing w:after="0"/>
        <w:rPr>
          <w:rFonts w:ascii="Arial" w:hAnsi="Arial" w:cs="Arial"/>
          <w:sz w:val="18"/>
          <w:szCs w:val="18"/>
        </w:rPr>
      </w:pPr>
      <w:r w:rsidRPr="007F1BEC">
        <w:rPr>
          <w:rFonts w:ascii="Arial" w:hAnsi="Arial" w:cs="Arial"/>
          <w:sz w:val="18"/>
          <w:szCs w:val="18"/>
        </w:rPr>
        <w:t xml:space="preserve">In the PR24 Final Determination, Ofwat highlighted </w:t>
      </w:r>
      <w:proofErr w:type="gramStart"/>
      <w:r w:rsidRPr="007F1BEC">
        <w:rPr>
          <w:rFonts w:ascii="Arial" w:hAnsi="Arial" w:cs="Arial"/>
          <w:sz w:val="18"/>
          <w:szCs w:val="18"/>
        </w:rPr>
        <w:t>a number of</w:t>
      </w:r>
      <w:proofErr w:type="gramEnd"/>
      <w:r w:rsidRPr="007F1BEC">
        <w:rPr>
          <w:rFonts w:ascii="Arial" w:hAnsi="Arial" w:cs="Arial"/>
          <w:sz w:val="18"/>
          <w:szCs w:val="18"/>
        </w:rPr>
        <w:t xml:space="preserve"> areas of potential cost uncertainty where they would consider ‘re-opening’ the Final Determination</w:t>
      </w:r>
      <w:r w:rsidRPr="00351D8D">
        <w:rPr>
          <w:rFonts w:ascii="Arial" w:hAnsi="Arial" w:cs="Arial"/>
          <w:sz w:val="18"/>
          <w:szCs w:val="18"/>
        </w:rPr>
        <w:t xml:space="preserve"> to adjust for the impact of these issues on water company cost allowances. As a result, in the 2025/26 financial year, Ofwat introduced a ‘cost change process’ that allows companies to provide submissions to Ofwat for additional funding in the current regulatory five-year period for specific areas of investment. These areas include asset health and economic growth considerations, which will be of relevance in the regions in which the Company operates.</w:t>
      </w:r>
    </w:p>
    <w:p w14:paraId="26C2630E" w14:textId="77777777" w:rsidR="00351D8D" w:rsidRPr="00351D8D" w:rsidRDefault="00351D8D" w:rsidP="00351D8D">
      <w:pPr>
        <w:spacing w:after="0"/>
        <w:rPr>
          <w:rFonts w:ascii="Arial" w:hAnsi="Arial" w:cs="Arial"/>
          <w:sz w:val="18"/>
          <w:szCs w:val="18"/>
        </w:rPr>
      </w:pPr>
    </w:p>
    <w:p w14:paraId="0E0C57AE" w14:textId="6D12D27F" w:rsidR="00351D8D" w:rsidRPr="00351D8D" w:rsidRDefault="00351D8D" w:rsidP="00351D8D">
      <w:pPr>
        <w:spacing w:after="0"/>
        <w:rPr>
          <w:rFonts w:ascii="Arial" w:hAnsi="Arial" w:cs="Arial"/>
          <w:sz w:val="18"/>
          <w:szCs w:val="18"/>
          <w:highlight w:val="yellow"/>
        </w:rPr>
      </w:pPr>
      <w:r w:rsidRPr="00351D8D">
        <w:rPr>
          <w:rFonts w:ascii="Arial" w:hAnsi="Arial" w:cs="Arial"/>
          <w:sz w:val="18"/>
          <w:szCs w:val="18"/>
        </w:rPr>
        <w:lastRenderedPageBreak/>
        <w:t xml:space="preserve">The first submission was completed for </w:t>
      </w:r>
      <w:proofErr w:type="gramStart"/>
      <w:r w:rsidRPr="00351D8D">
        <w:rPr>
          <w:rFonts w:ascii="Arial" w:hAnsi="Arial" w:cs="Arial"/>
          <w:sz w:val="18"/>
          <w:szCs w:val="18"/>
        </w:rPr>
        <w:t>South West</w:t>
      </w:r>
      <w:proofErr w:type="gramEnd"/>
      <w:r w:rsidRPr="00351D8D">
        <w:rPr>
          <w:rFonts w:ascii="Arial" w:hAnsi="Arial" w:cs="Arial"/>
          <w:sz w:val="18"/>
          <w:szCs w:val="18"/>
        </w:rPr>
        <w:t xml:space="preserve"> Water in May 2026, with detailed cases and supporting evidence with Ofwat for review. Whilst the </w:t>
      </w:r>
      <w:r w:rsidR="00E77722">
        <w:rPr>
          <w:rFonts w:ascii="Arial" w:hAnsi="Arial" w:cs="Arial"/>
          <w:sz w:val="18"/>
          <w:szCs w:val="18"/>
        </w:rPr>
        <w:t>Company’s</w:t>
      </w:r>
      <w:r w:rsidR="00E77722" w:rsidRPr="00351D8D">
        <w:rPr>
          <w:rFonts w:ascii="Arial" w:hAnsi="Arial" w:cs="Arial"/>
          <w:sz w:val="18"/>
          <w:szCs w:val="18"/>
        </w:rPr>
        <w:t xml:space="preserve"> </w:t>
      </w:r>
      <w:r w:rsidRPr="00351D8D">
        <w:rPr>
          <w:rFonts w:ascii="Arial" w:hAnsi="Arial" w:cs="Arial"/>
          <w:sz w:val="18"/>
          <w:szCs w:val="18"/>
        </w:rPr>
        <w:t xml:space="preserve">submissions amounted </w:t>
      </w:r>
      <w:r w:rsidRPr="00CB7CBB">
        <w:rPr>
          <w:rFonts w:ascii="Arial" w:hAnsi="Arial" w:cs="Arial"/>
          <w:sz w:val="18"/>
          <w:szCs w:val="18"/>
        </w:rPr>
        <w:t>to c.£2</w:t>
      </w:r>
      <w:r w:rsidR="00CB7CBB" w:rsidRPr="00CB7CBB">
        <w:rPr>
          <w:rFonts w:ascii="Arial" w:hAnsi="Arial" w:cs="Arial"/>
          <w:sz w:val="18"/>
          <w:szCs w:val="18"/>
        </w:rPr>
        <w:t>4</w:t>
      </w:r>
      <w:r w:rsidRPr="00CB7CBB">
        <w:rPr>
          <w:rFonts w:ascii="Arial" w:hAnsi="Arial" w:cs="Arial"/>
          <w:sz w:val="18"/>
          <w:szCs w:val="18"/>
        </w:rPr>
        <w:t>0 million</w:t>
      </w:r>
      <w:r w:rsidR="00CB7CBB" w:rsidRPr="00CB7CBB">
        <w:rPr>
          <w:rStyle w:val="FootnoteReference"/>
          <w:rFonts w:ascii="Arial" w:hAnsi="Arial" w:cs="Arial"/>
          <w:sz w:val="18"/>
          <w:szCs w:val="18"/>
        </w:rPr>
        <w:footnoteReference w:id="15"/>
      </w:r>
      <w:r w:rsidRPr="00CB7CBB">
        <w:rPr>
          <w:rFonts w:ascii="Arial" w:hAnsi="Arial" w:cs="Arial"/>
          <w:sz w:val="18"/>
          <w:szCs w:val="18"/>
        </w:rPr>
        <w:t xml:space="preserve"> of additional</w:t>
      </w:r>
      <w:r w:rsidRPr="00351D8D">
        <w:rPr>
          <w:rFonts w:ascii="Arial" w:hAnsi="Arial" w:cs="Arial"/>
          <w:sz w:val="18"/>
          <w:szCs w:val="18"/>
        </w:rPr>
        <w:t xml:space="preserve"> allowances, in-AMP funding was requested as part of that submission. The submissions will be subject to review and scrutiny from Ofwat, and given the nature of certain claims, which are specific to the Company’s coastal region, may require ongoing engagement and discussion before agreement. We continue to engage positively with Ofwat in this regard and ensure any additional expenditure is fully supported by our customer research and engagement through our </w:t>
      </w:r>
      <w:proofErr w:type="spellStart"/>
      <w:r w:rsidRPr="00351D8D">
        <w:rPr>
          <w:rFonts w:ascii="Arial" w:hAnsi="Arial" w:cs="Arial"/>
          <w:sz w:val="18"/>
          <w:szCs w:val="18"/>
        </w:rPr>
        <w:t>WaterShare</w:t>
      </w:r>
      <w:proofErr w:type="spellEnd"/>
      <w:r w:rsidRPr="00351D8D">
        <w:rPr>
          <w:rFonts w:ascii="Arial" w:hAnsi="Arial" w:cs="Arial"/>
          <w:sz w:val="18"/>
          <w:szCs w:val="18"/>
        </w:rPr>
        <w:t>+ customer panels.</w:t>
      </w:r>
    </w:p>
    <w:p w14:paraId="77048F59" w14:textId="77777777" w:rsidR="00351D8D" w:rsidRDefault="00351D8D" w:rsidP="00351D8D">
      <w:pPr>
        <w:spacing w:after="0"/>
        <w:rPr>
          <w:rFonts w:ascii="Arial" w:hAnsi="Arial" w:cs="Arial"/>
          <w:b/>
          <w:bCs/>
          <w:sz w:val="18"/>
          <w:szCs w:val="18"/>
          <w:highlight w:val="yellow"/>
        </w:rPr>
      </w:pPr>
    </w:p>
    <w:p w14:paraId="7EDD7B95" w14:textId="36CA6834" w:rsidR="00FD779A" w:rsidRPr="00C07D03" w:rsidRDefault="00FD779A" w:rsidP="00FD779A">
      <w:pPr>
        <w:spacing w:after="0"/>
        <w:rPr>
          <w:rFonts w:ascii="Arial" w:hAnsi="Arial" w:cs="Arial"/>
          <w:b/>
          <w:bCs/>
          <w:sz w:val="18"/>
          <w:szCs w:val="18"/>
        </w:rPr>
      </w:pPr>
      <w:r w:rsidRPr="00C07D03">
        <w:rPr>
          <w:rFonts w:ascii="Arial" w:hAnsi="Arial" w:cs="Arial"/>
          <w:b/>
          <w:bCs/>
          <w:sz w:val="18"/>
          <w:szCs w:val="18"/>
        </w:rPr>
        <w:t>OUR FINANCIAL KPIs</w:t>
      </w:r>
    </w:p>
    <w:p w14:paraId="11DB073B" w14:textId="77777777" w:rsidR="00FD779A" w:rsidRPr="00B318D0" w:rsidRDefault="00FD779A" w:rsidP="00FD779A">
      <w:pPr>
        <w:spacing w:after="0"/>
        <w:rPr>
          <w:rFonts w:ascii="Arial" w:hAnsi="Arial" w:cs="Arial"/>
          <w:i/>
          <w:iCs/>
          <w:sz w:val="18"/>
          <w:szCs w:val="18"/>
          <w:highlight w:val="yellow"/>
        </w:rPr>
      </w:pPr>
    </w:p>
    <w:p w14:paraId="3B91497C" w14:textId="3CBB1BC5" w:rsidR="00FD779A" w:rsidRPr="00735726" w:rsidRDefault="00FD779A" w:rsidP="00FD779A">
      <w:pPr>
        <w:spacing w:after="0"/>
        <w:rPr>
          <w:rFonts w:ascii="Arial" w:hAnsi="Arial" w:cs="Arial"/>
          <w:i/>
          <w:iCs/>
          <w:sz w:val="18"/>
          <w:szCs w:val="18"/>
        </w:rPr>
      </w:pPr>
      <w:r w:rsidRPr="00735726">
        <w:rPr>
          <w:rFonts w:ascii="Arial" w:hAnsi="Arial" w:cs="Arial"/>
          <w:i/>
          <w:iCs/>
          <w:sz w:val="18"/>
          <w:szCs w:val="18"/>
        </w:rPr>
        <w:t>REGULATORY CAPITAL VALUE (RCV)</w:t>
      </w:r>
      <w:r w:rsidR="00D01FD3" w:rsidRPr="00735726">
        <w:rPr>
          <w:rFonts w:ascii="Arial" w:hAnsi="Arial" w:cs="Arial"/>
          <w:i/>
          <w:iCs/>
          <w:sz w:val="18"/>
          <w:szCs w:val="18"/>
        </w:rPr>
        <w:t xml:space="preserve"> (£M)</w:t>
      </w:r>
    </w:p>
    <w:p w14:paraId="7AB97207" w14:textId="2F80B84D" w:rsidR="00AF094C" w:rsidRPr="009A2CAE" w:rsidRDefault="00FD779A" w:rsidP="00AF094C">
      <w:pPr>
        <w:spacing w:after="0"/>
        <w:rPr>
          <w:rFonts w:ascii="Arial" w:hAnsi="Arial" w:cs="Arial"/>
          <w:sz w:val="18"/>
          <w:szCs w:val="18"/>
        </w:rPr>
      </w:pPr>
      <w:r w:rsidRPr="00735726">
        <w:rPr>
          <w:rFonts w:ascii="Arial" w:hAnsi="Arial" w:cs="Arial"/>
          <w:sz w:val="18"/>
          <w:szCs w:val="18"/>
        </w:rPr>
        <w:t xml:space="preserve">Regulatory Capital Value (RCV) has been developed for regulatory purposes and is primarily used in setting price limits. RCV is widely used by the investment community as a proxy for the market value of the regulated business and forms part of covenant debt limits. Commentary on performance is set out in the Chief Financial Officer’s report on pages </w:t>
      </w:r>
      <w:r w:rsidR="00BE3FB6" w:rsidRPr="009A2CAE">
        <w:rPr>
          <w:rFonts w:ascii="Arial" w:hAnsi="Arial" w:cs="Arial"/>
          <w:sz w:val="18"/>
          <w:szCs w:val="18"/>
        </w:rPr>
        <w:t>55 to 61.</w:t>
      </w:r>
      <w:r w:rsidR="00BE3FB6" w:rsidRPr="009A2CAE" w:rsidDel="00BE3FB6">
        <w:rPr>
          <w:rFonts w:ascii="Arial" w:hAnsi="Arial" w:cs="Arial"/>
          <w:sz w:val="18"/>
          <w:szCs w:val="18"/>
        </w:rPr>
        <w:t xml:space="preserve"> </w:t>
      </w:r>
    </w:p>
    <w:p w14:paraId="1CB1B67D" w14:textId="752B0EDD" w:rsidR="00FD779A" w:rsidRPr="00735726" w:rsidRDefault="00FD779A" w:rsidP="00FD779A">
      <w:pPr>
        <w:spacing w:after="0"/>
        <w:rPr>
          <w:rFonts w:ascii="Arial" w:hAnsi="Arial" w:cs="Arial"/>
          <w:i/>
          <w:iCs/>
          <w:sz w:val="18"/>
          <w:szCs w:val="18"/>
        </w:rPr>
      </w:pPr>
      <w:r w:rsidRPr="009A2CAE">
        <w:rPr>
          <w:rFonts w:ascii="Arial" w:hAnsi="Arial" w:cs="Arial"/>
          <w:sz w:val="18"/>
          <w:szCs w:val="18"/>
        </w:rPr>
        <w:br/>
      </w:r>
      <w:r w:rsidRPr="00735726">
        <w:rPr>
          <w:rFonts w:ascii="Arial" w:hAnsi="Arial" w:cs="Arial"/>
          <w:i/>
          <w:iCs/>
          <w:sz w:val="18"/>
          <w:szCs w:val="18"/>
        </w:rPr>
        <w:t>GEARING</w:t>
      </w:r>
      <w:r w:rsidR="00D01FD3" w:rsidRPr="00735726">
        <w:rPr>
          <w:rFonts w:ascii="Arial" w:hAnsi="Arial" w:cs="Arial"/>
          <w:i/>
          <w:iCs/>
          <w:sz w:val="18"/>
          <w:szCs w:val="18"/>
        </w:rPr>
        <w:t xml:space="preserve"> (%)</w:t>
      </w:r>
    </w:p>
    <w:p w14:paraId="68B28E88" w14:textId="2B6C25B7" w:rsidR="00FD779A" w:rsidRPr="009A2CAE" w:rsidRDefault="00FD779A" w:rsidP="00FD779A">
      <w:pPr>
        <w:spacing w:after="0"/>
        <w:rPr>
          <w:rFonts w:ascii="Arial" w:hAnsi="Arial" w:cs="Arial"/>
          <w:sz w:val="18"/>
          <w:szCs w:val="18"/>
        </w:rPr>
      </w:pPr>
      <w:r w:rsidRPr="00735726">
        <w:rPr>
          <w:rFonts w:ascii="Arial" w:hAnsi="Arial" w:cs="Arial"/>
          <w:sz w:val="18"/>
          <w:szCs w:val="18"/>
        </w:rPr>
        <w:t xml:space="preserve">The regulated gearing is calculated as </w:t>
      </w:r>
      <w:proofErr w:type="spellStart"/>
      <w:r w:rsidRPr="00735726">
        <w:rPr>
          <w:rFonts w:ascii="Arial" w:hAnsi="Arial" w:cs="Arial"/>
          <w:sz w:val="18"/>
          <w:szCs w:val="18"/>
        </w:rPr>
        <w:t>year end</w:t>
      </w:r>
      <w:proofErr w:type="spellEnd"/>
      <w:r w:rsidRPr="00735726">
        <w:rPr>
          <w:rFonts w:ascii="Arial" w:hAnsi="Arial" w:cs="Arial"/>
          <w:sz w:val="18"/>
          <w:szCs w:val="18"/>
        </w:rPr>
        <w:t xml:space="preserve"> net debt as a proportion of RCV (based on RCV including the adjustment for the IFRS16 leases). Commentary on performance is set out in the Chief Financial Officer’s report on pages </w:t>
      </w:r>
      <w:r w:rsidR="00BE3FB6" w:rsidRPr="009A2CAE">
        <w:rPr>
          <w:rFonts w:ascii="Arial" w:hAnsi="Arial" w:cs="Arial"/>
          <w:sz w:val="18"/>
          <w:szCs w:val="18"/>
        </w:rPr>
        <w:t>55 to 61.</w:t>
      </w:r>
      <w:r w:rsidR="00BE3FB6" w:rsidRPr="009A2CAE" w:rsidDel="00BE3FB6">
        <w:rPr>
          <w:rFonts w:ascii="Arial" w:hAnsi="Arial" w:cs="Arial"/>
          <w:sz w:val="18"/>
          <w:szCs w:val="18"/>
        </w:rPr>
        <w:t xml:space="preserve"> </w:t>
      </w:r>
    </w:p>
    <w:p w14:paraId="2512EF4B" w14:textId="77777777" w:rsidR="00FD779A" w:rsidRPr="009A2CAE" w:rsidRDefault="00FD779A" w:rsidP="00FD779A">
      <w:pPr>
        <w:spacing w:after="0"/>
        <w:rPr>
          <w:rFonts w:ascii="Arial" w:hAnsi="Arial" w:cs="Arial"/>
          <w:sz w:val="18"/>
          <w:szCs w:val="18"/>
        </w:rPr>
      </w:pPr>
    </w:p>
    <w:p w14:paraId="6272DBB2" w14:textId="2541B131" w:rsidR="00FD779A" w:rsidRPr="00735726" w:rsidRDefault="00FD779A" w:rsidP="00FD779A">
      <w:pPr>
        <w:spacing w:after="0"/>
        <w:rPr>
          <w:rFonts w:ascii="Arial" w:hAnsi="Arial" w:cs="Arial"/>
          <w:i/>
          <w:iCs/>
          <w:sz w:val="18"/>
          <w:szCs w:val="18"/>
        </w:rPr>
      </w:pPr>
      <w:r w:rsidRPr="00735726">
        <w:rPr>
          <w:rFonts w:ascii="Arial" w:hAnsi="Arial" w:cs="Arial"/>
          <w:i/>
          <w:iCs/>
          <w:sz w:val="18"/>
          <w:szCs w:val="18"/>
        </w:rPr>
        <w:t>PROFIT</w:t>
      </w:r>
      <w:r w:rsidR="00AF094C" w:rsidRPr="00735726">
        <w:rPr>
          <w:rFonts w:ascii="Arial" w:hAnsi="Arial" w:cs="Arial"/>
          <w:i/>
          <w:iCs/>
          <w:sz w:val="18"/>
          <w:szCs w:val="18"/>
        </w:rPr>
        <w:t>/ (LOSS)</w:t>
      </w:r>
      <w:r w:rsidRPr="00735726">
        <w:rPr>
          <w:rFonts w:ascii="Arial" w:hAnsi="Arial" w:cs="Arial"/>
          <w:i/>
          <w:iCs/>
          <w:sz w:val="18"/>
          <w:szCs w:val="18"/>
        </w:rPr>
        <w:t xml:space="preserve"> BEFORE TAX (£M)</w:t>
      </w:r>
    </w:p>
    <w:p w14:paraId="40407B7C" w14:textId="78790E96" w:rsidR="00AF094C" w:rsidRPr="009A2CAE" w:rsidRDefault="00AF094C" w:rsidP="00AF094C">
      <w:pPr>
        <w:spacing w:after="0"/>
        <w:rPr>
          <w:rFonts w:ascii="Arial" w:hAnsi="Arial" w:cs="Arial"/>
          <w:sz w:val="18"/>
          <w:szCs w:val="18"/>
        </w:rPr>
      </w:pPr>
      <w:r w:rsidRPr="00735726">
        <w:rPr>
          <w:rFonts w:ascii="Arial" w:hAnsi="Arial" w:cs="Arial"/>
          <w:sz w:val="18"/>
          <w:szCs w:val="18"/>
        </w:rPr>
        <w:t>Profit/(loss)</w:t>
      </w:r>
      <w:r w:rsidR="00FD779A" w:rsidRPr="00735726">
        <w:rPr>
          <w:rFonts w:ascii="Arial" w:hAnsi="Arial" w:cs="Arial"/>
          <w:sz w:val="18"/>
          <w:szCs w:val="18"/>
        </w:rPr>
        <w:t xml:space="preserve"> before tax is a key measure of the Company’s financial performance after deducting all operating and finance costs. Underlying </w:t>
      </w:r>
      <w:r w:rsidRPr="00735726">
        <w:rPr>
          <w:rFonts w:ascii="Arial" w:hAnsi="Arial" w:cs="Arial"/>
          <w:sz w:val="18"/>
          <w:szCs w:val="18"/>
        </w:rPr>
        <w:t xml:space="preserve">profit/(loss) </w:t>
      </w:r>
      <w:r w:rsidR="00FD779A" w:rsidRPr="00735726">
        <w:rPr>
          <w:rFonts w:ascii="Arial" w:hAnsi="Arial" w:cs="Arial"/>
          <w:sz w:val="18"/>
          <w:szCs w:val="18"/>
        </w:rPr>
        <w:t xml:space="preserve">before tax is measured to exclude any distorting non-underlying items. </w:t>
      </w:r>
      <w:r w:rsidRPr="00735726">
        <w:rPr>
          <w:rFonts w:ascii="Arial" w:hAnsi="Arial" w:cs="Arial"/>
          <w:sz w:val="18"/>
          <w:szCs w:val="18"/>
        </w:rPr>
        <w:t xml:space="preserve">Commentary on performance is set out in the Chief Financial Officer’s report on pages </w:t>
      </w:r>
      <w:r w:rsidR="00BE3FB6" w:rsidRPr="009A2CAE">
        <w:rPr>
          <w:rFonts w:ascii="Arial" w:hAnsi="Arial" w:cs="Arial"/>
          <w:sz w:val="18"/>
          <w:szCs w:val="18"/>
        </w:rPr>
        <w:t>55 to 61.</w:t>
      </w:r>
      <w:r w:rsidR="00BE3FB6" w:rsidRPr="009A2CAE" w:rsidDel="00BE3FB6">
        <w:rPr>
          <w:rFonts w:ascii="Arial" w:hAnsi="Arial" w:cs="Arial"/>
          <w:sz w:val="18"/>
          <w:szCs w:val="18"/>
        </w:rPr>
        <w:t xml:space="preserve"> </w:t>
      </w:r>
    </w:p>
    <w:p w14:paraId="6B63387E" w14:textId="04CE0AA2" w:rsidR="00FD779A" w:rsidRPr="00B318D0" w:rsidRDefault="00FD779A" w:rsidP="00FD779A">
      <w:pPr>
        <w:spacing w:after="0"/>
        <w:rPr>
          <w:rFonts w:ascii="Arial" w:hAnsi="Arial" w:cs="Arial"/>
          <w:sz w:val="18"/>
          <w:szCs w:val="18"/>
          <w:highlight w:val="yellow"/>
        </w:rPr>
      </w:pPr>
    </w:p>
    <w:p w14:paraId="587B2B24" w14:textId="77777777" w:rsidR="00FD779A" w:rsidRDefault="00FD779A" w:rsidP="00FD779A">
      <w:pPr>
        <w:spacing w:after="160" w:line="259" w:lineRule="auto"/>
        <w:rPr>
          <w:rFonts w:ascii="Arial" w:hAnsi="Arial" w:cs="Arial"/>
          <w:sz w:val="18"/>
          <w:szCs w:val="18"/>
          <w:highlight w:val="yellow"/>
        </w:rPr>
      </w:pPr>
      <w:r>
        <w:rPr>
          <w:rFonts w:ascii="Arial" w:hAnsi="Arial" w:cs="Arial"/>
          <w:sz w:val="18"/>
          <w:szCs w:val="18"/>
          <w:highlight w:val="yellow"/>
        </w:rPr>
        <w:br w:type="page"/>
      </w:r>
    </w:p>
    <w:bookmarkEnd w:id="6"/>
    <w:bookmarkEnd w:id="7"/>
    <w:bookmarkEnd w:id="20"/>
    <w:p w14:paraId="2B0FC2BC" w14:textId="77777777" w:rsidR="000E6C31" w:rsidRPr="000E6C31" w:rsidRDefault="000E6C31" w:rsidP="000E6C31">
      <w:pPr>
        <w:spacing w:after="160" w:line="259" w:lineRule="auto"/>
      </w:pPr>
      <w:r w:rsidRPr="000E6C31">
        <w:rPr>
          <w:rFonts w:ascii="Arial" w:eastAsia="Times New Roman" w:hAnsi="Arial" w:cs="DINOT"/>
          <w:caps/>
          <w:color w:val="000000"/>
          <w:sz w:val="32"/>
          <w:szCs w:val="32"/>
        </w:rPr>
        <w:lastRenderedPageBreak/>
        <w:t>our risk management</w:t>
      </w:r>
    </w:p>
    <w:p w14:paraId="16AE823D" w14:textId="77777777" w:rsidR="000E6C31" w:rsidRPr="00735726" w:rsidRDefault="000E6C31" w:rsidP="000E6C31">
      <w:pPr>
        <w:autoSpaceDE w:val="0"/>
        <w:autoSpaceDN w:val="0"/>
        <w:adjustRightInd w:val="0"/>
        <w:spacing w:after="0"/>
        <w:rPr>
          <w:rFonts w:ascii="Arial" w:hAnsi="Arial" w:cs="Arial"/>
          <w:sz w:val="18"/>
          <w:szCs w:val="18"/>
        </w:rPr>
      </w:pPr>
      <w:r w:rsidRPr="00735726">
        <w:rPr>
          <w:rFonts w:ascii="Arial" w:hAnsi="Arial" w:cs="Arial"/>
          <w:sz w:val="18"/>
          <w:szCs w:val="18"/>
        </w:rPr>
        <w:t>The Company operates within a complex and evolving risk environment which includes responding to</w:t>
      </w:r>
    </w:p>
    <w:p w14:paraId="3FC70CC4" w14:textId="77777777" w:rsidR="000E6C31" w:rsidRPr="00735726" w:rsidRDefault="000E6C31" w:rsidP="000E6C31">
      <w:pPr>
        <w:autoSpaceDE w:val="0"/>
        <w:autoSpaceDN w:val="0"/>
        <w:adjustRightInd w:val="0"/>
        <w:spacing w:after="0"/>
        <w:rPr>
          <w:rFonts w:ascii="Arial" w:hAnsi="Arial" w:cs="Arial"/>
          <w:sz w:val="18"/>
          <w:szCs w:val="18"/>
        </w:rPr>
      </w:pPr>
      <w:r w:rsidRPr="00735726">
        <w:rPr>
          <w:rFonts w:ascii="Arial" w:hAnsi="Arial" w:cs="Arial"/>
          <w:sz w:val="18"/>
          <w:szCs w:val="18"/>
        </w:rPr>
        <w:t>changing Government policy, multiple regulatory frameworks and increasing expectations.</w:t>
      </w:r>
    </w:p>
    <w:p w14:paraId="5241944B" w14:textId="77777777" w:rsidR="000E6C31" w:rsidRPr="00735726" w:rsidRDefault="000E6C31" w:rsidP="000E6C31">
      <w:pPr>
        <w:autoSpaceDE w:val="0"/>
        <w:autoSpaceDN w:val="0"/>
        <w:adjustRightInd w:val="0"/>
        <w:spacing w:after="0"/>
        <w:rPr>
          <w:rFonts w:ascii="Arial" w:hAnsi="Arial" w:cs="Arial"/>
          <w:b/>
          <w:bCs/>
          <w:sz w:val="18"/>
          <w:szCs w:val="18"/>
        </w:rPr>
      </w:pPr>
    </w:p>
    <w:p w14:paraId="38E2D9F6" w14:textId="77777777" w:rsidR="000E6C31" w:rsidRPr="00735726" w:rsidRDefault="000E6C31" w:rsidP="000E6C31">
      <w:pPr>
        <w:autoSpaceDE w:val="0"/>
        <w:autoSpaceDN w:val="0"/>
        <w:adjustRightInd w:val="0"/>
        <w:spacing w:after="0"/>
        <w:rPr>
          <w:rFonts w:ascii="Arial" w:hAnsi="Arial" w:cs="Arial"/>
          <w:sz w:val="18"/>
          <w:szCs w:val="18"/>
        </w:rPr>
      </w:pPr>
      <w:r w:rsidRPr="00735726">
        <w:rPr>
          <w:rFonts w:ascii="Arial" w:hAnsi="Arial" w:cs="Arial"/>
          <w:sz w:val="18"/>
          <w:szCs w:val="18"/>
        </w:rPr>
        <w:t xml:space="preserve">The long-term success of the Company is dependent on the effective management of risks and opportunities and remains a key focus for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Board and Executive.</w:t>
      </w:r>
    </w:p>
    <w:p w14:paraId="71D08E9A" w14:textId="77777777" w:rsidR="000E6C31" w:rsidRPr="009A2CAE" w:rsidRDefault="000E6C31" w:rsidP="000E6C31">
      <w:pPr>
        <w:autoSpaceDE w:val="0"/>
        <w:autoSpaceDN w:val="0"/>
        <w:adjustRightInd w:val="0"/>
        <w:spacing w:after="0"/>
        <w:rPr>
          <w:rFonts w:ascii="Arial" w:hAnsi="Arial" w:cs="Arial"/>
          <w:sz w:val="18"/>
          <w:szCs w:val="18"/>
        </w:rPr>
      </w:pPr>
    </w:p>
    <w:p w14:paraId="68FB9AC9" w14:textId="5434964C" w:rsidR="000E6C31" w:rsidRPr="00735726" w:rsidRDefault="000E6C31" w:rsidP="000E6C31">
      <w:pPr>
        <w:autoSpaceDE w:val="0"/>
        <w:autoSpaceDN w:val="0"/>
        <w:adjustRightInd w:val="0"/>
        <w:spacing w:after="0"/>
        <w:rPr>
          <w:rFonts w:ascii="Arial" w:hAnsi="Arial" w:cs="Arial"/>
          <w:sz w:val="18"/>
          <w:szCs w:val="18"/>
        </w:rPr>
      </w:pPr>
      <w:r w:rsidRPr="00735726">
        <w:rPr>
          <w:rFonts w:ascii="Arial" w:hAnsi="Arial" w:cs="Arial"/>
          <w:sz w:val="18"/>
          <w:szCs w:val="18"/>
        </w:rPr>
        <w:t>The Company’s risk management framework considers risk from both a strategic (top-down) and tactical (bottom-up) perspective. This enables a common understanding of risks and opportunities and their interdependencies, allows risks and opportunities to be cascaded and escalated effectively and provides a multi-layered approach to the review and challenge of risk.</w:t>
      </w:r>
    </w:p>
    <w:p w14:paraId="176E0024" w14:textId="77777777" w:rsidR="000E6C31" w:rsidRPr="00735726" w:rsidRDefault="000E6C31" w:rsidP="000E6C31">
      <w:pPr>
        <w:autoSpaceDE w:val="0"/>
        <w:autoSpaceDN w:val="0"/>
        <w:adjustRightInd w:val="0"/>
        <w:spacing w:after="0" w:line="240" w:lineRule="auto"/>
        <w:rPr>
          <w:rFonts w:ascii="Calibre-Light" w:hAnsi="Calibre-Light" w:cs="Calibre-Light"/>
          <w:sz w:val="16"/>
          <w:szCs w:val="16"/>
        </w:rPr>
      </w:pPr>
    </w:p>
    <w:p w14:paraId="53A5AF0D" w14:textId="64A946FA" w:rsidR="00D27CFE" w:rsidRPr="00735726" w:rsidRDefault="000E6C31" w:rsidP="009A6ACA">
      <w:pPr>
        <w:spacing w:after="160"/>
        <w:rPr>
          <w:rFonts w:ascii="Arial" w:hAnsi="Arial" w:cs="Arial"/>
          <w:sz w:val="18"/>
          <w:szCs w:val="18"/>
        </w:rPr>
      </w:pPr>
      <w:proofErr w:type="gramStart"/>
      <w:r w:rsidRPr="00735726">
        <w:rPr>
          <w:rFonts w:ascii="Arial" w:hAnsi="Arial" w:cs="Arial"/>
          <w:b/>
          <w:bCs/>
          <w:sz w:val="18"/>
          <w:szCs w:val="18"/>
        </w:rPr>
        <w:t>SOUTH WEST</w:t>
      </w:r>
      <w:proofErr w:type="gramEnd"/>
      <w:r w:rsidRPr="00735726">
        <w:rPr>
          <w:rFonts w:ascii="Arial" w:hAnsi="Arial" w:cs="Arial"/>
          <w:b/>
          <w:bCs/>
          <w:sz w:val="18"/>
          <w:szCs w:val="18"/>
        </w:rPr>
        <w:t xml:space="preserve"> WATER’S RISK MANAGEMENT FRAMEWORK</w:t>
      </w:r>
      <w:r w:rsidR="00D62E2B" w:rsidRPr="00735726">
        <w:rPr>
          <w:rFonts w:ascii="Arial" w:hAnsi="Arial" w:cs="Arial"/>
          <w:sz w:val="18"/>
          <w:szCs w:val="18"/>
        </w:rPr>
        <w:br/>
      </w:r>
      <w:r w:rsidR="00D27CFE" w:rsidRPr="00735726">
        <w:rPr>
          <w:rFonts w:ascii="Arial" w:hAnsi="Arial" w:cs="Arial"/>
          <w:sz w:val="18"/>
          <w:szCs w:val="18"/>
        </w:rPr>
        <w:t>The Company operates a consistent risk management framework across regulated and non-regulated activities,</w:t>
      </w:r>
      <w:r w:rsidR="00784C20" w:rsidRPr="00735726">
        <w:rPr>
          <w:rFonts w:ascii="Arial" w:hAnsi="Arial" w:cs="Arial"/>
          <w:sz w:val="18"/>
          <w:szCs w:val="18"/>
        </w:rPr>
        <w:t xml:space="preserve"> </w:t>
      </w:r>
      <w:r w:rsidR="00D27CFE" w:rsidRPr="00735726">
        <w:rPr>
          <w:rFonts w:ascii="Arial" w:hAnsi="Arial" w:cs="Arial"/>
          <w:sz w:val="18"/>
          <w:szCs w:val="18"/>
        </w:rPr>
        <w:t xml:space="preserve">as well as support and other enabling functions. </w:t>
      </w:r>
    </w:p>
    <w:p w14:paraId="3DC7D88F" w14:textId="16396602" w:rsidR="000E6C31" w:rsidRPr="00735726" w:rsidRDefault="000E6C31" w:rsidP="00D27CFE">
      <w:pPr>
        <w:autoSpaceDE w:val="0"/>
        <w:autoSpaceDN w:val="0"/>
        <w:adjustRightInd w:val="0"/>
        <w:spacing w:after="0"/>
        <w:rPr>
          <w:rFonts w:ascii="Arial" w:hAnsi="Arial" w:cs="Arial"/>
          <w:sz w:val="18"/>
          <w:szCs w:val="18"/>
        </w:rPr>
      </w:pPr>
      <w:r w:rsidRPr="00735726">
        <w:rPr>
          <w:rFonts w:ascii="Arial" w:hAnsi="Arial" w:cs="Arial"/>
          <w:sz w:val="18"/>
          <w:szCs w:val="18"/>
        </w:rPr>
        <w:t xml:space="preserve">Principal and emerging risks are reviewed by both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Board and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Executive throughout the year and are considered in the context of the Company’s strategic priorities and the external environment within which the Company operates.</w:t>
      </w:r>
    </w:p>
    <w:p w14:paraId="36CBAB8F" w14:textId="77777777" w:rsidR="000E6C31" w:rsidRPr="00735726" w:rsidRDefault="000E6C31" w:rsidP="000E6C31">
      <w:pPr>
        <w:autoSpaceDE w:val="0"/>
        <w:autoSpaceDN w:val="0"/>
        <w:adjustRightInd w:val="0"/>
        <w:spacing w:after="0"/>
        <w:rPr>
          <w:rFonts w:ascii="Arial" w:hAnsi="Arial" w:cs="Arial"/>
          <w:sz w:val="18"/>
          <w:szCs w:val="18"/>
        </w:rPr>
      </w:pPr>
    </w:p>
    <w:p w14:paraId="3E815CF9" w14:textId="31912459" w:rsidR="000E6C31" w:rsidRPr="00735726" w:rsidRDefault="000E6C31" w:rsidP="000E6C31">
      <w:pPr>
        <w:autoSpaceDE w:val="0"/>
        <w:autoSpaceDN w:val="0"/>
        <w:adjustRightInd w:val="0"/>
        <w:spacing w:after="0"/>
        <w:rPr>
          <w:rFonts w:ascii="Arial" w:hAnsi="Arial" w:cs="Arial"/>
          <w:sz w:val="18"/>
          <w:szCs w:val="18"/>
        </w:rPr>
      </w:pPr>
      <w:r w:rsidRPr="00735726">
        <w:rPr>
          <w:rFonts w:ascii="Arial" w:hAnsi="Arial" w:cs="Arial"/>
          <w:sz w:val="18"/>
          <w:szCs w:val="18"/>
        </w:rPr>
        <w:t xml:space="preserve">The consideration of these risks and the effectiveness of their management against the desired risk appetite is informed by, and reviewed against other data points, </w:t>
      </w:r>
      <w:proofErr w:type="gramStart"/>
      <w:r w:rsidRPr="00735726">
        <w:rPr>
          <w:rFonts w:ascii="Arial" w:hAnsi="Arial" w:cs="Arial"/>
          <w:sz w:val="18"/>
          <w:szCs w:val="18"/>
        </w:rPr>
        <w:t>including;</w:t>
      </w:r>
      <w:proofErr w:type="gramEnd"/>
      <w:r w:rsidRPr="00735726">
        <w:rPr>
          <w:rFonts w:ascii="Arial" w:hAnsi="Arial" w:cs="Arial"/>
          <w:sz w:val="18"/>
          <w:szCs w:val="18"/>
        </w:rPr>
        <w:t xml:space="preserve"> key performance metrics, operational insights, the outcome of assurance activities and broader geopolitical, regulatory and economic developments.</w:t>
      </w:r>
    </w:p>
    <w:p w14:paraId="03D89600" w14:textId="77777777" w:rsidR="000E6C31" w:rsidRPr="00735726" w:rsidRDefault="000E6C31" w:rsidP="000E6C31">
      <w:pPr>
        <w:autoSpaceDE w:val="0"/>
        <w:autoSpaceDN w:val="0"/>
        <w:adjustRightInd w:val="0"/>
        <w:spacing w:after="0"/>
        <w:rPr>
          <w:rFonts w:ascii="Arial" w:hAnsi="Arial" w:cs="Arial"/>
          <w:sz w:val="18"/>
          <w:szCs w:val="18"/>
        </w:rPr>
      </w:pPr>
    </w:p>
    <w:p w14:paraId="26FF33CD" w14:textId="77777777" w:rsidR="000E6C31" w:rsidRPr="00735726" w:rsidRDefault="000E6C31" w:rsidP="000E6C31">
      <w:pPr>
        <w:autoSpaceDE w:val="0"/>
        <w:autoSpaceDN w:val="0"/>
        <w:adjustRightInd w:val="0"/>
        <w:spacing w:after="0"/>
        <w:rPr>
          <w:rFonts w:ascii="Arial" w:hAnsi="Arial" w:cs="Arial"/>
          <w:sz w:val="18"/>
          <w:szCs w:val="18"/>
        </w:rPr>
      </w:pPr>
      <w:r w:rsidRPr="00735726">
        <w:rPr>
          <w:rFonts w:ascii="Arial" w:hAnsi="Arial" w:cs="Arial"/>
          <w:sz w:val="18"/>
          <w:szCs w:val="18"/>
        </w:rPr>
        <w:t>This is underpinned by an established risk management framework which forms part of our governance structure and is embedded into our processes, culture and ways of working, ensuring that there is robust identification,</w:t>
      </w:r>
    </w:p>
    <w:p w14:paraId="277302FC" w14:textId="77777777" w:rsidR="000E6C31" w:rsidRPr="00735726" w:rsidRDefault="000E6C31" w:rsidP="000E6C31">
      <w:pPr>
        <w:autoSpaceDE w:val="0"/>
        <w:autoSpaceDN w:val="0"/>
        <w:adjustRightInd w:val="0"/>
        <w:spacing w:after="0"/>
        <w:rPr>
          <w:rFonts w:ascii="Arial" w:hAnsi="Arial" w:cs="Arial"/>
          <w:sz w:val="18"/>
          <w:szCs w:val="18"/>
        </w:rPr>
      </w:pPr>
      <w:r w:rsidRPr="00735726">
        <w:rPr>
          <w:rFonts w:ascii="Arial" w:hAnsi="Arial" w:cs="Arial"/>
          <w:sz w:val="18"/>
          <w:szCs w:val="18"/>
        </w:rPr>
        <w:t>review, challenge and assurance over the management of both our current and emerging risks and opportunities.</w:t>
      </w:r>
    </w:p>
    <w:p w14:paraId="02464A47" w14:textId="77777777" w:rsidR="000E6C31" w:rsidRPr="009A2CAE" w:rsidRDefault="000E6C31" w:rsidP="000E6C31">
      <w:pPr>
        <w:autoSpaceDE w:val="0"/>
        <w:autoSpaceDN w:val="0"/>
        <w:adjustRightInd w:val="0"/>
        <w:spacing w:after="0" w:line="240" w:lineRule="auto"/>
        <w:rPr>
          <w:rFonts w:ascii="Arial" w:hAnsi="Arial" w:cs="Arial"/>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51"/>
        <w:gridCol w:w="3539"/>
        <w:gridCol w:w="3301"/>
      </w:tblGrid>
      <w:tr w:rsidR="000E6C31" w:rsidRPr="00735726" w14:paraId="697ACF76" w14:textId="77777777" w:rsidTr="002E283F">
        <w:trPr>
          <w:tblHeader/>
        </w:trPr>
        <w:tc>
          <w:tcPr>
            <w:tcW w:w="817" w:type="dxa"/>
          </w:tcPr>
          <w:p w14:paraId="5D9C3944" w14:textId="77777777" w:rsidR="000E6C31" w:rsidRPr="009A2CAE" w:rsidDel="00C37DC5" w:rsidRDefault="000E6C31" w:rsidP="00470234">
            <w:pPr>
              <w:rPr>
                <w:rFonts w:ascii="Arial" w:hAnsi="Arial" w:cs="Arial"/>
                <w:b/>
                <w:color w:val="FFFFFF" w:themeColor="background1"/>
              </w:rPr>
            </w:pPr>
          </w:p>
        </w:tc>
        <w:tc>
          <w:tcPr>
            <w:tcW w:w="1451" w:type="dxa"/>
          </w:tcPr>
          <w:p w14:paraId="4D4DDDBD" w14:textId="77777777" w:rsidR="000E6C31" w:rsidRPr="009A2CAE" w:rsidRDefault="000E6C31" w:rsidP="00470234">
            <w:pPr>
              <w:ind w:left="360"/>
              <w:rPr>
                <w:rFonts w:ascii="Arial" w:hAnsi="Arial" w:cs="Arial"/>
                <w:b/>
                <w:sz w:val="18"/>
                <w:szCs w:val="20"/>
              </w:rPr>
            </w:pPr>
          </w:p>
        </w:tc>
        <w:tc>
          <w:tcPr>
            <w:tcW w:w="3539" w:type="dxa"/>
          </w:tcPr>
          <w:p w14:paraId="3F408C0E" w14:textId="77777777" w:rsidR="000E6C31" w:rsidRPr="00735726" w:rsidRDefault="000E6C31" w:rsidP="00470234">
            <w:pPr>
              <w:rPr>
                <w:rFonts w:ascii="Arial" w:hAnsi="Arial" w:cs="Arial"/>
                <w:b/>
                <w:sz w:val="18"/>
                <w:szCs w:val="20"/>
              </w:rPr>
            </w:pPr>
            <w:r w:rsidRPr="00735726">
              <w:rPr>
                <w:rFonts w:ascii="Arial" w:hAnsi="Arial" w:cs="Arial"/>
                <w:b/>
                <w:sz w:val="18"/>
                <w:szCs w:val="20"/>
              </w:rPr>
              <w:t>Risk management responsibilities</w:t>
            </w:r>
          </w:p>
        </w:tc>
        <w:tc>
          <w:tcPr>
            <w:tcW w:w="3301" w:type="dxa"/>
          </w:tcPr>
          <w:p w14:paraId="2A49BA3F" w14:textId="77777777" w:rsidR="000E6C31" w:rsidRPr="00735726" w:rsidRDefault="000E6C31" w:rsidP="00470234">
            <w:pPr>
              <w:rPr>
                <w:rFonts w:ascii="Arial" w:hAnsi="Arial" w:cs="Arial"/>
                <w:b/>
                <w:sz w:val="18"/>
                <w:szCs w:val="20"/>
              </w:rPr>
            </w:pPr>
            <w:r w:rsidRPr="00735726">
              <w:rPr>
                <w:rFonts w:ascii="Arial" w:hAnsi="Arial" w:cs="Arial"/>
                <w:b/>
                <w:sz w:val="18"/>
                <w:szCs w:val="20"/>
              </w:rPr>
              <w:t>Key assurance activities</w:t>
            </w:r>
          </w:p>
        </w:tc>
      </w:tr>
      <w:tr w:rsidR="000E6C31" w:rsidRPr="00735726" w14:paraId="7172792E" w14:textId="77777777" w:rsidTr="002E283F">
        <w:tc>
          <w:tcPr>
            <w:tcW w:w="817" w:type="dxa"/>
            <w:vMerge w:val="restart"/>
            <w:textDirection w:val="btLr"/>
          </w:tcPr>
          <w:p w14:paraId="2775D422" w14:textId="77777777" w:rsidR="000E6C31" w:rsidRPr="00735726" w:rsidRDefault="000E6C31" w:rsidP="00470234">
            <w:pPr>
              <w:ind w:left="113" w:right="113"/>
              <w:jc w:val="center"/>
              <w:rPr>
                <w:rFonts w:ascii="Arial" w:hAnsi="Arial" w:cs="Arial"/>
                <w:b/>
                <w:color w:val="FFFFFF" w:themeColor="background1"/>
                <w:sz w:val="18"/>
                <w:szCs w:val="18"/>
              </w:rPr>
            </w:pPr>
            <w:r w:rsidRPr="00735726">
              <w:rPr>
                <w:rFonts w:ascii="Arial" w:hAnsi="Arial" w:cs="Arial"/>
                <w:b/>
                <w:sz w:val="18"/>
                <w:szCs w:val="18"/>
              </w:rPr>
              <w:t>OVERSIGHT</w:t>
            </w:r>
          </w:p>
        </w:tc>
        <w:tc>
          <w:tcPr>
            <w:tcW w:w="1451" w:type="dxa"/>
          </w:tcPr>
          <w:p w14:paraId="6E57F643" w14:textId="77777777" w:rsidR="000E6C31" w:rsidRPr="00735726" w:rsidRDefault="000E6C31" w:rsidP="00470234">
            <w:pPr>
              <w:jc w:val="both"/>
              <w:rPr>
                <w:rFonts w:ascii="Arial" w:hAnsi="Arial" w:cs="Arial"/>
                <w:sz w:val="18"/>
                <w:szCs w:val="20"/>
              </w:rPr>
            </w:pPr>
            <w:r w:rsidRPr="00735726">
              <w:rPr>
                <w:rFonts w:ascii="Arial" w:hAnsi="Arial" w:cs="Arial"/>
                <w:sz w:val="18"/>
                <w:szCs w:val="20"/>
              </w:rPr>
              <w:t>Board</w:t>
            </w:r>
          </w:p>
        </w:tc>
        <w:tc>
          <w:tcPr>
            <w:tcW w:w="3539" w:type="dxa"/>
          </w:tcPr>
          <w:p w14:paraId="3F8F6758"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Sets the Company’s strategic objectives</w:t>
            </w:r>
          </w:p>
          <w:p w14:paraId="7B7C704F"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Establishes the Company’s risk appetite</w:t>
            </w:r>
          </w:p>
          <w:p w14:paraId="6FED82A1"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Determines the Company’s principal risks</w:t>
            </w:r>
          </w:p>
          <w:p w14:paraId="05B9451D"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Ensures an effective internal control framework</w:t>
            </w:r>
          </w:p>
        </w:tc>
        <w:tc>
          <w:tcPr>
            <w:tcW w:w="3301" w:type="dxa"/>
          </w:tcPr>
          <w:p w14:paraId="2F9D2F4B"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Quarterly reviews of the Company’s principal risks against the determined risk appetite</w:t>
            </w:r>
          </w:p>
          <w:p w14:paraId="3C2C2E35"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Quarterly reviews of emerging risks and horizon scanning</w:t>
            </w:r>
          </w:p>
          <w:p w14:paraId="05F5788E" w14:textId="77777777" w:rsidR="000E6C31" w:rsidRPr="00735726" w:rsidRDefault="000E6C31" w:rsidP="00470234">
            <w:pPr>
              <w:pStyle w:val="ListParagraph"/>
              <w:ind w:left="360"/>
              <w:rPr>
                <w:rFonts w:ascii="Arial" w:hAnsi="Arial" w:cs="Arial"/>
                <w:sz w:val="18"/>
                <w:szCs w:val="20"/>
              </w:rPr>
            </w:pPr>
          </w:p>
          <w:p w14:paraId="351E9622" w14:textId="77777777" w:rsidR="000E6C31" w:rsidRPr="00735726" w:rsidRDefault="000E6C31" w:rsidP="00470234">
            <w:pPr>
              <w:pStyle w:val="ListParagraph"/>
              <w:ind w:left="360"/>
              <w:rPr>
                <w:rFonts w:ascii="Arial" w:hAnsi="Arial" w:cs="Arial"/>
                <w:sz w:val="18"/>
                <w:szCs w:val="20"/>
              </w:rPr>
            </w:pPr>
          </w:p>
        </w:tc>
      </w:tr>
      <w:tr w:rsidR="000E6C31" w:rsidRPr="00735726" w14:paraId="276AE34A" w14:textId="77777777" w:rsidTr="002E283F">
        <w:tc>
          <w:tcPr>
            <w:tcW w:w="817" w:type="dxa"/>
            <w:vMerge/>
          </w:tcPr>
          <w:p w14:paraId="4F9FC9F4" w14:textId="77777777" w:rsidR="000E6C31" w:rsidRPr="00735726" w:rsidDel="00887B46" w:rsidRDefault="000E6C31" w:rsidP="00470234">
            <w:pPr>
              <w:rPr>
                <w:rFonts w:ascii="Arial" w:hAnsi="Arial" w:cs="Arial"/>
                <w:b/>
                <w:color w:val="FFFFFF" w:themeColor="background1"/>
                <w:sz w:val="18"/>
                <w:szCs w:val="18"/>
              </w:rPr>
            </w:pPr>
          </w:p>
        </w:tc>
        <w:tc>
          <w:tcPr>
            <w:tcW w:w="1451" w:type="dxa"/>
          </w:tcPr>
          <w:p w14:paraId="40137360" w14:textId="77777777" w:rsidR="000E6C31" w:rsidRPr="00735726" w:rsidRDefault="000E6C31" w:rsidP="00470234">
            <w:pPr>
              <w:rPr>
                <w:rFonts w:ascii="Arial" w:hAnsi="Arial" w:cs="Arial"/>
                <w:sz w:val="18"/>
                <w:szCs w:val="20"/>
              </w:rPr>
            </w:pPr>
            <w:r w:rsidRPr="00735726">
              <w:rPr>
                <w:rFonts w:ascii="Arial" w:hAnsi="Arial" w:cs="Arial"/>
                <w:sz w:val="18"/>
                <w:szCs w:val="20"/>
              </w:rPr>
              <w:t>Audit Committee</w:t>
            </w:r>
          </w:p>
        </w:tc>
        <w:tc>
          <w:tcPr>
            <w:tcW w:w="3539" w:type="dxa"/>
          </w:tcPr>
          <w:p w14:paraId="453E0CA1"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Reviews the effectiveness of the Company’s risk management framework and internal controls framework</w:t>
            </w:r>
          </w:p>
        </w:tc>
        <w:tc>
          <w:tcPr>
            <w:tcW w:w="3301" w:type="dxa"/>
          </w:tcPr>
          <w:p w14:paraId="787765C2" w14:textId="42745DDC"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Perform regular deep</w:t>
            </w:r>
            <w:r w:rsidR="002E283F" w:rsidRPr="00735726">
              <w:rPr>
                <w:rFonts w:ascii="Arial" w:hAnsi="Arial" w:cs="Arial"/>
                <w:sz w:val="18"/>
                <w:szCs w:val="20"/>
              </w:rPr>
              <w:t>-</w:t>
            </w:r>
            <w:r w:rsidRPr="00735726">
              <w:rPr>
                <w:rFonts w:ascii="Arial" w:hAnsi="Arial" w:cs="Arial"/>
                <w:sz w:val="18"/>
                <w:szCs w:val="20"/>
              </w:rPr>
              <w:t>dive reviews on principal risks</w:t>
            </w:r>
          </w:p>
          <w:p w14:paraId="1787CB8D"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Ensures an appropriate level of assurance coverage over the Company’s principal risks</w:t>
            </w:r>
          </w:p>
          <w:p w14:paraId="4F988E4E"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 xml:space="preserve">Approves the risk-based </w:t>
            </w:r>
            <w:proofErr w:type="gramStart"/>
            <w:r w:rsidRPr="00735726">
              <w:rPr>
                <w:rFonts w:ascii="Arial" w:hAnsi="Arial" w:cs="Arial"/>
                <w:sz w:val="18"/>
                <w:szCs w:val="20"/>
              </w:rPr>
              <w:t>South West</w:t>
            </w:r>
            <w:proofErr w:type="gramEnd"/>
            <w:r w:rsidRPr="00735726">
              <w:rPr>
                <w:rFonts w:ascii="Arial" w:hAnsi="Arial" w:cs="Arial"/>
                <w:sz w:val="18"/>
                <w:szCs w:val="20"/>
              </w:rPr>
              <w:t xml:space="preserve"> Water Internal Audit Plan</w:t>
            </w:r>
          </w:p>
          <w:p w14:paraId="2A981503"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Receives reports on the outcomes of key assurance activities</w:t>
            </w:r>
          </w:p>
        </w:tc>
      </w:tr>
      <w:tr w:rsidR="000E6C31" w:rsidRPr="00735726" w14:paraId="7741BFCF" w14:textId="77777777" w:rsidTr="002E283F">
        <w:tc>
          <w:tcPr>
            <w:tcW w:w="817" w:type="dxa"/>
            <w:textDirection w:val="btLr"/>
          </w:tcPr>
          <w:p w14:paraId="4A9E677F" w14:textId="3F56EDF9" w:rsidR="000E6C31" w:rsidRPr="00735726" w:rsidRDefault="000E6C31" w:rsidP="00470234">
            <w:pPr>
              <w:pStyle w:val="ListParagraph"/>
              <w:ind w:left="360" w:right="113"/>
              <w:jc w:val="center"/>
              <w:rPr>
                <w:rFonts w:ascii="Arial" w:hAnsi="Arial" w:cs="Arial"/>
                <w:b/>
                <w:color w:val="FFFFFF" w:themeColor="background1"/>
                <w:sz w:val="18"/>
                <w:szCs w:val="18"/>
              </w:rPr>
            </w:pPr>
            <w:r w:rsidRPr="00735726">
              <w:rPr>
                <w:rFonts w:ascii="Arial" w:hAnsi="Arial" w:cs="Arial"/>
                <w:b/>
                <w:sz w:val="18"/>
                <w:szCs w:val="20"/>
              </w:rPr>
              <w:t>FIRS</w:t>
            </w:r>
            <w:r w:rsidR="002E283F" w:rsidRPr="00735726">
              <w:rPr>
                <w:rFonts w:ascii="Arial" w:hAnsi="Arial" w:cs="Arial"/>
                <w:b/>
                <w:sz w:val="18"/>
                <w:szCs w:val="20"/>
              </w:rPr>
              <w:t>T</w:t>
            </w:r>
            <w:r w:rsidRPr="00735726">
              <w:rPr>
                <w:rFonts w:ascii="Arial" w:hAnsi="Arial" w:cs="Arial"/>
                <w:b/>
                <w:sz w:val="18"/>
                <w:szCs w:val="20"/>
              </w:rPr>
              <w:t xml:space="preserve"> LINE OF DEFENCE</w:t>
            </w:r>
            <w:r w:rsidRPr="00735726" w:rsidDel="0008685C">
              <w:rPr>
                <w:rFonts w:ascii="Arial" w:hAnsi="Arial" w:cs="Arial"/>
                <w:b/>
                <w:sz w:val="18"/>
                <w:szCs w:val="20"/>
              </w:rPr>
              <w:t xml:space="preserve"> </w:t>
            </w:r>
          </w:p>
        </w:tc>
        <w:tc>
          <w:tcPr>
            <w:tcW w:w="1451" w:type="dxa"/>
          </w:tcPr>
          <w:p w14:paraId="39F55644" w14:textId="4B3EC9D3" w:rsidR="000E6C31" w:rsidRPr="00735726" w:rsidDel="00A514A8" w:rsidRDefault="000E6C31" w:rsidP="00470234">
            <w:pPr>
              <w:rPr>
                <w:rFonts w:ascii="Arial" w:hAnsi="Arial" w:cs="Arial"/>
                <w:sz w:val="18"/>
                <w:szCs w:val="20"/>
              </w:rPr>
            </w:pPr>
            <w:r w:rsidRPr="00735726">
              <w:rPr>
                <w:rFonts w:ascii="Arial" w:hAnsi="Arial" w:cs="Arial"/>
                <w:sz w:val="18"/>
                <w:szCs w:val="20"/>
              </w:rPr>
              <w:t xml:space="preserve">Operational Risk Management </w:t>
            </w:r>
            <w:r w:rsidR="006C1BA9" w:rsidRPr="00735726">
              <w:rPr>
                <w:rFonts w:ascii="Arial" w:hAnsi="Arial" w:cs="Arial"/>
                <w:sz w:val="18"/>
                <w:szCs w:val="20"/>
              </w:rPr>
              <w:t xml:space="preserve">- </w:t>
            </w:r>
            <w:r w:rsidR="00D27CFE" w:rsidRPr="00735726">
              <w:rPr>
                <w:rFonts w:ascii="Arial" w:hAnsi="Arial" w:cs="Arial"/>
                <w:sz w:val="18"/>
                <w:szCs w:val="20"/>
              </w:rPr>
              <w:t>within the business units</w:t>
            </w:r>
          </w:p>
        </w:tc>
        <w:tc>
          <w:tcPr>
            <w:tcW w:w="3539" w:type="dxa"/>
          </w:tcPr>
          <w:p w14:paraId="13FB5475" w14:textId="77777777" w:rsidR="000E6C31" w:rsidRPr="00735726" w:rsidRDefault="000E6C31" w:rsidP="00470234">
            <w:pPr>
              <w:pStyle w:val="ListParagraph"/>
              <w:numPr>
                <w:ilvl w:val="0"/>
                <w:numId w:val="11"/>
              </w:numPr>
              <w:rPr>
                <w:rFonts w:ascii="Arial" w:hAnsi="Arial" w:cs="Arial"/>
                <w:sz w:val="18"/>
                <w:szCs w:val="20"/>
              </w:rPr>
            </w:pPr>
            <w:r w:rsidRPr="00735726">
              <w:rPr>
                <w:rFonts w:ascii="Arial" w:hAnsi="Arial" w:cs="Arial"/>
                <w:sz w:val="18"/>
                <w:szCs w:val="20"/>
              </w:rPr>
              <w:t>The identification, evaluation and monitoring of strategic and tactical risks</w:t>
            </w:r>
          </w:p>
          <w:p w14:paraId="2BE3D99B" w14:textId="77777777" w:rsidR="000E6C31" w:rsidRPr="00735726" w:rsidRDefault="000E6C31" w:rsidP="00470234">
            <w:pPr>
              <w:pStyle w:val="ListParagraph"/>
              <w:numPr>
                <w:ilvl w:val="0"/>
                <w:numId w:val="11"/>
              </w:numPr>
              <w:rPr>
                <w:rFonts w:ascii="Arial" w:hAnsi="Arial" w:cs="Arial"/>
                <w:sz w:val="18"/>
                <w:szCs w:val="20"/>
              </w:rPr>
            </w:pPr>
            <w:r w:rsidRPr="00735726">
              <w:rPr>
                <w:rFonts w:ascii="Arial" w:hAnsi="Arial" w:cs="Arial"/>
                <w:sz w:val="18"/>
                <w:szCs w:val="20"/>
              </w:rPr>
              <w:t>Maintaining robust internal controls to mitigate key risks</w:t>
            </w:r>
          </w:p>
          <w:p w14:paraId="5F1FE5A0" w14:textId="77777777" w:rsidR="000E6C31" w:rsidRPr="00735726" w:rsidRDefault="000E6C31" w:rsidP="00470234">
            <w:pPr>
              <w:pStyle w:val="ListParagraph"/>
              <w:numPr>
                <w:ilvl w:val="0"/>
                <w:numId w:val="11"/>
              </w:numPr>
              <w:rPr>
                <w:rFonts w:ascii="Arial" w:hAnsi="Arial" w:cs="Arial"/>
                <w:sz w:val="18"/>
                <w:szCs w:val="20"/>
              </w:rPr>
            </w:pPr>
            <w:r w:rsidRPr="00735726">
              <w:rPr>
                <w:rFonts w:ascii="Arial" w:hAnsi="Arial" w:cs="Arial"/>
                <w:sz w:val="18"/>
                <w:szCs w:val="20"/>
              </w:rPr>
              <w:t>Monitoring compliance with internal control framework</w:t>
            </w:r>
          </w:p>
        </w:tc>
        <w:tc>
          <w:tcPr>
            <w:tcW w:w="3301" w:type="dxa"/>
          </w:tcPr>
          <w:p w14:paraId="65B90E8E" w14:textId="77777777" w:rsidR="000E6C31" w:rsidRPr="00735726" w:rsidRDefault="000E6C31" w:rsidP="00470234">
            <w:pPr>
              <w:pStyle w:val="ListParagraph"/>
              <w:numPr>
                <w:ilvl w:val="0"/>
                <w:numId w:val="10"/>
              </w:numPr>
              <w:rPr>
                <w:rFonts w:ascii="Arial" w:hAnsi="Arial" w:cs="Arial"/>
                <w:sz w:val="18"/>
                <w:szCs w:val="20"/>
              </w:rPr>
            </w:pPr>
            <w:r w:rsidRPr="00735726">
              <w:rPr>
                <w:rFonts w:ascii="Arial" w:hAnsi="Arial" w:cs="Arial"/>
                <w:sz w:val="18"/>
                <w:szCs w:val="20"/>
              </w:rPr>
              <w:t>Ensure robust first line assurance across key business processes</w:t>
            </w:r>
          </w:p>
          <w:p w14:paraId="077038DA"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Annual self-assessment and certification of compliance</w:t>
            </w:r>
          </w:p>
        </w:tc>
      </w:tr>
      <w:tr w:rsidR="000E6C31" w:rsidRPr="00735726" w14:paraId="2ACE18A9" w14:textId="77777777" w:rsidTr="002E283F">
        <w:tc>
          <w:tcPr>
            <w:tcW w:w="817" w:type="dxa"/>
            <w:vMerge w:val="restart"/>
            <w:tcBorders>
              <w:top w:val="single" w:sz="4" w:space="0" w:color="auto"/>
              <w:left w:val="single" w:sz="4" w:space="0" w:color="auto"/>
              <w:right w:val="single" w:sz="4" w:space="0" w:color="auto"/>
            </w:tcBorders>
            <w:textDirection w:val="btLr"/>
          </w:tcPr>
          <w:p w14:paraId="30686661" w14:textId="77777777" w:rsidR="000E6C31" w:rsidRPr="009A2CAE" w:rsidRDefault="000E6C31" w:rsidP="00470234">
            <w:pPr>
              <w:pStyle w:val="ListParagraph"/>
              <w:ind w:left="360" w:right="113"/>
              <w:jc w:val="center"/>
              <w:rPr>
                <w:rFonts w:ascii="Arial" w:hAnsi="Arial" w:cs="Arial"/>
                <w:b/>
                <w:bCs/>
                <w:sz w:val="18"/>
                <w:szCs w:val="20"/>
              </w:rPr>
            </w:pPr>
            <w:r w:rsidRPr="00735726">
              <w:rPr>
                <w:rFonts w:ascii="Arial" w:hAnsi="Arial" w:cs="Arial"/>
                <w:b/>
                <w:bCs/>
                <w:sz w:val="18"/>
                <w:szCs w:val="20"/>
              </w:rPr>
              <w:lastRenderedPageBreak/>
              <w:t>SECOND LINE OF DEFENCE</w:t>
            </w:r>
          </w:p>
        </w:tc>
        <w:tc>
          <w:tcPr>
            <w:tcW w:w="1451" w:type="dxa"/>
            <w:tcBorders>
              <w:top w:val="single" w:sz="4" w:space="0" w:color="auto"/>
              <w:left w:val="single" w:sz="4" w:space="0" w:color="auto"/>
              <w:bottom w:val="single" w:sz="4" w:space="0" w:color="auto"/>
              <w:right w:val="single" w:sz="4" w:space="0" w:color="auto"/>
            </w:tcBorders>
          </w:tcPr>
          <w:p w14:paraId="302C6C95" w14:textId="77777777" w:rsidR="000E6C31" w:rsidRPr="00735726" w:rsidDel="00A514A8" w:rsidRDefault="000E6C31" w:rsidP="00470234">
            <w:pPr>
              <w:rPr>
                <w:rFonts w:ascii="Arial" w:hAnsi="Arial" w:cs="Arial"/>
                <w:sz w:val="18"/>
                <w:szCs w:val="20"/>
              </w:rPr>
            </w:pPr>
            <w:r w:rsidRPr="00735726">
              <w:rPr>
                <w:rFonts w:ascii="Arial" w:hAnsi="Arial" w:cs="Arial"/>
                <w:sz w:val="18"/>
                <w:szCs w:val="20"/>
              </w:rPr>
              <w:t>Executive Committee</w:t>
            </w:r>
          </w:p>
        </w:tc>
        <w:tc>
          <w:tcPr>
            <w:tcW w:w="3539" w:type="dxa"/>
            <w:tcBorders>
              <w:top w:val="single" w:sz="4" w:space="0" w:color="auto"/>
              <w:left w:val="single" w:sz="4" w:space="0" w:color="auto"/>
              <w:bottom w:val="single" w:sz="4" w:space="0" w:color="auto"/>
              <w:right w:val="single" w:sz="4" w:space="0" w:color="auto"/>
            </w:tcBorders>
          </w:tcPr>
          <w:p w14:paraId="334E65B3"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Ensuring the operation of the Company’s risk management and internal control frameworks</w:t>
            </w:r>
          </w:p>
          <w:p w14:paraId="61A04823"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Quarterly review of the Company’s principal risks and mitigation strategies</w:t>
            </w:r>
          </w:p>
          <w:p w14:paraId="5CFC44D3"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Review of significant bottom-up tactical risks</w:t>
            </w:r>
          </w:p>
          <w:p w14:paraId="54E931E3"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Provides challenge to individual functional areas over the management of their risks</w:t>
            </w:r>
          </w:p>
          <w:p w14:paraId="112BA623" w14:textId="77777777" w:rsidR="000E6C31" w:rsidRPr="00735726" w:rsidRDefault="000E6C31" w:rsidP="00470234">
            <w:pPr>
              <w:pStyle w:val="ListParagraph"/>
              <w:numPr>
                <w:ilvl w:val="0"/>
                <w:numId w:val="9"/>
              </w:numPr>
              <w:autoSpaceDE w:val="0"/>
              <w:autoSpaceDN w:val="0"/>
              <w:adjustRightInd w:val="0"/>
              <w:spacing w:after="0" w:line="240" w:lineRule="auto"/>
              <w:rPr>
                <w:rFonts w:ascii="Arial" w:hAnsi="Arial" w:cs="Arial"/>
                <w:sz w:val="18"/>
                <w:szCs w:val="20"/>
              </w:rPr>
            </w:pPr>
            <w:r w:rsidRPr="00735726">
              <w:rPr>
                <w:rFonts w:ascii="Arial" w:hAnsi="Arial" w:cs="Arial"/>
                <w:sz w:val="18"/>
                <w:szCs w:val="20"/>
              </w:rPr>
              <w:t>Horizon scanning to identify emerging risks and opportunities</w:t>
            </w:r>
          </w:p>
        </w:tc>
        <w:tc>
          <w:tcPr>
            <w:tcW w:w="3301" w:type="dxa"/>
            <w:tcBorders>
              <w:top w:val="single" w:sz="4" w:space="0" w:color="auto"/>
              <w:left w:val="single" w:sz="4" w:space="0" w:color="auto"/>
              <w:bottom w:val="single" w:sz="4" w:space="0" w:color="auto"/>
              <w:right w:val="single" w:sz="4" w:space="0" w:color="auto"/>
            </w:tcBorders>
          </w:tcPr>
          <w:p w14:paraId="529149EE" w14:textId="77777777" w:rsidR="000E6C31" w:rsidRPr="009A2CAE" w:rsidRDefault="000E6C31" w:rsidP="00470234">
            <w:pPr>
              <w:pStyle w:val="ListParagraph"/>
              <w:ind w:left="360"/>
              <w:rPr>
                <w:rFonts w:ascii="Arial" w:hAnsi="Arial" w:cs="Arial"/>
                <w:sz w:val="18"/>
                <w:szCs w:val="20"/>
              </w:rPr>
            </w:pPr>
          </w:p>
        </w:tc>
      </w:tr>
      <w:tr w:rsidR="000E6C31" w:rsidRPr="00735726" w14:paraId="2628B11D" w14:textId="77777777" w:rsidTr="002E283F">
        <w:tc>
          <w:tcPr>
            <w:tcW w:w="817" w:type="dxa"/>
            <w:vMerge/>
            <w:tcBorders>
              <w:left w:val="single" w:sz="4" w:space="0" w:color="auto"/>
              <w:bottom w:val="single" w:sz="4" w:space="0" w:color="auto"/>
              <w:right w:val="single" w:sz="4" w:space="0" w:color="auto"/>
            </w:tcBorders>
            <w:textDirection w:val="btLr"/>
          </w:tcPr>
          <w:p w14:paraId="3F94E622" w14:textId="77777777" w:rsidR="000E6C31" w:rsidRPr="009A2CAE" w:rsidRDefault="000E6C31" w:rsidP="00470234">
            <w:pPr>
              <w:pStyle w:val="ListParagraph"/>
              <w:ind w:left="360" w:right="113"/>
              <w:jc w:val="center"/>
              <w:rPr>
                <w:rFonts w:ascii="Arial" w:hAnsi="Arial" w:cs="Arial"/>
                <w:sz w:val="18"/>
                <w:szCs w:val="20"/>
              </w:rPr>
            </w:pPr>
          </w:p>
        </w:tc>
        <w:tc>
          <w:tcPr>
            <w:tcW w:w="1451" w:type="dxa"/>
            <w:tcBorders>
              <w:top w:val="single" w:sz="4" w:space="0" w:color="auto"/>
              <w:left w:val="single" w:sz="4" w:space="0" w:color="auto"/>
              <w:bottom w:val="single" w:sz="4" w:space="0" w:color="auto"/>
              <w:right w:val="single" w:sz="4" w:space="0" w:color="auto"/>
            </w:tcBorders>
          </w:tcPr>
          <w:p w14:paraId="4E4D7EEB" w14:textId="77777777" w:rsidR="000E6C31" w:rsidRPr="00735726" w:rsidRDefault="000E6C31" w:rsidP="00470234">
            <w:pPr>
              <w:rPr>
                <w:rFonts w:ascii="Arial" w:hAnsi="Arial" w:cs="Arial"/>
                <w:sz w:val="18"/>
                <w:szCs w:val="20"/>
              </w:rPr>
            </w:pPr>
            <w:r w:rsidRPr="00735726">
              <w:rPr>
                <w:rFonts w:ascii="Arial" w:hAnsi="Arial" w:cs="Arial"/>
                <w:sz w:val="18"/>
                <w:szCs w:val="20"/>
              </w:rPr>
              <w:t>Business units Committees and steering groups</w:t>
            </w:r>
          </w:p>
        </w:tc>
        <w:tc>
          <w:tcPr>
            <w:tcW w:w="3539" w:type="dxa"/>
            <w:tcBorders>
              <w:top w:val="single" w:sz="4" w:space="0" w:color="auto"/>
              <w:left w:val="single" w:sz="4" w:space="0" w:color="auto"/>
              <w:bottom w:val="single" w:sz="4" w:space="0" w:color="auto"/>
              <w:right w:val="single" w:sz="4" w:space="0" w:color="auto"/>
            </w:tcBorders>
          </w:tcPr>
          <w:p w14:paraId="0E0ACBAD"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Managing Directors have established committees and steering groups that assess, monitor and review risks to feed into the overall Executive reviews.</w:t>
            </w:r>
          </w:p>
        </w:tc>
        <w:tc>
          <w:tcPr>
            <w:tcW w:w="3301" w:type="dxa"/>
            <w:tcBorders>
              <w:top w:val="single" w:sz="4" w:space="0" w:color="auto"/>
              <w:left w:val="single" w:sz="4" w:space="0" w:color="auto"/>
              <w:bottom w:val="single" w:sz="4" w:space="0" w:color="auto"/>
              <w:right w:val="single" w:sz="4" w:space="0" w:color="auto"/>
            </w:tcBorders>
          </w:tcPr>
          <w:p w14:paraId="4F345834" w14:textId="77777777" w:rsidR="000E6C31" w:rsidRPr="00735726" w:rsidRDefault="000E6C31" w:rsidP="00470234">
            <w:pPr>
              <w:pStyle w:val="ListParagraph"/>
              <w:ind w:left="360"/>
              <w:rPr>
                <w:rFonts w:ascii="Arial" w:hAnsi="Arial" w:cs="Arial"/>
                <w:sz w:val="18"/>
                <w:szCs w:val="20"/>
              </w:rPr>
            </w:pPr>
          </w:p>
        </w:tc>
      </w:tr>
      <w:tr w:rsidR="000E6C31" w:rsidRPr="00735726" w14:paraId="0F8AB559" w14:textId="77777777" w:rsidTr="002E283F">
        <w:tc>
          <w:tcPr>
            <w:tcW w:w="817" w:type="dxa"/>
            <w:vMerge/>
            <w:tcBorders>
              <w:left w:val="single" w:sz="4" w:space="0" w:color="auto"/>
              <w:bottom w:val="single" w:sz="4" w:space="0" w:color="auto"/>
              <w:right w:val="single" w:sz="4" w:space="0" w:color="auto"/>
            </w:tcBorders>
            <w:textDirection w:val="btLr"/>
          </w:tcPr>
          <w:p w14:paraId="021F606F" w14:textId="77777777" w:rsidR="000E6C31" w:rsidRPr="009A2CAE" w:rsidRDefault="000E6C31" w:rsidP="00470234">
            <w:pPr>
              <w:pStyle w:val="ListParagraph"/>
              <w:ind w:left="360" w:right="113"/>
              <w:jc w:val="center"/>
              <w:rPr>
                <w:rFonts w:ascii="Arial" w:hAnsi="Arial" w:cs="Arial"/>
                <w:sz w:val="18"/>
                <w:szCs w:val="20"/>
              </w:rPr>
            </w:pPr>
          </w:p>
        </w:tc>
        <w:tc>
          <w:tcPr>
            <w:tcW w:w="1451" w:type="dxa"/>
            <w:tcBorders>
              <w:top w:val="single" w:sz="4" w:space="0" w:color="auto"/>
              <w:left w:val="single" w:sz="4" w:space="0" w:color="auto"/>
              <w:bottom w:val="single" w:sz="4" w:space="0" w:color="auto"/>
              <w:right w:val="single" w:sz="4" w:space="0" w:color="auto"/>
            </w:tcBorders>
          </w:tcPr>
          <w:p w14:paraId="08C32CF6" w14:textId="77777777" w:rsidR="000E6C31" w:rsidRPr="00735726" w:rsidRDefault="000E6C31" w:rsidP="00470234">
            <w:pPr>
              <w:rPr>
                <w:rFonts w:ascii="Arial" w:hAnsi="Arial" w:cs="Arial"/>
                <w:sz w:val="18"/>
                <w:szCs w:val="20"/>
              </w:rPr>
            </w:pPr>
            <w:r w:rsidRPr="00735726">
              <w:rPr>
                <w:rFonts w:ascii="Arial" w:hAnsi="Arial" w:cs="Arial"/>
                <w:sz w:val="18"/>
                <w:szCs w:val="20"/>
              </w:rPr>
              <w:t>Compliance Committee</w:t>
            </w:r>
          </w:p>
        </w:tc>
        <w:tc>
          <w:tcPr>
            <w:tcW w:w="3539" w:type="dxa"/>
            <w:tcBorders>
              <w:top w:val="single" w:sz="4" w:space="0" w:color="auto"/>
              <w:left w:val="single" w:sz="4" w:space="0" w:color="auto"/>
              <w:bottom w:val="single" w:sz="4" w:space="0" w:color="auto"/>
              <w:right w:val="single" w:sz="4" w:space="0" w:color="auto"/>
            </w:tcBorders>
          </w:tcPr>
          <w:p w14:paraId="42A09A68"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Performs deep-dive reviews on risk areas relating to data and substantive submissions</w:t>
            </w:r>
          </w:p>
        </w:tc>
        <w:tc>
          <w:tcPr>
            <w:tcW w:w="3301" w:type="dxa"/>
            <w:tcBorders>
              <w:top w:val="single" w:sz="4" w:space="0" w:color="auto"/>
              <w:left w:val="single" w:sz="4" w:space="0" w:color="auto"/>
              <w:bottom w:val="single" w:sz="4" w:space="0" w:color="auto"/>
              <w:right w:val="single" w:sz="4" w:space="0" w:color="auto"/>
            </w:tcBorders>
          </w:tcPr>
          <w:p w14:paraId="26506BBA"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Reviewing, scrutinising and approving data submissions</w:t>
            </w:r>
          </w:p>
          <w:p w14:paraId="764194F6"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Escalating identified material issues and risks to the Executive Committee</w:t>
            </w:r>
          </w:p>
          <w:p w14:paraId="4CFC8BC4" w14:textId="77777777" w:rsidR="000E6C31" w:rsidRPr="00735726" w:rsidRDefault="000E6C31" w:rsidP="00470234">
            <w:pPr>
              <w:pStyle w:val="ListParagraph"/>
              <w:numPr>
                <w:ilvl w:val="0"/>
                <w:numId w:val="9"/>
              </w:numPr>
              <w:rPr>
                <w:rFonts w:ascii="Arial" w:hAnsi="Arial" w:cs="Arial"/>
                <w:sz w:val="18"/>
                <w:szCs w:val="20"/>
              </w:rPr>
            </w:pPr>
            <w:r w:rsidRPr="00735726">
              <w:rPr>
                <w:rFonts w:ascii="Arial" w:hAnsi="Arial" w:cs="Arial"/>
                <w:sz w:val="18"/>
                <w:szCs w:val="20"/>
              </w:rPr>
              <w:t>Ensuring the completion of actions to mitigate any risks identified</w:t>
            </w:r>
          </w:p>
        </w:tc>
      </w:tr>
      <w:tr w:rsidR="000E6C31" w:rsidRPr="00735726" w14:paraId="29685A14" w14:textId="77777777" w:rsidTr="002E283F">
        <w:tc>
          <w:tcPr>
            <w:tcW w:w="817" w:type="dxa"/>
            <w:tcBorders>
              <w:top w:val="single" w:sz="4" w:space="0" w:color="auto"/>
              <w:left w:val="single" w:sz="4" w:space="0" w:color="auto"/>
              <w:bottom w:val="single" w:sz="4" w:space="0" w:color="auto"/>
              <w:right w:val="single" w:sz="4" w:space="0" w:color="auto"/>
            </w:tcBorders>
            <w:textDirection w:val="btLr"/>
          </w:tcPr>
          <w:p w14:paraId="575BD453" w14:textId="77777777" w:rsidR="000E6C31" w:rsidRPr="00735726" w:rsidRDefault="000E6C31" w:rsidP="00470234">
            <w:pPr>
              <w:pStyle w:val="ListParagraph"/>
              <w:ind w:left="360" w:right="113"/>
              <w:jc w:val="center"/>
              <w:rPr>
                <w:rFonts w:ascii="Arial" w:hAnsi="Arial" w:cs="Arial"/>
                <w:b/>
                <w:sz w:val="18"/>
                <w:szCs w:val="20"/>
              </w:rPr>
            </w:pPr>
            <w:r w:rsidRPr="00735726">
              <w:rPr>
                <w:rFonts w:ascii="Arial" w:hAnsi="Arial" w:cs="Arial"/>
                <w:b/>
                <w:sz w:val="18"/>
                <w:szCs w:val="20"/>
              </w:rPr>
              <w:t>THIRD LINE OF DEFENCE</w:t>
            </w:r>
          </w:p>
        </w:tc>
        <w:tc>
          <w:tcPr>
            <w:tcW w:w="1451" w:type="dxa"/>
            <w:tcBorders>
              <w:top w:val="single" w:sz="4" w:space="0" w:color="auto"/>
              <w:left w:val="single" w:sz="4" w:space="0" w:color="auto"/>
              <w:bottom w:val="single" w:sz="4" w:space="0" w:color="auto"/>
              <w:right w:val="single" w:sz="4" w:space="0" w:color="auto"/>
            </w:tcBorders>
          </w:tcPr>
          <w:p w14:paraId="78ED4872" w14:textId="05ECD755" w:rsidR="000E6C31" w:rsidRPr="00735726" w:rsidRDefault="000E6C31" w:rsidP="00470234">
            <w:pPr>
              <w:rPr>
                <w:rFonts w:ascii="Arial" w:hAnsi="Arial" w:cs="Arial"/>
                <w:sz w:val="18"/>
                <w:szCs w:val="20"/>
              </w:rPr>
            </w:pPr>
            <w:r w:rsidRPr="00735726">
              <w:rPr>
                <w:rFonts w:ascii="Arial" w:hAnsi="Arial" w:cs="Arial"/>
                <w:sz w:val="18"/>
                <w:szCs w:val="20"/>
              </w:rPr>
              <w:t>Internal Audit</w:t>
            </w:r>
          </w:p>
          <w:p w14:paraId="42012484" w14:textId="77777777" w:rsidR="000E6C31" w:rsidRPr="00735726" w:rsidRDefault="000E6C31" w:rsidP="00470234">
            <w:pPr>
              <w:rPr>
                <w:rFonts w:ascii="Arial" w:hAnsi="Arial" w:cs="Arial"/>
                <w:sz w:val="18"/>
                <w:szCs w:val="20"/>
              </w:rPr>
            </w:pPr>
          </w:p>
        </w:tc>
        <w:tc>
          <w:tcPr>
            <w:tcW w:w="3539" w:type="dxa"/>
            <w:tcBorders>
              <w:top w:val="single" w:sz="4" w:space="0" w:color="auto"/>
              <w:left w:val="single" w:sz="4" w:space="0" w:color="auto"/>
              <w:bottom w:val="single" w:sz="4" w:space="0" w:color="auto"/>
              <w:right w:val="single" w:sz="4" w:space="0" w:color="auto"/>
            </w:tcBorders>
          </w:tcPr>
          <w:p w14:paraId="40E2B365" w14:textId="77777777" w:rsidR="000E6C31" w:rsidRPr="00735726" w:rsidRDefault="000E6C31" w:rsidP="00470234">
            <w:pPr>
              <w:pStyle w:val="ListParagraph"/>
              <w:numPr>
                <w:ilvl w:val="0"/>
                <w:numId w:val="11"/>
              </w:numPr>
              <w:rPr>
                <w:rFonts w:ascii="Arial" w:hAnsi="Arial" w:cs="Arial"/>
                <w:sz w:val="18"/>
                <w:szCs w:val="20"/>
              </w:rPr>
            </w:pPr>
            <w:r w:rsidRPr="00735726">
              <w:rPr>
                <w:rFonts w:ascii="Arial" w:hAnsi="Arial" w:cs="Arial"/>
                <w:sz w:val="18"/>
                <w:szCs w:val="20"/>
              </w:rPr>
              <w:t>Provides independent, risk-based assurance on the effectiveness of the internal control framework</w:t>
            </w:r>
          </w:p>
          <w:p w14:paraId="5409028E" w14:textId="77777777" w:rsidR="000E6C31" w:rsidRPr="00735726" w:rsidRDefault="000E6C31" w:rsidP="00470234">
            <w:pPr>
              <w:pStyle w:val="ListParagraph"/>
              <w:numPr>
                <w:ilvl w:val="0"/>
                <w:numId w:val="11"/>
              </w:numPr>
              <w:rPr>
                <w:rFonts w:ascii="Arial" w:hAnsi="Arial" w:cs="Arial"/>
                <w:sz w:val="18"/>
                <w:szCs w:val="20"/>
              </w:rPr>
            </w:pPr>
            <w:r w:rsidRPr="00735726">
              <w:rPr>
                <w:rFonts w:ascii="Arial" w:hAnsi="Arial" w:cs="Arial"/>
                <w:sz w:val="18"/>
                <w:szCs w:val="20"/>
              </w:rPr>
              <w:t>Coordination of independent assurance activities</w:t>
            </w:r>
          </w:p>
        </w:tc>
        <w:tc>
          <w:tcPr>
            <w:tcW w:w="3301" w:type="dxa"/>
            <w:tcBorders>
              <w:top w:val="single" w:sz="4" w:space="0" w:color="auto"/>
              <w:left w:val="single" w:sz="4" w:space="0" w:color="auto"/>
              <w:bottom w:val="single" w:sz="4" w:space="0" w:color="auto"/>
              <w:right w:val="single" w:sz="4" w:space="0" w:color="auto"/>
            </w:tcBorders>
          </w:tcPr>
          <w:p w14:paraId="78B3EBC2" w14:textId="77777777" w:rsidR="000E6C31" w:rsidRPr="00735726" w:rsidRDefault="000E6C31" w:rsidP="00470234">
            <w:pPr>
              <w:pStyle w:val="ListParagraph"/>
              <w:numPr>
                <w:ilvl w:val="0"/>
                <w:numId w:val="10"/>
              </w:numPr>
              <w:rPr>
                <w:rFonts w:ascii="Arial" w:hAnsi="Arial" w:cs="Arial"/>
                <w:sz w:val="18"/>
                <w:szCs w:val="20"/>
              </w:rPr>
            </w:pPr>
            <w:r w:rsidRPr="00735726">
              <w:rPr>
                <w:rFonts w:ascii="Arial" w:hAnsi="Arial" w:cs="Arial"/>
                <w:sz w:val="18"/>
                <w:szCs w:val="20"/>
              </w:rPr>
              <w:t>Quarterly reporting to Audit Committee and Executive on the effectiveness of internal controls and the outcomes of key assurance activities</w:t>
            </w:r>
          </w:p>
        </w:tc>
      </w:tr>
    </w:tbl>
    <w:p w14:paraId="23547A9F" w14:textId="77777777" w:rsidR="000E6C31" w:rsidRPr="009A2CAE" w:rsidRDefault="000E6C31" w:rsidP="000E6C31">
      <w:pPr>
        <w:rPr>
          <w:rFonts w:ascii="Arial" w:hAnsi="Arial" w:cs="Arial"/>
          <w:b/>
          <w:bCs/>
          <w:sz w:val="18"/>
          <w:szCs w:val="18"/>
        </w:rPr>
      </w:pPr>
    </w:p>
    <w:p w14:paraId="761FB243" w14:textId="77777777" w:rsidR="00B751FF" w:rsidRPr="00735726" w:rsidRDefault="00B751FF">
      <w:pPr>
        <w:spacing w:after="160" w:line="259" w:lineRule="auto"/>
        <w:rPr>
          <w:rFonts w:ascii="Arial" w:hAnsi="Arial" w:cs="Arial"/>
          <w:b/>
          <w:bCs/>
          <w:sz w:val="18"/>
          <w:szCs w:val="18"/>
        </w:rPr>
      </w:pPr>
      <w:r w:rsidRPr="00735726">
        <w:rPr>
          <w:rFonts w:ascii="Arial" w:hAnsi="Arial" w:cs="Arial"/>
          <w:b/>
          <w:bCs/>
          <w:sz w:val="18"/>
          <w:szCs w:val="18"/>
        </w:rPr>
        <w:t>RISK MANAGEMENT PROCESS DIAGRAM</w:t>
      </w:r>
    </w:p>
    <w:p w14:paraId="179D2527" w14:textId="276F934A" w:rsidR="001C0FFA" w:rsidRPr="009A2CAE" w:rsidRDefault="001C0FFA" w:rsidP="001C0FFA">
      <w:pPr>
        <w:rPr>
          <w:rFonts w:ascii="Arial" w:hAnsi="Arial" w:cs="Arial"/>
          <w:b/>
          <w:bCs/>
          <w:sz w:val="18"/>
          <w:szCs w:val="18"/>
        </w:rPr>
      </w:pPr>
      <w:r w:rsidRPr="00735726">
        <w:rPr>
          <w:rFonts w:ascii="Arial" w:hAnsi="Arial" w:cs="Arial"/>
          <w:b/>
          <w:bCs/>
          <w:noProof/>
          <w:sz w:val="18"/>
          <w:szCs w:val="18"/>
        </w:rPr>
        <w:drawing>
          <wp:inline distT="0" distB="0" distL="0" distR="0" wp14:anchorId="7F05ABCF" wp14:editId="14FF6E41">
            <wp:extent cx="3058254" cy="2467154"/>
            <wp:effectExtent l="0" t="0" r="8890" b="9525"/>
            <wp:docPr id="11596966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784" b="9544"/>
                    <a:stretch>
                      <a:fillRect/>
                    </a:stretch>
                  </pic:blipFill>
                  <pic:spPr bwMode="auto">
                    <a:xfrm>
                      <a:off x="0" y="0"/>
                      <a:ext cx="3074036" cy="2479886"/>
                    </a:xfrm>
                    <a:prstGeom prst="rect">
                      <a:avLst/>
                    </a:prstGeom>
                    <a:noFill/>
                    <a:ln>
                      <a:noFill/>
                    </a:ln>
                    <a:extLst>
                      <a:ext uri="{53640926-AAD7-44D8-BBD7-CCE9431645EC}">
                        <a14:shadowObscured xmlns:a14="http://schemas.microsoft.com/office/drawing/2010/main"/>
                      </a:ext>
                    </a:extLst>
                  </pic:spPr>
                </pic:pic>
              </a:graphicData>
            </a:graphic>
          </wp:inline>
        </w:drawing>
      </w:r>
    </w:p>
    <w:p w14:paraId="72BD76D6" w14:textId="77777777" w:rsidR="00B751FF" w:rsidRPr="00735726" w:rsidRDefault="00B751FF" w:rsidP="00B751FF">
      <w:pPr>
        <w:rPr>
          <w:rFonts w:ascii="Arial" w:hAnsi="Arial" w:cs="Arial"/>
          <w:sz w:val="18"/>
          <w:szCs w:val="18"/>
        </w:rPr>
      </w:pPr>
      <w:r w:rsidRPr="00735726">
        <w:rPr>
          <w:rFonts w:ascii="Arial" w:hAnsi="Arial" w:cs="Arial"/>
          <w:sz w:val="18"/>
          <w:szCs w:val="18"/>
        </w:rPr>
        <w:t xml:space="preserve">A consistent methodology is applied when assessing the Company’s risks and opportunities (including climate-related risks and opportunities), which considers both the likelihood of a risk occurring and its potential impact. </w:t>
      </w:r>
      <w:r w:rsidRPr="00735726">
        <w:rPr>
          <w:rFonts w:ascii="Arial" w:hAnsi="Arial" w:cs="Arial"/>
          <w:sz w:val="18"/>
          <w:szCs w:val="18"/>
        </w:rPr>
        <w:lastRenderedPageBreak/>
        <w:t xml:space="preserve">Risk impact is assessed across various financial and non-financial categories </w:t>
      </w:r>
      <w:proofErr w:type="gramStart"/>
      <w:r w:rsidRPr="00735726">
        <w:rPr>
          <w:rFonts w:ascii="Arial" w:hAnsi="Arial" w:cs="Arial"/>
          <w:sz w:val="18"/>
          <w:szCs w:val="18"/>
        </w:rPr>
        <w:t>including:</w:t>
      </w:r>
      <w:proofErr w:type="gramEnd"/>
      <w:r w:rsidRPr="00735726">
        <w:rPr>
          <w:rFonts w:ascii="Arial" w:hAnsi="Arial" w:cs="Arial"/>
          <w:sz w:val="18"/>
          <w:szCs w:val="18"/>
        </w:rPr>
        <w:t xml:space="preserve"> financial, safety, environmental, stakeholder and customer impact, reputation, sustainability, and quality. Likelihood is defined as the probability of a risk event occurring over the next five years under four categories (probable, possible, unlikely or rare) with defined probability thresholds. </w:t>
      </w:r>
    </w:p>
    <w:p w14:paraId="2B776E5A" w14:textId="06F07035" w:rsidR="00B751FF" w:rsidRPr="00735726" w:rsidRDefault="00B751FF" w:rsidP="00B751FF">
      <w:pPr>
        <w:rPr>
          <w:rFonts w:ascii="Arial" w:hAnsi="Arial" w:cs="Arial"/>
          <w:sz w:val="18"/>
          <w:szCs w:val="18"/>
        </w:rPr>
      </w:pPr>
      <w:r w:rsidRPr="00735726">
        <w:rPr>
          <w:rFonts w:ascii="Arial" w:hAnsi="Arial" w:cs="Arial"/>
          <w:sz w:val="18"/>
          <w:szCs w:val="18"/>
        </w:rPr>
        <w:t>Risks are assessed on both a gross before considering existing control measures, and a net basis, after taking account of the effectiveness of those controls. The overall Red, Amber, Green (RAG) rating reflects the combined assessment of impact and likelihood. The resulting net risk position is then compared with the relevant risk appetite to determine</w:t>
      </w:r>
      <w:r w:rsidRPr="00735726">
        <w:rPr>
          <w:rFonts w:ascii="Calibre-Light" w:hAnsi="Calibre-Light" w:cs="Calibre-Light"/>
          <w:color w:val="414142"/>
          <w:sz w:val="16"/>
          <w:szCs w:val="16"/>
        </w:rPr>
        <w:t xml:space="preserve"> </w:t>
      </w:r>
      <w:r w:rsidRPr="00735726">
        <w:rPr>
          <w:rFonts w:ascii="Arial" w:hAnsi="Arial" w:cs="Arial"/>
          <w:sz w:val="18"/>
          <w:szCs w:val="18"/>
        </w:rPr>
        <w:t>whether further action is required and to prioritise the appropriate management response.</w:t>
      </w:r>
      <w:r w:rsidR="009843EB" w:rsidRPr="00735726">
        <w:rPr>
          <w:rFonts w:ascii="Arial" w:hAnsi="Arial" w:cs="Arial"/>
          <w:sz w:val="18"/>
          <w:szCs w:val="18"/>
        </w:rPr>
        <w:t xml:space="preserve"> </w:t>
      </w:r>
      <w:r w:rsidRPr="00735726">
        <w:rPr>
          <w:rFonts w:ascii="Arial" w:hAnsi="Arial" w:cs="Arial"/>
          <w:sz w:val="18"/>
          <w:szCs w:val="18"/>
        </w:rPr>
        <w:t>Actions to manage risks cover four response types:</w:t>
      </w:r>
    </w:p>
    <w:p w14:paraId="1FD14891" w14:textId="77777777" w:rsidR="00B751FF" w:rsidRPr="00735726" w:rsidRDefault="00B751FF" w:rsidP="00B751FF">
      <w:pPr>
        <w:pStyle w:val="ListParagraph"/>
        <w:numPr>
          <w:ilvl w:val="0"/>
          <w:numId w:val="10"/>
        </w:numPr>
        <w:rPr>
          <w:rFonts w:ascii="Arial" w:hAnsi="Arial" w:cs="Arial"/>
          <w:sz w:val="18"/>
          <w:szCs w:val="18"/>
        </w:rPr>
      </w:pPr>
      <w:r w:rsidRPr="00735726">
        <w:rPr>
          <w:rFonts w:ascii="Arial" w:hAnsi="Arial" w:cs="Arial"/>
          <w:sz w:val="18"/>
          <w:szCs w:val="18"/>
        </w:rPr>
        <w:t>Tolerate: where decisions are taken to tolerate a risk, subject to ongoing monitoring.</w:t>
      </w:r>
    </w:p>
    <w:p w14:paraId="3AD99C4C" w14:textId="77777777" w:rsidR="00B751FF" w:rsidRPr="00735726" w:rsidRDefault="00B751FF" w:rsidP="00B751FF">
      <w:pPr>
        <w:pStyle w:val="ListParagraph"/>
        <w:numPr>
          <w:ilvl w:val="0"/>
          <w:numId w:val="10"/>
        </w:numPr>
        <w:rPr>
          <w:rFonts w:ascii="Arial" w:hAnsi="Arial" w:cs="Arial"/>
          <w:sz w:val="18"/>
          <w:szCs w:val="18"/>
        </w:rPr>
      </w:pPr>
      <w:r w:rsidRPr="00735726">
        <w:rPr>
          <w:rFonts w:ascii="Arial" w:hAnsi="Arial" w:cs="Arial"/>
          <w:sz w:val="18"/>
          <w:szCs w:val="18"/>
        </w:rPr>
        <w:t>Treat: where actions are taken to manage and reduce risks.</w:t>
      </w:r>
    </w:p>
    <w:p w14:paraId="494DDD3C" w14:textId="42D17E2A" w:rsidR="00B751FF" w:rsidRPr="00735726" w:rsidRDefault="00B751FF" w:rsidP="00B751FF">
      <w:pPr>
        <w:pStyle w:val="ListParagraph"/>
        <w:numPr>
          <w:ilvl w:val="0"/>
          <w:numId w:val="10"/>
        </w:numPr>
        <w:rPr>
          <w:rFonts w:ascii="Arial" w:hAnsi="Arial" w:cs="Arial"/>
          <w:sz w:val="18"/>
          <w:szCs w:val="18"/>
        </w:rPr>
      </w:pPr>
      <w:r w:rsidRPr="00735726">
        <w:rPr>
          <w:rFonts w:ascii="Arial" w:hAnsi="Arial" w:cs="Arial"/>
          <w:sz w:val="18"/>
          <w:szCs w:val="18"/>
        </w:rPr>
        <w:t xml:space="preserve">Transfer: used where possible to transfer risks to other organisations </w:t>
      </w:r>
      <w:r w:rsidR="006C1BA9" w:rsidRPr="00735726">
        <w:rPr>
          <w:rFonts w:ascii="Arial" w:hAnsi="Arial" w:cs="Arial"/>
          <w:sz w:val="18"/>
          <w:szCs w:val="18"/>
        </w:rPr>
        <w:t xml:space="preserve">- </w:t>
      </w:r>
      <w:r w:rsidRPr="00735726">
        <w:rPr>
          <w:rFonts w:ascii="Arial" w:hAnsi="Arial" w:cs="Arial"/>
          <w:sz w:val="18"/>
          <w:szCs w:val="18"/>
        </w:rPr>
        <w:t>such as through insurance or through contracting out responsibilities. We recognise it is not possible to fully transfer risks, rather this approach helps to reduce our exposure.</w:t>
      </w:r>
    </w:p>
    <w:p w14:paraId="4B2D2787" w14:textId="77777777" w:rsidR="00B751FF" w:rsidRPr="00735726" w:rsidRDefault="00B751FF" w:rsidP="00B751FF">
      <w:pPr>
        <w:pStyle w:val="ListParagraph"/>
        <w:numPr>
          <w:ilvl w:val="0"/>
          <w:numId w:val="10"/>
        </w:numPr>
        <w:rPr>
          <w:rFonts w:ascii="Arial" w:hAnsi="Arial" w:cs="Arial"/>
          <w:sz w:val="18"/>
          <w:szCs w:val="18"/>
        </w:rPr>
      </w:pPr>
      <w:r w:rsidRPr="00735726">
        <w:rPr>
          <w:rFonts w:ascii="Arial" w:hAnsi="Arial" w:cs="Arial"/>
          <w:sz w:val="18"/>
          <w:szCs w:val="18"/>
        </w:rPr>
        <w:t xml:space="preserve">Terminate: where decisions are taken to stop activities so that we are not exposed to </w:t>
      </w:r>
      <w:proofErr w:type="gramStart"/>
      <w:r w:rsidRPr="00735726">
        <w:rPr>
          <w:rFonts w:ascii="Arial" w:hAnsi="Arial" w:cs="Arial"/>
          <w:sz w:val="18"/>
          <w:szCs w:val="18"/>
        </w:rPr>
        <w:t>particular risks</w:t>
      </w:r>
      <w:proofErr w:type="gramEnd"/>
      <w:r w:rsidRPr="00735726">
        <w:rPr>
          <w:rFonts w:ascii="Arial" w:hAnsi="Arial" w:cs="Arial"/>
          <w:sz w:val="18"/>
          <w:szCs w:val="18"/>
        </w:rPr>
        <w:t>.</w:t>
      </w:r>
    </w:p>
    <w:p w14:paraId="1E5252FE" w14:textId="77777777" w:rsidR="00B751FF" w:rsidRPr="00735726" w:rsidRDefault="00B751FF" w:rsidP="00B751FF">
      <w:pPr>
        <w:rPr>
          <w:rFonts w:ascii="Arial" w:hAnsi="Arial" w:cs="Arial"/>
          <w:sz w:val="18"/>
          <w:szCs w:val="18"/>
        </w:rPr>
      </w:pPr>
      <w:r w:rsidRPr="00735726">
        <w:rPr>
          <w:rFonts w:ascii="Arial" w:hAnsi="Arial" w:cs="Arial"/>
          <w:sz w:val="18"/>
          <w:szCs w:val="18"/>
        </w:rPr>
        <w:t>Actions to mitigate risks are allocated to action owners and progress is monitored through the risk review process.</w:t>
      </w:r>
    </w:p>
    <w:p w14:paraId="03FEA310" w14:textId="3033A772" w:rsidR="00B751FF" w:rsidRPr="009A2CAE" w:rsidRDefault="00B751FF" w:rsidP="00B751FF">
      <w:pPr>
        <w:rPr>
          <w:rFonts w:ascii="Arial" w:hAnsi="Arial" w:cs="Arial"/>
          <w:sz w:val="18"/>
          <w:szCs w:val="18"/>
        </w:rPr>
      </w:pPr>
      <w:r w:rsidRPr="00735726">
        <w:rPr>
          <w:rFonts w:ascii="Arial" w:hAnsi="Arial" w:cs="Arial"/>
          <w:i/>
          <w:iCs/>
          <w:sz w:val="18"/>
          <w:szCs w:val="18"/>
        </w:rPr>
        <w:t xml:space="preserve">ENVIRONMENTAL, SOCIAL AND GOVERNANCE </w:t>
      </w:r>
      <w:r w:rsidR="003D6049" w:rsidRPr="00735726">
        <w:rPr>
          <w:rFonts w:ascii="Arial" w:hAnsi="Arial" w:cs="Arial"/>
          <w:i/>
          <w:iCs/>
          <w:sz w:val="18"/>
          <w:szCs w:val="18"/>
        </w:rPr>
        <w:t xml:space="preserve">(ESG) </w:t>
      </w:r>
      <w:r w:rsidRPr="00735726">
        <w:rPr>
          <w:rFonts w:ascii="Arial" w:hAnsi="Arial" w:cs="Arial"/>
          <w:i/>
          <w:iCs/>
          <w:sz w:val="18"/>
          <w:szCs w:val="18"/>
        </w:rPr>
        <w:t>RISK MANAGEMENT</w:t>
      </w:r>
      <w:r w:rsidRPr="00735726">
        <w:rPr>
          <w:rFonts w:ascii="Arial" w:hAnsi="Arial" w:cs="Arial"/>
          <w:i/>
          <w:iCs/>
          <w:sz w:val="18"/>
          <w:szCs w:val="18"/>
        </w:rPr>
        <w:br/>
      </w:r>
      <w:r w:rsidRPr="00735726">
        <w:rPr>
          <w:rFonts w:ascii="Arial" w:hAnsi="Arial" w:cs="Arial"/>
          <w:sz w:val="18"/>
          <w:szCs w:val="18"/>
        </w:rPr>
        <w:t xml:space="preserve">Our purpose and values recognise the broader societal role that the Company plays within the regions and communities it serves. </w:t>
      </w:r>
      <w:r w:rsidR="003D6049" w:rsidRPr="00735726">
        <w:rPr>
          <w:rFonts w:ascii="Arial" w:hAnsi="Arial" w:cs="Arial"/>
          <w:sz w:val="18"/>
          <w:szCs w:val="18"/>
        </w:rPr>
        <w:t>Consequently,</w:t>
      </w:r>
      <w:r w:rsidRPr="00735726">
        <w:rPr>
          <w:rFonts w:ascii="Arial" w:hAnsi="Arial" w:cs="Arial"/>
          <w:sz w:val="18"/>
          <w:szCs w:val="18"/>
        </w:rPr>
        <w:t xml:space="preserve"> ESG</w:t>
      </w:r>
      <w:r w:rsidR="003D6049" w:rsidRPr="00735726">
        <w:rPr>
          <w:rFonts w:ascii="Arial" w:hAnsi="Arial" w:cs="Arial"/>
          <w:sz w:val="18"/>
          <w:szCs w:val="18"/>
        </w:rPr>
        <w:t xml:space="preserve"> </w:t>
      </w:r>
      <w:r w:rsidRPr="00735726">
        <w:rPr>
          <w:rFonts w:ascii="Arial" w:hAnsi="Arial" w:cs="Arial"/>
          <w:sz w:val="18"/>
          <w:szCs w:val="18"/>
        </w:rPr>
        <w:t xml:space="preserve">considerations are at the heart of the Company’s activities and how we operate as a responsible business. The identification, assessment and management of ESG risks and opportunities is integrated into the Company’s overall risk management framework and methodology. The delivery of ESG metrics and targets, and the associated risks and opportunities, are monitored through the ESG framework by the ESG Committee. Further detail is provided on pages </w:t>
      </w:r>
      <w:r w:rsidR="00BE3FB6" w:rsidRPr="009A2CAE">
        <w:rPr>
          <w:rFonts w:ascii="Arial" w:hAnsi="Arial" w:cs="Arial"/>
          <w:sz w:val="18"/>
          <w:szCs w:val="18"/>
        </w:rPr>
        <w:t>140 to 143</w:t>
      </w:r>
      <w:r w:rsidRPr="009A2CAE">
        <w:rPr>
          <w:rFonts w:ascii="Arial" w:hAnsi="Arial" w:cs="Arial"/>
          <w:sz w:val="18"/>
          <w:szCs w:val="18"/>
        </w:rPr>
        <w:t>.</w:t>
      </w:r>
    </w:p>
    <w:p w14:paraId="5AC25708" w14:textId="607D3D7F" w:rsidR="00B751FF" w:rsidRPr="00735726" w:rsidRDefault="003D6049" w:rsidP="00B751FF">
      <w:pPr>
        <w:rPr>
          <w:rFonts w:ascii="Arial" w:hAnsi="Arial" w:cs="Arial"/>
          <w:sz w:val="18"/>
          <w:szCs w:val="18"/>
        </w:rPr>
      </w:pPr>
      <w:r w:rsidRPr="00735726">
        <w:rPr>
          <w:rFonts w:ascii="Arial" w:hAnsi="Arial" w:cs="Arial"/>
          <w:sz w:val="18"/>
          <w:szCs w:val="18"/>
        </w:rPr>
        <w:t xml:space="preserve">Being a </w:t>
      </w:r>
      <w:r w:rsidR="00B751FF" w:rsidRPr="00735726">
        <w:rPr>
          <w:rFonts w:ascii="Arial" w:hAnsi="Arial" w:cs="Arial"/>
          <w:sz w:val="18"/>
          <w:szCs w:val="18"/>
        </w:rPr>
        <w:t xml:space="preserve">water and wastewater </w:t>
      </w:r>
      <w:r w:rsidRPr="00735726">
        <w:rPr>
          <w:rFonts w:ascii="Arial" w:hAnsi="Arial" w:cs="Arial"/>
          <w:sz w:val="18"/>
          <w:szCs w:val="18"/>
        </w:rPr>
        <w:t>Company</w:t>
      </w:r>
      <w:r w:rsidR="00B751FF" w:rsidRPr="00735726">
        <w:rPr>
          <w:rFonts w:ascii="Arial" w:hAnsi="Arial" w:cs="Arial"/>
          <w:sz w:val="18"/>
          <w:szCs w:val="18"/>
        </w:rPr>
        <w:t>,</w:t>
      </w:r>
      <w:r w:rsidRPr="00735726">
        <w:rPr>
          <w:rFonts w:ascii="Arial" w:hAnsi="Arial" w:cs="Arial"/>
          <w:sz w:val="18"/>
          <w:szCs w:val="18"/>
        </w:rPr>
        <w:t xml:space="preserve"> we</w:t>
      </w:r>
      <w:r w:rsidR="00B751FF" w:rsidRPr="00735726">
        <w:rPr>
          <w:rFonts w:ascii="Arial" w:hAnsi="Arial" w:cs="Arial"/>
          <w:sz w:val="18"/>
          <w:szCs w:val="18"/>
        </w:rPr>
        <w:t xml:space="preserve"> acknowledge the fundamental impact that climate change has on the Company’s strategy and priorities and </w:t>
      </w:r>
      <w:proofErr w:type="gramStart"/>
      <w:r w:rsidR="00B751FF" w:rsidRPr="00735726">
        <w:rPr>
          <w:rFonts w:ascii="Arial" w:hAnsi="Arial" w:cs="Arial"/>
          <w:sz w:val="18"/>
          <w:szCs w:val="18"/>
        </w:rPr>
        <w:t>is considered to be</w:t>
      </w:r>
      <w:proofErr w:type="gramEnd"/>
      <w:r w:rsidR="00B751FF" w:rsidRPr="00735726">
        <w:rPr>
          <w:rFonts w:ascii="Arial" w:hAnsi="Arial" w:cs="Arial"/>
          <w:sz w:val="18"/>
          <w:szCs w:val="18"/>
        </w:rPr>
        <w:t xml:space="preserve"> pervasive across the Company’s principal risk profile. The assessment of the individual principal risks, as detailed within the table below, has included the consideration of both physical and transitional climate change influences, where relevant, and the mitigating actions being taken.</w:t>
      </w:r>
    </w:p>
    <w:p w14:paraId="6C91C3E8" w14:textId="7A2CC293" w:rsidR="00B751FF" w:rsidRPr="009A2CAE" w:rsidRDefault="00B751FF" w:rsidP="00B751FF">
      <w:pPr>
        <w:rPr>
          <w:rFonts w:ascii="Arial" w:hAnsi="Arial" w:cs="Arial"/>
          <w:sz w:val="18"/>
          <w:szCs w:val="18"/>
        </w:rPr>
      </w:pPr>
      <w:r w:rsidRPr="00735726">
        <w:rPr>
          <w:rFonts w:ascii="Arial" w:hAnsi="Arial" w:cs="Arial"/>
          <w:sz w:val="18"/>
          <w:szCs w:val="18"/>
        </w:rPr>
        <w:t xml:space="preserve">Further detail on the specific physical and transitional climate change risks and opportunities relevant to the Company, along with mitigating actions being taken, are detailed further within TCFD on pages </w:t>
      </w:r>
      <w:r w:rsidR="00BE3FB6" w:rsidRPr="009A2CAE">
        <w:rPr>
          <w:rFonts w:ascii="Arial" w:hAnsi="Arial" w:cs="Arial"/>
          <w:sz w:val="18"/>
          <w:szCs w:val="18"/>
        </w:rPr>
        <w:t>79 to 92</w:t>
      </w:r>
      <w:r w:rsidRPr="009A2CAE">
        <w:rPr>
          <w:rFonts w:ascii="Arial" w:hAnsi="Arial" w:cs="Arial"/>
          <w:sz w:val="18"/>
          <w:szCs w:val="18"/>
        </w:rPr>
        <w:t>.</w:t>
      </w:r>
    </w:p>
    <w:p w14:paraId="2F158F6C" w14:textId="3E9B9BDC" w:rsidR="00B751FF" w:rsidRPr="00735726" w:rsidRDefault="00B751FF" w:rsidP="00B751FF">
      <w:pPr>
        <w:rPr>
          <w:rFonts w:ascii="Arial" w:hAnsi="Arial" w:cs="Arial"/>
          <w:sz w:val="18"/>
          <w:szCs w:val="18"/>
        </w:rPr>
      </w:pPr>
      <w:r w:rsidRPr="00735726">
        <w:rPr>
          <w:rFonts w:ascii="Arial" w:hAnsi="Arial" w:cs="Arial"/>
          <w:i/>
          <w:iCs/>
          <w:sz w:val="18"/>
          <w:szCs w:val="18"/>
        </w:rPr>
        <w:t>REGULATED WATER AND WASTEWATER TECHNICAL (NON- FINANCIAL) DATA</w:t>
      </w:r>
      <w:r w:rsidRPr="00735726">
        <w:rPr>
          <w:rFonts w:ascii="Arial" w:hAnsi="Arial" w:cs="Arial"/>
          <w:i/>
          <w:iCs/>
          <w:sz w:val="18"/>
          <w:szCs w:val="18"/>
        </w:rPr>
        <w:br/>
      </w:r>
      <w:r w:rsidRPr="00735726">
        <w:rPr>
          <w:rFonts w:ascii="Arial" w:hAnsi="Arial" w:cs="Arial"/>
          <w:sz w:val="18"/>
          <w:szCs w:val="18"/>
        </w:rPr>
        <w:t xml:space="preserve">In addition to the risk management framework detailed above which applies across the Company, recognising the importance of the regulatory ODI framework, South West Water engage independent, third-party auditors to audit the accuracy of the technical (non-financial) data reported within the various annual performance reports and regulatory publications and submissions, including its performance commitments and environmental data. Furthermore, a </w:t>
      </w:r>
      <w:r w:rsidR="003D6049" w:rsidRPr="00735726">
        <w:rPr>
          <w:rFonts w:ascii="Arial" w:hAnsi="Arial" w:cs="Arial"/>
          <w:sz w:val="18"/>
          <w:szCs w:val="18"/>
        </w:rPr>
        <w:t>third-party</w:t>
      </w:r>
      <w:r w:rsidRPr="00735726">
        <w:rPr>
          <w:rFonts w:ascii="Arial" w:hAnsi="Arial" w:cs="Arial"/>
          <w:sz w:val="18"/>
          <w:szCs w:val="18"/>
        </w:rPr>
        <w:t xml:space="preserve"> provider, Jacobs, has also performed additional assurance work over selected sustainability measures.</w:t>
      </w:r>
    </w:p>
    <w:p w14:paraId="01C5919B" w14:textId="5A0984C0" w:rsidR="00B751FF" w:rsidRPr="00735726" w:rsidRDefault="00B751FF" w:rsidP="00E97F74">
      <w:pPr>
        <w:rPr>
          <w:rFonts w:ascii="Arial" w:hAnsi="Arial" w:cs="Arial"/>
          <w:sz w:val="18"/>
          <w:szCs w:val="18"/>
        </w:rPr>
      </w:pPr>
      <w:r w:rsidRPr="00735726">
        <w:rPr>
          <w:rFonts w:ascii="Arial" w:hAnsi="Arial" w:cs="Arial"/>
          <w:i/>
          <w:iCs/>
          <w:sz w:val="18"/>
          <w:szCs w:val="18"/>
        </w:rPr>
        <w:t xml:space="preserve">CONTINUOUS IMPROVEMENTS TO RISK MANAGEMENT AND INTERNAL CONTROL </w:t>
      </w:r>
      <w:r w:rsidRPr="00735726">
        <w:rPr>
          <w:rFonts w:ascii="Arial" w:hAnsi="Arial" w:cs="Arial"/>
          <w:i/>
          <w:iCs/>
          <w:sz w:val="18"/>
          <w:szCs w:val="18"/>
        </w:rPr>
        <w:br/>
      </w:r>
      <w:r w:rsidRPr="00735726">
        <w:rPr>
          <w:rFonts w:ascii="Arial" w:hAnsi="Arial" w:cs="Arial"/>
          <w:sz w:val="18"/>
          <w:szCs w:val="18"/>
        </w:rPr>
        <w:t xml:space="preserve">The Company is committed to continuously improving its ability to identify and respond to current and emerging risks. </w:t>
      </w:r>
    </w:p>
    <w:p w14:paraId="136FA461" w14:textId="77777777" w:rsidR="00B751FF" w:rsidRPr="00735726" w:rsidRDefault="00B751FF" w:rsidP="00B751FF">
      <w:pPr>
        <w:pStyle w:val="HeadingLevel1"/>
        <w:spacing w:after="200" w:line="276" w:lineRule="auto"/>
        <w:outlineLvl w:val="0"/>
        <w:rPr>
          <w:rFonts w:eastAsiaTheme="minorHAnsi" w:cs="Arial"/>
          <w:caps w:val="0"/>
          <w:color w:val="auto"/>
          <w:sz w:val="18"/>
          <w:szCs w:val="18"/>
        </w:rPr>
      </w:pPr>
      <w:r w:rsidRPr="00735726">
        <w:rPr>
          <w:rFonts w:cs="Arial"/>
          <w:i/>
          <w:color w:val="auto"/>
          <w:sz w:val="18"/>
          <w:szCs w:val="18"/>
        </w:rPr>
        <w:t>OFWAT'S PRINCIPLES - BOARD LEADERSHIP, TRANSPARENCY AND GOVERNANCE</w:t>
      </w:r>
      <w:r w:rsidRPr="00735726">
        <w:rPr>
          <w:rFonts w:cs="Arial"/>
          <w:i/>
          <w:color w:val="auto"/>
          <w:sz w:val="18"/>
          <w:szCs w:val="18"/>
        </w:rPr>
        <w:br/>
      </w:r>
      <w:r w:rsidRPr="00735726">
        <w:rPr>
          <w:rFonts w:eastAsiaTheme="minorHAnsi" w:cs="Arial"/>
          <w:caps w:val="0"/>
          <w:color w:val="auto"/>
          <w:sz w:val="18"/>
          <w:szCs w:val="18"/>
        </w:rPr>
        <w:t xml:space="preserve">Ofwat requires that holding companies manage their risks in such a way that the regulated company is protected from risk elsewhere in the Group. Pennon Group's principal risks and uncertainties include those Group-level risks which could materially impact on </w:t>
      </w:r>
      <w:proofErr w:type="gramStart"/>
      <w:r w:rsidRPr="00735726">
        <w:rPr>
          <w:rFonts w:eastAsiaTheme="minorHAnsi" w:cs="Arial"/>
          <w:caps w:val="0"/>
          <w:color w:val="auto"/>
          <w:sz w:val="18"/>
          <w:szCs w:val="18"/>
        </w:rPr>
        <w:t>South West</w:t>
      </w:r>
      <w:proofErr w:type="gramEnd"/>
      <w:r w:rsidRPr="00735726">
        <w:rPr>
          <w:rFonts w:eastAsiaTheme="minorHAnsi" w:cs="Arial"/>
          <w:caps w:val="0"/>
          <w:color w:val="auto"/>
          <w:sz w:val="18"/>
          <w:szCs w:val="18"/>
        </w:rPr>
        <w:t xml:space="preserve"> Water.</w:t>
      </w:r>
    </w:p>
    <w:p w14:paraId="3D01D224" w14:textId="77777777" w:rsidR="00B751FF" w:rsidRPr="00735726" w:rsidRDefault="00B751FF" w:rsidP="00B751FF">
      <w:pPr>
        <w:pStyle w:val="HeadingLevel1"/>
        <w:spacing w:after="200" w:line="276" w:lineRule="auto"/>
        <w:outlineLvl w:val="0"/>
        <w:rPr>
          <w:rFonts w:eastAsiaTheme="minorHAnsi" w:cs="Arial"/>
          <w:caps w:val="0"/>
          <w:color w:val="auto"/>
          <w:sz w:val="18"/>
          <w:szCs w:val="18"/>
        </w:rPr>
      </w:pPr>
      <w:r w:rsidRPr="00735726">
        <w:rPr>
          <w:rFonts w:eastAsiaTheme="minorHAnsi" w:cs="Arial"/>
          <w:caps w:val="0"/>
          <w:color w:val="auto"/>
          <w:sz w:val="18"/>
          <w:szCs w:val="18"/>
        </w:rPr>
        <w:t xml:space="preserve">Pennon's risk management and internal control frameworks ensure that it does not take any action that would cause </w:t>
      </w:r>
      <w:proofErr w:type="gramStart"/>
      <w:r w:rsidRPr="00735726">
        <w:rPr>
          <w:rFonts w:eastAsiaTheme="minorHAnsi" w:cs="Arial"/>
          <w:caps w:val="0"/>
          <w:color w:val="auto"/>
          <w:sz w:val="18"/>
          <w:szCs w:val="18"/>
        </w:rPr>
        <w:t>South West</w:t>
      </w:r>
      <w:proofErr w:type="gramEnd"/>
      <w:r w:rsidRPr="00735726">
        <w:rPr>
          <w:rFonts w:eastAsiaTheme="minorHAnsi" w:cs="Arial"/>
          <w:caps w:val="0"/>
          <w:color w:val="auto"/>
          <w:sz w:val="18"/>
          <w:szCs w:val="18"/>
        </w:rPr>
        <w:t xml:space="preserve"> Water to breach its licence obligations. Further, the Group's governance and management structures mean that there </w:t>
      </w:r>
      <w:proofErr w:type="gramStart"/>
      <w:r w:rsidRPr="00735726">
        <w:rPr>
          <w:rFonts w:eastAsiaTheme="minorHAnsi" w:cs="Arial"/>
          <w:caps w:val="0"/>
          <w:color w:val="auto"/>
          <w:sz w:val="18"/>
          <w:szCs w:val="18"/>
        </w:rPr>
        <w:t>is</w:t>
      </w:r>
      <w:proofErr w:type="gramEnd"/>
      <w:r w:rsidRPr="00735726">
        <w:rPr>
          <w:rFonts w:eastAsiaTheme="minorHAnsi" w:cs="Arial"/>
          <w:caps w:val="0"/>
          <w:color w:val="auto"/>
          <w:sz w:val="18"/>
          <w:szCs w:val="18"/>
        </w:rPr>
        <w:t xml:space="preserve"> full understanding and consideration of </w:t>
      </w:r>
      <w:proofErr w:type="gramStart"/>
      <w:r w:rsidRPr="00735726">
        <w:rPr>
          <w:rFonts w:eastAsiaTheme="minorHAnsi" w:cs="Arial"/>
          <w:caps w:val="0"/>
          <w:color w:val="auto"/>
          <w:sz w:val="18"/>
          <w:szCs w:val="18"/>
        </w:rPr>
        <w:t>South West</w:t>
      </w:r>
      <w:proofErr w:type="gramEnd"/>
      <w:r w:rsidRPr="00735726">
        <w:rPr>
          <w:rFonts w:eastAsiaTheme="minorHAnsi" w:cs="Arial"/>
          <w:caps w:val="0"/>
          <w:color w:val="auto"/>
          <w:sz w:val="18"/>
          <w:szCs w:val="18"/>
        </w:rPr>
        <w:t xml:space="preserve"> Water's duties and obligations under its licence, as well as an appropriate level of information sharing and disclosure to give </w:t>
      </w:r>
      <w:proofErr w:type="gramStart"/>
      <w:r w:rsidRPr="00735726">
        <w:rPr>
          <w:rFonts w:eastAsiaTheme="minorHAnsi" w:cs="Arial"/>
          <w:caps w:val="0"/>
          <w:color w:val="auto"/>
          <w:sz w:val="18"/>
          <w:szCs w:val="18"/>
        </w:rPr>
        <w:t>South West</w:t>
      </w:r>
      <w:proofErr w:type="gramEnd"/>
      <w:r w:rsidRPr="00735726">
        <w:rPr>
          <w:rFonts w:eastAsiaTheme="minorHAnsi" w:cs="Arial"/>
          <w:caps w:val="0"/>
          <w:color w:val="auto"/>
          <w:sz w:val="18"/>
          <w:szCs w:val="18"/>
        </w:rPr>
        <w:t xml:space="preserve"> Water assurance that it is not exposed </w:t>
      </w:r>
      <w:proofErr w:type="gramStart"/>
      <w:r w:rsidRPr="00735726">
        <w:rPr>
          <w:rFonts w:eastAsiaTheme="minorHAnsi" w:cs="Arial"/>
          <w:caps w:val="0"/>
          <w:color w:val="auto"/>
          <w:sz w:val="18"/>
          <w:szCs w:val="18"/>
        </w:rPr>
        <w:t>as a result of</w:t>
      </w:r>
      <w:proofErr w:type="gramEnd"/>
      <w:r w:rsidRPr="00735726">
        <w:rPr>
          <w:rFonts w:eastAsiaTheme="minorHAnsi" w:cs="Arial"/>
          <w:caps w:val="0"/>
          <w:color w:val="auto"/>
          <w:sz w:val="18"/>
          <w:szCs w:val="18"/>
        </w:rPr>
        <w:t xml:space="preserve"> activities elsewhere within the Group. </w:t>
      </w:r>
    </w:p>
    <w:p w14:paraId="09E782B4" w14:textId="60A1E4EA" w:rsidR="00B751FF" w:rsidRPr="009A2CAE" w:rsidRDefault="00B751FF" w:rsidP="00B751FF">
      <w:pPr>
        <w:rPr>
          <w:rFonts w:ascii="Arial" w:hAnsi="Arial" w:cs="Arial"/>
          <w:sz w:val="18"/>
          <w:szCs w:val="18"/>
        </w:rPr>
      </w:pPr>
      <w:r w:rsidRPr="00735726">
        <w:rPr>
          <w:rFonts w:ascii="Arial" w:hAnsi="Arial" w:cs="Arial"/>
          <w:sz w:val="18"/>
          <w:szCs w:val="18"/>
        </w:rPr>
        <w:lastRenderedPageBreak/>
        <w:t>Further details of Company-wide principal risks and application of the Company’s risk management framework across the Company are provided in the Pennon Group plc Annual Report and Accounts 202</w:t>
      </w:r>
      <w:r w:rsidR="009843EB" w:rsidRPr="00735726">
        <w:rPr>
          <w:rFonts w:ascii="Arial" w:hAnsi="Arial" w:cs="Arial"/>
          <w:sz w:val="18"/>
          <w:szCs w:val="18"/>
        </w:rPr>
        <w:t>6</w:t>
      </w:r>
      <w:r w:rsidRPr="00735726">
        <w:rPr>
          <w:rFonts w:ascii="Arial" w:hAnsi="Arial" w:cs="Arial"/>
          <w:sz w:val="18"/>
          <w:szCs w:val="18"/>
        </w:rPr>
        <w:t xml:space="preserve"> </w:t>
      </w:r>
      <w:r w:rsidRPr="009A2CAE">
        <w:rPr>
          <w:rFonts w:ascii="Arial" w:hAnsi="Arial" w:cs="Arial"/>
          <w:sz w:val="18"/>
          <w:szCs w:val="18"/>
        </w:rPr>
        <w:t xml:space="preserve">(pages </w:t>
      </w:r>
      <w:r w:rsidR="00BE3FB6" w:rsidRPr="009A2CAE">
        <w:rPr>
          <w:rFonts w:ascii="Arial" w:hAnsi="Arial" w:cs="Arial"/>
          <w:sz w:val="18"/>
          <w:szCs w:val="18"/>
        </w:rPr>
        <w:t>62 to 69</w:t>
      </w:r>
      <w:r w:rsidRPr="009A2CAE">
        <w:rPr>
          <w:rFonts w:ascii="Arial" w:hAnsi="Arial" w:cs="Arial"/>
          <w:sz w:val="18"/>
          <w:szCs w:val="18"/>
        </w:rPr>
        <w:t>).</w:t>
      </w:r>
    </w:p>
    <w:p w14:paraId="191B7710" w14:textId="76AC9B0C" w:rsidR="00E97F74" w:rsidRPr="00735726" w:rsidRDefault="00E97F74" w:rsidP="00E97F74">
      <w:pPr>
        <w:rPr>
          <w:rFonts w:ascii="Arial" w:hAnsi="Arial" w:cs="Arial"/>
          <w:sz w:val="18"/>
          <w:szCs w:val="18"/>
        </w:rPr>
      </w:pPr>
      <w:r w:rsidRPr="00735726">
        <w:rPr>
          <w:rFonts w:ascii="Arial" w:hAnsi="Arial" w:cs="Arial"/>
          <w:i/>
          <w:sz w:val="18"/>
          <w:szCs w:val="18"/>
        </w:rPr>
        <w:t>HORIZON SCANNING AND NOTABLE EMERGING RISKS</w:t>
      </w:r>
      <w:r w:rsidRPr="00735726">
        <w:rPr>
          <w:rFonts w:ascii="Arial" w:hAnsi="Arial" w:cs="Arial"/>
          <w:i/>
          <w:sz w:val="18"/>
          <w:szCs w:val="18"/>
        </w:rPr>
        <w:br/>
      </w:r>
      <w:r w:rsidRPr="00735726">
        <w:rPr>
          <w:rFonts w:ascii="Arial" w:hAnsi="Arial" w:cs="Arial"/>
          <w:sz w:val="18"/>
          <w:szCs w:val="18"/>
        </w:rPr>
        <w:t xml:space="preserve">Emerging risks and opportunities </w:t>
      </w:r>
      <w:proofErr w:type="gramStart"/>
      <w:r w:rsidRPr="00735726">
        <w:rPr>
          <w:rFonts w:ascii="Arial" w:hAnsi="Arial" w:cs="Arial"/>
          <w:sz w:val="18"/>
          <w:szCs w:val="18"/>
        </w:rPr>
        <w:t>are considered to be</w:t>
      </w:r>
      <w:proofErr w:type="gramEnd"/>
      <w:r w:rsidRPr="00735726">
        <w:rPr>
          <w:rFonts w:ascii="Arial" w:hAnsi="Arial" w:cs="Arial"/>
          <w:sz w:val="18"/>
          <w:szCs w:val="18"/>
        </w:rPr>
        <w:t xml:space="preserve"> factors and events which could have a future impact on the achievement of the Company’s strategic priorities but lack the required clarity or certainty </w:t>
      </w:r>
      <w:proofErr w:type="gramStart"/>
      <w:r w:rsidRPr="00735726">
        <w:rPr>
          <w:rFonts w:ascii="Arial" w:hAnsi="Arial" w:cs="Arial"/>
          <w:sz w:val="18"/>
          <w:szCs w:val="18"/>
        </w:rPr>
        <w:t>in order to</w:t>
      </w:r>
      <w:proofErr w:type="gramEnd"/>
      <w:r w:rsidRPr="00735726">
        <w:rPr>
          <w:rFonts w:ascii="Arial" w:hAnsi="Arial" w:cs="Arial"/>
          <w:sz w:val="18"/>
          <w:szCs w:val="18"/>
        </w:rPr>
        <w:t xml:space="preserve"> adequately assess their impact. Horizon scanning of emerging risks and opportunities is embedded within the </w:t>
      </w:r>
      <w:r w:rsidR="00CF06E4" w:rsidRPr="00735726">
        <w:rPr>
          <w:rFonts w:ascii="Arial" w:hAnsi="Arial" w:cs="Arial"/>
          <w:sz w:val="18"/>
          <w:szCs w:val="18"/>
        </w:rPr>
        <w:t xml:space="preserve">management </w:t>
      </w:r>
      <w:r w:rsidRPr="00735726">
        <w:rPr>
          <w:rFonts w:ascii="Arial" w:hAnsi="Arial" w:cs="Arial"/>
          <w:sz w:val="18"/>
          <w:szCs w:val="18"/>
        </w:rPr>
        <w:t xml:space="preserve">process. </w:t>
      </w:r>
    </w:p>
    <w:p w14:paraId="4DB352B6" w14:textId="77777777" w:rsidR="00E97F74" w:rsidRPr="00735726" w:rsidRDefault="00E97F74" w:rsidP="00E97F74">
      <w:pPr>
        <w:spacing w:after="120"/>
        <w:rPr>
          <w:rFonts w:ascii="Arial" w:hAnsi="Arial" w:cs="Arial"/>
          <w:sz w:val="18"/>
          <w:szCs w:val="18"/>
        </w:rPr>
      </w:pPr>
      <w:r w:rsidRPr="00735726">
        <w:rPr>
          <w:rFonts w:ascii="Arial" w:hAnsi="Arial" w:cs="Arial"/>
          <w:sz w:val="18"/>
          <w:szCs w:val="18"/>
        </w:rPr>
        <w:t>Emerging risks are reviewed by the Executive and Board as part of their regular assessment of the Company’s risk profile. Notable emerging risks and opportunities are detailed within the table below:</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969"/>
        <w:gridCol w:w="2127"/>
        <w:gridCol w:w="1316"/>
      </w:tblGrid>
      <w:tr w:rsidR="00E97F74" w:rsidRPr="00735726" w14:paraId="4B89B777" w14:textId="77777777" w:rsidTr="00E97F74">
        <w:tc>
          <w:tcPr>
            <w:tcW w:w="1696" w:type="dxa"/>
            <w:shd w:val="clear" w:color="auto" w:fill="002060"/>
          </w:tcPr>
          <w:p w14:paraId="7378E148" w14:textId="77777777" w:rsidR="00E97F74" w:rsidRPr="00735726" w:rsidRDefault="00E97F74" w:rsidP="00470234">
            <w:pPr>
              <w:rPr>
                <w:rFonts w:ascii="Arial" w:hAnsi="Arial" w:cs="Arial"/>
                <w:b/>
                <w:sz w:val="18"/>
                <w:szCs w:val="18"/>
              </w:rPr>
            </w:pPr>
            <w:r w:rsidRPr="00735726">
              <w:rPr>
                <w:rFonts w:ascii="Arial" w:hAnsi="Arial" w:cs="Arial"/>
                <w:b/>
                <w:sz w:val="18"/>
                <w:szCs w:val="18"/>
              </w:rPr>
              <w:t>Risk/opportunity</w:t>
            </w:r>
          </w:p>
        </w:tc>
        <w:tc>
          <w:tcPr>
            <w:tcW w:w="3969" w:type="dxa"/>
            <w:shd w:val="clear" w:color="auto" w:fill="002060"/>
          </w:tcPr>
          <w:p w14:paraId="7F67749F" w14:textId="77777777" w:rsidR="00E97F74" w:rsidRPr="00735726" w:rsidRDefault="00E97F74" w:rsidP="00470234">
            <w:pPr>
              <w:rPr>
                <w:rFonts w:ascii="Arial" w:hAnsi="Arial" w:cs="Arial"/>
                <w:b/>
                <w:sz w:val="18"/>
                <w:szCs w:val="18"/>
              </w:rPr>
            </w:pPr>
            <w:r w:rsidRPr="00735726">
              <w:rPr>
                <w:rFonts w:ascii="Arial" w:hAnsi="Arial" w:cs="Arial"/>
                <w:b/>
                <w:sz w:val="18"/>
                <w:szCs w:val="18"/>
              </w:rPr>
              <w:t>Comment</w:t>
            </w:r>
          </w:p>
        </w:tc>
        <w:tc>
          <w:tcPr>
            <w:tcW w:w="2127" w:type="dxa"/>
            <w:shd w:val="clear" w:color="auto" w:fill="002060"/>
          </w:tcPr>
          <w:p w14:paraId="3EF20680" w14:textId="77777777" w:rsidR="00E97F74" w:rsidRPr="00735726" w:rsidRDefault="00E97F74" w:rsidP="00470234">
            <w:pPr>
              <w:rPr>
                <w:rFonts w:ascii="Arial" w:hAnsi="Arial" w:cs="Arial"/>
                <w:b/>
                <w:sz w:val="18"/>
                <w:szCs w:val="18"/>
              </w:rPr>
            </w:pPr>
            <w:r w:rsidRPr="00735726">
              <w:rPr>
                <w:rFonts w:ascii="Arial" w:hAnsi="Arial" w:cs="Arial"/>
                <w:b/>
                <w:sz w:val="18"/>
                <w:szCs w:val="18"/>
              </w:rPr>
              <w:t>Risk category impact</w:t>
            </w:r>
          </w:p>
        </w:tc>
        <w:tc>
          <w:tcPr>
            <w:tcW w:w="1316" w:type="dxa"/>
            <w:shd w:val="clear" w:color="auto" w:fill="002060"/>
          </w:tcPr>
          <w:p w14:paraId="65F03763" w14:textId="77777777" w:rsidR="00E97F74" w:rsidRPr="00735726" w:rsidRDefault="00E97F74" w:rsidP="00470234">
            <w:pPr>
              <w:rPr>
                <w:rFonts w:ascii="Arial" w:hAnsi="Arial" w:cs="Arial"/>
                <w:b/>
                <w:sz w:val="18"/>
                <w:szCs w:val="18"/>
              </w:rPr>
            </w:pPr>
            <w:r w:rsidRPr="00735726">
              <w:rPr>
                <w:rFonts w:ascii="Arial" w:hAnsi="Arial" w:cs="Arial"/>
                <w:b/>
                <w:sz w:val="18"/>
                <w:szCs w:val="18"/>
              </w:rPr>
              <w:t>Time horizon</w:t>
            </w:r>
          </w:p>
        </w:tc>
      </w:tr>
      <w:tr w:rsidR="00E97F74" w:rsidRPr="00735726" w14:paraId="73515CD5" w14:textId="77777777" w:rsidTr="00E97F74">
        <w:tc>
          <w:tcPr>
            <w:tcW w:w="1696" w:type="dxa"/>
          </w:tcPr>
          <w:p w14:paraId="7D503CA6" w14:textId="77777777" w:rsidR="00E97F74" w:rsidRPr="00735726" w:rsidRDefault="00E97F74" w:rsidP="00470234">
            <w:pPr>
              <w:rPr>
                <w:rFonts w:ascii="Arial" w:hAnsi="Arial" w:cs="Arial"/>
                <w:b/>
                <w:sz w:val="18"/>
                <w:szCs w:val="18"/>
              </w:rPr>
            </w:pPr>
            <w:r w:rsidRPr="00735726">
              <w:rPr>
                <w:rFonts w:ascii="Arial" w:hAnsi="Arial" w:cs="Arial"/>
                <w:b/>
                <w:sz w:val="18"/>
                <w:szCs w:val="18"/>
              </w:rPr>
              <w:t>Geopolitical Tensions</w:t>
            </w:r>
          </w:p>
        </w:tc>
        <w:tc>
          <w:tcPr>
            <w:tcW w:w="3969" w:type="dxa"/>
          </w:tcPr>
          <w:p w14:paraId="0A33A624" w14:textId="77777777" w:rsidR="00E97F74" w:rsidRPr="00735726" w:rsidRDefault="00E97F74" w:rsidP="00470234">
            <w:pPr>
              <w:autoSpaceDE w:val="0"/>
              <w:autoSpaceDN w:val="0"/>
              <w:adjustRightInd w:val="0"/>
              <w:spacing w:after="0" w:line="240" w:lineRule="auto"/>
              <w:rPr>
                <w:rFonts w:ascii="Arial" w:hAnsi="Arial" w:cs="Arial"/>
                <w:b/>
                <w:sz w:val="18"/>
                <w:szCs w:val="18"/>
              </w:rPr>
            </w:pPr>
            <w:r w:rsidRPr="00735726">
              <w:rPr>
                <w:rFonts w:ascii="Arial" w:hAnsi="Arial" w:cs="Arial"/>
                <w:iCs/>
                <w:sz w:val="18"/>
                <w:szCs w:val="18"/>
              </w:rPr>
              <w:t>Increased escalation of conflict in the Middle East combined with the ongoing war in Ukraine could further impact the global economy, heighten energy resilience risks and disrupt key supply chains such as chemicals.</w:t>
            </w:r>
          </w:p>
        </w:tc>
        <w:tc>
          <w:tcPr>
            <w:tcW w:w="2127" w:type="dxa"/>
          </w:tcPr>
          <w:p w14:paraId="7A79740A" w14:textId="1DE92B86" w:rsidR="00E97F74" w:rsidRPr="00735726" w:rsidRDefault="00E97F74" w:rsidP="00E97F74">
            <w:pPr>
              <w:rPr>
                <w:rFonts w:ascii="Arial" w:hAnsi="Arial" w:cs="Arial"/>
                <w:b/>
                <w:sz w:val="18"/>
                <w:szCs w:val="18"/>
              </w:rPr>
            </w:pPr>
            <w:r w:rsidRPr="00735726">
              <w:rPr>
                <w:rFonts w:ascii="Arial" w:hAnsi="Arial" w:cs="Arial"/>
                <w:iCs/>
                <w:sz w:val="18"/>
                <w:szCs w:val="18"/>
              </w:rPr>
              <w:t xml:space="preserve">Market and </w:t>
            </w:r>
            <w:r w:rsidR="00D4738C" w:rsidRPr="00735726">
              <w:rPr>
                <w:rFonts w:ascii="Arial" w:hAnsi="Arial" w:cs="Arial"/>
                <w:iCs/>
                <w:sz w:val="18"/>
                <w:szCs w:val="18"/>
              </w:rPr>
              <w:t>e</w:t>
            </w:r>
            <w:r w:rsidRPr="00735726">
              <w:rPr>
                <w:rFonts w:ascii="Arial" w:hAnsi="Arial" w:cs="Arial"/>
                <w:iCs/>
                <w:sz w:val="18"/>
                <w:szCs w:val="18"/>
              </w:rPr>
              <w:t xml:space="preserve">conomic </w:t>
            </w:r>
            <w:r w:rsidR="00D4738C" w:rsidRPr="00735726">
              <w:rPr>
                <w:rFonts w:ascii="Arial" w:hAnsi="Arial" w:cs="Arial"/>
                <w:iCs/>
                <w:sz w:val="18"/>
                <w:szCs w:val="18"/>
              </w:rPr>
              <w:t>c</w:t>
            </w:r>
            <w:r w:rsidRPr="00735726">
              <w:rPr>
                <w:rFonts w:ascii="Arial" w:hAnsi="Arial" w:cs="Arial"/>
                <w:iCs/>
                <w:sz w:val="18"/>
                <w:szCs w:val="18"/>
              </w:rPr>
              <w:t>onditions</w:t>
            </w:r>
          </w:p>
        </w:tc>
        <w:tc>
          <w:tcPr>
            <w:tcW w:w="1316" w:type="dxa"/>
          </w:tcPr>
          <w:p w14:paraId="20658FFB" w14:textId="6F9FCBEB" w:rsidR="00E97F74" w:rsidRPr="00735726" w:rsidRDefault="00E97F74" w:rsidP="00470234">
            <w:pPr>
              <w:rPr>
                <w:rFonts w:ascii="Arial" w:hAnsi="Arial" w:cs="Arial"/>
                <w:bCs/>
                <w:sz w:val="18"/>
                <w:szCs w:val="18"/>
              </w:rPr>
            </w:pPr>
            <w:r w:rsidRPr="00735726">
              <w:rPr>
                <w:rFonts w:ascii="Arial" w:hAnsi="Arial" w:cs="Arial"/>
                <w:bCs/>
                <w:sz w:val="18"/>
                <w:szCs w:val="18"/>
              </w:rPr>
              <w:t>Short to medium term</w:t>
            </w:r>
          </w:p>
        </w:tc>
      </w:tr>
      <w:tr w:rsidR="00E97F74" w:rsidRPr="00735726" w14:paraId="3FF6256E" w14:textId="77777777" w:rsidTr="00E97F74">
        <w:tc>
          <w:tcPr>
            <w:tcW w:w="1696" w:type="dxa"/>
            <w:vAlign w:val="center"/>
          </w:tcPr>
          <w:p w14:paraId="1363509E" w14:textId="77777777" w:rsidR="00E97F74" w:rsidRPr="00735726" w:rsidRDefault="00E97F74" w:rsidP="00470234">
            <w:pPr>
              <w:spacing w:after="0"/>
              <w:rPr>
                <w:rFonts w:ascii="Arial" w:hAnsi="Arial" w:cs="Arial"/>
                <w:b/>
                <w:sz w:val="18"/>
                <w:szCs w:val="18"/>
              </w:rPr>
            </w:pPr>
            <w:r w:rsidRPr="00735726">
              <w:rPr>
                <w:rFonts w:ascii="Arial" w:hAnsi="Arial" w:cs="Arial"/>
                <w:b/>
                <w:sz w:val="18"/>
                <w:szCs w:val="18"/>
              </w:rPr>
              <w:t>Artificial intelligence and machine learning</w:t>
            </w:r>
          </w:p>
        </w:tc>
        <w:tc>
          <w:tcPr>
            <w:tcW w:w="3969" w:type="dxa"/>
          </w:tcPr>
          <w:p w14:paraId="64186CFA" w14:textId="77777777" w:rsidR="00E97F74" w:rsidRPr="00735726" w:rsidRDefault="00E97F74" w:rsidP="00470234">
            <w:pPr>
              <w:autoSpaceDE w:val="0"/>
              <w:autoSpaceDN w:val="0"/>
              <w:adjustRightInd w:val="0"/>
              <w:spacing w:after="0" w:line="240" w:lineRule="auto"/>
              <w:rPr>
                <w:rFonts w:ascii="Arial" w:hAnsi="Arial" w:cs="Arial"/>
                <w:iCs/>
                <w:sz w:val="18"/>
                <w:szCs w:val="18"/>
              </w:rPr>
            </w:pPr>
            <w:r w:rsidRPr="00735726">
              <w:rPr>
                <w:rFonts w:ascii="Arial" w:hAnsi="Arial" w:cs="Arial"/>
                <w:iCs/>
                <w:sz w:val="18"/>
                <w:szCs w:val="18"/>
              </w:rPr>
              <w:t>There is a risk that automated intelligence and learning deployed within operational processes develops faster than Government regulations and standards.</w:t>
            </w:r>
          </w:p>
        </w:tc>
        <w:tc>
          <w:tcPr>
            <w:tcW w:w="2127" w:type="dxa"/>
          </w:tcPr>
          <w:p w14:paraId="181999C6" w14:textId="77777777" w:rsidR="00E97F74" w:rsidRPr="00735726" w:rsidRDefault="00E97F74" w:rsidP="00E97F74">
            <w:pPr>
              <w:rPr>
                <w:rFonts w:ascii="Arial" w:hAnsi="Arial" w:cs="Arial"/>
                <w:iCs/>
                <w:sz w:val="18"/>
                <w:szCs w:val="18"/>
              </w:rPr>
            </w:pPr>
            <w:r w:rsidRPr="00735726">
              <w:rPr>
                <w:rFonts w:ascii="Arial" w:hAnsi="Arial" w:cs="Arial"/>
                <w:iCs/>
                <w:sz w:val="18"/>
                <w:szCs w:val="18"/>
              </w:rPr>
              <w:t>Operating performance</w:t>
            </w:r>
          </w:p>
        </w:tc>
        <w:tc>
          <w:tcPr>
            <w:tcW w:w="1316" w:type="dxa"/>
          </w:tcPr>
          <w:p w14:paraId="292D0A70" w14:textId="320A267C" w:rsidR="00E97F74" w:rsidRPr="00735726" w:rsidRDefault="00E97F74" w:rsidP="00470234">
            <w:pPr>
              <w:rPr>
                <w:rFonts w:ascii="Arial" w:hAnsi="Arial" w:cs="Arial"/>
                <w:bCs/>
                <w:sz w:val="18"/>
                <w:szCs w:val="18"/>
              </w:rPr>
            </w:pPr>
            <w:r w:rsidRPr="00735726">
              <w:rPr>
                <w:rFonts w:ascii="Arial" w:hAnsi="Arial" w:cs="Arial"/>
                <w:iCs/>
                <w:sz w:val="18"/>
                <w:szCs w:val="18"/>
              </w:rPr>
              <w:t>Medium term</w:t>
            </w:r>
          </w:p>
        </w:tc>
      </w:tr>
      <w:tr w:rsidR="00E97F74" w:rsidRPr="00735726" w14:paraId="2A0CE955" w14:textId="77777777" w:rsidTr="00E97F74">
        <w:tc>
          <w:tcPr>
            <w:tcW w:w="1696" w:type="dxa"/>
            <w:vAlign w:val="center"/>
          </w:tcPr>
          <w:p w14:paraId="6106D662" w14:textId="77777777" w:rsidR="00E97F74" w:rsidRPr="00735726" w:rsidRDefault="00E97F74" w:rsidP="00470234">
            <w:pPr>
              <w:rPr>
                <w:rFonts w:ascii="Arial" w:hAnsi="Arial" w:cs="Arial"/>
                <w:b/>
                <w:sz w:val="18"/>
                <w:szCs w:val="18"/>
              </w:rPr>
            </w:pPr>
            <w:r w:rsidRPr="00735726">
              <w:rPr>
                <w:rFonts w:ascii="Arial" w:hAnsi="Arial" w:cs="Arial"/>
                <w:b/>
                <w:sz w:val="18"/>
                <w:szCs w:val="18"/>
              </w:rPr>
              <w:t>Quality of water resources</w:t>
            </w:r>
          </w:p>
        </w:tc>
        <w:tc>
          <w:tcPr>
            <w:tcW w:w="3969" w:type="dxa"/>
          </w:tcPr>
          <w:p w14:paraId="5E5B5D3E" w14:textId="15377DA3" w:rsidR="00E97F74" w:rsidRPr="00735726" w:rsidRDefault="00E97F74" w:rsidP="00470234">
            <w:pPr>
              <w:autoSpaceDE w:val="0"/>
              <w:autoSpaceDN w:val="0"/>
              <w:adjustRightInd w:val="0"/>
              <w:spacing w:after="0" w:line="240" w:lineRule="auto"/>
              <w:rPr>
                <w:rFonts w:ascii="Arial" w:hAnsi="Arial" w:cs="Arial"/>
                <w:iCs/>
                <w:sz w:val="18"/>
                <w:szCs w:val="18"/>
              </w:rPr>
            </w:pPr>
            <w:r w:rsidRPr="00735726">
              <w:rPr>
                <w:rFonts w:ascii="Arial" w:hAnsi="Arial" w:cs="Arial"/>
                <w:iCs/>
                <w:sz w:val="18"/>
                <w:szCs w:val="18"/>
              </w:rPr>
              <w:t>Changes in regulatory requirements over the treatment of micro-plastics, micro</w:t>
            </w:r>
            <w:r w:rsidR="00D4738C" w:rsidRPr="00735726">
              <w:rPr>
                <w:rFonts w:ascii="Arial" w:hAnsi="Arial" w:cs="Arial"/>
                <w:iCs/>
                <w:sz w:val="18"/>
                <w:szCs w:val="18"/>
              </w:rPr>
              <w:t>-</w:t>
            </w:r>
            <w:r w:rsidRPr="00735726">
              <w:rPr>
                <w:rFonts w:ascii="Arial" w:hAnsi="Arial" w:cs="Arial"/>
                <w:iCs/>
                <w:sz w:val="18"/>
                <w:szCs w:val="18"/>
              </w:rPr>
              <w:t xml:space="preserve">pollutants and ‘forever chemicals’ (e.g. PFAS) </w:t>
            </w:r>
            <w:proofErr w:type="gramStart"/>
            <w:r w:rsidRPr="00735726">
              <w:rPr>
                <w:rFonts w:ascii="Arial" w:hAnsi="Arial" w:cs="Arial"/>
                <w:iCs/>
                <w:sz w:val="18"/>
                <w:szCs w:val="18"/>
              </w:rPr>
              <w:t>as a result of</w:t>
            </w:r>
            <w:proofErr w:type="gramEnd"/>
            <w:r w:rsidRPr="00735726">
              <w:rPr>
                <w:rFonts w:ascii="Arial" w:hAnsi="Arial" w:cs="Arial"/>
                <w:iCs/>
                <w:sz w:val="18"/>
                <w:szCs w:val="18"/>
              </w:rPr>
              <w:t xml:space="preserve"> ongoing research may require significant changes in operational processes in the water treatment process</w:t>
            </w:r>
          </w:p>
        </w:tc>
        <w:tc>
          <w:tcPr>
            <w:tcW w:w="2127" w:type="dxa"/>
          </w:tcPr>
          <w:p w14:paraId="72150616" w14:textId="77777777" w:rsidR="00E97F74" w:rsidRPr="00735726" w:rsidRDefault="00E97F74" w:rsidP="00E97F74">
            <w:pPr>
              <w:rPr>
                <w:rFonts w:ascii="Arial" w:hAnsi="Arial" w:cs="Arial"/>
                <w:iCs/>
                <w:sz w:val="18"/>
                <w:szCs w:val="18"/>
              </w:rPr>
            </w:pPr>
            <w:r w:rsidRPr="00735726">
              <w:rPr>
                <w:rFonts w:ascii="Arial" w:hAnsi="Arial" w:cs="Arial"/>
                <w:iCs/>
                <w:sz w:val="18"/>
                <w:szCs w:val="18"/>
              </w:rPr>
              <w:t>Operating performance</w:t>
            </w:r>
          </w:p>
          <w:p w14:paraId="2B976FC8" w14:textId="77777777" w:rsidR="00E97F74" w:rsidRPr="00735726" w:rsidRDefault="00E97F74" w:rsidP="00E97F74">
            <w:pPr>
              <w:rPr>
                <w:rFonts w:ascii="Arial" w:hAnsi="Arial" w:cs="Arial"/>
                <w:iCs/>
                <w:sz w:val="18"/>
                <w:szCs w:val="18"/>
              </w:rPr>
            </w:pPr>
            <w:r w:rsidRPr="00735726">
              <w:rPr>
                <w:rFonts w:ascii="Arial" w:hAnsi="Arial" w:cs="Arial"/>
                <w:iCs/>
                <w:sz w:val="18"/>
                <w:szCs w:val="18"/>
              </w:rPr>
              <w:t>Business systems and capital investment</w:t>
            </w:r>
          </w:p>
        </w:tc>
        <w:tc>
          <w:tcPr>
            <w:tcW w:w="1316" w:type="dxa"/>
          </w:tcPr>
          <w:p w14:paraId="6BA813CF" w14:textId="4612E57B" w:rsidR="00E97F74" w:rsidRPr="00735726" w:rsidRDefault="00E97F74" w:rsidP="00470234">
            <w:pPr>
              <w:rPr>
                <w:rFonts w:ascii="Arial" w:hAnsi="Arial" w:cs="Arial"/>
                <w:iCs/>
                <w:sz w:val="18"/>
                <w:szCs w:val="18"/>
              </w:rPr>
            </w:pPr>
            <w:r w:rsidRPr="00735726">
              <w:rPr>
                <w:rFonts w:ascii="Arial" w:hAnsi="Arial" w:cs="Arial"/>
                <w:iCs/>
                <w:sz w:val="18"/>
                <w:szCs w:val="18"/>
              </w:rPr>
              <w:t>Medium term</w:t>
            </w:r>
          </w:p>
        </w:tc>
      </w:tr>
      <w:tr w:rsidR="00E97F74" w:rsidRPr="00735726" w14:paraId="12D16BF0" w14:textId="77777777" w:rsidTr="00E97F74">
        <w:tc>
          <w:tcPr>
            <w:tcW w:w="1696" w:type="dxa"/>
            <w:vAlign w:val="center"/>
          </w:tcPr>
          <w:p w14:paraId="4C60228B" w14:textId="77777777" w:rsidR="00E97F74" w:rsidRPr="00735726" w:rsidRDefault="00E97F74" w:rsidP="00470234">
            <w:pPr>
              <w:spacing w:after="0"/>
              <w:rPr>
                <w:rFonts w:ascii="Arial" w:hAnsi="Arial" w:cs="Arial"/>
                <w:b/>
                <w:sz w:val="18"/>
                <w:szCs w:val="18"/>
              </w:rPr>
            </w:pPr>
            <w:r w:rsidRPr="00735726">
              <w:rPr>
                <w:rFonts w:ascii="Arial" w:hAnsi="Arial" w:cs="Arial"/>
                <w:b/>
                <w:sz w:val="18"/>
                <w:szCs w:val="18"/>
              </w:rPr>
              <w:t>Changes to the demographics within the areas that we serve</w:t>
            </w:r>
          </w:p>
        </w:tc>
        <w:tc>
          <w:tcPr>
            <w:tcW w:w="3969" w:type="dxa"/>
          </w:tcPr>
          <w:p w14:paraId="1F19FEF9" w14:textId="46B1AFEE" w:rsidR="00E97F74" w:rsidRPr="00735726" w:rsidRDefault="00E97F74" w:rsidP="00470234">
            <w:pPr>
              <w:autoSpaceDE w:val="0"/>
              <w:autoSpaceDN w:val="0"/>
              <w:adjustRightInd w:val="0"/>
              <w:spacing w:after="0" w:line="240" w:lineRule="auto"/>
              <w:rPr>
                <w:rFonts w:ascii="Calibre-Light" w:hAnsi="Calibre-Light" w:cs="Calibre-Light"/>
                <w:sz w:val="15"/>
                <w:szCs w:val="15"/>
              </w:rPr>
            </w:pPr>
            <w:r w:rsidRPr="00735726">
              <w:rPr>
                <w:rFonts w:ascii="Arial" w:hAnsi="Arial" w:cs="Arial"/>
                <w:iCs/>
                <w:sz w:val="18"/>
                <w:szCs w:val="18"/>
              </w:rPr>
              <w:t xml:space="preserve">Increases in population migration to the </w:t>
            </w:r>
            <w:proofErr w:type="gramStart"/>
            <w:r w:rsidRPr="00735726">
              <w:rPr>
                <w:rFonts w:ascii="Arial" w:hAnsi="Arial" w:cs="Arial"/>
                <w:iCs/>
                <w:sz w:val="18"/>
                <w:szCs w:val="18"/>
              </w:rPr>
              <w:t>South West</w:t>
            </w:r>
            <w:proofErr w:type="gramEnd"/>
            <w:r w:rsidR="00D4738C" w:rsidRPr="00735726">
              <w:rPr>
                <w:rFonts w:ascii="Arial" w:hAnsi="Arial" w:cs="Arial"/>
                <w:iCs/>
                <w:sz w:val="18"/>
                <w:szCs w:val="18"/>
              </w:rPr>
              <w:t xml:space="preserve"> due to</w:t>
            </w:r>
            <w:r w:rsidRPr="00735726">
              <w:rPr>
                <w:rFonts w:ascii="Arial" w:hAnsi="Arial" w:cs="Arial"/>
                <w:iCs/>
                <w:sz w:val="18"/>
                <w:szCs w:val="18"/>
              </w:rPr>
              <w:t xml:space="preserve"> climate change and an increasingly ag</w:t>
            </w:r>
            <w:r w:rsidR="00D4738C" w:rsidRPr="00735726">
              <w:rPr>
                <w:rFonts w:ascii="Arial" w:hAnsi="Arial" w:cs="Arial"/>
                <w:iCs/>
                <w:sz w:val="18"/>
                <w:szCs w:val="18"/>
              </w:rPr>
              <w:t>e</w:t>
            </w:r>
            <w:r w:rsidRPr="00735726">
              <w:rPr>
                <w:rFonts w:ascii="Arial" w:hAnsi="Arial" w:cs="Arial"/>
                <w:iCs/>
                <w:sz w:val="18"/>
                <w:szCs w:val="18"/>
              </w:rPr>
              <w:t>ing population could place further demand on our resources and assets.</w:t>
            </w:r>
          </w:p>
        </w:tc>
        <w:tc>
          <w:tcPr>
            <w:tcW w:w="2127" w:type="dxa"/>
          </w:tcPr>
          <w:p w14:paraId="43574D14" w14:textId="77777777" w:rsidR="00E97F74" w:rsidRPr="00735726" w:rsidRDefault="00E97F74" w:rsidP="00E97F74">
            <w:pPr>
              <w:rPr>
                <w:rFonts w:ascii="Arial" w:hAnsi="Arial" w:cs="Arial"/>
                <w:iCs/>
                <w:sz w:val="18"/>
                <w:szCs w:val="18"/>
              </w:rPr>
            </w:pPr>
            <w:r w:rsidRPr="00735726">
              <w:rPr>
                <w:rFonts w:ascii="Arial" w:hAnsi="Arial" w:cs="Arial"/>
                <w:iCs/>
                <w:sz w:val="18"/>
                <w:szCs w:val="18"/>
              </w:rPr>
              <w:t>Operating performance</w:t>
            </w:r>
          </w:p>
        </w:tc>
        <w:tc>
          <w:tcPr>
            <w:tcW w:w="1316" w:type="dxa"/>
          </w:tcPr>
          <w:p w14:paraId="0734E211" w14:textId="6C93812B" w:rsidR="00E97F74" w:rsidRPr="00735726" w:rsidRDefault="00E97F74" w:rsidP="00470234">
            <w:pPr>
              <w:rPr>
                <w:rFonts w:ascii="Arial" w:hAnsi="Arial" w:cs="Arial"/>
                <w:iCs/>
                <w:sz w:val="18"/>
                <w:szCs w:val="18"/>
              </w:rPr>
            </w:pPr>
            <w:r w:rsidRPr="00735726">
              <w:rPr>
                <w:rFonts w:ascii="Arial" w:hAnsi="Arial" w:cs="Arial"/>
                <w:iCs/>
                <w:sz w:val="18"/>
                <w:szCs w:val="18"/>
              </w:rPr>
              <w:t>Medium term</w:t>
            </w:r>
          </w:p>
        </w:tc>
      </w:tr>
      <w:tr w:rsidR="00E97F74" w:rsidRPr="00735726" w14:paraId="5EFC5DC8" w14:textId="77777777" w:rsidTr="00E97F74">
        <w:tc>
          <w:tcPr>
            <w:tcW w:w="1696" w:type="dxa"/>
            <w:vAlign w:val="center"/>
          </w:tcPr>
          <w:p w14:paraId="07268DCA" w14:textId="77777777" w:rsidR="00E97F74" w:rsidRPr="00735726" w:rsidRDefault="00E97F74" w:rsidP="00470234">
            <w:pPr>
              <w:rPr>
                <w:rFonts w:ascii="Arial" w:hAnsi="Arial" w:cs="Arial"/>
                <w:b/>
                <w:sz w:val="18"/>
                <w:szCs w:val="18"/>
              </w:rPr>
            </w:pPr>
            <w:r w:rsidRPr="00735726">
              <w:rPr>
                <w:rFonts w:ascii="Arial" w:hAnsi="Arial" w:cs="Arial"/>
                <w:b/>
                <w:sz w:val="18"/>
                <w:szCs w:val="18"/>
              </w:rPr>
              <w:t>Water sector reform</w:t>
            </w:r>
          </w:p>
        </w:tc>
        <w:tc>
          <w:tcPr>
            <w:tcW w:w="3969" w:type="dxa"/>
          </w:tcPr>
          <w:p w14:paraId="6D1A2950" w14:textId="56C51AA9" w:rsidR="00E97F74" w:rsidRPr="00735726" w:rsidRDefault="00E97F74" w:rsidP="00470234">
            <w:pPr>
              <w:autoSpaceDE w:val="0"/>
              <w:autoSpaceDN w:val="0"/>
              <w:adjustRightInd w:val="0"/>
              <w:spacing w:after="0" w:line="240" w:lineRule="auto"/>
              <w:rPr>
                <w:rFonts w:ascii="Arial" w:hAnsi="Arial" w:cs="Arial"/>
                <w:iCs/>
                <w:sz w:val="18"/>
                <w:szCs w:val="18"/>
              </w:rPr>
            </w:pPr>
            <w:r w:rsidRPr="00735726">
              <w:rPr>
                <w:rFonts w:ascii="Arial" w:hAnsi="Arial" w:cs="Arial"/>
                <w:iCs/>
                <w:sz w:val="18"/>
                <w:szCs w:val="18"/>
              </w:rPr>
              <w:t>Reviews of the water industry commissioned by the Government</w:t>
            </w:r>
            <w:r w:rsidR="004D1FFF" w:rsidRPr="00735726">
              <w:rPr>
                <w:rFonts w:ascii="Arial" w:hAnsi="Arial" w:cs="Arial"/>
                <w:iCs/>
                <w:sz w:val="18"/>
                <w:szCs w:val="18"/>
              </w:rPr>
              <w:t>,</w:t>
            </w:r>
            <w:r w:rsidRPr="00735726">
              <w:rPr>
                <w:rFonts w:ascii="Arial" w:hAnsi="Arial" w:cs="Arial"/>
                <w:iCs/>
                <w:sz w:val="18"/>
                <w:szCs w:val="18"/>
              </w:rPr>
              <w:t xml:space="preserve"> the Cunliffe Review and the Corry review</w:t>
            </w:r>
            <w:r w:rsidR="004D1FFF" w:rsidRPr="00735726">
              <w:rPr>
                <w:rFonts w:ascii="Arial" w:hAnsi="Arial" w:cs="Arial"/>
                <w:iCs/>
                <w:sz w:val="18"/>
                <w:szCs w:val="18"/>
              </w:rPr>
              <w:t>,</w:t>
            </w:r>
            <w:r w:rsidRPr="00735726">
              <w:rPr>
                <w:rFonts w:ascii="Arial" w:hAnsi="Arial" w:cs="Arial"/>
                <w:iCs/>
                <w:sz w:val="18"/>
                <w:szCs w:val="18"/>
              </w:rPr>
              <w:t xml:space="preserve"> could result in significant changes to approach, regulation, and to institutional arrangements</w:t>
            </w:r>
          </w:p>
        </w:tc>
        <w:tc>
          <w:tcPr>
            <w:tcW w:w="2127" w:type="dxa"/>
          </w:tcPr>
          <w:p w14:paraId="1FAFE557" w14:textId="77777777" w:rsidR="00E97F74" w:rsidRPr="00735726" w:rsidRDefault="00E97F74" w:rsidP="00E97F74">
            <w:pPr>
              <w:rPr>
                <w:rFonts w:ascii="Arial" w:hAnsi="Arial" w:cs="Arial"/>
                <w:iCs/>
                <w:sz w:val="18"/>
                <w:szCs w:val="18"/>
              </w:rPr>
            </w:pPr>
            <w:r w:rsidRPr="00735726">
              <w:rPr>
                <w:rFonts w:ascii="Arial" w:hAnsi="Arial" w:cs="Arial"/>
                <w:iCs/>
                <w:sz w:val="18"/>
                <w:szCs w:val="18"/>
              </w:rPr>
              <w:t>Law, regulation and finance</w:t>
            </w:r>
          </w:p>
        </w:tc>
        <w:tc>
          <w:tcPr>
            <w:tcW w:w="1316" w:type="dxa"/>
          </w:tcPr>
          <w:p w14:paraId="39FDF713" w14:textId="738987F1" w:rsidR="00E97F74" w:rsidRPr="00735726" w:rsidRDefault="00E97F74" w:rsidP="00470234">
            <w:pPr>
              <w:rPr>
                <w:rFonts w:ascii="Arial" w:hAnsi="Arial" w:cs="Arial"/>
                <w:iCs/>
                <w:sz w:val="18"/>
                <w:szCs w:val="18"/>
              </w:rPr>
            </w:pPr>
            <w:r w:rsidRPr="00735726">
              <w:rPr>
                <w:rFonts w:ascii="Arial" w:hAnsi="Arial" w:cs="Arial"/>
                <w:iCs/>
                <w:sz w:val="18"/>
                <w:szCs w:val="18"/>
              </w:rPr>
              <w:t>Short to medium term</w:t>
            </w:r>
          </w:p>
        </w:tc>
      </w:tr>
    </w:tbl>
    <w:p w14:paraId="01ED345E" w14:textId="77777777" w:rsidR="00B751FF" w:rsidRPr="00735726" w:rsidRDefault="00B751FF" w:rsidP="00B751FF">
      <w:pPr>
        <w:rPr>
          <w:rFonts w:ascii="Arial" w:hAnsi="Arial" w:cs="Arial"/>
          <w:sz w:val="18"/>
          <w:szCs w:val="18"/>
        </w:rPr>
      </w:pPr>
    </w:p>
    <w:p w14:paraId="4B41D315" w14:textId="51D2C208" w:rsidR="004D1FFF" w:rsidRPr="00735726" w:rsidRDefault="004D1FFF" w:rsidP="004D1FFF">
      <w:pPr>
        <w:autoSpaceDE w:val="0"/>
        <w:autoSpaceDN w:val="0"/>
        <w:adjustRightInd w:val="0"/>
        <w:spacing w:after="0"/>
        <w:rPr>
          <w:rFonts w:ascii="Arial" w:hAnsi="Arial" w:cs="Arial"/>
          <w:sz w:val="18"/>
          <w:szCs w:val="18"/>
        </w:rPr>
      </w:pPr>
      <w:r w:rsidRPr="00735726">
        <w:rPr>
          <w:rFonts w:ascii="Arial" w:hAnsi="Arial" w:cs="Arial"/>
          <w:i/>
          <w:sz w:val="18"/>
          <w:szCs w:val="18"/>
        </w:rPr>
        <w:t>RISK APPETITE</w:t>
      </w:r>
      <w:r w:rsidRPr="00735726">
        <w:rPr>
          <w:rFonts w:ascii="Arial" w:hAnsi="Arial" w:cs="Arial"/>
          <w:i/>
          <w:sz w:val="18"/>
          <w:szCs w:val="18"/>
        </w:rPr>
        <w:br/>
      </w:r>
      <w:r w:rsidRPr="00735726">
        <w:rPr>
          <w:rFonts w:ascii="Arial" w:hAnsi="Arial" w:cs="Arial"/>
          <w:sz w:val="18"/>
          <w:szCs w:val="18"/>
        </w:rPr>
        <w:t xml:space="preserve">There are inherent risks that exist within the water </w:t>
      </w:r>
      <w:proofErr w:type="gramStart"/>
      <w:r w:rsidRPr="00735726">
        <w:rPr>
          <w:rFonts w:ascii="Arial" w:hAnsi="Arial" w:cs="Arial"/>
          <w:sz w:val="18"/>
          <w:szCs w:val="18"/>
        </w:rPr>
        <w:t>sector</w:t>
      </w:r>
      <w:proofErr w:type="gramEnd"/>
      <w:r w:rsidRPr="00735726">
        <w:rPr>
          <w:rFonts w:ascii="Arial" w:hAnsi="Arial" w:cs="Arial"/>
          <w:sz w:val="18"/>
          <w:szCs w:val="18"/>
        </w:rPr>
        <w:t xml:space="preserve"> and all risk cannot be </w:t>
      </w:r>
      <w:proofErr w:type="gramStart"/>
      <w:r w:rsidRPr="00735726">
        <w:rPr>
          <w:rFonts w:ascii="Arial" w:hAnsi="Arial" w:cs="Arial"/>
          <w:sz w:val="18"/>
          <w:szCs w:val="18"/>
        </w:rPr>
        <w:t>completely eliminated</w:t>
      </w:r>
      <w:proofErr w:type="gramEnd"/>
      <w:r w:rsidRPr="00735726">
        <w:rPr>
          <w:rFonts w:ascii="Arial" w:hAnsi="Arial" w:cs="Arial"/>
          <w:sz w:val="18"/>
          <w:szCs w:val="18"/>
        </w:rPr>
        <w:t xml:space="preserve"> in the delivery of the Company’s activities. The Company therefore seeks to strike an appropriate balance between risk and reward which aligns not only with the Company’s strategic priorities but also its purpose and values. This allows the business to pursue value-enhancing opportunities, while maintaining an overall level of risk exposure that the Board considers to be appropriate.</w:t>
      </w:r>
    </w:p>
    <w:p w14:paraId="1B8F15C0" w14:textId="77777777" w:rsidR="004D1FFF" w:rsidRPr="009A2CAE" w:rsidRDefault="004D1FFF" w:rsidP="004D1FFF">
      <w:pPr>
        <w:autoSpaceDE w:val="0"/>
        <w:autoSpaceDN w:val="0"/>
        <w:adjustRightInd w:val="0"/>
        <w:spacing w:after="0"/>
        <w:rPr>
          <w:rFonts w:ascii="Arial" w:hAnsi="Arial" w:cs="Arial"/>
          <w:b/>
          <w:bCs/>
          <w:sz w:val="18"/>
          <w:szCs w:val="18"/>
        </w:rPr>
      </w:pPr>
    </w:p>
    <w:p w14:paraId="09F1DE90" w14:textId="70DB8FFA" w:rsidR="004D1FFF" w:rsidRPr="00735726" w:rsidRDefault="004D1FFF" w:rsidP="004D1FFF">
      <w:pPr>
        <w:rPr>
          <w:rFonts w:ascii="Arial" w:eastAsia="Times New Roman" w:hAnsi="Arial" w:cs="DINOT-Light"/>
          <w:sz w:val="18"/>
          <w:szCs w:val="18"/>
        </w:rPr>
      </w:pPr>
      <w:r w:rsidRPr="00735726">
        <w:rPr>
          <w:rFonts w:ascii="Arial" w:eastAsia="Times New Roman" w:hAnsi="Arial" w:cs="Arial"/>
          <w:b/>
          <w:bCs/>
          <w:iCs/>
          <w:caps/>
          <w:sz w:val="18"/>
          <w:szCs w:val="18"/>
        </w:rPr>
        <w:t>principal risks and uncertainties</w:t>
      </w:r>
      <w:r w:rsidRPr="00735726">
        <w:rPr>
          <w:rFonts w:ascii="Arial" w:eastAsia="Times New Roman" w:hAnsi="Arial" w:cs="Arial"/>
          <w:b/>
          <w:bCs/>
          <w:iCs/>
          <w:caps/>
          <w:sz w:val="18"/>
          <w:szCs w:val="18"/>
        </w:rPr>
        <w:br/>
      </w:r>
      <w:r w:rsidRPr="00735726">
        <w:rPr>
          <w:rFonts w:ascii="Arial" w:eastAsia="Times New Roman" w:hAnsi="Arial" w:cs="DINOT-Light"/>
          <w:sz w:val="18"/>
          <w:szCs w:val="18"/>
        </w:rPr>
        <w:t>There continues to be a challenging context for the Company, with continued public and media focus on the water industry, providing a critical environment for the UK Government to progress the recommendations in the Cunliffe Review through the ‘transition plan’. Negative public sentiment around the sector remains heightened, with continuing media coverage. In turn, increased regulatory scrutiny on compliance and performance coupled with rising expectations of resilience, challenge existing operations and have the potential to create unfunded obligations for investment.</w:t>
      </w:r>
    </w:p>
    <w:p w14:paraId="64353DC5" w14:textId="3D3F9F65" w:rsidR="004D1FFF" w:rsidRPr="00735726" w:rsidRDefault="004D1FFF" w:rsidP="004D1FFF">
      <w:pPr>
        <w:rPr>
          <w:rFonts w:ascii="Arial" w:eastAsia="Times New Roman" w:hAnsi="Arial" w:cs="DINOT-Light"/>
          <w:sz w:val="18"/>
          <w:szCs w:val="18"/>
        </w:rPr>
      </w:pPr>
      <w:r w:rsidRPr="00735726">
        <w:rPr>
          <w:rFonts w:ascii="Arial" w:eastAsia="Times New Roman" w:hAnsi="Arial" w:cs="DINOT-Light"/>
          <w:sz w:val="18"/>
          <w:szCs w:val="18"/>
        </w:rPr>
        <w:t xml:space="preserve">Whilst 2025 saw a less volatile macroeconomic position, with falling interest rates and inflation, the current situation, including developments in the Middle East, are likely to create at least short-term pressures and uncertainty. Whilst it is unclear for how long these matters will continue, the impact on supply chains, commodity and chemical costs, as well as wider interest and inflation rates, is likely to create uncertainty over the near-term, increasing risk and pressure on financial performance. The widespread need for investment across the UK’s </w:t>
      </w:r>
      <w:r w:rsidRPr="00735726">
        <w:rPr>
          <w:rFonts w:ascii="Arial" w:eastAsia="Times New Roman" w:hAnsi="Arial" w:cs="DINOT-Light"/>
          <w:sz w:val="18"/>
          <w:szCs w:val="18"/>
        </w:rPr>
        <w:lastRenderedPageBreak/>
        <w:t>infrastructure also increasingly puts pressure on delivery partners in terms of both availability and efficiency and will need careful management. Availability of funding and maintaining credit ratings will also be key, in the face of the above challenges and pressures, as well as on continued concern in the wider market.</w:t>
      </w:r>
    </w:p>
    <w:p w14:paraId="6E0726B3" w14:textId="05E2ADE1" w:rsidR="004D1FFF" w:rsidRPr="00735726" w:rsidRDefault="004D1FFF" w:rsidP="004D1FFF">
      <w:pPr>
        <w:rPr>
          <w:rFonts w:ascii="Arial" w:eastAsia="Times New Roman" w:hAnsi="Arial" w:cs="DINOT-Light"/>
          <w:sz w:val="18"/>
          <w:szCs w:val="18"/>
        </w:rPr>
      </w:pPr>
      <w:r w:rsidRPr="00735726">
        <w:rPr>
          <w:rFonts w:ascii="Arial" w:eastAsia="Times New Roman" w:hAnsi="Arial" w:cs="DINOT-Light"/>
          <w:sz w:val="18"/>
          <w:szCs w:val="18"/>
        </w:rPr>
        <w:t>The Board has carried out a detailed review of the Company’s principal risks in the context of the Company’s strategic objectives and priorities as well as the external environment within which it operates. This has included:</w:t>
      </w:r>
    </w:p>
    <w:p w14:paraId="23649DB6" w14:textId="77777777" w:rsidR="004D1FFF" w:rsidRPr="00735726" w:rsidRDefault="004D1FFF" w:rsidP="00646F4F">
      <w:pPr>
        <w:pStyle w:val="ListParagraph"/>
        <w:numPr>
          <w:ilvl w:val="0"/>
          <w:numId w:val="31"/>
        </w:numPr>
        <w:rPr>
          <w:rFonts w:ascii="Arial" w:eastAsia="Times New Roman" w:hAnsi="Arial" w:cs="DINOT-Light"/>
          <w:sz w:val="18"/>
          <w:szCs w:val="18"/>
        </w:rPr>
      </w:pPr>
      <w:r w:rsidRPr="00735726">
        <w:rPr>
          <w:rFonts w:ascii="Arial" w:eastAsia="Times New Roman" w:hAnsi="Arial" w:cs="DINOT-Light"/>
          <w:sz w:val="18"/>
          <w:szCs w:val="18"/>
        </w:rPr>
        <w:t>Confirming that the Company’s risk appetite statements remain appropriate</w:t>
      </w:r>
    </w:p>
    <w:p w14:paraId="66030C2F" w14:textId="77777777" w:rsidR="004D1FFF" w:rsidRPr="00735726" w:rsidRDefault="004D1FFF" w:rsidP="00646F4F">
      <w:pPr>
        <w:pStyle w:val="ListParagraph"/>
        <w:numPr>
          <w:ilvl w:val="0"/>
          <w:numId w:val="31"/>
        </w:numPr>
        <w:rPr>
          <w:rFonts w:ascii="Arial" w:eastAsia="Times New Roman" w:hAnsi="Arial" w:cs="DINOT-Light"/>
          <w:sz w:val="18"/>
          <w:szCs w:val="18"/>
        </w:rPr>
      </w:pPr>
      <w:r w:rsidRPr="00735726">
        <w:rPr>
          <w:rFonts w:ascii="Arial" w:eastAsia="Times New Roman" w:hAnsi="Arial" w:cs="DINOT-Light"/>
          <w:sz w:val="18"/>
          <w:szCs w:val="18"/>
        </w:rPr>
        <w:t>Receiving and reviewing updates on the Company’s principal risks, including movements in the risk exposure</w:t>
      </w:r>
    </w:p>
    <w:p w14:paraId="1DF74257" w14:textId="77777777" w:rsidR="004D1FFF" w:rsidRPr="00735726" w:rsidRDefault="004D1FFF" w:rsidP="00646F4F">
      <w:pPr>
        <w:pStyle w:val="ListParagraph"/>
        <w:numPr>
          <w:ilvl w:val="0"/>
          <w:numId w:val="31"/>
        </w:numPr>
        <w:rPr>
          <w:rFonts w:ascii="Arial" w:eastAsia="Times New Roman" w:hAnsi="Arial" w:cs="DINOT-Light"/>
          <w:sz w:val="18"/>
          <w:szCs w:val="18"/>
        </w:rPr>
      </w:pPr>
      <w:r w:rsidRPr="00735726">
        <w:rPr>
          <w:rFonts w:ascii="Arial" w:eastAsia="Times New Roman" w:hAnsi="Arial" w:cs="DINOT-Light"/>
          <w:sz w:val="18"/>
          <w:szCs w:val="18"/>
        </w:rPr>
        <w:t>Undertaking horizon scanning of emerging risks and trends</w:t>
      </w:r>
    </w:p>
    <w:p w14:paraId="31B8C039" w14:textId="1F4CB34A" w:rsidR="004D1FFF" w:rsidRPr="00735726" w:rsidRDefault="004D1FFF" w:rsidP="00646F4F">
      <w:pPr>
        <w:pStyle w:val="ListParagraph"/>
        <w:numPr>
          <w:ilvl w:val="0"/>
          <w:numId w:val="31"/>
        </w:numPr>
        <w:rPr>
          <w:rFonts w:ascii="Arial" w:eastAsia="Times New Roman" w:hAnsi="Arial" w:cs="DINOT-Light"/>
          <w:sz w:val="18"/>
          <w:szCs w:val="18"/>
        </w:rPr>
      </w:pPr>
      <w:r w:rsidRPr="00735726">
        <w:rPr>
          <w:rFonts w:ascii="Arial" w:eastAsia="Times New Roman" w:hAnsi="Arial" w:cs="DINOT-Light"/>
          <w:sz w:val="18"/>
          <w:szCs w:val="18"/>
        </w:rPr>
        <w:t>Performing deep</w:t>
      </w:r>
      <w:r w:rsidR="00CF06E4" w:rsidRPr="00735726">
        <w:rPr>
          <w:rFonts w:ascii="Arial" w:eastAsia="Times New Roman" w:hAnsi="Arial" w:cs="DINOT-Light"/>
          <w:sz w:val="18"/>
          <w:szCs w:val="18"/>
        </w:rPr>
        <w:t>-</w:t>
      </w:r>
      <w:r w:rsidRPr="00735726">
        <w:rPr>
          <w:rFonts w:ascii="Arial" w:eastAsia="Times New Roman" w:hAnsi="Arial" w:cs="DINOT-Light"/>
          <w:sz w:val="18"/>
          <w:szCs w:val="18"/>
        </w:rPr>
        <w:t>dive reviews into key risk areas</w:t>
      </w:r>
    </w:p>
    <w:p w14:paraId="17B32287" w14:textId="77777777" w:rsidR="004D1FFF" w:rsidRPr="00735726" w:rsidRDefault="004D1FFF" w:rsidP="00646F4F">
      <w:pPr>
        <w:pStyle w:val="ListParagraph"/>
        <w:numPr>
          <w:ilvl w:val="0"/>
          <w:numId w:val="31"/>
        </w:numPr>
        <w:rPr>
          <w:rFonts w:ascii="Arial" w:eastAsia="Times New Roman" w:hAnsi="Arial" w:cs="DINOT-Light"/>
          <w:sz w:val="18"/>
          <w:szCs w:val="18"/>
        </w:rPr>
      </w:pPr>
      <w:r w:rsidRPr="00735726">
        <w:rPr>
          <w:rFonts w:ascii="Arial" w:eastAsia="Times New Roman" w:hAnsi="Arial" w:cs="DINOT-Light"/>
          <w:sz w:val="18"/>
          <w:szCs w:val="18"/>
        </w:rPr>
        <w:t>Through the Audit Committee, confirmed the effectiveness of the risk management and internal control framework.</w:t>
      </w:r>
    </w:p>
    <w:p w14:paraId="336DAAA9" w14:textId="2F897DE2" w:rsidR="005377EE" w:rsidRPr="00735726" w:rsidRDefault="005377EE" w:rsidP="005377EE">
      <w:pPr>
        <w:spacing w:after="160" w:line="259" w:lineRule="auto"/>
        <w:rPr>
          <w:rFonts w:ascii="Arial" w:eastAsia="Times New Roman" w:hAnsi="Arial" w:cs="DINOT-Light"/>
          <w:sz w:val="18"/>
          <w:szCs w:val="18"/>
        </w:rPr>
      </w:pPr>
      <w:r w:rsidRPr="00735726">
        <w:rPr>
          <w:rFonts w:ascii="Arial" w:eastAsia="Times New Roman" w:hAnsi="Arial" w:cs="DINOT-Light"/>
          <w:sz w:val="18"/>
          <w:szCs w:val="18"/>
        </w:rPr>
        <w:t xml:space="preserve">This has resulted in the following material changes to the </w:t>
      </w:r>
      <w:r w:rsidR="002F04D2" w:rsidRPr="00735726">
        <w:rPr>
          <w:rFonts w:ascii="Arial" w:eastAsia="Times New Roman" w:hAnsi="Arial" w:cs="DINOT-Light"/>
          <w:sz w:val="18"/>
          <w:szCs w:val="18"/>
        </w:rPr>
        <w:t>Company’s</w:t>
      </w:r>
      <w:r w:rsidRPr="00735726">
        <w:rPr>
          <w:rFonts w:ascii="Arial" w:eastAsia="Times New Roman" w:hAnsi="Arial" w:cs="DINOT-Light"/>
          <w:sz w:val="18"/>
          <w:szCs w:val="18"/>
        </w:rPr>
        <w:t xml:space="preserve"> principal risks compared with those previously</w:t>
      </w:r>
      <w:r w:rsidR="002F04D2" w:rsidRPr="00735726">
        <w:rPr>
          <w:rFonts w:ascii="Arial" w:eastAsia="Times New Roman" w:hAnsi="Arial" w:cs="DINOT-Light"/>
          <w:sz w:val="18"/>
          <w:szCs w:val="18"/>
        </w:rPr>
        <w:t xml:space="preserve"> </w:t>
      </w:r>
      <w:r w:rsidRPr="00735726">
        <w:rPr>
          <w:rFonts w:ascii="Arial" w:eastAsia="Times New Roman" w:hAnsi="Arial" w:cs="DINOT-Light"/>
          <w:sz w:val="18"/>
          <w:szCs w:val="18"/>
        </w:rPr>
        <w:t>reported:</w:t>
      </w:r>
    </w:p>
    <w:p w14:paraId="6EAEA080" w14:textId="5AAD00BE" w:rsidR="005377EE" w:rsidRPr="00735726" w:rsidRDefault="005377EE" w:rsidP="00646F4F">
      <w:pPr>
        <w:pStyle w:val="ListParagraph"/>
        <w:numPr>
          <w:ilvl w:val="0"/>
          <w:numId w:val="89"/>
        </w:numPr>
        <w:spacing w:after="160" w:line="259" w:lineRule="auto"/>
        <w:rPr>
          <w:rFonts w:ascii="Arial" w:eastAsia="Times New Roman" w:hAnsi="Arial" w:cs="DINOT-Light"/>
          <w:sz w:val="18"/>
          <w:szCs w:val="18"/>
        </w:rPr>
      </w:pPr>
      <w:r w:rsidRPr="00735726">
        <w:rPr>
          <w:rFonts w:ascii="Arial" w:eastAsia="Times New Roman" w:hAnsi="Arial" w:cs="DINOT-Light"/>
          <w:sz w:val="18"/>
          <w:szCs w:val="18"/>
        </w:rPr>
        <w:t>The risk of failure to pay all pension obligations as</w:t>
      </w:r>
      <w:r w:rsidR="002F04D2" w:rsidRPr="00735726">
        <w:rPr>
          <w:rFonts w:ascii="Arial" w:eastAsia="Times New Roman" w:hAnsi="Arial" w:cs="DINOT-Light"/>
          <w:sz w:val="18"/>
          <w:szCs w:val="18"/>
        </w:rPr>
        <w:t xml:space="preserve"> </w:t>
      </w:r>
      <w:r w:rsidRPr="00735726">
        <w:rPr>
          <w:rFonts w:ascii="Arial" w:eastAsia="Times New Roman" w:hAnsi="Arial" w:cs="DINOT-Light"/>
          <w:sz w:val="18"/>
          <w:szCs w:val="18"/>
        </w:rPr>
        <w:t xml:space="preserve">they fall due and increased costs to the </w:t>
      </w:r>
      <w:r w:rsidR="002F04D2" w:rsidRPr="00735726">
        <w:rPr>
          <w:rFonts w:ascii="Arial" w:eastAsia="Times New Roman" w:hAnsi="Arial" w:cs="DINOT-Light"/>
          <w:sz w:val="18"/>
          <w:szCs w:val="18"/>
        </w:rPr>
        <w:t>Company</w:t>
      </w:r>
      <w:r w:rsidRPr="00735726">
        <w:rPr>
          <w:rFonts w:ascii="Arial" w:eastAsia="Times New Roman" w:hAnsi="Arial" w:cs="DINOT-Light"/>
          <w:sz w:val="18"/>
          <w:szCs w:val="18"/>
        </w:rPr>
        <w:t xml:space="preserve"> should</w:t>
      </w:r>
      <w:r w:rsidR="002F04D2" w:rsidRPr="00735726">
        <w:rPr>
          <w:rFonts w:ascii="Arial" w:eastAsia="Times New Roman" w:hAnsi="Arial" w:cs="DINOT-Light"/>
          <w:sz w:val="18"/>
          <w:szCs w:val="18"/>
        </w:rPr>
        <w:t xml:space="preserve"> </w:t>
      </w:r>
      <w:r w:rsidRPr="00735726">
        <w:rPr>
          <w:rFonts w:ascii="Arial" w:eastAsia="Times New Roman" w:hAnsi="Arial" w:cs="DINOT-Light"/>
          <w:sz w:val="18"/>
          <w:szCs w:val="18"/>
        </w:rPr>
        <w:t>the defined benefit pension scheme deficit increase</w:t>
      </w:r>
      <w:r w:rsidR="002F04D2" w:rsidRPr="00735726">
        <w:rPr>
          <w:rFonts w:ascii="Arial" w:eastAsia="Times New Roman" w:hAnsi="Arial" w:cs="DINOT-Light"/>
          <w:sz w:val="18"/>
          <w:szCs w:val="18"/>
        </w:rPr>
        <w:t xml:space="preserve"> </w:t>
      </w:r>
      <w:r w:rsidRPr="00735726">
        <w:rPr>
          <w:rFonts w:ascii="Arial" w:eastAsia="Times New Roman" w:hAnsi="Arial" w:cs="DINOT-Light"/>
          <w:sz w:val="18"/>
          <w:szCs w:val="18"/>
        </w:rPr>
        <w:t>has been assessed as not materially impacting the</w:t>
      </w:r>
      <w:r w:rsidR="002F04D2" w:rsidRPr="00735726">
        <w:rPr>
          <w:rFonts w:ascii="Arial" w:eastAsia="Times New Roman" w:hAnsi="Arial" w:cs="DINOT-Light"/>
          <w:sz w:val="18"/>
          <w:szCs w:val="18"/>
        </w:rPr>
        <w:t xml:space="preserve"> Company’s</w:t>
      </w:r>
      <w:r w:rsidRPr="00735726">
        <w:rPr>
          <w:rFonts w:ascii="Arial" w:eastAsia="Times New Roman" w:hAnsi="Arial" w:cs="DINOT-Light"/>
          <w:sz w:val="18"/>
          <w:szCs w:val="18"/>
        </w:rPr>
        <w:t xml:space="preserve"> strategic priorities due to mitigating actions</w:t>
      </w:r>
      <w:r w:rsidR="002F04D2" w:rsidRPr="00735726">
        <w:rPr>
          <w:rFonts w:ascii="Arial" w:eastAsia="Times New Roman" w:hAnsi="Arial" w:cs="DINOT-Light"/>
          <w:sz w:val="18"/>
          <w:szCs w:val="18"/>
        </w:rPr>
        <w:t xml:space="preserve"> </w:t>
      </w:r>
      <w:proofErr w:type="gramStart"/>
      <w:r w:rsidRPr="00735726">
        <w:rPr>
          <w:rFonts w:ascii="Arial" w:eastAsia="Times New Roman" w:hAnsi="Arial" w:cs="DINOT-Light"/>
          <w:sz w:val="18"/>
          <w:szCs w:val="18"/>
        </w:rPr>
        <w:t>implemented, and</w:t>
      </w:r>
      <w:proofErr w:type="gramEnd"/>
      <w:r w:rsidRPr="00735726">
        <w:rPr>
          <w:rFonts w:ascii="Arial" w:eastAsia="Times New Roman" w:hAnsi="Arial" w:cs="DINOT-Light"/>
          <w:sz w:val="18"/>
          <w:szCs w:val="18"/>
        </w:rPr>
        <w:t xml:space="preserve"> is no longer considered to be a</w:t>
      </w:r>
      <w:r w:rsidR="002F04D2" w:rsidRPr="00735726">
        <w:rPr>
          <w:rFonts w:ascii="Arial" w:eastAsia="Times New Roman" w:hAnsi="Arial" w:cs="DINOT-Light"/>
          <w:sz w:val="18"/>
          <w:szCs w:val="18"/>
        </w:rPr>
        <w:t xml:space="preserve"> </w:t>
      </w:r>
      <w:r w:rsidRPr="00735726">
        <w:rPr>
          <w:rFonts w:ascii="Arial" w:eastAsia="Times New Roman" w:hAnsi="Arial" w:cs="DINOT-Light"/>
          <w:sz w:val="18"/>
          <w:szCs w:val="18"/>
        </w:rPr>
        <w:t>principal risk.</w:t>
      </w:r>
    </w:p>
    <w:p w14:paraId="041303E8" w14:textId="48AF1660" w:rsidR="00B751FF" w:rsidRPr="00735726" w:rsidRDefault="005377EE" w:rsidP="00646F4F">
      <w:pPr>
        <w:pStyle w:val="ListParagraph"/>
        <w:numPr>
          <w:ilvl w:val="0"/>
          <w:numId w:val="89"/>
        </w:numPr>
        <w:spacing w:after="160" w:line="259" w:lineRule="auto"/>
        <w:rPr>
          <w:rFonts w:ascii="Arial" w:eastAsia="Times New Roman" w:hAnsi="Arial" w:cs="DINOT-Light"/>
          <w:sz w:val="18"/>
          <w:szCs w:val="18"/>
        </w:rPr>
      </w:pPr>
      <w:r w:rsidRPr="00735726">
        <w:rPr>
          <w:rFonts w:ascii="Arial" w:eastAsia="Times New Roman" w:hAnsi="Arial" w:cs="DINOT-Light"/>
          <w:sz w:val="18"/>
          <w:szCs w:val="18"/>
        </w:rPr>
        <w:t>The changes in government policy and changes</w:t>
      </w:r>
      <w:r w:rsidR="002F04D2" w:rsidRPr="00735726">
        <w:rPr>
          <w:rFonts w:ascii="Arial" w:eastAsia="Times New Roman" w:hAnsi="Arial" w:cs="DINOT-Light"/>
          <w:sz w:val="18"/>
          <w:szCs w:val="18"/>
        </w:rPr>
        <w:t xml:space="preserve"> </w:t>
      </w:r>
      <w:r w:rsidRPr="00735726">
        <w:rPr>
          <w:rFonts w:ascii="Arial" w:eastAsia="Times New Roman" w:hAnsi="Arial" w:cs="DINOT-Light"/>
          <w:sz w:val="18"/>
          <w:szCs w:val="18"/>
        </w:rPr>
        <w:t>to regulatory frameworks principal risks have been</w:t>
      </w:r>
      <w:r w:rsidR="002F04D2" w:rsidRPr="00735726">
        <w:rPr>
          <w:rFonts w:ascii="Arial" w:eastAsia="Times New Roman" w:hAnsi="Arial" w:cs="DINOT-Light"/>
          <w:sz w:val="18"/>
          <w:szCs w:val="18"/>
        </w:rPr>
        <w:t xml:space="preserve"> </w:t>
      </w:r>
      <w:r w:rsidRPr="00735726">
        <w:rPr>
          <w:rFonts w:ascii="Arial" w:eastAsia="Times New Roman" w:hAnsi="Arial" w:cs="DINOT-Light"/>
          <w:sz w:val="18"/>
          <w:szCs w:val="18"/>
        </w:rPr>
        <w:t>combined into a single risk, policy and regulatory</w:t>
      </w:r>
      <w:r w:rsidR="002F04D2" w:rsidRPr="00735726">
        <w:rPr>
          <w:rFonts w:ascii="Arial" w:eastAsia="Times New Roman" w:hAnsi="Arial" w:cs="DINOT-Light"/>
          <w:sz w:val="18"/>
          <w:szCs w:val="18"/>
        </w:rPr>
        <w:t xml:space="preserve"> </w:t>
      </w:r>
      <w:r w:rsidRPr="00735726">
        <w:rPr>
          <w:rFonts w:ascii="Arial" w:eastAsia="Times New Roman" w:hAnsi="Arial" w:cs="DINOT-Light"/>
          <w:sz w:val="18"/>
          <w:szCs w:val="18"/>
        </w:rPr>
        <w:t>change, reflecting the extent to which policy and</w:t>
      </w:r>
      <w:r w:rsidR="002F04D2" w:rsidRPr="00735726">
        <w:rPr>
          <w:rFonts w:ascii="Arial" w:eastAsia="Times New Roman" w:hAnsi="Arial" w:cs="DINOT-Light"/>
          <w:sz w:val="18"/>
          <w:szCs w:val="18"/>
        </w:rPr>
        <w:t xml:space="preserve"> </w:t>
      </w:r>
      <w:r w:rsidRPr="00735726">
        <w:rPr>
          <w:rFonts w:ascii="Arial" w:eastAsia="Times New Roman" w:hAnsi="Arial" w:cs="DINOT-Light"/>
          <w:sz w:val="18"/>
          <w:szCs w:val="18"/>
        </w:rPr>
        <w:t>regulation in the UK water sector are interconnected.</w:t>
      </w:r>
    </w:p>
    <w:p w14:paraId="7D7639D4" w14:textId="77777777" w:rsidR="00B751FF" w:rsidRPr="009A2CAE" w:rsidRDefault="00B751FF" w:rsidP="000E6C31">
      <w:pPr>
        <w:rPr>
          <w:rFonts w:ascii="Arial" w:hAnsi="Arial" w:cs="Arial"/>
          <w:sz w:val="18"/>
          <w:szCs w:val="18"/>
        </w:rPr>
      </w:pPr>
    </w:p>
    <w:p w14:paraId="098AB421" w14:textId="73EC9A2B" w:rsidR="000E6C31" w:rsidRPr="009A2CAE" w:rsidRDefault="000E6C31" w:rsidP="000E6C31">
      <w:pPr>
        <w:pStyle w:val="NormalWeb"/>
        <w:jc w:val="center"/>
      </w:pPr>
    </w:p>
    <w:p w14:paraId="42FB876F" w14:textId="56E35F1A" w:rsidR="000E6C31" w:rsidRPr="009A2CAE" w:rsidRDefault="000E6C31" w:rsidP="000E6C31">
      <w:pPr>
        <w:pStyle w:val="NormalWeb"/>
        <w:jc w:val="center"/>
      </w:pPr>
    </w:p>
    <w:p w14:paraId="49A6A3B2" w14:textId="5C234B2E" w:rsidR="001C0FFA" w:rsidRPr="00735726" w:rsidRDefault="001C0FFA" w:rsidP="001C0FFA">
      <w:pPr>
        <w:jc w:val="center"/>
        <w:rPr>
          <w:rFonts w:ascii="Arial" w:eastAsia="Times New Roman" w:hAnsi="Arial" w:cs="DINOT-Light"/>
          <w:sz w:val="18"/>
          <w:szCs w:val="18"/>
        </w:rPr>
      </w:pPr>
      <w:r w:rsidRPr="00735726">
        <w:rPr>
          <w:rFonts w:ascii="Arial" w:eastAsia="Times New Roman" w:hAnsi="Arial" w:cs="DINOT-Light"/>
          <w:noProof/>
          <w:sz w:val="18"/>
          <w:szCs w:val="18"/>
        </w:rPr>
        <w:lastRenderedPageBreak/>
        <w:drawing>
          <wp:inline distT="0" distB="0" distL="0" distR="0" wp14:anchorId="0490FF81" wp14:editId="050B13B3">
            <wp:extent cx="4261449" cy="5120790"/>
            <wp:effectExtent l="0" t="0" r="6350" b="3810"/>
            <wp:docPr id="19134893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607"/>
                    <a:stretch>
                      <a:fillRect/>
                    </a:stretch>
                  </pic:blipFill>
                  <pic:spPr bwMode="auto">
                    <a:xfrm>
                      <a:off x="0" y="0"/>
                      <a:ext cx="4279496" cy="514247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585"/>
        <w:tblW w:w="0" w:type="auto"/>
        <w:tblLook w:val="04A0" w:firstRow="1" w:lastRow="0" w:firstColumn="1" w:lastColumn="0" w:noHBand="0" w:noVBand="1"/>
      </w:tblPr>
      <w:tblGrid>
        <w:gridCol w:w="1171"/>
        <w:gridCol w:w="645"/>
      </w:tblGrid>
      <w:tr w:rsidR="001C0FFA" w:rsidRPr="00735726" w14:paraId="04D234DB" w14:textId="77777777" w:rsidTr="001C0FFA">
        <w:trPr>
          <w:trHeight w:val="303"/>
        </w:trPr>
        <w:tc>
          <w:tcPr>
            <w:tcW w:w="1816" w:type="dxa"/>
            <w:gridSpan w:val="2"/>
            <w:shd w:val="clear" w:color="auto" w:fill="002060"/>
          </w:tcPr>
          <w:p w14:paraId="0A62A149" w14:textId="77777777" w:rsidR="001C0FFA" w:rsidRPr="009A2CAE" w:rsidRDefault="001C0FFA" w:rsidP="001C0FFA">
            <w:pPr>
              <w:pStyle w:val="03body"/>
              <w:spacing w:line="240" w:lineRule="auto"/>
              <w:rPr>
                <w:b/>
              </w:rPr>
            </w:pPr>
            <w:r w:rsidRPr="00735726">
              <w:rPr>
                <w:b/>
                <w:color w:val="auto"/>
              </w:rPr>
              <w:t>Trend</w:t>
            </w:r>
          </w:p>
        </w:tc>
      </w:tr>
      <w:tr w:rsidR="001C0FFA" w:rsidRPr="00735726" w14:paraId="283B1E51" w14:textId="77777777" w:rsidTr="001C0FFA">
        <w:trPr>
          <w:trHeight w:val="303"/>
        </w:trPr>
        <w:tc>
          <w:tcPr>
            <w:tcW w:w="1171" w:type="dxa"/>
          </w:tcPr>
          <w:p w14:paraId="0F42660A" w14:textId="77777777" w:rsidR="001C0FFA" w:rsidRPr="00735726" w:rsidRDefault="001C0FFA" w:rsidP="001C0FFA">
            <w:pPr>
              <w:pStyle w:val="NormalWeb"/>
              <w:jc w:val="center"/>
              <w:rPr>
                <w:rFonts w:ascii="Arial" w:hAnsi="Arial" w:cs="DINOT-Light"/>
                <w:sz w:val="18"/>
                <w:szCs w:val="18"/>
                <w:lang w:eastAsia="en-US"/>
              </w:rPr>
            </w:pPr>
            <w:r w:rsidRPr="00735726">
              <w:rPr>
                <w:rFonts w:ascii="Arial" w:hAnsi="Arial" w:cs="DINOT-Light"/>
                <w:sz w:val="18"/>
                <w:szCs w:val="18"/>
                <w:lang w:eastAsia="en-US"/>
              </w:rPr>
              <w:t>Increasing</w:t>
            </w:r>
          </w:p>
        </w:tc>
        <w:tc>
          <w:tcPr>
            <w:tcW w:w="645" w:type="dxa"/>
          </w:tcPr>
          <w:p w14:paraId="0151551E" w14:textId="77777777" w:rsidR="001C0FFA" w:rsidRPr="00735726" w:rsidRDefault="001C0FFA" w:rsidP="001C0FFA">
            <w:pPr>
              <w:pStyle w:val="NormalWeb"/>
              <w:jc w:val="center"/>
            </w:pPr>
            <w:r w:rsidRPr="00735726">
              <w:rPr>
                <w:b/>
                <w:noProof/>
              </w:rPr>
              <w:drawing>
                <wp:inline distT="0" distB="0" distL="0" distR="0" wp14:anchorId="38D66D76" wp14:editId="15321439">
                  <wp:extent cx="212725" cy="201930"/>
                  <wp:effectExtent l="19050" t="0" r="0" b="0"/>
                  <wp:docPr id="14559663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12725" cy="201930"/>
                          </a:xfrm>
                          <a:prstGeom prst="rect">
                            <a:avLst/>
                          </a:prstGeom>
                          <a:noFill/>
                          <a:ln w="9525">
                            <a:noFill/>
                            <a:miter lim="800000"/>
                            <a:headEnd/>
                            <a:tailEnd/>
                          </a:ln>
                        </pic:spPr>
                      </pic:pic>
                    </a:graphicData>
                  </a:graphic>
                </wp:inline>
              </w:drawing>
            </w:r>
          </w:p>
        </w:tc>
      </w:tr>
      <w:tr w:rsidR="001C0FFA" w:rsidRPr="00735726" w14:paraId="21D69658" w14:textId="77777777" w:rsidTr="001C0FFA">
        <w:trPr>
          <w:trHeight w:val="303"/>
        </w:trPr>
        <w:tc>
          <w:tcPr>
            <w:tcW w:w="1171" w:type="dxa"/>
            <w:tcBorders>
              <w:bottom w:val="single" w:sz="4" w:space="0" w:color="auto"/>
            </w:tcBorders>
          </w:tcPr>
          <w:p w14:paraId="7F06C8AA" w14:textId="77777777" w:rsidR="001C0FFA" w:rsidRPr="00735726" w:rsidRDefault="001C0FFA" w:rsidP="001C0FFA">
            <w:pPr>
              <w:pStyle w:val="NormalWeb"/>
              <w:jc w:val="center"/>
              <w:rPr>
                <w:rFonts w:ascii="Arial" w:hAnsi="Arial" w:cs="DINOT-Light"/>
                <w:sz w:val="18"/>
                <w:szCs w:val="18"/>
                <w:lang w:eastAsia="en-US"/>
              </w:rPr>
            </w:pPr>
            <w:r w:rsidRPr="00735726">
              <w:rPr>
                <w:rFonts w:ascii="Arial" w:hAnsi="Arial" w:cs="DINOT-Light"/>
                <w:sz w:val="18"/>
                <w:szCs w:val="18"/>
                <w:lang w:eastAsia="en-US"/>
              </w:rPr>
              <w:t>Stable</w:t>
            </w:r>
          </w:p>
        </w:tc>
        <w:tc>
          <w:tcPr>
            <w:tcW w:w="645" w:type="dxa"/>
            <w:tcBorders>
              <w:bottom w:val="single" w:sz="4" w:space="0" w:color="auto"/>
            </w:tcBorders>
          </w:tcPr>
          <w:p w14:paraId="424D12CA" w14:textId="77777777" w:rsidR="001C0FFA" w:rsidRPr="00735726" w:rsidRDefault="001C0FFA" w:rsidP="001C0FFA">
            <w:pPr>
              <w:pStyle w:val="NormalWeb"/>
              <w:jc w:val="center"/>
            </w:pPr>
            <w:r w:rsidRPr="00735726">
              <w:rPr>
                <w:b/>
                <w:noProof/>
              </w:rPr>
              <w:drawing>
                <wp:inline distT="0" distB="0" distL="0" distR="0" wp14:anchorId="3D3E85B4" wp14:editId="229C30AB">
                  <wp:extent cx="272415" cy="149225"/>
                  <wp:effectExtent l="0" t="0" r="0" b="0"/>
                  <wp:docPr id="1817670130" name="Picture 181767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1C0FFA" w:rsidRPr="00735726" w14:paraId="1A6F1E9E" w14:textId="77777777" w:rsidTr="001C0FFA">
        <w:trPr>
          <w:trHeight w:val="303"/>
        </w:trPr>
        <w:tc>
          <w:tcPr>
            <w:tcW w:w="1171" w:type="dxa"/>
            <w:tcBorders>
              <w:bottom w:val="single" w:sz="4" w:space="0" w:color="auto"/>
            </w:tcBorders>
          </w:tcPr>
          <w:p w14:paraId="405261F8" w14:textId="77777777" w:rsidR="001C0FFA" w:rsidRPr="00735726" w:rsidRDefault="001C0FFA" w:rsidP="001C0FFA">
            <w:pPr>
              <w:pStyle w:val="NormalWeb"/>
              <w:jc w:val="center"/>
              <w:rPr>
                <w:rFonts w:ascii="Arial" w:hAnsi="Arial" w:cs="DINOT-Light"/>
                <w:sz w:val="18"/>
                <w:szCs w:val="18"/>
                <w:lang w:eastAsia="en-US"/>
              </w:rPr>
            </w:pPr>
            <w:r w:rsidRPr="00735726">
              <w:rPr>
                <w:rFonts w:ascii="Arial" w:hAnsi="Arial" w:cs="DINOT-Light"/>
                <w:sz w:val="18"/>
                <w:szCs w:val="18"/>
                <w:lang w:eastAsia="en-US"/>
              </w:rPr>
              <w:t>Decreasing</w:t>
            </w:r>
          </w:p>
        </w:tc>
        <w:tc>
          <w:tcPr>
            <w:tcW w:w="645" w:type="dxa"/>
            <w:tcBorders>
              <w:bottom w:val="single" w:sz="4" w:space="0" w:color="auto"/>
            </w:tcBorders>
          </w:tcPr>
          <w:p w14:paraId="3385432F" w14:textId="77777777" w:rsidR="001C0FFA" w:rsidRPr="00735726" w:rsidRDefault="001C0FFA" w:rsidP="001C0FFA">
            <w:pPr>
              <w:pStyle w:val="NormalWeb"/>
              <w:jc w:val="center"/>
            </w:pPr>
            <w:r w:rsidRPr="00735726">
              <w:rPr>
                <w:b/>
                <w:noProof/>
              </w:rPr>
              <w:drawing>
                <wp:inline distT="0" distB="0" distL="0" distR="0" wp14:anchorId="5D03E7A3" wp14:editId="79DA380C">
                  <wp:extent cx="212725" cy="201930"/>
                  <wp:effectExtent l="0" t="0" r="0" b="7620"/>
                  <wp:docPr id="9359072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r>
      <w:tr w:rsidR="001C0FFA" w:rsidRPr="00735726" w14:paraId="1177B7E4" w14:textId="77777777" w:rsidTr="001C0FFA">
        <w:trPr>
          <w:trHeight w:val="303"/>
        </w:trPr>
        <w:tc>
          <w:tcPr>
            <w:tcW w:w="1171" w:type="dxa"/>
            <w:tcBorders>
              <w:top w:val="single" w:sz="4" w:space="0" w:color="auto"/>
              <w:left w:val="nil"/>
              <w:bottom w:val="nil"/>
              <w:right w:val="nil"/>
            </w:tcBorders>
          </w:tcPr>
          <w:p w14:paraId="33F6643F" w14:textId="77777777" w:rsidR="001C0FFA" w:rsidRPr="009A2CAE" w:rsidRDefault="001C0FFA" w:rsidP="001C0FFA">
            <w:pPr>
              <w:pStyle w:val="NormalWeb"/>
              <w:jc w:val="center"/>
              <w:rPr>
                <w:rFonts w:ascii="Arial" w:hAnsi="Arial" w:cs="DINOT-Light"/>
                <w:sz w:val="18"/>
                <w:szCs w:val="18"/>
                <w:lang w:eastAsia="en-US"/>
              </w:rPr>
            </w:pPr>
          </w:p>
        </w:tc>
        <w:tc>
          <w:tcPr>
            <w:tcW w:w="645" w:type="dxa"/>
            <w:tcBorders>
              <w:top w:val="single" w:sz="4" w:space="0" w:color="auto"/>
              <w:left w:val="nil"/>
              <w:bottom w:val="nil"/>
              <w:right w:val="nil"/>
            </w:tcBorders>
          </w:tcPr>
          <w:p w14:paraId="0E709E5B" w14:textId="77777777" w:rsidR="001C0FFA" w:rsidRPr="009A2CAE" w:rsidRDefault="001C0FFA" w:rsidP="001C0FFA">
            <w:pPr>
              <w:pStyle w:val="NormalWeb"/>
              <w:jc w:val="center"/>
              <w:rPr>
                <w:b/>
                <w:noProof/>
              </w:rPr>
            </w:pPr>
          </w:p>
        </w:tc>
      </w:tr>
    </w:tbl>
    <w:p w14:paraId="6305E10D" w14:textId="4E96B7E1" w:rsidR="000E6C31" w:rsidRPr="00735726" w:rsidRDefault="003D3B6F" w:rsidP="003D3B6F">
      <w:pPr>
        <w:rPr>
          <w:rFonts w:ascii="Arial" w:eastAsia="Times New Roman" w:hAnsi="Arial" w:cs="DINOT-Light"/>
          <w:sz w:val="18"/>
          <w:szCs w:val="18"/>
        </w:rPr>
      </w:pPr>
      <w:r w:rsidRPr="00735726">
        <w:rPr>
          <w:rFonts w:ascii="Arial" w:eastAsia="Times New Roman" w:hAnsi="Arial" w:cs="DINOT-Light"/>
          <w:sz w:val="18"/>
          <w:szCs w:val="18"/>
        </w:rPr>
        <w:t>The chart below summarises the net risk assessment of the Company’s principal risks relevant to the risk categories:</w:t>
      </w:r>
    </w:p>
    <w:p w14:paraId="30A09181" w14:textId="77777777" w:rsidR="003D3B6F" w:rsidRPr="00735726" w:rsidRDefault="003D3B6F" w:rsidP="003D3B6F">
      <w:pPr>
        <w:rPr>
          <w:rFonts w:cs="DINOT-Light"/>
          <w:b/>
          <w:bCs/>
          <w:cap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507"/>
        <w:gridCol w:w="2233"/>
        <w:gridCol w:w="2391"/>
        <w:gridCol w:w="970"/>
        <w:gridCol w:w="1065"/>
      </w:tblGrid>
      <w:tr w:rsidR="000E6C31" w:rsidRPr="00735726" w14:paraId="269A2E26" w14:textId="77777777" w:rsidTr="00470234">
        <w:trPr>
          <w:tblHeader/>
        </w:trPr>
        <w:tc>
          <w:tcPr>
            <w:tcW w:w="1760" w:type="dxa"/>
            <w:shd w:val="clear" w:color="auto" w:fill="002060"/>
          </w:tcPr>
          <w:p w14:paraId="4FDD0E0E" w14:textId="79AC99C4" w:rsidR="000E6C31" w:rsidRPr="00735726" w:rsidRDefault="003D3B6F" w:rsidP="00470234">
            <w:pPr>
              <w:pStyle w:val="03body"/>
              <w:spacing w:line="240" w:lineRule="auto"/>
              <w:rPr>
                <w:b/>
                <w:color w:val="auto"/>
              </w:rPr>
            </w:pPr>
            <w:r w:rsidRPr="00735726">
              <w:rPr>
                <w:b/>
                <w:color w:val="auto"/>
              </w:rPr>
              <w:t>P</w:t>
            </w:r>
            <w:r w:rsidR="000E6C31" w:rsidRPr="00735726">
              <w:rPr>
                <w:b/>
                <w:color w:val="auto"/>
              </w:rPr>
              <w:t>rincipal risks</w:t>
            </w:r>
          </w:p>
        </w:tc>
        <w:tc>
          <w:tcPr>
            <w:tcW w:w="507" w:type="dxa"/>
            <w:shd w:val="clear" w:color="auto" w:fill="002060"/>
          </w:tcPr>
          <w:p w14:paraId="6E7114E9" w14:textId="77777777" w:rsidR="000E6C31" w:rsidRPr="00735726" w:rsidRDefault="000E6C31" w:rsidP="00470234">
            <w:pPr>
              <w:pStyle w:val="03body"/>
              <w:spacing w:line="240" w:lineRule="auto"/>
              <w:rPr>
                <w:b/>
                <w:color w:val="auto"/>
              </w:rPr>
            </w:pPr>
            <w:r w:rsidRPr="00735726">
              <w:rPr>
                <w:b/>
                <w:color w:val="auto"/>
              </w:rPr>
              <w:t>Ref</w:t>
            </w:r>
          </w:p>
        </w:tc>
        <w:tc>
          <w:tcPr>
            <w:tcW w:w="2233" w:type="dxa"/>
            <w:shd w:val="clear" w:color="auto" w:fill="002060"/>
          </w:tcPr>
          <w:p w14:paraId="033C2915" w14:textId="77777777" w:rsidR="000E6C31" w:rsidRPr="00735726" w:rsidRDefault="000E6C31" w:rsidP="00470234">
            <w:pPr>
              <w:pStyle w:val="03body"/>
              <w:spacing w:line="240" w:lineRule="auto"/>
              <w:rPr>
                <w:b/>
                <w:color w:val="auto"/>
              </w:rPr>
            </w:pPr>
            <w:r w:rsidRPr="00735726">
              <w:rPr>
                <w:b/>
                <w:color w:val="auto"/>
              </w:rPr>
              <w:t>Strategic priorities - outcomes</w:t>
            </w:r>
          </w:p>
        </w:tc>
        <w:tc>
          <w:tcPr>
            <w:tcW w:w="2391" w:type="dxa"/>
            <w:shd w:val="clear" w:color="auto" w:fill="002060"/>
          </w:tcPr>
          <w:p w14:paraId="3600B69D" w14:textId="77777777" w:rsidR="000E6C31" w:rsidRPr="00735726" w:rsidRDefault="000E6C31" w:rsidP="00470234">
            <w:pPr>
              <w:pStyle w:val="03body"/>
              <w:spacing w:line="240" w:lineRule="auto"/>
              <w:rPr>
                <w:b/>
                <w:color w:val="auto"/>
              </w:rPr>
            </w:pPr>
            <w:r w:rsidRPr="00735726">
              <w:rPr>
                <w:b/>
                <w:color w:val="auto"/>
              </w:rPr>
              <w:t>Risk description</w:t>
            </w:r>
          </w:p>
        </w:tc>
        <w:tc>
          <w:tcPr>
            <w:tcW w:w="970" w:type="dxa"/>
            <w:shd w:val="clear" w:color="auto" w:fill="002060"/>
          </w:tcPr>
          <w:p w14:paraId="546A706A" w14:textId="77777777" w:rsidR="000E6C31" w:rsidRPr="00735726" w:rsidRDefault="000E6C31" w:rsidP="00470234">
            <w:pPr>
              <w:pStyle w:val="03body"/>
              <w:spacing w:line="240" w:lineRule="auto"/>
              <w:jc w:val="center"/>
              <w:rPr>
                <w:b/>
                <w:color w:val="auto"/>
              </w:rPr>
            </w:pPr>
            <w:r w:rsidRPr="00735726">
              <w:rPr>
                <w:b/>
                <w:color w:val="auto"/>
              </w:rPr>
              <w:t>Net risk level</w:t>
            </w:r>
          </w:p>
        </w:tc>
        <w:tc>
          <w:tcPr>
            <w:tcW w:w="1065" w:type="dxa"/>
            <w:shd w:val="clear" w:color="auto" w:fill="002060"/>
          </w:tcPr>
          <w:p w14:paraId="12677903" w14:textId="77777777" w:rsidR="000E6C31" w:rsidRPr="00735726" w:rsidRDefault="000E6C31" w:rsidP="00470234">
            <w:pPr>
              <w:pStyle w:val="03body"/>
              <w:spacing w:line="240" w:lineRule="auto"/>
              <w:jc w:val="center"/>
              <w:rPr>
                <w:b/>
                <w:color w:val="auto"/>
              </w:rPr>
            </w:pPr>
            <w:r w:rsidRPr="00735726">
              <w:rPr>
                <w:b/>
                <w:color w:val="auto"/>
              </w:rPr>
              <w:t>Trend</w:t>
            </w:r>
          </w:p>
        </w:tc>
      </w:tr>
      <w:tr w:rsidR="000E6C31" w:rsidRPr="00735726" w14:paraId="139924E6" w14:textId="77777777" w:rsidTr="00470234">
        <w:trPr>
          <w:trHeight w:val="329"/>
        </w:trPr>
        <w:tc>
          <w:tcPr>
            <w:tcW w:w="1760" w:type="dxa"/>
            <w:vMerge w:val="restart"/>
          </w:tcPr>
          <w:p w14:paraId="60FFC0EC" w14:textId="77777777" w:rsidR="000E6C31" w:rsidRPr="00735726" w:rsidRDefault="000E6C31" w:rsidP="00470234">
            <w:pPr>
              <w:pStyle w:val="03body"/>
              <w:spacing w:line="240" w:lineRule="auto"/>
              <w:rPr>
                <w:b/>
              </w:rPr>
            </w:pPr>
            <w:r w:rsidRPr="00735726">
              <w:rPr>
                <w:b/>
              </w:rPr>
              <w:t>Law, regulation and finance</w:t>
            </w:r>
          </w:p>
          <w:p w14:paraId="5F753C05" w14:textId="77777777" w:rsidR="003D3B6F" w:rsidRPr="009A2CAE" w:rsidRDefault="003D3B6F" w:rsidP="00470234">
            <w:pPr>
              <w:pStyle w:val="03body"/>
              <w:spacing w:line="240" w:lineRule="auto"/>
              <w:rPr>
                <w:b/>
              </w:rPr>
            </w:pPr>
          </w:p>
          <w:p w14:paraId="03E93B47" w14:textId="1CF74C02" w:rsidR="003D3B6F" w:rsidRPr="009A2CAE" w:rsidRDefault="003D3B6F" w:rsidP="00470234">
            <w:pPr>
              <w:pStyle w:val="03body"/>
              <w:spacing w:line="240" w:lineRule="auto"/>
              <w:rPr>
                <w:bCs/>
              </w:rPr>
            </w:pPr>
            <w:r w:rsidRPr="00735726">
              <w:rPr>
                <w:bCs/>
              </w:rPr>
              <w:t xml:space="preserve">pages </w:t>
            </w:r>
            <w:r w:rsidR="00BE3FB6" w:rsidRPr="009A2CAE">
              <w:rPr>
                <w:bCs/>
              </w:rPr>
              <w:t>70 to 71</w:t>
            </w:r>
          </w:p>
        </w:tc>
        <w:tc>
          <w:tcPr>
            <w:tcW w:w="507" w:type="dxa"/>
          </w:tcPr>
          <w:p w14:paraId="2593D39C" w14:textId="77777777" w:rsidR="000E6C31" w:rsidRPr="00735726" w:rsidRDefault="000E6C31" w:rsidP="00470234">
            <w:pPr>
              <w:pStyle w:val="03body"/>
              <w:spacing w:line="240" w:lineRule="auto"/>
              <w:rPr>
                <w:rFonts w:cs="Arial"/>
                <w:b/>
                <w:color w:val="auto"/>
              </w:rPr>
            </w:pPr>
            <w:r w:rsidRPr="00735726">
              <w:rPr>
                <w:rFonts w:cs="Arial"/>
                <w:b/>
                <w:color w:val="auto"/>
              </w:rPr>
              <w:t>A</w:t>
            </w:r>
          </w:p>
        </w:tc>
        <w:tc>
          <w:tcPr>
            <w:tcW w:w="2233" w:type="dxa"/>
          </w:tcPr>
          <w:p w14:paraId="0759EFB5" w14:textId="77777777" w:rsidR="004F3F78" w:rsidRPr="00735726" w:rsidRDefault="004F3F78" w:rsidP="004F3F78">
            <w:pPr>
              <w:pStyle w:val="03body"/>
              <w:spacing w:line="276" w:lineRule="auto"/>
              <w:outlineLvl w:val="0"/>
              <w:rPr>
                <w:rFonts w:cs="Arial"/>
                <w:b/>
                <w:bCs/>
                <w:color w:val="auto"/>
              </w:rPr>
            </w:pPr>
            <w:r w:rsidRPr="00735726">
              <w:rPr>
                <w:rFonts w:cs="Arial"/>
                <w:b/>
                <w:bCs/>
                <w:color w:val="auto"/>
              </w:rPr>
              <w:t>Water quality and resilience</w:t>
            </w:r>
          </w:p>
          <w:p w14:paraId="63ACCA96" w14:textId="77777777" w:rsidR="000E6C31" w:rsidRPr="00735726" w:rsidRDefault="000E6C31" w:rsidP="00470234">
            <w:pPr>
              <w:pStyle w:val="03body"/>
              <w:spacing w:line="276" w:lineRule="auto"/>
              <w:outlineLvl w:val="0"/>
              <w:rPr>
                <w:rFonts w:cs="Arial"/>
                <w:b/>
                <w:bCs/>
                <w:color w:val="auto"/>
              </w:rPr>
            </w:pPr>
          </w:p>
          <w:p w14:paraId="76E4C70A" w14:textId="0F294378" w:rsidR="000E6C31" w:rsidRPr="00735726" w:rsidRDefault="000E6C31" w:rsidP="00470234">
            <w:pPr>
              <w:pStyle w:val="03body"/>
              <w:spacing w:line="276" w:lineRule="auto"/>
              <w:outlineLvl w:val="0"/>
              <w:rPr>
                <w:rFonts w:cs="Arial"/>
                <w:b/>
                <w:bCs/>
                <w:color w:val="auto"/>
              </w:rPr>
            </w:pPr>
            <w:r w:rsidRPr="00735726">
              <w:rPr>
                <w:rFonts w:cs="Arial"/>
                <w:b/>
                <w:bCs/>
                <w:color w:val="auto"/>
              </w:rPr>
              <w:t xml:space="preserve">Storm </w:t>
            </w:r>
            <w:r w:rsidR="004F3F78" w:rsidRPr="00735726">
              <w:rPr>
                <w:rFonts w:cs="Arial"/>
                <w:b/>
                <w:bCs/>
                <w:color w:val="auto"/>
              </w:rPr>
              <w:t>o</w:t>
            </w:r>
            <w:r w:rsidRPr="00735726">
              <w:rPr>
                <w:rFonts w:cs="Arial"/>
                <w:b/>
                <w:bCs/>
                <w:color w:val="auto"/>
              </w:rPr>
              <w:t>verflows and pollutions</w:t>
            </w:r>
          </w:p>
          <w:p w14:paraId="41B4AFB6" w14:textId="77777777" w:rsidR="000E6C31" w:rsidRPr="00735726" w:rsidRDefault="000E6C31" w:rsidP="00470234">
            <w:pPr>
              <w:pStyle w:val="03body"/>
              <w:spacing w:line="276" w:lineRule="auto"/>
              <w:outlineLvl w:val="0"/>
              <w:rPr>
                <w:rFonts w:cs="Arial"/>
                <w:b/>
                <w:bCs/>
                <w:color w:val="auto"/>
              </w:rPr>
            </w:pPr>
          </w:p>
          <w:p w14:paraId="4BC5B44E" w14:textId="60F9F075" w:rsidR="000E6C31" w:rsidRPr="00735726" w:rsidRDefault="000E6C31" w:rsidP="00470234">
            <w:pPr>
              <w:pStyle w:val="03body"/>
              <w:spacing w:line="276" w:lineRule="auto"/>
              <w:outlineLvl w:val="0"/>
              <w:rPr>
                <w:rFonts w:cs="Arial"/>
                <w:b/>
                <w:bCs/>
                <w:color w:val="auto"/>
              </w:rPr>
            </w:pPr>
            <w:r w:rsidRPr="00735726">
              <w:rPr>
                <w:rFonts w:cs="Arial"/>
                <w:b/>
                <w:bCs/>
                <w:color w:val="auto"/>
              </w:rPr>
              <w:t xml:space="preserve">Net Zero and </w:t>
            </w:r>
            <w:r w:rsidR="004F3F78" w:rsidRPr="00735726">
              <w:rPr>
                <w:rFonts w:cs="Arial"/>
                <w:b/>
                <w:bCs/>
                <w:color w:val="auto"/>
              </w:rPr>
              <w:t>e</w:t>
            </w:r>
            <w:r w:rsidRPr="00735726">
              <w:rPr>
                <w:rFonts w:cs="Arial"/>
                <w:b/>
                <w:bCs/>
                <w:color w:val="auto"/>
              </w:rPr>
              <w:t>nvironmental gains</w:t>
            </w:r>
          </w:p>
          <w:p w14:paraId="7AA2F058" w14:textId="77777777" w:rsidR="000E6C31" w:rsidRPr="00735726" w:rsidRDefault="000E6C31" w:rsidP="00470234">
            <w:pPr>
              <w:pStyle w:val="03body"/>
              <w:spacing w:line="276" w:lineRule="auto"/>
              <w:outlineLvl w:val="0"/>
              <w:rPr>
                <w:rFonts w:cs="Arial"/>
                <w:b/>
                <w:bCs/>
                <w:color w:val="auto"/>
              </w:rPr>
            </w:pPr>
          </w:p>
          <w:p w14:paraId="57EB6245" w14:textId="77777777" w:rsidR="000E6C31" w:rsidRPr="00735726" w:rsidRDefault="000E6C31" w:rsidP="00470234">
            <w:pPr>
              <w:pStyle w:val="03body"/>
              <w:spacing w:line="276" w:lineRule="auto"/>
              <w:outlineLvl w:val="0"/>
              <w:rPr>
                <w:rFonts w:cs="Arial"/>
                <w:b/>
                <w:bCs/>
                <w:color w:val="auto"/>
              </w:rPr>
            </w:pPr>
            <w:r w:rsidRPr="00735726">
              <w:rPr>
                <w:rFonts w:cs="Arial"/>
                <w:b/>
                <w:bCs/>
                <w:color w:val="auto"/>
              </w:rPr>
              <w:t xml:space="preserve">Addressing affordability and delivering for our </w:t>
            </w:r>
            <w:r w:rsidRPr="00735726">
              <w:rPr>
                <w:rFonts w:cs="Arial"/>
                <w:b/>
                <w:bCs/>
                <w:color w:val="auto"/>
              </w:rPr>
              <w:lastRenderedPageBreak/>
              <w:t>customers</w:t>
            </w:r>
          </w:p>
        </w:tc>
        <w:tc>
          <w:tcPr>
            <w:tcW w:w="2391" w:type="dxa"/>
          </w:tcPr>
          <w:p w14:paraId="7C25C61B" w14:textId="397FBDCA" w:rsidR="000E6C31" w:rsidRPr="00735726" w:rsidRDefault="004F3F78" w:rsidP="00470234">
            <w:pPr>
              <w:pStyle w:val="03body"/>
              <w:spacing w:line="240" w:lineRule="auto"/>
              <w:rPr>
                <w:color w:val="auto"/>
              </w:rPr>
            </w:pPr>
            <w:r w:rsidRPr="00735726">
              <w:rPr>
                <w:color w:val="auto"/>
              </w:rPr>
              <w:lastRenderedPageBreak/>
              <w:t>Policy and regulation change</w:t>
            </w:r>
          </w:p>
        </w:tc>
        <w:tc>
          <w:tcPr>
            <w:tcW w:w="970" w:type="dxa"/>
            <w:vAlign w:val="center"/>
          </w:tcPr>
          <w:p w14:paraId="502E003B" w14:textId="77777777" w:rsidR="000E6C31" w:rsidRPr="00735726" w:rsidRDefault="000E6C31" w:rsidP="00470234">
            <w:pPr>
              <w:pStyle w:val="03body"/>
              <w:spacing w:line="240" w:lineRule="auto"/>
              <w:jc w:val="center"/>
              <w:rPr>
                <w:color w:val="auto"/>
              </w:rPr>
            </w:pPr>
            <w:r w:rsidRPr="00735726">
              <w:rPr>
                <w:color w:val="auto"/>
              </w:rPr>
              <w:t>HIGH</w:t>
            </w:r>
          </w:p>
        </w:tc>
        <w:tc>
          <w:tcPr>
            <w:tcW w:w="1065" w:type="dxa"/>
            <w:vAlign w:val="center"/>
          </w:tcPr>
          <w:p w14:paraId="0FCBAC2E" w14:textId="77777777" w:rsidR="000E6C31" w:rsidRPr="00735726" w:rsidRDefault="000E6C31" w:rsidP="00470234">
            <w:pPr>
              <w:pStyle w:val="03body"/>
              <w:spacing w:line="240" w:lineRule="auto"/>
              <w:jc w:val="center"/>
              <w:rPr>
                <w:b/>
                <w:noProof/>
                <w:lang w:eastAsia="en-GB"/>
              </w:rPr>
            </w:pPr>
            <w:r w:rsidRPr="00735726">
              <w:rPr>
                <w:b/>
                <w:noProof/>
                <w:color w:val="auto"/>
                <w:lang w:eastAsia="en-GB"/>
              </w:rPr>
              <w:drawing>
                <wp:inline distT="0" distB="0" distL="0" distR="0" wp14:anchorId="4620F50B" wp14:editId="796574B2">
                  <wp:extent cx="272415" cy="149225"/>
                  <wp:effectExtent l="0" t="0" r="0" b="0"/>
                  <wp:docPr id="1527547199" name="Picture 152754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7AC83D7A" w14:textId="77777777" w:rsidTr="00470234">
        <w:trPr>
          <w:trHeight w:val="329"/>
        </w:trPr>
        <w:tc>
          <w:tcPr>
            <w:tcW w:w="1760" w:type="dxa"/>
            <w:vMerge/>
          </w:tcPr>
          <w:p w14:paraId="75294A44" w14:textId="77777777" w:rsidR="000E6C31" w:rsidRPr="009A2CAE" w:rsidRDefault="000E6C31" w:rsidP="00470234">
            <w:pPr>
              <w:pStyle w:val="03body"/>
              <w:spacing w:line="240" w:lineRule="auto"/>
              <w:rPr>
                <w:b/>
              </w:rPr>
            </w:pPr>
          </w:p>
        </w:tc>
        <w:tc>
          <w:tcPr>
            <w:tcW w:w="507" w:type="dxa"/>
          </w:tcPr>
          <w:p w14:paraId="4C13142E" w14:textId="77777777" w:rsidR="000E6C31" w:rsidRPr="009A2CAE" w:rsidRDefault="000E6C31" w:rsidP="00470234">
            <w:pPr>
              <w:pStyle w:val="03body"/>
              <w:spacing w:line="240" w:lineRule="auto"/>
              <w:rPr>
                <w:rFonts w:cs="Arial"/>
                <w:b/>
                <w:color w:val="auto"/>
              </w:rPr>
            </w:pPr>
            <w:r w:rsidRPr="00735726">
              <w:rPr>
                <w:rFonts w:cs="Arial"/>
                <w:b/>
                <w:color w:val="auto"/>
              </w:rPr>
              <w:t>B</w:t>
            </w:r>
          </w:p>
        </w:tc>
        <w:tc>
          <w:tcPr>
            <w:tcW w:w="2233" w:type="dxa"/>
          </w:tcPr>
          <w:p w14:paraId="3E135969" w14:textId="77777777" w:rsidR="004F3F78" w:rsidRPr="00735726" w:rsidRDefault="004F3F78" w:rsidP="004F3F78">
            <w:pPr>
              <w:pStyle w:val="03body"/>
              <w:spacing w:line="276" w:lineRule="auto"/>
              <w:outlineLvl w:val="0"/>
              <w:rPr>
                <w:rFonts w:cs="Arial"/>
                <w:b/>
                <w:bCs/>
                <w:color w:val="auto"/>
              </w:rPr>
            </w:pPr>
            <w:r w:rsidRPr="00735726">
              <w:rPr>
                <w:rFonts w:cs="Arial"/>
                <w:b/>
                <w:bCs/>
                <w:color w:val="auto"/>
              </w:rPr>
              <w:t>Water quality and resilience</w:t>
            </w:r>
          </w:p>
          <w:p w14:paraId="25D1C5BD" w14:textId="77777777" w:rsidR="004F3F78" w:rsidRPr="00735726" w:rsidRDefault="004F3F78" w:rsidP="004F3F78">
            <w:pPr>
              <w:pStyle w:val="03body"/>
              <w:spacing w:line="276" w:lineRule="auto"/>
              <w:outlineLvl w:val="0"/>
              <w:rPr>
                <w:rFonts w:cs="Arial"/>
                <w:b/>
                <w:bCs/>
                <w:color w:val="auto"/>
              </w:rPr>
            </w:pPr>
          </w:p>
          <w:p w14:paraId="7B9BAFC9" w14:textId="77777777" w:rsidR="004F3F78" w:rsidRPr="00735726" w:rsidRDefault="004F3F78" w:rsidP="004F3F78">
            <w:pPr>
              <w:pStyle w:val="03body"/>
              <w:spacing w:line="276" w:lineRule="auto"/>
              <w:outlineLvl w:val="0"/>
              <w:rPr>
                <w:rFonts w:cs="Arial"/>
                <w:b/>
                <w:bCs/>
                <w:color w:val="auto"/>
              </w:rPr>
            </w:pPr>
            <w:r w:rsidRPr="00735726">
              <w:rPr>
                <w:rFonts w:cs="Arial"/>
                <w:b/>
                <w:bCs/>
                <w:color w:val="auto"/>
              </w:rPr>
              <w:t>Storm overflows and pollutions</w:t>
            </w:r>
          </w:p>
          <w:p w14:paraId="1EB3A0D7" w14:textId="77777777" w:rsidR="004F3F78" w:rsidRPr="00735726" w:rsidRDefault="004F3F78" w:rsidP="004F3F78">
            <w:pPr>
              <w:pStyle w:val="03body"/>
              <w:spacing w:line="276" w:lineRule="auto"/>
              <w:outlineLvl w:val="0"/>
              <w:rPr>
                <w:rFonts w:cs="Arial"/>
                <w:b/>
                <w:bCs/>
                <w:color w:val="auto"/>
              </w:rPr>
            </w:pPr>
          </w:p>
          <w:p w14:paraId="6C2E2474" w14:textId="77777777" w:rsidR="004F3F78" w:rsidRPr="00735726" w:rsidRDefault="004F3F78" w:rsidP="004F3F78">
            <w:pPr>
              <w:pStyle w:val="03body"/>
              <w:spacing w:line="276" w:lineRule="auto"/>
              <w:outlineLvl w:val="0"/>
              <w:rPr>
                <w:rFonts w:cs="Arial"/>
                <w:b/>
                <w:bCs/>
                <w:color w:val="auto"/>
              </w:rPr>
            </w:pPr>
            <w:r w:rsidRPr="00735726">
              <w:rPr>
                <w:rFonts w:cs="Arial"/>
                <w:b/>
                <w:bCs/>
                <w:color w:val="auto"/>
              </w:rPr>
              <w:t>Net Zero and environmental gains</w:t>
            </w:r>
          </w:p>
          <w:p w14:paraId="413979DD" w14:textId="77777777" w:rsidR="004F3F78" w:rsidRPr="00735726" w:rsidRDefault="004F3F78" w:rsidP="004F3F78">
            <w:pPr>
              <w:pStyle w:val="03body"/>
              <w:spacing w:line="276" w:lineRule="auto"/>
              <w:outlineLvl w:val="0"/>
              <w:rPr>
                <w:rFonts w:cs="Arial"/>
                <w:b/>
                <w:bCs/>
                <w:color w:val="auto"/>
              </w:rPr>
            </w:pPr>
          </w:p>
          <w:p w14:paraId="1260CE22" w14:textId="5504F9B6" w:rsidR="000E6C31" w:rsidRPr="009A2CAE" w:rsidRDefault="004F3F78" w:rsidP="004F3F78">
            <w:pPr>
              <w:rPr>
                <w:rFonts w:ascii="Arial" w:eastAsia="Times New Roman" w:hAnsi="Arial" w:cs="Arial"/>
                <w:b/>
                <w:bCs/>
                <w:sz w:val="18"/>
                <w:szCs w:val="18"/>
              </w:rPr>
            </w:pPr>
            <w:r w:rsidRPr="00735726">
              <w:rPr>
                <w:rFonts w:ascii="Arial" w:eastAsia="Times New Roman" w:hAnsi="Arial" w:cs="Arial"/>
                <w:b/>
                <w:bCs/>
                <w:sz w:val="18"/>
                <w:szCs w:val="18"/>
              </w:rPr>
              <w:t>Addressing affordability and delivering for our customers</w:t>
            </w:r>
          </w:p>
        </w:tc>
        <w:tc>
          <w:tcPr>
            <w:tcW w:w="2391" w:type="dxa"/>
          </w:tcPr>
          <w:p w14:paraId="26D0AAF8" w14:textId="5AFFA31C" w:rsidR="000E6C31" w:rsidRPr="00735726" w:rsidRDefault="004F3F78" w:rsidP="004F3F78">
            <w:pPr>
              <w:pStyle w:val="03body"/>
              <w:rPr>
                <w:color w:val="auto"/>
              </w:rPr>
            </w:pPr>
            <w:r w:rsidRPr="00735726">
              <w:t xml:space="preserve">Non-compliance with laws and </w:t>
            </w:r>
            <w:r w:rsidRPr="00735726">
              <w:rPr>
                <w:color w:val="auto"/>
              </w:rPr>
              <w:t>regulations</w:t>
            </w:r>
          </w:p>
        </w:tc>
        <w:tc>
          <w:tcPr>
            <w:tcW w:w="970" w:type="dxa"/>
            <w:vAlign w:val="center"/>
          </w:tcPr>
          <w:p w14:paraId="2E3BC3E9" w14:textId="7490F908" w:rsidR="000E6C31" w:rsidRPr="00735726" w:rsidRDefault="004F3F78" w:rsidP="00470234">
            <w:pPr>
              <w:pStyle w:val="03body"/>
              <w:spacing w:line="240" w:lineRule="auto"/>
              <w:jc w:val="center"/>
              <w:rPr>
                <w:color w:val="auto"/>
              </w:rPr>
            </w:pPr>
            <w:r w:rsidRPr="00735726">
              <w:rPr>
                <w:color w:val="auto"/>
              </w:rPr>
              <w:t>MEDIUM</w:t>
            </w:r>
          </w:p>
        </w:tc>
        <w:tc>
          <w:tcPr>
            <w:tcW w:w="1065" w:type="dxa"/>
            <w:vAlign w:val="center"/>
          </w:tcPr>
          <w:p w14:paraId="45D796FD" w14:textId="77777777" w:rsidR="000E6C31" w:rsidRPr="00735726" w:rsidRDefault="000E6C31" w:rsidP="00470234">
            <w:pPr>
              <w:pStyle w:val="03body"/>
              <w:spacing w:line="240" w:lineRule="auto"/>
              <w:jc w:val="center"/>
              <w:rPr>
                <w:b/>
                <w:noProof/>
                <w:lang w:eastAsia="en-GB"/>
              </w:rPr>
            </w:pPr>
            <w:r w:rsidRPr="00735726">
              <w:rPr>
                <w:b/>
                <w:noProof/>
                <w:color w:val="auto"/>
                <w:lang w:eastAsia="en-GB"/>
              </w:rPr>
              <w:drawing>
                <wp:inline distT="0" distB="0" distL="0" distR="0" wp14:anchorId="443AB85D" wp14:editId="1BBFB09D">
                  <wp:extent cx="272415" cy="149225"/>
                  <wp:effectExtent l="0" t="0" r="0" b="0"/>
                  <wp:docPr id="2121636220" name="Picture 212163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16B4E8F0" w14:textId="77777777" w:rsidTr="00470234">
        <w:trPr>
          <w:trHeight w:val="329"/>
        </w:trPr>
        <w:tc>
          <w:tcPr>
            <w:tcW w:w="1760" w:type="dxa"/>
            <w:vMerge/>
          </w:tcPr>
          <w:p w14:paraId="6EEB5BCA" w14:textId="77777777" w:rsidR="000E6C31" w:rsidRPr="009A2CAE" w:rsidRDefault="000E6C31" w:rsidP="00470234">
            <w:pPr>
              <w:pStyle w:val="03body"/>
              <w:spacing w:line="240" w:lineRule="auto"/>
              <w:rPr>
                <w:b/>
              </w:rPr>
            </w:pPr>
          </w:p>
        </w:tc>
        <w:tc>
          <w:tcPr>
            <w:tcW w:w="507" w:type="dxa"/>
          </w:tcPr>
          <w:p w14:paraId="562D58EE" w14:textId="77777777" w:rsidR="000E6C31" w:rsidRPr="00735726" w:rsidRDefault="000E6C31" w:rsidP="00470234">
            <w:pPr>
              <w:pStyle w:val="03body"/>
              <w:spacing w:line="240" w:lineRule="auto"/>
              <w:rPr>
                <w:rFonts w:cs="Arial"/>
                <w:b/>
                <w:color w:val="auto"/>
              </w:rPr>
            </w:pPr>
            <w:r w:rsidRPr="00735726">
              <w:rPr>
                <w:rFonts w:cs="Arial"/>
                <w:b/>
                <w:color w:val="auto"/>
              </w:rPr>
              <w:t>C</w:t>
            </w:r>
          </w:p>
        </w:tc>
        <w:tc>
          <w:tcPr>
            <w:tcW w:w="2233" w:type="dxa"/>
          </w:tcPr>
          <w:p w14:paraId="09E5203A" w14:textId="6D998D92" w:rsidR="004F3F78" w:rsidRPr="00735726" w:rsidRDefault="004F3F78" w:rsidP="004F3F78">
            <w:pPr>
              <w:pStyle w:val="03body"/>
              <w:spacing w:line="276" w:lineRule="auto"/>
              <w:outlineLvl w:val="0"/>
              <w:rPr>
                <w:rFonts w:cs="Arial"/>
                <w:b/>
                <w:bCs/>
                <w:color w:val="auto"/>
              </w:rPr>
            </w:pPr>
            <w:r w:rsidRPr="00735726">
              <w:rPr>
                <w:rFonts w:cs="Arial"/>
                <w:b/>
                <w:bCs/>
                <w:color w:val="auto"/>
              </w:rPr>
              <w:t>Water quality and resilience</w:t>
            </w:r>
          </w:p>
          <w:p w14:paraId="3611FFC0" w14:textId="77777777" w:rsidR="004F3F78" w:rsidRPr="00735726" w:rsidRDefault="004F3F78" w:rsidP="004F3F78">
            <w:pPr>
              <w:pStyle w:val="03body"/>
              <w:spacing w:line="276" w:lineRule="auto"/>
              <w:outlineLvl w:val="0"/>
              <w:rPr>
                <w:rFonts w:cs="Arial"/>
                <w:b/>
                <w:bCs/>
                <w:color w:val="auto"/>
              </w:rPr>
            </w:pPr>
          </w:p>
          <w:p w14:paraId="6B8D48CE" w14:textId="77777777" w:rsidR="004F3F78" w:rsidRPr="00735726" w:rsidRDefault="004F3F78" w:rsidP="004F3F78">
            <w:pPr>
              <w:pStyle w:val="03body"/>
              <w:spacing w:line="276" w:lineRule="auto"/>
              <w:outlineLvl w:val="0"/>
              <w:rPr>
                <w:rFonts w:cs="Arial"/>
                <w:b/>
                <w:bCs/>
                <w:color w:val="auto"/>
              </w:rPr>
            </w:pPr>
            <w:r w:rsidRPr="00735726">
              <w:rPr>
                <w:rFonts w:cs="Arial"/>
                <w:b/>
                <w:bCs/>
                <w:color w:val="auto"/>
              </w:rPr>
              <w:t>Storm overflows and pollutions</w:t>
            </w:r>
          </w:p>
          <w:p w14:paraId="262F01CC" w14:textId="77777777" w:rsidR="004F3F78" w:rsidRPr="00735726" w:rsidRDefault="004F3F78" w:rsidP="004F3F78">
            <w:pPr>
              <w:pStyle w:val="03body"/>
              <w:spacing w:line="276" w:lineRule="auto"/>
              <w:outlineLvl w:val="0"/>
              <w:rPr>
                <w:rFonts w:cs="Arial"/>
                <w:b/>
                <w:bCs/>
                <w:color w:val="auto"/>
              </w:rPr>
            </w:pPr>
          </w:p>
          <w:p w14:paraId="7464A56E" w14:textId="77777777" w:rsidR="004F3F78" w:rsidRPr="00735726" w:rsidRDefault="004F3F78" w:rsidP="004F3F78">
            <w:pPr>
              <w:pStyle w:val="03body"/>
              <w:spacing w:line="276" w:lineRule="auto"/>
              <w:outlineLvl w:val="0"/>
              <w:rPr>
                <w:rFonts w:cs="Arial"/>
                <w:b/>
                <w:bCs/>
                <w:color w:val="auto"/>
              </w:rPr>
            </w:pPr>
            <w:r w:rsidRPr="00735726">
              <w:rPr>
                <w:rFonts w:cs="Arial"/>
                <w:b/>
                <w:bCs/>
                <w:color w:val="auto"/>
              </w:rPr>
              <w:t>Net Zero and environmental gains</w:t>
            </w:r>
          </w:p>
          <w:p w14:paraId="542B6140" w14:textId="77777777" w:rsidR="004F3F78" w:rsidRPr="00735726" w:rsidRDefault="004F3F78" w:rsidP="004F3F78">
            <w:pPr>
              <w:pStyle w:val="03body"/>
              <w:spacing w:line="276" w:lineRule="auto"/>
              <w:outlineLvl w:val="0"/>
              <w:rPr>
                <w:rFonts w:cs="Arial"/>
                <w:b/>
                <w:bCs/>
                <w:color w:val="auto"/>
              </w:rPr>
            </w:pPr>
          </w:p>
          <w:p w14:paraId="39B0A5AF" w14:textId="1F3EAA7F" w:rsidR="000E6C31" w:rsidRPr="00735726" w:rsidRDefault="004F3F78" w:rsidP="004F3F78">
            <w:pPr>
              <w:rPr>
                <w:rFonts w:ascii="Arial" w:eastAsia="Times New Roman" w:hAnsi="Arial" w:cs="Arial"/>
                <w:b/>
                <w:bCs/>
                <w:sz w:val="18"/>
                <w:szCs w:val="18"/>
              </w:rPr>
            </w:pPr>
            <w:r w:rsidRPr="00735726">
              <w:rPr>
                <w:rFonts w:ascii="Arial" w:eastAsia="Times New Roman" w:hAnsi="Arial" w:cs="Arial"/>
                <w:b/>
                <w:bCs/>
                <w:sz w:val="18"/>
                <w:szCs w:val="18"/>
              </w:rPr>
              <w:t>Addressing affordability and delivering for our customers</w:t>
            </w:r>
          </w:p>
        </w:tc>
        <w:tc>
          <w:tcPr>
            <w:tcW w:w="2391" w:type="dxa"/>
          </w:tcPr>
          <w:p w14:paraId="48D0FB46" w14:textId="12C34EC4" w:rsidR="000E6C31" w:rsidRPr="00735726" w:rsidRDefault="004F3F78" w:rsidP="00470234">
            <w:pPr>
              <w:pStyle w:val="03body"/>
              <w:spacing w:line="240" w:lineRule="auto"/>
              <w:rPr>
                <w:color w:val="auto"/>
              </w:rPr>
            </w:pPr>
            <w:r w:rsidRPr="00735726">
              <w:rPr>
                <w:color w:val="auto"/>
              </w:rPr>
              <w:t>Inability to secure sufficient finance and funding, within our debt covenants, to meet ongoing commitments</w:t>
            </w:r>
          </w:p>
        </w:tc>
        <w:tc>
          <w:tcPr>
            <w:tcW w:w="970" w:type="dxa"/>
            <w:vAlign w:val="center"/>
          </w:tcPr>
          <w:p w14:paraId="144477F6" w14:textId="77777777" w:rsidR="000E6C31" w:rsidRPr="00735726" w:rsidRDefault="000E6C31" w:rsidP="00470234">
            <w:pPr>
              <w:pStyle w:val="03body"/>
              <w:spacing w:line="240" w:lineRule="auto"/>
              <w:jc w:val="center"/>
              <w:rPr>
                <w:color w:val="auto"/>
              </w:rPr>
            </w:pPr>
            <w:r w:rsidRPr="00735726">
              <w:rPr>
                <w:color w:val="auto"/>
              </w:rPr>
              <w:t>MEDIUM</w:t>
            </w:r>
          </w:p>
        </w:tc>
        <w:tc>
          <w:tcPr>
            <w:tcW w:w="1065" w:type="dxa"/>
            <w:vAlign w:val="center"/>
          </w:tcPr>
          <w:p w14:paraId="21BACF71" w14:textId="39D002E3" w:rsidR="000E6C31" w:rsidRPr="009A2CAE" w:rsidRDefault="004F3F78" w:rsidP="00470234">
            <w:pPr>
              <w:pStyle w:val="03body"/>
              <w:spacing w:line="240" w:lineRule="auto"/>
              <w:jc w:val="center"/>
              <w:rPr>
                <w:b/>
                <w:color w:val="auto"/>
              </w:rPr>
            </w:pPr>
            <w:r w:rsidRPr="00735726">
              <w:rPr>
                <w:b/>
                <w:noProof/>
                <w:color w:val="auto"/>
                <w:lang w:eastAsia="en-GB"/>
              </w:rPr>
              <w:drawing>
                <wp:inline distT="0" distB="0" distL="0" distR="0" wp14:anchorId="7C0BA304" wp14:editId="6579D526">
                  <wp:extent cx="272415" cy="149225"/>
                  <wp:effectExtent l="0" t="0" r="0" b="0"/>
                  <wp:docPr id="2084077465" name="Picture 208407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1F1EC91D" w14:textId="77777777" w:rsidTr="00470234">
        <w:trPr>
          <w:trHeight w:val="329"/>
        </w:trPr>
        <w:tc>
          <w:tcPr>
            <w:tcW w:w="1760" w:type="dxa"/>
            <w:vMerge/>
          </w:tcPr>
          <w:p w14:paraId="3558EC38" w14:textId="77777777" w:rsidR="000E6C31" w:rsidRPr="009A2CAE" w:rsidRDefault="000E6C31" w:rsidP="00470234">
            <w:pPr>
              <w:pStyle w:val="03body"/>
              <w:spacing w:line="240" w:lineRule="auto"/>
              <w:rPr>
                <w:b/>
              </w:rPr>
            </w:pPr>
          </w:p>
        </w:tc>
        <w:tc>
          <w:tcPr>
            <w:tcW w:w="507" w:type="dxa"/>
          </w:tcPr>
          <w:p w14:paraId="2F6B008E" w14:textId="77777777" w:rsidR="000E6C31" w:rsidRPr="00735726" w:rsidRDefault="000E6C31" w:rsidP="00470234">
            <w:pPr>
              <w:pStyle w:val="03body"/>
              <w:spacing w:line="240" w:lineRule="auto"/>
              <w:rPr>
                <w:rFonts w:cs="Arial"/>
                <w:b/>
                <w:color w:val="auto"/>
              </w:rPr>
            </w:pPr>
            <w:r w:rsidRPr="00735726">
              <w:rPr>
                <w:rFonts w:cs="Arial"/>
                <w:b/>
                <w:color w:val="auto"/>
              </w:rPr>
              <w:t>D</w:t>
            </w:r>
          </w:p>
        </w:tc>
        <w:tc>
          <w:tcPr>
            <w:tcW w:w="2233" w:type="dxa"/>
          </w:tcPr>
          <w:p w14:paraId="5F4227D8" w14:textId="77777777" w:rsidR="004F3F78" w:rsidRPr="00735726" w:rsidRDefault="004F3F78" w:rsidP="004F3F78">
            <w:pPr>
              <w:pStyle w:val="03body"/>
              <w:spacing w:line="276" w:lineRule="auto"/>
              <w:outlineLvl w:val="0"/>
              <w:rPr>
                <w:rFonts w:cs="Arial"/>
                <w:b/>
                <w:bCs/>
                <w:color w:val="auto"/>
              </w:rPr>
            </w:pPr>
            <w:r w:rsidRPr="00735726">
              <w:rPr>
                <w:rFonts w:cs="Arial"/>
                <w:b/>
                <w:bCs/>
                <w:color w:val="auto"/>
              </w:rPr>
              <w:t>Water quality and resilience</w:t>
            </w:r>
          </w:p>
          <w:p w14:paraId="3CF9D77C" w14:textId="77777777" w:rsidR="000E6C31" w:rsidRPr="00735726" w:rsidRDefault="000E6C31" w:rsidP="00470234">
            <w:pPr>
              <w:pStyle w:val="03body"/>
              <w:spacing w:line="276" w:lineRule="auto"/>
              <w:outlineLvl w:val="0"/>
              <w:rPr>
                <w:rFonts w:cs="Arial"/>
                <w:b/>
                <w:bCs/>
                <w:color w:val="auto"/>
              </w:rPr>
            </w:pPr>
          </w:p>
          <w:p w14:paraId="5A1AFA6F" w14:textId="218F04AA" w:rsidR="000E6C31" w:rsidRPr="00735726" w:rsidRDefault="004F3F78" w:rsidP="00470234">
            <w:pPr>
              <w:pStyle w:val="03body"/>
              <w:spacing w:line="276" w:lineRule="auto"/>
              <w:outlineLvl w:val="0"/>
              <w:rPr>
                <w:rFonts w:cs="Arial"/>
                <w:b/>
                <w:bCs/>
                <w:color w:val="auto"/>
              </w:rPr>
            </w:pPr>
            <w:r w:rsidRPr="00735726">
              <w:rPr>
                <w:rFonts w:cs="Arial"/>
                <w:b/>
                <w:bCs/>
                <w:color w:val="auto"/>
              </w:rPr>
              <w:t>Storm overflows and pollutions</w:t>
            </w:r>
          </w:p>
          <w:p w14:paraId="4B9F9EBA" w14:textId="389E0768" w:rsidR="000E6C31" w:rsidRPr="00735726" w:rsidRDefault="000E6C31" w:rsidP="00470234">
            <w:pPr>
              <w:pStyle w:val="03body"/>
              <w:spacing w:line="276" w:lineRule="auto"/>
              <w:outlineLvl w:val="0"/>
              <w:rPr>
                <w:rFonts w:cs="Arial"/>
              </w:rPr>
            </w:pPr>
          </w:p>
        </w:tc>
        <w:tc>
          <w:tcPr>
            <w:tcW w:w="2391" w:type="dxa"/>
          </w:tcPr>
          <w:p w14:paraId="459910CC" w14:textId="10759EF4" w:rsidR="000E6C31" w:rsidRPr="00735726" w:rsidRDefault="004F3F78" w:rsidP="00470234">
            <w:pPr>
              <w:pStyle w:val="03body"/>
              <w:spacing w:line="240" w:lineRule="auto"/>
              <w:rPr>
                <w:color w:val="auto"/>
              </w:rPr>
            </w:pPr>
            <w:r w:rsidRPr="00735726">
              <w:rPr>
                <w:color w:val="auto"/>
              </w:rPr>
              <w:t>Non-compliance or occurrence of avoidable health and safety incidents</w:t>
            </w:r>
          </w:p>
        </w:tc>
        <w:tc>
          <w:tcPr>
            <w:tcW w:w="970" w:type="dxa"/>
            <w:vAlign w:val="center"/>
          </w:tcPr>
          <w:p w14:paraId="1C264A0A" w14:textId="77777777" w:rsidR="000E6C31" w:rsidRPr="00735726" w:rsidRDefault="000E6C31" w:rsidP="00470234">
            <w:pPr>
              <w:pStyle w:val="03body"/>
              <w:spacing w:line="240" w:lineRule="auto"/>
              <w:jc w:val="center"/>
              <w:rPr>
                <w:color w:val="auto"/>
              </w:rPr>
            </w:pPr>
            <w:r w:rsidRPr="00735726">
              <w:rPr>
                <w:color w:val="auto"/>
              </w:rPr>
              <w:t>MEDIUM</w:t>
            </w:r>
          </w:p>
        </w:tc>
        <w:tc>
          <w:tcPr>
            <w:tcW w:w="1065" w:type="dxa"/>
            <w:vAlign w:val="center"/>
          </w:tcPr>
          <w:p w14:paraId="03F312A4" w14:textId="2B5B17F2" w:rsidR="000E6C31" w:rsidRPr="00735726" w:rsidRDefault="004F3F78" w:rsidP="00470234">
            <w:pPr>
              <w:pStyle w:val="03body"/>
              <w:spacing w:line="240" w:lineRule="auto"/>
              <w:jc w:val="center"/>
              <w:rPr>
                <w:b/>
                <w:color w:val="auto"/>
              </w:rPr>
            </w:pPr>
            <w:r w:rsidRPr="00735726">
              <w:rPr>
                <w:b/>
                <w:noProof/>
                <w:color w:val="auto"/>
                <w:lang w:eastAsia="en-GB"/>
              </w:rPr>
              <w:drawing>
                <wp:inline distT="0" distB="0" distL="0" distR="0" wp14:anchorId="60B27142" wp14:editId="38AFE2B8">
                  <wp:extent cx="272415" cy="149225"/>
                  <wp:effectExtent l="0" t="0" r="0" b="0"/>
                  <wp:docPr id="93660351" name="Picture 9366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5886C17F" w14:textId="77777777" w:rsidTr="00470234">
        <w:trPr>
          <w:trHeight w:val="329"/>
        </w:trPr>
        <w:tc>
          <w:tcPr>
            <w:tcW w:w="1760" w:type="dxa"/>
          </w:tcPr>
          <w:p w14:paraId="054A9624" w14:textId="77777777" w:rsidR="000E6C31" w:rsidRPr="00735726" w:rsidRDefault="000E6C31" w:rsidP="00470234">
            <w:pPr>
              <w:pStyle w:val="03body"/>
              <w:spacing w:line="240" w:lineRule="auto"/>
              <w:rPr>
                <w:b/>
              </w:rPr>
            </w:pPr>
            <w:r w:rsidRPr="00735726">
              <w:rPr>
                <w:b/>
              </w:rPr>
              <w:t>Market and economic conditions</w:t>
            </w:r>
          </w:p>
          <w:p w14:paraId="42397B44" w14:textId="77777777" w:rsidR="00F75A32" w:rsidRPr="00735726" w:rsidRDefault="00F75A32" w:rsidP="00470234">
            <w:pPr>
              <w:pStyle w:val="03body"/>
              <w:spacing w:line="240" w:lineRule="auto"/>
              <w:rPr>
                <w:b/>
              </w:rPr>
            </w:pPr>
          </w:p>
          <w:p w14:paraId="1501FE6B" w14:textId="6621F9E0" w:rsidR="00F75A32" w:rsidRPr="00735726" w:rsidRDefault="00F75A32" w:rsidP="00470234">
            <w:pPr>
              <w:pStyle w:val="03body"/>
              <w:spacing w:line="240" w:lineRule="auto"/>
              <w:rPr>
                <w:b/>
              </w:rPr>
            </w:pPr>
            <w:r w:rsidRPr="00735726">
              <w:rPr>
                <w:bCs/>
              </w:rPr>
              <w:t xml:space="preserve">pages </w:t>
            </w:r>
            <w:r w:rsidR="00BE3FB6" w:rsidRPr="009A2CAE">
              <w:rPr>
                <w:bCs/>
              </w:rPr>
              <w:t>71</w:t>
            </w:r>
            <w:r w:rsidRPr="009A2CAE">
              <w:rPr>
                <w:bCs/>
              </w:rPr>
              <w:t xml:space="preserve"> to </w:t>
            </w:r>
            <w:r w:rsidR="00BE3FB6" w:rsidRPr="009A2CAE">
              <w:rPr>
                <w:bCs/>
              </w:rPr>
              <w:t>72</w:t>
            </w:r>
          </w:p>
        </w:tc>
        <w:tc>
          <w:tcPr>
            <w:tcW w:w="507" w:type="dxa"/>
          </w:tcPr>
          <w:p w14:paraId="088A1CA6" w14:textId="79459197" w:rsidR="000E6C31" w:rsidRPr="00735726" w:rsidRDefault="004F3F78" w:rsidP="00470234">
            <w:pPr>
              <w:pStyle w:val="03body"/>
              <w:spacing w:line="240" w:lineRule="auto"/>
              <w:rPr>
                <w:rFonts w:cs="Arial"/>
                <w:b/>
                <w:color w:val="auto"/>
              </w:rPr>
            </w:pPr>
            <w:r w:rsidRPr="00735726">
              <w:rPr>
                <w:rFonts w:cs="Arial"/>
                <w:b/>
                <w:color w:val="auto"/>
              </w:rPr>
              <w:t>E</w:t>
            </w:r>
          </w:p>
        </w:tc>
        <w:tc>
          <w:tcPr>
            <w:tcW w:w="2233" w:type="dxa"/>
          </w:tcPr>
          <w:p w14:paraId="3579D49D" w14:textId="64B64BEE" w:rsidR="000E6C31" w:rsidRPr="00735726" w:rsidRDefault="000E6C31" w:rsidP="00470234">
            <w:pPr>
              <w:pStyle w:val="03body"/>
              <w:spacing w:line="276" w:lineRule="auto"/>
              <w:outlineLvl w:val="0"/>
              <w:rPr>
                <w:rFonts w:cs="Arial"/>
                <w:b/>
                <w:bCs/>
                <w:color w:val="auto"/>
              </w:rPr>
            </w:pPr>
            <w:r w:rsidRPr="00735726">
              <w:rPr>
                <w:rFonts w:cs="Arial"/>
                <w:b/>
                <w:bCs/>
                <w:color w:val="auto"/>
              </w:rPr>
              <w:t xml:space="preserve">Net Zero and </w:t>
            </w:r>
            <w:r w:rsidR="008B5277" w:rsidRPr="00735726">
              <w:rPr>
                <w:rFonts w:cs="Arial"/>
                <w:b/>
                <w:bCs/>
                <w:color w:val="auto"/>
              </w:rPr>
              <w:t>e</w:t>
            </w:r>
            <w:r w:rsidRPr="00735726">
              <w:rPr>
                <w:rFonts w:cs="Arial"/>
                <w:b/>
                <w:bCs/>
                <w:color w:val="auto"/>
              </w:rPr>
              <w:t>nvironmental gains</w:t>
            </w:r>
          </w:p>
          <w:p w14:paraId="1DDE4961" w14:textId="77777777" w:rsidR="000E6C31" w:rsidRPr="00735726" w:rsidRDefault="000E6C31" w:rsidP="00470234">
            <w:pPr>
              <w:pStyle w:val="03body"/>
              <w:spacing w:line="276" w:lineRule="auto"/>
              <w:outlineLvl w:val="0"/>
              <w:rPr>
                <w:rFonts w:cs="Arial"/>
                <w:b/>
                <w:bCs/>
                <w:color w:val="auto"/>
              </w:rPr>
            </w:pPr>
          </w:p>
          <w:p w14:paraId="73B1C682" w14:textId="77777777" w:rsidR="000E6C31" w:rsidRPr="00735726" w:rsidRDefault="000E6C31" w:rsidP="00470234">
            <w:pPr>
              <w:pStyle w:val="03body"/>
              <w:spacing w:line="276" w:lineRule="auto"/>
              <w:outlineLvl w:val="0"/>
              <w:rPr>
                <w:rFonts w:cs="Arial"/>
              </w:rPr>
            </w:pPr>
            <w:r w:rsidRPr="00735726">
              <w:rPr>
                <w:rFonts w:cs="Arial"/>
                <w:b/>
                <w:bCs/>
                <w:color w:val="auto"/>
              </w:rPr>
              <w:t>Addressing affordability and delivering for our customers</w:t>
            </w:r>
          </w:p>
        </w:tc>
        <w:tc>
          <w:tcPr>
            <w:tcW w:w="2391" w:type="dxa"/>
          </w:tcPr>
          <w:p w14:paraId="061952E1" w14:textId="5BC85C62" w:rsidR="000E6C31" w:rsidRPr="00735726" w:rsidRDefault="000E6C31" w:rsidP="00470234">
            <w:pPr>
              <w:pStyle w:val="03body"/>
              <w:spacing w:line="240" w:lineRule="auto"/>
              <w:rPr>
                <w:color w:val="auto"/>
              </w:rPr>
            </w:pPr>
            <w:r w:rsidRPr="00735726">
              <w:rPr>
                <w:color w:val="auto"/>
              </w:rPr>
              <w:t>Macro-economic</w:t>
            </w:r>
            <w:r w:rsidR="008B5277" w:rsidRPr="00735726">
              <w:rPr>
                <w:color w:val="auto"/>
              </w:rPr>
              <w:t xml:space="preserve"> near-term</w:t>
            </w:r>
            <w:r w:rsidRPr="00735726">
              <w:rPr>
                <w:color w:val="auto"/>
              </w:rPr>
              <w:t xml:space="preserve"> risks impacting inflation, interest rates and power prices</w:t>
            </w:r>
          </w:p>
        </w:tc>
        <w:tc>
          <w:tcPr>
            <w:tcW w:w="970" w:type="dxa"/>
            <w:vAlign w:val="center"/>
          </w:tcPr>
          <w:p w14:paraId="148D39B6" w14:textId="77777777" w:rsidR="000E6C31" w:rsidRPr="00735726" w:rsidRDefault="000E6C31" w:rsidP="00470234">
            <w:pPr>
              <w:pStyle w:val="03body"/>
              <w:spacing w:line="240" w:lineRule="auto"/>
              <w:jc w:val="center"/>
              <w:rPr>
                <w:color w:val="auto"/>
              </w:rPr>
            </w:pPr>
            <w:r w:rsidRPr="00735726">
              <w:rPr>
                <w:color w:val="auto"/>
              </w:rPr>
              <w:t>MEDIUM</w:t>
            </w:r>
          </w:p>
        </w:tc>
        <w:tc>
          <w:tcPr>
            <w:tcW w:w="1065" w:type="dxa"/>
            <w:vAlign w:val="center"/>
          </w:tcPr>
          <w:p w14:paraId="08EBC8E5" w14:textId="72126CB4" w:rsidR="000E6C31" w:rsidRPr="00735726" w:rsidRDefault="008B5277" w:rsidP="00470234">
            <w:pPr>
              <w:pStyle w:val="03body"/>
              <w:spacing w:line="240" w:lineRule="auto"/>
              <w:jc w:val="center"/>
              <w:rPr>
                <w:b/>
                <w:color w:val="auto"/>
              </w:rPr>
            </w:pPr>
            <w:r w:rsidRPr="00735726">
              <w:rPr>
                <w:b/>
                <w:noProof/>
                <w:color w:val="auto"/>
                <w:lang w:eastAsia="en-GB"/>
              </w:rPr>
              <w:drawing>
                <wp:inline distT="0" distB="0" distL="0" distR="0" wp14:anchorId="47E138E4" wp14:editId="26505447">
                  <wp:extent cx="272415" cy="149225"/>
                  <wp:effectExtent l="0" t="0" r="0" b="0"/>
                  <wp:docPr id="1156850315" name="Picture 115685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67CAE50E" w14:textId="77777777" w:rsidTr="00470234">
        <w:trPr>
          <w:trHeight w:val="329"/>
        </w:trPr>
        <w:tc>
          <w:tcPr>
            <w:tcW w:w="1760" w:type="dxa"/>
            <w:vMerge w:val="restart"/>
          </w:tcPr>
          <w:p w14:paraId="7D76462F" w14:textId="77777777" w:rsidR="000E6C31" w:rsidRPr="00735726" w:rsidRDefault="000E6C31" w:rsidP="00470234">
            <w:pPr>
              <w:pStyle w:val="03body"/>
              <w:spacing w:line="240" w:lineRule="auto"/>
              <w:rPr>
                <w:b/>
              </w:rPr>
            </w:pPr>
            <w:r w:rsidRPr="00735726">
              <w:rPr>
                <w:b/>
              </w:rPr>
              <w:t>Operating performance</w:t>
            </w:r>
          </w:p>
          <w:p w14:paraId="7A35D765" w14:textId="77777777" w:rsidR="00F75A32" w:rsidRPr="00735726" w:rsidRDefault="00F75A32" w:rsidP="00470234">
            <w:pPr>
              <w:pStyle w:val="03body"/>
              <w:spacing w:line="240" w:lineRule="auto"/>
              <w:rPr>
                <w:b/>
              </w:rPr>
            </w:pPr>
          </w:p>
          <w:p w14:paraId="44BA09D7" w14:textId="6C8901D0" w:rsidR="00F75A32" w:rsidRPr="009A2CAE" w:rsidRDefault="00F75A32" w:rsidP="00470234">
            <w:pPr>
              <w:pStyle w:val="03body"/>
              <w:spacing w:line="240" w:lineRule="auto"/>
              <w:rPr>
                <w:b/>
              </w:rPr>
            </w:pPr>
            <w:r w:rsidRPr="00735726">
              <w:rPr>
                <w:bCs/>
              </w:rPr>
              <w:t xml:space="preserve">pages </w:t>
            </w:r>
            <w:r w:rsidR="00BE3FB6" w:rsidRPr="009A2CAE">
              <w:rPr>
                <w:bCs/>
              </w:rPr>
              <w:t>72</w:t>
            </w:r>
            <w:r w:rsidRPr="009A2CAE">
              <w:rPr>
                <w:bCs/>
              </w:rPr>
              <w:t xml:space="preserve"> to </w:t>
            </w:r>
            <w:r w:rsidR="00BE3FB6" w:rsidRPr="009A2CAE">
              <w:rPr>
                <w:bCs/>
              </w:rPr>
              <w:t>73</w:t>
            </w:r>
          </w:p>
        </w:tc>
        <w:tc>
          <w:tcPr>
            <w:tcW w:w="507" w:type="dxa"/>
          </w:tcPr>
          <w:p w14:paraId="30185BBE" w14:textId="04802EE3" w:rsidR="000E6C31" w:rsidRPr="00735726" w:rsidRDefault="008B5277" w:rsidP="00470234">
            <w:pPr>
              <w:pStyle w:val="03body"/>
              <w:spacing w:line="276" w:lineRule="auto"/>
              <w:rPr>
                <w:rFonts w:cs="Arial"/>
                <w:b/>
                <w:color w:val="auto"/>
              </w:rPr>
            </w:pPr>
            <w:r w:rsidRPr="00735726">
              <w:rPr>
                <w:rFonts w:cs="Arial"/>
                <w:b/>
                <w:color w:val="auto"/>
              </w:rPr>
              <w:t>F</w:t>
            </w:r>
          </w:p>
        </w:tc>
        <w:tc>
          <w:tcPr>
            <w:tcW w:w="2233" w:type="dxa"/>
          </w:tcPr>
          <w:p w14:paraId="31844B4F" w14:textId="46982021" w:rsidR="000E6C31" w:rsidRPr="00735726" w:rsidRDefault="008B5277" w:rsidP="00470234">
            <w:pPr>
              <w:pStyle w:val="03body"/>
              <w:spacing w:line="276" w:lineRule="auto"/>
              <w:outlineLvl w:val="0"/>
              <w:rPr>
                <w:rFonts w:cs="Arial"/>
                <w:b/>
                <w:bCs/>
                <w:color w:val="auto"/>
              </w:rPr>
            </w:pPr>
            <w:r w:rsidRPr="00735726">
              <w:rPr>
                <w:rFonts w:cs="Arial"/>
                <w:b/>
                <w:bCs/>
                <w:color w:val="auto"/>
              </w:rPr>
              <w:t>Water quality and resilience</w:t>
            </w:r>
          </w:p>
        </w:tc>
        <w:tc>
          <w:tcPr>
            <w:tcW w:w="2391" w:type="dxa"/>
          </w:tcPr>
          <w:p w14:paraId="3B49F3E2" w14:textId="77777777" w:rsidR="000E6C31" w:rsidRPr="00735726" w:rsidRDefault="000E6C31" w:rsidP="00470234">
            <w:pPr>
              <w:pStyle w:val="03body"/>
              <w:spacing w:line="240" w:lineRule="auto"/>
              <w:rPr>
                <w:color w:val="auto"/>
              </w:rPr>
            </w:pPr>
            <w:r w:rsidRPr="00735726">
              <w:t>Failure to secure, treat and supply clean drinking water</w:t>
            </w:r>
          </w:p>
        </w:tc>
        <w:tc>
          <w:tcPr>
            <w:tcW w:w="970" w:type="dxa"/>
            <w:vAlign w:val="center"/>
          </w:tcPr>
          <w:p w14:paraId="1F1E0B4E" w14:textId="77777777" w:rsidR="000E6C31" w:rsidRPr="00735726" w:rsidRDefault="000E6C31" w:rsidP="00470234">
            <w:pPr>
              <w:pStyle w:val="03body"/>
              <w:spacing w:line="240" w:lineRule="auto"/>
              <w:jc w:val="center"/>
              <w:rPr>
                <w:color w:val="auto"/>
              </w:rPr>
            </w:pPr>
            <w:r w:rsidRPr="00735726">
              <w:rPr>
                <w:color w:val="auto"/>
              </w:rPr>
              <w:t>MEDIUM</w:t>
            </w:r>
          </w:p>
        </w:tc>
        <w:tc>
          <w:tcPr>
            <w:tcW w:w="1065" w:type="dxa"/>
            <w:vAlign w:val="center"/>
          </w:tcPr>
          <w:p w14:paraId="5EA47FE2" w14:textId="596F830F" w:rsidR="000E6C31" w:rsidRPr="00735726" w:rsidRDefault="0023528F" w:rsidP="00470234">
            <w:pPr>
              <w:pStyle w:val="03body"/>
              <w:spacing w:line="240" w:lineRule="auto"/>
              <w:jc w:val="center"/>
              <w:rPr>
                <w:b/>
                <w:color w:val="auto"/>
              </w:rPr>
            </w:pPr>
            <w:r w:rsidRPr="00735726">
              <w:rPr>
                <w:b/>
                <w:noProof/>
                <w:color w:val="auto"/>
                <w:lang w:eastAsia="en-GB"/>
              </w:rPr>
              <w:drawing>
                <wp:inline distT="0" distB="0" distL="0" distR="0" wp14:anchorId="2603C2A6" wp14:editId="794F18DE">
                  <wp:extent cx="272415" cy="149225"/>
                  <wp:effectExtent l="0" t="0" r="0" b="0"/>
                  <wp:docPr id="1602832160" name="Picture 160283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6ED5CA83" w14:textId="77777777" w:rsidTr="00470234">
        <w:trPr>
          <w:trHeight w:val="329"/>
        </w:trPr>
        <w:tc>
          <w:tcPr>
            <w:tcW w:w="1760" w:type="dxa"/>
            <w:vMerge/>
          </w:tcPr>
          <w:p w14:paraId="6DC22FC3" w14:textId="77777777" w:rsidR="000E6C31" w:rsidRPr="009A2CAE" w:rsidRDefault="000E6C31" w:rsidP="00470234">
            <w:pPr>
              <w:pStyle w:val="03body"/>
              <w:spacing w:line="240" w:lineRule="auto"/>
              <w:rPr>
                <w:b/>
              </w:rPr>
            </w:pPr>
          </w:p>
        </w:tc>
        <w:tc>
          <w:tcPr>
            <w:tcW w:w="507" w:type="dxa"/>
          </w:tcPr>
          <w:p w14:paraId="4DAF3856" w14:textId="686EB6E4" w:rsidR="000E6C31" w:rsidRPr="00735726" w:rsidRDefault="008B5277" w:rsidP="00470234">
            <w:pPr>
              <w:pStyle w:val="03body"/>
              <w:spacing w:line="240" w:lineRule="auto"/>
              <w:rPr>
                <w:rFonts w:cs="Arial"/>
                <w:b/>
                <w:color w:val="auto"/>
              </w:rPr>
            </w:pPr>
            <w:r w:rsidRPr="00735726">
              <w:rPr>
                <w:rFonts w:cs="Arial"/>
                <w:b/>
                <w:color w:val="auto"/>
              </w:rPr>
              <w:t>G</w:t>
            </w:r>
          </w:p>
        </w:tc>
        <w:tc>
          <w:tcPr>
            <w:tcW w:w="2233" w:type="dxa"/>
          </w:tcPr>
          <w:p w14:paraId="561115AE" w14:textId="3094842C" w:rsidR="000E6C31" w:rsidRPr="00735726" w:rsidRDefault="000E6C31" w:rsidP="00470234">
            <w:pPr>
              <w:pStyle w:val="03body"/>
              <w:spacing w:line="276" w:lineRule="auto"/>
              <w:outlineLvl w:val="0"/>
              <w:rPr>
                <w:rFonts w:cs="Arial"/>
                <w:b/>
                <w:bCs/>
                <w:color w:val="auto"/>
              </w:rPr>
            </w:pPr>
            <w:r w:rsidRPr="00735726">
              <w:rPr>
                <w:rFonts w:cs="Arial"/>
                <w:b/>
                <w:bCs/>
                <w:color w:val="auto"/>
              </w:rPr>
              <w:t xml:space="preserve">Storm </w:t>
            </w:r>
            <w:r w:rsidR="008B5277" w:rsidRPr="00735726">
              <w:rPr>
                <w:rFonts w:cs="Arial"/>
                <w:b/>
                <w:bCs/>
                <w:color w:val="auto"/>
              </w:rPr>
              <w:t>o</w:t>
            </w:r>
            <w:r w:rsidRPr="00735726">
              <w:rPr>
                <w:rFonts w:cs="Arial"/>
                <w:b/>
                <w:bCs/>
                <w:color w:val="auto"/>
              </w:rPr>
              <w:t>verflows and pollutions</w:t>
            </w:r>
          </w:p>
          <w:p w14:paraId="68799744" w14:textId="77777777" w:rsidR="000E6C31" w:rsidRPr="00735726" w:rsidRDefault="000E6C31" w:rsidP="00470234">
            <w:pPr>
              <w:pStyle w:val="03body"/>
              <w:spacing w:line="276" w:lineRule="auto"/>
              <w:outlineLvl w:val="0"/>
              <w:rPr>
                <w:rFonts w:cs="Arial"/>
                <w:b/>
                <w:bCs/>
                <w:color w:val="auto"/>
              </w:rPr>
            </w:pPr>
          </w:p>
          <w:p w14:paraId="1BACEA7D" w14:textId="1A2EE009" w:rsidR="000E6C31" w:rsidRPr="00735726" w:rsidRDefault="000E6C31" w:rsidP="00470234">
            <w:pPr>
              <w:pStyle w:val="03body"/>
              <w:spacing w:line="276" w:lineRule="auto"/>
              <w:outlineLvl w:val="0"/>
              <w:rPr>
                <w:rFonts w:cs="Arial"/>
                <w:b/>
                <w:bCs/>
                <w:color w:val="auto"/>
              </w:rPr>
            </w:pPr>
            <w:r w:rsidRPr="00735726">
              <w:rPr>
                <w:rFonts w:cs="Arial"/>
                <w:b/>
                <w:bCs/>
                <w:color w:val="auto"/>
              </w:rPr>
              <w:t xml:space="preserve">Net Zero and </w:t>
            </w:r>
            <w:r w:rsidR="008B5277" w:rsidRPr="00735726">
              <w:rPr>
                <w:rFonts w:cs="Arial"/>
                <w:b/>
                <w:bCs/>
                <w:color w:val="auto"/>
              </w:rPr>
              <w:t>e</w:t>
            </w:r>
            <w:r w:rsidRPr="00735726">
              <w:rPr>
                <w:rFonts w:cs="Arial"/>
                <w:b/>
                <w:bCs/>
                <w:color w:val="auto"/>
              </w:rPr>
              <w:t>nvironmental gains</w:t>
            </w:r>
          </w:p>
          <w:p w14:paraId="53AC8EA2" w14:textId="77777777" w:rsidR="000E6C31" w:rsidRPr="00735726" w:rsidRDefault="000E6C31" w:rsidP="00470234">
            <w:pPr>
              <w:pStyle w:val="03body"/>
              <w:spacing w:line="360" w:lineRule="auto"/>
              <w:outlineLvl w:val="0"/>
              <w:rPr>
                <w:rFonts w:cs="Arial"/>
                <w:b/>
                <w:bCs/>
                <w:color w:val="FF8F26"/>
              </w:rPr>
            </w:pPr>
          </w:p>
        </w:tc>
        <w:tc>
          <w:tcPr>
            <w:tcW w:w="2391" w:type="dxa"/>
          </w:tcPr>
          <w:p w14:paraId="1DE8B2CC" w14:textId="77777777" w:rsidR="000E6C31" w:rsidRPr="00735726" w:rsidRDefault="000E6C31" w:rsidP="00470234">
            <w:pPr>
              <w:pStyle w:val="03body"/>
              <w:spacing w:line="240" w:lineRule="auto"/>
            </w:pPr>
            <w:r w:rsidRPr="00735726">
              <w:t>Failure to improve wastewater performance resulting in environmental commitments not being delivered</w:t>
            </w:r>
          </w:p>
        </w:tc>
        <w:tc>
          <w:tcPr>
            <w:tcW w:w="970" w:type="dxa"/>
            <w:vAlign w:val="center"/>
          </w:tcPr>
          <w:p w14:paraId="031FFCB4" w14:textId="77777777" w:rsidR="000E6C31" w:rsidRPr="00735726" w:rsidRDefault="000E6C31" w:rsidP="00470234">
            <w:pPr>
              <w:pStyle w:val="03body"/>
              <w:spacing w:line="240" w:lineRule="auto"/>
              <w:jc w:val="center"/>
              <w:rPr>
                <w:color w:val="auto"/>
              </w:rPr>
            </w:pPr>
            <w:r w:rsidRPr="00735726">
              <w:rPr>
                <w:color w:val="auto"/>
              </w:rPr>
              <w:t>HIGH</w:t>
            </w:r>
          </w:p>
        </w:tc>
        <w:tc>
          <w:tcPr>
            <w:tcW w:w="1065" w:type="dxa"/>
            <w:vAlign w:val="center"/>
          </w:tcPr>
          <w:p w14:paraId="7D2E2887" w14:textId="77777777" w:rsidR="000E6C31" w:rsidRPr="00735726" w:rsidRDefault="000E6C31" w:rsidP="00470234">
            <w:pPr>
              <w:pStyle w:val="03body"/>
              <w:spacing w:line="240" w:lineRule="auto"/>
              <w:jc w:val="center"/>
              <w:rPr>
                <w:b/>
                <w:noProof/>
                <w:color w:val="auto"/>
                <w:lang w:eastAsia="en-GB"/>
              </w:rPr>
            </w:pPr>
            <w:r w:rsidRPr="00735726">
              <w:rPr>
                <w:b/>
                <w:noProof/>
                <w:color w:val="auto"/>
                <w:lang w:eastAsia="en-GB"/>
              </w:rPr>
              <w:drawing>
                <wp:inline distT="0" distB="0" distL="0" distR="0" wp14:anchorId="02089B6A" wp14:editId="1F3EE104">
                  <wp:extent cx="272415" cy="149225"/>
                  <wp:effectExtent l="0" t="0" r="0" b="0"/>
                  <wp:docPr id="1834519019" name="Picture 183451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6D879A97" w14:textId="77777777" w:rsidTr="00470234">
        <w:trPr>
          <w:trHeight w:val="329"/>
        </w:trPr>
        <w:tc>
          <w:tcPr>
            <w:tcW w:w="1760" w:type="dxa"/>
            <w:vMerge/>
          </w:tcPr>
          <w:p w14:paraId="1AC70418" w14:textId="77777777" w:rsidR="000E6C31" w:rsidRPr="009A2CAE" w:rsidRDefault="000E6C31" w:rsidP="00470234">
            <w:pPr>
              <w:pStyle w:val="03body"/>
              <w:spacing w:line="240" w:lineRule="auto"/>
              <w:rPr>
                <w:b/>
              </w:rPr>
            </w:pPr>
          </w:p>
        </w:tc>
        <w:tc>
          <w:tcPr>
            <w:tcW w:w="507" w:type="dxa"/>
          </w:tcPr>
          <w:p w14:paraId="5FF4D3F9" w14:textId="7E87A479" w:rsidR="000E6C31" w:rsidRPr="00735726" w:rsidRDefault="008B5277" w:rsidP="00470234">
            <w:pPr>
              <w:pStyle w:val="03body"/>
              <w:spacing w:line="240" w:lineRule="auto"/>
              <w:rPr>
                <w:rFonts w:cs="Arial"/>
                <w:b/>
                <w:color w:val="auto"/>
              </w:rPr>
            </w:pPr>
            <w:r w:rsidRPr="00735726">
              <w:rPr>
                <w:rFonts w:cs="Arial"/>
                <w:b/>
                <w:color w:val="auto"/>
              </w:rPr>
              <w:t>H</w:t>
            </w:r>
          </w:p>
        </w:tc>
        <w:tc>
          <w:tcPr>
            <w:tcW w:w="2233" w:type="dxa"/>
          </w:tcPr>
          <w:p w14:paraId="4E74EDB1" w14:textId="77777777" w:rsidR="000E6C31" w:rsidRPr="00735726" w:rsidRDefault="000E6C31" w:rsidP="00470234">
            <w:pPr>
              <w:pStyle w:val="03body"/>
              <w:spacing w:line="276" w:lineRule="auto"/>
              <w:outlineLvl w:val="0"/>
              <w:rPr>
                <w:rFonts w:cs="Arial"/>
                <w:b/>
                <w:bCs/>
                <w:color w:val="FF8F26"/>
              </w:rPr>
            </w:pPr>
            <w:r w:rsidRPr="00735726">
              <w:rPr>
                <w:rFonts w:cs="Arial"/>
                <w:b/>
                <w:bCs/>
                <w:color w:val="auto"/>
              </w:rPr>
              <w:t>Addressing affordability and delivering for our customers</w:t>
            </w:r>
          </w:p>
        </w:tc>
        <w:tc>
          <w:tcPr>
            <w:tcW w:w="2391" w:type="dxa"/>
          </w:tcPr>
          <w:p w14:paraId="76CF9144" w14:textId="77777777" w:rsidR="000E6C31" w:rsidRPr="00735726" w:rsidRDefault="000E6C31" w:rsidP="00470234">
            <w:pPr>
              <w:pStyle w:val="03body"/>
              <w:spacing w:line="240" w:lineRule="auto"/>
              <w:rPr>
                <w:color w:val="auto"/>
              </w:rPr>
            </w:pPr>
            <w:r w:rsidRPr="00735726">
              <w:t>Failure to provide excellent service or meet the needs and expectations of our customers and communities</w:t>
            </w:r>
          </w:p>
        </w:tc>
        <w:tc>
          <w:tcPr>
            <w:tcW w:w="970" w:type="dxa"/>
            <w:vAlign w:val="center"/>
          </w:tcPr>
          <w:p w14:paraId="1404C21C" w14:textId="77777777" w:rsidR="000E6C31" w:rsidRPr="00735726" w:rsidRDefault="000E6C31" w:rsidP="00470234">
            <w:pPr>
              <w:pStyle w:val="03body"/>
              <w:spacing w:line="240" w:lineRule="auto"/>
              <w:jc w:val="center"/>
              <w:rPr>
                <w:color w:val="auto"/>
              </w:rPr>
            </w:pPr>
            <w:r w:rsidRPr="00735726">
              <w:rPr>
                <w:color w:val="auto"/>
              </w:rPr>
              <w:t>MEDIUM</w:t>
            </w:r>
          </w:p>
        </w:tc>
        <w:tc>
          <w:tcPr>
            <w:tcW w:w="1065" w:type="dxa"/>
            <w:vAlign w:val="center"/>
          </w:tcPr>
          <w:p w14:paraId="15976EF0" w14:textId="5FDFF55D" w:rsidR="000E6C31" w:rsidRPr="009A2CAE" w:rsidRDefault="0023528F" w:rsidP="00470234">
            <w:pPr>
              <w:pStyle w:val="03body"/>
              <w:spacing w:line="240" w:lineRule="auto"/>
              <w:jc w:val="center"/>
              <w:rPr>
                <w:color w:val="auto"/>
              </w:rPr>
            </w:pPr>
            <w:r w:rsidRPr="00735726">
              <w:rPr>
                <w:b/>
                <w:noProof/>
                <w:color w:val="auto"/>
                <w:lang w:eastAsia="en-GB"/>
              </w:rPr>
              <w:drawing>
                <wp:inline distT="0" distB="0" distL="0" distR="0" wp14:anchorId="2DD4E72C" wp14:editId="5BB55C86">
                  <wp:extent cx="272415" cy="149225"/>
                  <wp:effectExtent l="0" t="0" r="0" b="0"/>
                  <wp:docPr id="675758420" name="Picture 67575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2D4BC01C" w14:textId="77777777" w:rsidTr="00470234">
        <w:trPr>
          <w:trHeight w:val="329"/>
        </w:trPr>
        <w:tc>
          <w:tcPr>
            <w:tcW w:w="1760" w:type="dxa"/>
            <w:vMerge/>
          </w:tcPr>
          <w:p w14:paraId="064295E9" w14:textId="77777777" w:rsidR="000E6C31" w:rsidRPr="009A2CAE" w:rsidRDefault="000E6C31" w:rsidP="00470234">
            <w:pPr>
              <w:pStyle w:val="03body"/>
              <w:spacing w:line="240" w:lineRule="auto"/>
              <w:rPr>
                <w:b/>
              </w:rPr>
            </w:pPr>
          </w:p>
        </w:tc>
        <w:tc>
          <w:tcPr>
            <w:tcW w:w="507" w:type="dxa"/>
          </w:tcPr>
          <w:p w14:paraId="437DB348" w14:textId="6EF07E65" w:rsidR="000E6C31" w:rsidRPr="009A2CAE" w:rsidRDefault="008B5277" w:rsidP="00470234">
            <w:pPr>
              <w:pStyle w:val="03body"/>
              <w:spacing w:line="240" w:lineRule="auto"/>
              <w:rPr>
                <w:rFonts w:cs="Arial"/>
                <w:b/>
                <w:color w:val="auto"/>
              </w:rPr>
            </w:pPr>
            <w:r w:rsidRPr="00735726">
              <w:rPr>
                <w:rFonts w:cs="Arial"/>
                <w:b/>
                <w:color w:val="auto"/>
              </w:rPr>
              <w:t>I</w:t>
            </w:r>
          </w:p>
        </w:tc>
        <w:tc>
          <w:tcPr>
            <w:tcW w:w="2233" w:type="dxa"/>
          </w:tcPr>
          <w:p w14:paraId="3A91D979" w14:textId="77777777" w:rsidR="0023528F" w:rsidRPr="00735726" w:rsidRDefault="0023528F" w:rsidP="0023528F">
            <w:pPr>
              <w:pStyle w:val="03body"/>
              <w:spacing w:line="276" w:lineRule="auto"/>
              <w:outlineLvl w:val="0"/>
              <w:rPr>
                <w:rFonts w:cs="Arial"/>
                <w:b/>
                <w:bCs/>
                <w:color w:val="auto"/>
              </w:rPr>
            </w:pPr>
            <w:r w:rsidRPr="00735726">
              <w:rPr>
                <w:rFonts w:cs="Arial"/>
                <w:b/>
                <w:bCs/>
                <w:color w:val="auto"/>
              </w:rPr>
              <w:t xml:space="preserve">Water quality and </w:t>
            </w:r>
            <w:r w:rsidRPr="00735726">
              <w:rPr>
                <w:rFonts w:cs="Arial"/>
                <w:b/>
                <w:bCs/>
                <w:color w:val="auto"/>
              </w:rPr>
              <w:lastRenderedPageBreak/>
              <w:t>resilience</w:t>
            </w:r>
          </w:p>
          <w:p w14:paraId="0850C38A" w14:textId="77777777" w:rsidR="0023528F" w:rsidRPr="00735726" w:rsidRDefault="0023528F" w:rsidP="0023528F">
            <w:pPr>
              <w:pStyle w:val="03body"/>
              <w:spacing w:line="276" w:lineRule="auto"/>
              <w:outlineLvl w:val="0"/>
              <w:rPr>
                <w:rFonts w:cs="Arial"/>
                <w:b/>
                <w:bCs/>
                <w:color w:val="auto"/>
              </w:rPr>
            </w:pPr>
          </w:p>
          <w:p w14:paraId="1D6A2AAD" w14:textId="77777777" w:rsidR="0023528F" w:rsidRPr="00735726" w:rsidRDefault="0023528F" w:rsidP="0023528F">
            <w:pPr>
              <w:pStyle w:val="03body"/>
              <w:spacing w:line="276" w:lineRule="auto"/>
              <w:outlineLvl w:val="0"/>
              <w:rPr>
                <w:rFonts w:cs="Arial"/>
                <w:b/>
                <w:bCs/>
                <w:color w:val="auto"/>
              </w:rPr>
            </w:pPr>
            <w:r w:rsidRPr="00735726">
              <w:rPr>
                <w:rFonts w:cs="Arial"/>
                <w:b/>
                <w:bCs/>
                <w:color w:val="auto"/>
              </w:rPr>
              <w:t>Storm overflows and pollutions</w:t>
            </w:r>
          </w:p>
          <w:p w14:paraId="0CF3E267" w14:textId="77777777" w:rsidR="0023528F" w:rsidRPr="00735726" w:rsidRDefault="0023528F" w:rsidP="0023528F">
            <w:pPr>
              <w:pStyle w:val="03body"/>
              <w:spacing w:line="276" w:lineRule="auto"/>
              <w:outlineLvl w:val="0"/>
              <w:rPr>
                <w:rFonts w:cs="Arial"/>
                <w:b/>
                <w:bCs/>
                <w:color w:val="auto"/>
              </w:rPr>
            </w:pPr>
          </w:p>
          <w:p w14:paraId="03413BB3" w14:textId="77777777" w:rsidR="0023528F" w:rsidRPr="00735726" w:rsidRDefault="0023528F" w:rsidP="0023528F">
            <w:pPr>
              <w:pStyle w:val="03body"/>
              <w:spacing w:line="276" w:lineRule="auto"/>
              <w:outlineLvl w:val="0"/>
              <w:rPr>
                <w:rFonts w:cs="Arial"/>
                <w:b/>
                <w:bCs/>
                <w:color w:val="auto"/>
              </w:rPr>
            </w:pPr>
            <w:r w:rsidRPr="00735726">
              <w:rPr>
                <w:rFonts w:cs="Arial"/>
                <w:b/>
                <w:bCs/>
                <w:color w:val="auto"/>
              </w:rPr>
              <w:t>Net Zero and environmental gains</w:t>
            </w:r>
          </w:p>
          <w:p w14:paraId="789BF0EE" w14:textId="77777777" w:rsidR="0023528F" w:rsidRPr="00735726" w:rsidRDefault="0023528F" w:rsidP="0023528F">
            <w:pPr>
              <w:pStyle w:val="03body"/>
              <w:spacing w:line="276" w:lineRule="auto"/>
              <w:outlineLvl w:val="0"/>
              <w:rPr>
                <w:rFonts w:cs="Arial"/>
                <w:b/>
                <w:bCs/>
                <w:color w:val="auto"/>
              </w:rPr>
            </w:pPr>
          </w:p>
          <w:p w14:paraId="640EB219" w14:textId="1176CF6E" w:rsidR="000E6C31" w:rsidRPr="009A2CAE" w:rsidRDefault="0023528F" w:rsidP="0023528F">
            <w:pPr>
              <w:pStyle w:val="03body"/>
              <w:spacing w:line="276" w:lineRule="auto"/>
              <w:outlineLvl w:val="0"/>
              <w:rPr>
                <w:rFonts w:cs="Arial"/>
                <w:b/>
                <w:bCs/>
                <w:color w:val="auto"/>
              </w:rPr>
            </w:pPr>
            <w:r w:rsidRPr="00735726">
              <w:rPr>
                <w:rFonts w:cs="Arial"/>
                <w:b/>
                <w:bCs/>
                <w:color w:val="auto"/>
              </w:rPr>
              <w:t>Addressing affordability and delivering for our customers</w:t>
            </w:r>
          </w:p>
        </w:tc>
        <w:tc>
          <w:tcPr>
            <w:tcW w:w="2391" w:type="dxa"/>
          </w:tcPr>
          <w:p w14:paraId="22D34B04" w14:textId="77777777" w:rsidR="000E6C31" w:rsidRPr="00735726" w:rsidRDefault="000E6C31" w:rsidP="00470234">
            <w:pPr>
              <w:pStyle w:val="03body"/>
              <w:spacing w:line="240" w:lineRule="auto"/>
            </w:pPr>
            <w:r w:rsidRPr="00735726">
              <w:lastRenderedPageBreak/>
              <w:t xml:space="preserve">Inability to attract and </w:t>
            </w:r>
            <w:r w:rsidRPr="00735726">
              <w:lastRenderedPageBreak/>
              <w:t xml:space="preserve">retain staff with the skills required to deliver the Company’s strategy </w:t>
            </w:r>
          </w:p>
        </w:tc>
        <w:tc>
          <w:tcPr>
            <w:tcW w:w="970" w:type="dxa"/>
            <w:vAlign w:val="center"/>
          </w:tcPr>
          <w:p w14:paraId="1EF19B71" w14:textId="77777777" w:rsidR="000E6C31" w:rsidRPr="00735726" w:rsidRDefault="000E6C31" w:rsidP="00470234">
            <w:pPr>
              <w:pStyle w:val="03body"/>
              <w:spacing w:line="240" w:lineRule="auto"/>
              <w:jc w:val="center"/>
              <w:rPr>
                <w:color w:val="auto"/>
              </w:rPr>
            </w:pPr>
            <w:r w:rsidRPr="00735726">
              <w:rPr>
                <w:color w:val="auto"/>
              </w:rPr>
              <w:lastRenderedPageBreak/>
              <w:t>MEDIUM</w:t>
            </w:r>
          </w:p>
        </w:tc>
        <w:tc>
          <w:tcPr>
            <w:tcW w:w="1065" w:type="dxa"/>
            <w:vAlign w:val="center"/>
          </w:tcPr>
          <w:p w14:paraId="35E5005D" w14:textId="053DF9B8" w:rsidR="000E6C31" w:rsidRPr="00735726" w:rsidRDefault="0023528F" w:rsidP="00470234">
            <w:pPr>
              <w:pStyle w:val="03body"/>
              <w:spacing w:line="240" w:lineRule="auto"/>
              <w:jc w:val="center"/>
              <w:rPr>
                <w:color w:val="auto"/>
              </w:rPr>
            </w:pPr>
            <w:r w:rsidRPr="00735726">
              <w:rPr>
                <w:b/>
                <w:noProof/>
                <w:color w:val="auto"/>
                <w:lang w:eastAsia="en-GB"/>
              </w:rPr>
              <w:drawing>
                <wp:inline distT="0" distB="0" distL="0" distR="0" wp14:anchorId="35A1ADD5" wp14:editId="1696A1BE">
                  <wp:extent cx="272415" cy="149225"/>
                  <wp:effectExtent l="0" t="0" r="0" b="0"/>
                  <wp:docPr id="496860973" name="Picture 49686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13A59AED" w14:textId="77777777" w:rsidTr="00470234">
        <w:trPr>
          <w:trHeight w:val="478"/>
        </w:trPr>
        <w:tc>
          <w:tcPr>
            <w:tcW w:w="1760" w:type="dxa"/>
            <w:vMerge w:val="restart"/>
          </w:tcPr>
          <w:p w14:paraId="6ED0754A" w14:textId="77777777" w:rsidR="000E6C31" w:rsidRPr="00735726" w:rsidRDefault="000E6C31" w:rsidP="00470234">
            <w:pPr>
              <w:pStyle w:val="03body"/>
              <w:spacing w:line="240" w:lineRule="auto"/>
              <w:rPr>
                <w:b/>
              </w:rPr>
            </w:pPr>
            <w:r w:rsidRPr="00735726">
              <w:rPr>
                <w:b/>
              </w:rPr>
              <w:t>Business systems and capital investments</w:t>
            </w:r>
          </w:p>
          <w:p w14:paraId="3966F464" w14:textId="77777777" w:rsidR="00F75A32" w:rsidRPr="00735726" w:rsidRDefault="00F75A32" w:rsidP="00470234">
            <w:pPr>
              <w:pStyle w:val="03body"/>
              <w:spacing w:line="240" w:lineRule="auto"/>
              <w:rPr>
                <w:b/>
              </w:rPr>
            </w:pPr>
          </w:p>
          <w:p w14:paraId="4E15C138" w14:textId="21FE1A5F" w:rsidR="00F75A32" w:rsidRPr="00735726" w:rsidRDefault="00F75A32" w:rsidP="00470234">
            <w:pPr>
              <w:pStyle w:val="03body"/>
              <w:spacing w:line="240" w:lineRule="auto"/>
              <w:rPr>
                <w:b/>
              </w:rPr>
            </w:pPr>
            <w:r w:rsidRPr="00735726">
              <w:rPr>
                <w:bCs/>
              </w:rPr>
              <w:t xml:space="preserve">page </w:t>
            </w:r>
            <w:r w:rsidR="00BE3FB6" w:rsidRPr="009A2CAE">
              <w:rPr>
                <w:bCs/>
              </w:rPr>
              <w:t>74</w:t>
            </w:r>
          </w:p>
        </w:tc>
        <w:tc>
          <w:tcPr>
            <w:tcW w:w="507" w:type="dxa"/>
          </w:tcPr>
          <w:p w14:paraId="33A27363" w14:textId="54E53E2C" w:rsidR="000E6C31" w:rsidRPr="00735726" w:rsidRDefault="0023528F" w:rsidP="00470234">
            <w:pPr>
              <w:pStyle w:val="03body"/>
              <w:spacing w:line="240" w:lineRule="auto"/>
              <w:rPr>
                <w:rFonts w:cs="Arial"/>
                <w:b/>
                <w:color w:val="auto"/>
              </w:rPr>
            </w:pPr>
            <w:r w:rsidRPr="00735726">
              <w:rPr>
                <w:rFonts w:cs="Arial"/>
                <w:b/>
                <w:color w:val="auto"/>
              </w:rPr>
              <w:t>J</w:t>
            </w:r>
          </w:p>
        </w:tc>
        <w:tc>
          <w:tcPr>
            <w:tcW w:w="2233" w:type="dxa"/>
          </w:tcPr>
          <w:p w14:paraId="66AEE9B2" w14:textId="77777777" w:rsidR="0023528F" w:rsidRPr="00735726" w:rsidRDefault="0023528F" w:rsidP="0023528F">
            <w:pPr>
              <w:pStyle w:val="03body"/>
              <w:spacing w:line="276" w:lineRule="auto"/>
              <w:outlineLvl w:val="0"/>
              <w:rPr>
                <w:rFonts w:cs="Arial"/>
                <w:b/>
                <w:bCs/>
                <w:color w:val="auto"/>
              </w:rPr>
            </w:pPr>
            <w:r w:rsidRPr="00735726">
              <w:rPr>
                <w:rFonts w:cs="Arial"/>
                <w:b/>
                <w:bCs/>
                <w:color w:val="auto"/>
              </w:rPr>
              <w:t>Water quality and resilience</w:t>
            </w:r>
          </w:p>
          <w:p w14:paraId="5F484DD2" w14:textId="77777777" w:rsidR="0023528F" w:rsidRPr="00735726" w:rsidRDefault="0023528F" w:rsidP="0023528F">
            <w:pPr>
              <w:pStyle w:val="03body"/>
              <w:spacing w:line="276" w:lineRule="auto"/>
              <w:outlineLvl w:val="0"/>
              <w:rPr>
                <w:rFonts w:cs="Arial"/>
                <w:b/>
                <w:bCs/>
                <w:color w:val="auto"/>
              </w:rPr>
            </w:pPr>
          </w:p>
          <w:p w14:paraId="73DE4A4D" w14:textId="77777777" w:rsidR="0023528F" w:rsidRPr="00735726" w:rsidRDefault="0023528F" w:rsidP="0023528F">
            <w:pPr>
              <w:pStyle w:val="03body"/>
              <w:spacing w:line="276" w:lineRule="auto"/>
              <w:outlineLvl w:val="0"/>
              <w:rPr>
                <w:rFonts w:cs="Arial"/>
                <w:b/>
                <w:bCs/>
                <w:color w:val="auto"/>
              </w:rPr>
            </w:pPr>
            <w:r w:rsidRPr="00735726">
              <w:rPr>
                <w:rFonts w:cs="Arial"/>
                <w:b/>
                <w:bCs/>
                <w:color w:val="auto"/>
              </w:rPr>
              <w:t>Storm overflows and pollutions</w:t>
            </w:r>
          </w:p>
          <w:p w14:paraId="31D56415" w14:textId="77777777" w:rsidR="0023528F" w:rsidRPr="00735726" w:rsidRDefault="0023528F" w:rsidP="0023528F">
            <w:pPr>
              <w:pStyle w:val="03body"/>
              <w:spacing w:line="276" w:lineRule="auto"/>
              <w:outlineLvl w:val="0"/>
              <w:rPr>
                <w:rFonts w:cs="Arial"/>
                <w:b/>
                <w:bCs/>
                <w:color w:val="auto"/>
              </w:rPr>
            </w:pPr>
          </w:p>
          <w:p w14:paraId="626D5A0F" w14:textId="77777777" w:rsidR="0023528F" w:rsidRPr="00735726" w:rsidRDefault="0023528F" w:rsidP="0023528F">
            <w:pPr>
              <w:pStyle w:val="03body"/>
              <w:spacing w:line="276" w:lineRule="auto"/>
              <w:outlineLvl w:val="0"/>
              <w:rPr>
                <w:rFonts w:cs="Arial"/>
                <w:b/>
                <w:bCs/>
                <w:color w:val="auto"/>
              </w:rPr>
            </w:pPr>
            <w:r w:rsidRPr="00735726">
              <w:rPr>
                <w:rFonts w:cs="Arial"/>
                <w:b/>
                <w:bCs/>
                <w:color w:val="auto"/>
              </w:rPr>
              <w:t>Net Zero and environmental gains</w:t>
            </w:r>
          </w:p>
          <w:p w14:paraId="1824E8E3" w14:textId="77777777" w:rsidR="0023528F" w:rsidRPr="00735726" w:rsidRDefault="0023528F" w:rsidP="0023528F">
            <w:pPr>
              <w:pStyle w:val="03body"/>
              <w:spacing w:line="276" w:lineRule="auto"/>
              <w:outlineLvl w:val="0"/>
              <w:rPr>
                <w:rFonts w:cs="Arial"/>
                <w:b/>
                <w:bCs/>
                <w:color w:val="auto"/>
              </w:rPr>
            </w:pPr>
          </w:p>
          <w:p w14:paraId="03AC576D" w14:textId="5B071478" w:rsidR="000E6C31" w:rsidRPr="00735726" w:rsidRDefault="0023528F" w:rsidP="0023528F">
            <w:pPr>
              <w:pStyle w:val="03body"/>
              <w:spacing w:line="240" w:lineRule="auto"/>
              <w:rPr>
                <w:color w:val="auto"/>
              </w:rPr>
            </w:pPr>
            <w:r w:rsidRPr="00735726">
              <w:rPr>
                <w:rFonts w:cs="Arial"/>
                <w:b/>
                <w:bCs/>
                <w:color w:val="auto"/>
              </w:rPr>
              <w:t>Addressing affordability and delivering for our customers</w:t>
            </w:r>
          </w:p>
        </w:tc>
        <w:tc>
          <w:tcPr>
            <w:tcW w:w="2391" w:type="dxa"/>
          </w:tcPr>
          <w:p w14:paraId="05A2B5AF" w14:textId="4B5C1BDB" w:rsidR="000E6C31" w:rsidRPr="00735726" w:rsidRDefault="000E6C31" w:rsidP="00470234">
            <w:pPr>
              <w:pStyle w:val="03body"/>
              <w:spacing w:line="240" w:lineRule="auto"/>
            </w:pPr>
            <w:r w:rsidRPr="00735726">
              <w:t xml:space="preserve">Insufficient capacity and resilience of the supply chain to deliver the Company’s operational and capital programmes </w:t>
            </w:r>
            <w:r w:rsidR="00F75A32" w:rsidRPr="00735726">
              <w:t>which more than doubles during AMP8</w:t>
            </w:r>
          </w:p>
          <w:p w14:paraId="4E20C02F" w14:textId="77777777" w:rsidR="000E6C31" w:rsidRPr="00735726" w:rsidRDefault="000E6C31" w:rsidP="00470234">
            <w:pPr>
              <w:pStyle w:val="03body"/>
              <w:spacing w:line="240" w:lineRule="auto"/>
              <w:rPr>
                <w:color w:val="auto"/>
              </w:rPr>
            </w:pPr>
          </w:p>
        </w:tc>
        <w:tc>
          <w:tcPr>
            <w:tcW w:w="970" w:type="dxa"/>
            <w:vAlign w:val="center"/>
          </w:tcPr>
          <w:p w14:paraId="59799B19" w14:textId="77777777" w:rsidR="000E6C31" w:rsidRPr="00735726" w:rsidRDefault="000E6C31" w:rsidP="00470234">
            <w:pPr>
              <w:pStyle w:val="03body"/>
              <w:spacing w:line="240" w:lineRule="auto"/>
              <w:jc w:val="center"/>
              <w:rPr>
                <w:color w:val="auto"/>
              </w:rPr>
            </w:pPr>
            <w:r w:rsidRPr="00735726">
              <w:rPr>
                <w:color w:val="auto"/>
              </w:rPr>
              <w:t>LOW</w:t>
            </w:r>
          </w:p>
        </w:tc>
        <w:tc>
          <w:tcPr>
            <w:tcW w:w="1065" w:type="dxa"/>
            <w:vAlign w:val="center"/>
          </w:tcPr>
          <w:p w14:paraId="293FE7A0" w14:textId="77777777" w:rsidR="000E6C31" w:rsidRPr="00735726" w:rsidRDefault="000E6C31" w:rsidP="00470234">
            <w:pPr>
              <w:pStyle w:val="03body"/>
              <w:spacing w:line="240" w:lineRule="auto"/>
              <w:jc w:val="center"/>
              <w:rPr>
                <w:b/>
                <w:color w:val="auto"/>
              </w:rPr>
            </w:pPr>
            <w:r w:rsidRPr="00735726">
              <w:rPr>
                <w:b/>
                <w:noProof/>
                <w:color w:val="auto"/>
                <w:lang w:eastAsia="en-GB"/>
              </w:rPr>
              <w:drawing>
                <wp:inline distT="0" distB="0" distL="0" distR="0" wp14:anchorId="115F5696" wp14:editId="118982D3">
                  <wp:extent cx="272415" cy="149225"/>
                  <wp:effectExtent l="0" t="0" r="0" b="0"/>
                  <wp:docPr id="958386016" name="Picture 9583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r w:rsidR="000E6C31" w:rsidRPr="00735726" w14:paraId="7345C8C0" w14:textId="77777777" w:rsidTr="00470234">
        <w:trPr>
          <w:trHeight w:val="329"/>
        </w:trPr>
        <w:tc>
          <w:tcPr>
            <w:tcW w:w="1760" w:type="dxa"/>
            <w:vMerge/>
          </w:tcPr>
          <w:p w14:paraId="5335399B" w14:textId="77777777" w:rsidR="000E6C31" w:rsidRPr="00735726" w:rsidRDefault="000E6C31" w:rsidP="00470234">
            <w:pPr>
              <w:pStyle w:val="03body"/>
              <w:spacing w:line="240" w:lineRule="auto"/>
              <w:rPr>
                <w:b/>
              </w:rPr>
            </w:pPr>
          </w:p>
        </w:tc>
        <w:tc>
          <w:tcPr>
            <w:tcW w:w="507" w:type="dxa"/>
          </w:tcPr>
          <w:p w14:paraId="3BEFE266" w14:textId="698BB829" w:rsidR="000E6C31" w:rsidRPr="00735726" w:rsidRDefault="00CB2AD0" w:rsidP="00470234">
            <w:pPr>
              <w:pStyle w:val="03body"/>
              <w:spacing w:line="240" w:lineRule="auto"/>
              <w:rPr>
                <w:rFonts w:cs="Arial"/>
                <w:b/>
                <w:color w:val="auto"/>
              </w:rPr>
            </w:pPr>
            <w:r w:rsidRPr="00735726">
              <w:rPr>
                <w:rFonts w:cs="Arial"/>
                <w:b/>
                <w:color w:val="auto"/>
              </w:rPr>
              <w:t>K</w:t>
            </w:r>
          </w:p>
        </w:tc>
        <w:tc>
          <w:tcPr>
            <w:tcW w:w="2233" w:type="dxa"/>
          </w:tcPr>
          <w:p w14:paraId="44291708" w14:textId="77777777" w:rsidR="00F75A32" w:rsidRPr="00735726" w:rsidRDefault="00F75A32" w:rsidP="00F75A32">
            <w:pPr>
              <w:pStyle w:val="03body"/>
              <w:spacing w:line="276" w:lineRule="auto"/>
              <w:outlineLvl w:val="0"/>
              <w:rPr>
                <w:rFonts w:cs="Arial"/>
                <w:b/>
                <w:bCs/>
                <w:color w:val="auto"/>
              </w:rPr>
            </w:pPr>
            <w:r w:rsidRPr="00735726">
              <w:rPr>
                <w:rFonts w:cs="Arial"/>
                <w:b/>
                <w:bCs/>
                <w:color w:val="auto"/>
              </w:rPr>
              <w:t>Water quality and resilience</w:t>
            </w:r>
          </w:p>
          <w:p w14:paraId="77657621" w14:textId="77777777" w:rsidR="00F75A32" w:rsidRPr="00735726" w:rsidRDefault="00F75A32" w:rsidP="00F75A32">
            <w:pPr>
              <w:pStyle w:val="03body"/>
              <w:spacing w:line="276" w:lineRule="auto"/>
              <w:outlineLvl w:val="0"/>
              <w:rPr>
                <w:rFonts w:cs="Arial"/>
                <w:b/>
                <w:bCs/>
                <w:color w:val="auto"/>
              </w:rPr>
            </w:pPr>
          </w:p>
          <w:p w14:paraId="0A71C33B" w14:textId="77777777" w:rsidR="00F75A32" w:rsidRPr="00735726" w:rsidRDefault="00F75A32" w:rsidP="00F75A32">
            <w:pPr>
              <w:pStyle w:val="03body"/>
              <w:spacing w:line="276" w:lineRule="auto"/>
              <w:outlineLvl w:val="0"/>
              <w:rPr>
                <w:rFonts w:cs="Arial"/>
                <w:b/>
                <w:bCs/>
                <w:color w:val="auto"/>
              </w:rPr>
            </w:pPr>
            <w:r w:rsidRPr="00735726">
              <w:rPr>
                <w:rFonts w:cs="Arial"/>
                <w:b/>
                <w:bCs/>
                <w:color w:val="auto"/>
              </w:rPr>
              <w:t>Storm overflows and pollutions</w:t>
            </w:r>
          </w:p>
          <w:p w14:paraId="495B6FFF" w14:textId="77777777" w:rsidR="00F75A32" w:rsidRPr="00735726" w:rsidRDefault="00F75A32" w:rsidP="00F75A32">
            <w:pPr>
              <w:pStyle w:val="03body"/>
              <w:spacing w:line="276" w:lineRule="auto"/>
              <w:outlineLvl w:val="0"/>
              <w:rPr>
                <w:rFonts w:cs="Arial"/>
                <w:b/>
                <w:bCs/>
                <w:color w:val="auto"/>
              </w:rPr>
            </w:pPr>
          </w:p>
          <w:p w14:paraId="7B0FFC6F" w14:textId="348A1346" w:rsidR="000E6C31" w:rsidRPr="00735726" w:rsidRDefault="00F75A32" w:rsidP="00F75A32">
            <w:pPr>
              <w:pStyle w:val="03body"/>
              <w:spacing w:line="276" w:lineRule="auto"/>
              <w:rPr>
                <w:rFonts w:cs="Arial"/>
                <w:b/>
                <w:bCs/>
                <w:color w:val="923DFF"/>
              </w:rPr>
            </w:pPr>
            <w:r w:rsidRPr="00735726">
              <w:rPr>
                <w:rFonts w:cs="Arial"/>
                <w:b/>
                <w:bCs/>
                <w:color w:val="auto"/>
              </w:rPr>
              <w:t>Addressing affordability and delivering for our customers</w:t>
            </w:r>
          </w:p>
        </w:tc>
        <w:tc>
          <w:tcPr>
            <w:tcW w:w="2391" w:type="dxa"/>
          </w:tcPr>
          <w:p w14:paraId="2F54216A" w14:textId="5E6DC859" w:rsidR="000E6C31" w:rsidRPr="00735726" w:rsidRDefault="000E6C31" w:rsidP="00470234">
            <w:pPr>
              <w:pStyle w:val="03body"/>
              <w:spacing w:line="240" w:lineRule="auto"/>
              <w:rPr>
                <w:color w:val="auto"/>
              </w:rPr>
            </w:pPr>
            <w:r w:rsidRPr="00735726">
              <w:rPr>
                <w:color w:val="auto"/>
              </w:rPr>
              <w:t xml:space="preserve">Inadequate technological </w:t>
            </w:r>
            <w:r w:rsidR="00F75A32" w:rsidRPr="00735726">
              <w:rPr>
                <w:color w:val="auto"/>
              </w:rPr>
              <w:t xml:space="preserve">control or </w:t>
            </w:r>
            <w:proofErr w:type="spellStart"/>
            <w:r w:rsidR="00F75A32" w:rsidRPr="00735726">
              <w:rPr>
                <w:color w:val="auto"/>
              </w:rPr>
              <w:t>cyber attack</w:t>
            </w:r>
            <w:proofErr w:type="spellEnd"/>
            <w:r w:rsidR="00F75A32" w:rsidRPr="00735726">
              <w:rPr>
                <w:color w:val="auto"/>
              </w:rPr>
              <w:t xml:space="preserve"> results in </w:t>
            </w:r>
            <w:r w:rsidRPr="00735726">
              <w:rPr>
                <w:color w:val="auto"/>
              </w:rPr>
              <w:t>a breach of the Company’s assets, systems and data</w:t>
            </w:r>
          </w:p>
        </w:tc>
        <w:tc>
          <w:tcPr>
            <w:tcW w:w="970" w:type="dxa"/>
            <w:vAlign w:val="center"/>
          </w:tcPr>
          <w:p w14:paraId="4992B959" w14:textId="77777777" w:rsidR="000E6C31" w:rsidRPr="00735726" w:rsidRDefault="000E6C31" w:rsidP="00470234">
            <w:pPr>
              <w:pStyle w:val="03body"/>
              <w:spacing w:line="240" w:lineRule="auto"/>
              <w:jc w:val="center"/>
              <w:rPr>
                <w:color w:val="auto"/>
              </w:rPr>
            </w:pPr>
            <w:r w:rsidRPr="00735726">
              <w:rPr>
                <w:color w:val="auto"/>
              </w:rPr>
              <w:t>HIGH</w:t>
            </w:r>
          </w:p>
        </w:tc>
        <w:tc>
          <w:tcPr>
            <w:tcW w:w="1065" w:type="dxa"/>
            <w:vAlign w:val="center"/>
          </w:tcPr>
          <w:p w14:paraId="1CDD5D02" w14:textId="08D78427" w:rsidR="000E6C31" w:rsidRPr="00735726" w:rsidRDefault="00F75A32" w:rsidP="00470234">
            <w:pPr>
              <w:pStyle w:val="03body"/>
              <w:spacing w:line="240" w:lineRule="auto"/>
              <w:jc w:val="center"/>
              <w:rPr>
                <w:b/>
                <w:color w:val="auto"/>
              </w:rPr>
            </w:pPr>
            <w:r w:rsidRPr="00735726">
              <w:rPr>
                <w:b/>
                <w:noProof/>
                <w:color w:val="auto"/>
                <w:lang w:eastAsia="en-GB"/>
              </w:rPr>
              <w:drawing>
                <wp:inline distT="0" distB="0" distL="0" distR="0" wp14:anchorId="4EF59140" wp14:editId="3DD23039">
                  <wp:extent cx="272415" cy="149225"/>
                  <wp:effectExtent l="0" t="0" r="0" b="0"/>
                  <wp:docPr id="237870304" name="Picture 23787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 cy="149225"/>
                          </a:xfrm>
                          <a:prstGeom prst="rect">
                            <a:avLst/>
                          </a:prstGeom>
                          <a:noFill/>
                          <a:ln>
                            <a:noFill/>
                          </a:ln>
                        </pic:spPr>
                      </pic:pic>
                    </a:graphicData>
                  </a:graphic>
                </wp:inline>
              </w:drawing>
            </w:r>
          </w:p>
        </w:tc>
      </w:tr>
    </w:tbl>
    <w:p w14:paraId="57336256" w14:textId="77777777" w:rsidR="000E6C31" w:rsidRPr="009A2CAE" w:rsidRDefault="000E6C31" w:rsidP="000E6C31">
      <w:pPr>
        <w:pStyle w:val="HeadingLevel1"/>
        <w:spacing w:line="240" w:lineRule="auto"/>
        <w:outlineLvl w:val="0"/>
        <w:rPr>
          <w:rFonts w:cs="Arial"/>
          <w:b/>
          <w:color w:val="auto"/>
          <w:sz w:val="18"/>
          <w:szCs w:val="18"/>
        </w:rPr>
      </w:pPr>
    </w:p>
    <w:p w14:paraId="69506F5B" w14:textId="77777777" w:rsidR="000E6C31" w:rsidRPr="009A2CAE" w:rsidRDefault="000E6C31" w:rsidP="000E6C31">
      <w:pPr>
        <w:pStyle w:val="HeadingLevel1"/>
        <w:spacing w:line="240" w:lineRule="auto"/>
        <w:outlineLvl w:val="0"/>
        <w:rPr>
          <w:rFonts w:cs="Arial"/>
          <w:b/>
          <w:color w:val="auto"/>
          <w:sz w:val="18"/>
          <w:szCs w:val="18"/>
        </w:rPr>
      </w:pPr>
    </w:p>
    <w:p w14:paraId="4DCCE866" w14:textId="27D2E2EA" w:rsidR="000E6C31" w:rsidRPr="009A2CAE" w:rsidRDefault="000E6C31" w:rsidP="000E6C31">
      <w:pPr>
        <w:spacing w:after="160" w:line="259" w:lineRule="auto"/>
        <w:rPr>
          <w:rFonts w:ascii="Arial" w:eastAsia="Times New Roman" w:hAnsi="Arial" w:cs="DINOT-Light"/>
          <w:sz w:val="18"/>
          <w:szCs w:val="18"/>
        </w:rPr>
      </w:pPr>
      <w:r w:rsidRPr="00735726">
        <w:rPr>
          <w:rFonts w:ascii="Arial" w:eastAsia="Times New Roman" w:hAnsi="Arial" w:cs="DINOT-Light"/>
          <w:sz w:val="18"/>
          <w:szCs w:val="18"/>
        </w:rPr>
        <w:t xml:space="preserve">For information on climate-related and nature-related risks impact see pages </w:t>
      </w:r>
      <w:r w:rsidR="00BE3FB6" w:rsidRPr="009A2CAE">
        <w:rPr>
          <w:rFonts w:ascii="Arial" w:eastAsia="Times New Roman" w:hAnsi="Arial" w:cs="DINOT-Light"/>
          <w:sz w:val="18"/>
          <w:szCs w:val="18"/>
        </w:rPr>
        <w:t>79</w:t>
      </w:r>
      <w:r w:rsidR="00F75A32" w:rsidRPr="009A2CAE">
        <w:rPr>
          <w:rFonts w:ascii="Arial" w:eastAsia="Times New Roman" w:hAnsi="Arial" w:cs="DINOT-Light"/>
          <w:sz w:val="18"/>
          <w:szCs w:val="18"/>
        </w:rPr>
        <w:t xml:space="preserve"> to </w:t>
      </w:r>
      <w:r w:rsidR="00BE3FB6" w:rsidRPr="009A2CAE">
        <w:rPr>
          <w:rFonts w:ascii="Arial" w:eastAsia="Times New Roman" w:hAnsi="Arial" w:cs="DINOT-Light"/>
          <w:sz w:val="18"/>
          <w:szCs w:val="18"/>
        </w:rPr>
        <w:t>92</w:t>
      </w:r>
      <w:r w:rsidRPr="009A2CAE">
        <w:rPr>
          <w:rFonts w:ascii="Arial" w:eastAsia="Times New Roman" w:hAnsi="Arial" w:cs="DINOT-Light"/>
          <w:sz w:val="18"/>
          <w:szCs w:val="18"/>
        </w:rPr>
        <w:t>.</w:t>
      </w:r>
    </w:p>
    <w:p w14:paraId="48FC71F0" w14:textId="77777777" w:rsidR="000E6C31" w:rsidRPr="009A2CAE" w:rsidRDefault="000E6C31" w:rsidP="000E6C31">
      <w:pPr>
        <w:spacing w:after="160" w:line="259" w:lineRule="auto"/>
        <w:rPr>
          <w:rFonts w:ascii="Arial" w:eastAsia="Times New Roman" w:hAnsi="Arial" w:cs="Arial"/>
          <w:b/>
          <w:caps/>
          <w:sz w:val="18"/>
          <w:szCs w:val="18"/>
        </w:rPr>
      </w:pPr>
      <w:r w:rsidRPr="009A2CAE">
        <w:rPr>
          <w:rFonts w:ascii="Arial" w:eastAsia="Times New Roman" w:hAnsi="Arial" w:cs="Arial"/>
          <w:b/>
          <w:caps/>
          <w:sz w:val="18"/>
          <w:szCs w:val="18"/>
        </w:rPr>
        <w:br w:type="page"/>
      </w:r>
    </w:p>
    <w:p w14:paraId="17ABD8B6" w14:textId="77777777" w:rsidR="000E6C31" w:rsidRPr="00735726" w:rsidRDefault="000E6C31" w:rsidP="000E6C31">
      <w:pPr>
        <w:spacing w:after="160" w:line="259" w:lineRule="auto"/>
        <w:rPr>
          <w:rFonts w:ascii="Arial" w:eastAsia="Times New Roman" w:hAnsi="Arial" w:cs="Arial"/>
          <w:b/>
          <w:caps/>
          <w:sz w:val="18"/>
          <w:szCs w:val="18"/>
        </w:rPr>
      </w:pPr>
      <w:r w:rsidRPr="00F75A32">
        <w:rPr>
          <w:rFonts w:ascii="Arial" w:eastAsia="Times New Roman" w:hAnsi="Arial" w:cs="Arial"/>
          <w:b/>
          <w:caps/>
          <w:sz w:val="18"/>
          <w:szCs w:val="18"/>
        </w:rPr>
        <w:lastRenderedPageBreak/>
        <w:t xml:space="preserve">LAW </w:t>
      </w:r>
      <w:r w:rsidRPr="00735726">
        <w:rPr>
          <w:rFonts w:ascii="Arial" w:eastAsia="Times New Roman" w:hAnsi="Arial" w:cs="Arial"/>
          <w:b/>
          <w:caps/>
          <w:sz w:val="18"/>
          <w:szCs w:val="18"/>
        </w:rPr>
        <w:t>REGULATiON AND FINANCE</w:t>
      </w:r>
    </w:p>
    <w:tbl>
      <w:tblPr>
        <w:tblStyle w:val="TableGrid"/>
        <w:tblW w:w="9209" w:type="dxa"/>
        <w:tblLook w:val="04A0" w:firstRow="1" w:lastRow="0" w:firstColumn="1" w:lastColumn="0" w:noHBand="0" w:noVBand="1"/>
      </w:tblPr>
      <w:tblGrid>
        <w:gridCol w:w="2598"/>
        <w:gridCol w:w="1914"/>
        <w:gridCol w:w="4697"/>
      </w:tblGrid>
      <w:tr w:rsidR="000E6C31" w:rsidRPr="00735726" w14:paraId="6AE31BF6" w14:textId="77777777" w:rsidTr="00470234">
        <w:tc>
          <w:tcPr>
            <w:tcW w:w="9209" w:type="dxa"/>
            <w:gridSpan w:val="3"/>
          </w:tcPr>
          <w:p w14:paraId="19EB1721" w14:textId="5D2FADD1" w:rsidR="000E6C31" w:rsidRPr="00735726" w:rsidRDefault="000E6C31" w:rsidP="00470234">
            <w:pPr>
              <w:pStyle w:val="03body"/>
              <w:spacing w:line="240" w:lineRule="auto"/>
              <w:rPr>
                <w:b/>
              </w:rPr>
            </w:pPr>
            <w:r w:rsidRPr="00735726">
              <w:rPr>
                <w:b/>
              </w:rPr>
              <w:t xml:space="preserve">Principal Risk A: </w:t>
            </w:r>
            <w:r w:rsidR="00F75A32" w:rsidRPr="00735726">
              <w:rPr>
                <w:b/>
                <w:bCs/>
                <w:color w:val="auto"/>
              </w:rPr>
              <w:t>Policy and regulation change</w:t>
            </w:r>
          </w:p>
        </w:tc>
      </w:tr>
      <w:tr w:rsidR="00F75A32" w:rsidRPr="00735726" w14:paraId="75781035" w14:textId="77777777" w:rsidTr="00470234">
        <w:tc>
          <w:tcPr>
            <w:tcW w:w="4512" w:type="dxa"/>
            <w:gridSpan w:val="2"/>
            <w:tcBorders>
              <w:bottom w:val="single" w:sz="4" w:space="0" w:color="auto"/>
            </w:tcBorders>
          </w:tcPr>
          <w:p w14:paraId="25B49771" w14:textId="02957DD4" w:rsidR="00F75A32" w:rsidRPr="00735726" w:rsidRDefault="00F75A32" w:rsidP="00F75A32">
            <w:pPr>
              <w:pStyle w:val="03body"/>
              <w:spacing w:line="240" w:lineRule="auto"/>
              <w:rPr>
                <w:b/>
              </w:rPr>
            </w:pPr>
            <w:r w:rsidRPr="00735726">
              <w:rPr>
                <w:b/>
              </w:rPr>
              <w:t>20</w:t>
            </w:r>
            <w:r w:rsidR="00FE7B42" w:rsidRPr="00735726">
              <w:rPr>
                <w:b/>
              </w:rPr>
              <w:t>26</w:t>
            </w:r>
            <w:r w:rsidRPr="00735726">
              <w:rPr>
                <w:b/>
              </w:rPr>
              <w:t xml:space="preserve"> Net risk and direction: </w:t>
            </w:r>
          </w:p>
        </w:tc>
        <w:tc>
          <w:tcPr>
            <w:tcW w:w="4697" w:type="dxa"/>
            <w:tcBorders>
              <w:bottom w:val="single" w:sz="4" w:space="0" w:color="auto"/>
            </w:tcBorders>
          </w:tcPr>
          <w:p w14:paraId="1C229342" w14:textId="15C36708" w:rsidR="00F75A32" w:rsidRPr="00735726" w:rsidRDefault="00F75A32" w:rsidP="00F75A32">
            <w:pPr>
              <w:pStyle w:val="03body"/>
              <w:spacing w:line="240" w:lineRule="auto"/>
              <w:rPr>
                <w:b/>
              </w:rPr>
            </w:pPr>
            <w:r w:rsidRPr="00735726">
              <w:rPr>
                <w:b/>
              </w:rPr>
              <w:t xml:space="preserve">2025 Net risk and direction: </w:t>
            </w:r>
          </w:p>
        </w:tc>
      </w:tr>
      <w:tr w:rsidR="00F75A32" w:rsidRPr="00735726" w14:paraId="1794F3CB" w14:textId="77777777" w:rsidTr="004702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
        </w:trPr>
        <w:tc>
          <w:tcPr>
            <w:tcW w:w="4512" w:type="dxa"/>
            <w:gridSpan w:val="2"/>
            <w:tcBorders>
              <w:top w:val="single" w:sz="4" w:space="0" w:color="auto"/>
              <w:left w:val="single" w:sz="4" w:space="0" w:color="auto"/>
              <w:right w:val="single" w:sz="4" w:space="0" w:color="auto"/>
            </w:tcBorders>
          </w:tcPr>
          <w:p w14:paraId="1A12BB2A" w14:textId="77777777" w:rsidR="00F75A32" w:rsidRPr="00735726" w:rsidRDefault="00F75A32" w:rsidP="00F75A32">
            <w:pPr>
              <w:pStyle w:val="03body"/>
              <w:spacing w:line="240" w:lineRule="auto"/>
              <w:rPr>
                <w:b/>
              </w:rPr>
            </w:pPr>
            <w:r w:rsidRPr="00735726">
              <w:rPr>
                <w:b/>
              </w:rPr>
              <w:t>HIGH, STABLE</w:t>
            </w:r>
          </w:p>
        </w:tc>
        <w:tc>
          <w:tcPr>
            <w:tcW w:w="4697" w:type="dxa"/>
            <w:tcBorders>
              <w:top w:val="single" w:sz="4" w:space="0" w:color="auto"/>
              <w:left w:val="single" w:sz="4" w:space="0" w:color="auto"/>
              <w:bottom w:val="single" w:sz="4" w:space="0" w:color="auto"/>
              <w:right w:val="single" w:sz="4" w:space="0" w:color="auto"/>
            </w:tcBorders>
          </w:tcPr>
          <w:p w14:paraId="5BA3021D" w14:textId="346C2FA0" w:rsidR="00F75A32" w:rsidRPr="00735726" w:rsidRDefault="00F75A32" w:rsidP="00F75A32">
            <w:pPr>
              <w:pStyle w:val="03body"/>
              <w:spacing w:line="240" w:lineRule="auto"/>
              <w:rPr>
                <w:b/>
              </w:rPr>
            </w:pPr>
            <w:r w:rsidRPr="00735726">
              <w:rPr>
                <w:b/>
              </w:rPr>
              <w:t>HIGH, STABLE</w:t>
            </w:r>
          </w:p>
        </w:tc>
      </w:tr>
      <w:tr w:rsidR="00FE7B42" w:rsidRPr="00735726" w14:paraId="67D56F9D" w14:textId="77777777" w:rsidTr="00B507F4">
        <w:trPr>
          <w:trHeight w:val="2584"/>
        </w:trPr>
        <w:tc>
          <w:tcPr>
            <w:tcW w:w="2598" w:type="dxa"/>
          </w:tcPr>
          <w:p w14:paraId="1E641E5A" w14:textId="5EA866D8" w:rsidR="0091744D" w:rsidRPr="00735726" w:rsidRDefault="0091744D" w:rsidP="0091744D">
            <w:pPr>
              <w:pStyle w:val="03body"/>
              <w:spacing w:line="240" w:lineRule="auto"/>
              <w:rPr>
                <w:b/>
                <w:bCs/>
              </w:rPr>
            </w:pPr>
            <w:r w:rsidRPr="00735726">
              <w:rPr>
                <w:b/>
                <w:bCs/>
              </w:rPr>
              <w:t>Strategic priorities:</w:t>
            </w:r>
          </w:p>
          <w:p w14:paraId="2D1FF76D" w14:textId="77777777" w:rsidR="00FE7B42" w:rsidRPr="00735726" w:rsidRDefault="00FE7B42" w:rsidP="00470234">
            <w:pPr>
              <w:pStyle w:val="03body"/>
              <w:spacing w:line="276" w:lineRule="auto"/>
              <w:outlineLvl w:val="0"/>
              <w:rPr>
                <w:rFonts w:cs="Arial"/>
                <w:b/>
                <w:bCs/>
                <w:color w:val="auto"/>
              </w:rPr>
            </w:pPr>
          </w:p>
          <w:p w14:paraId="602FA8D1" w14:textId="77777777" w:rsidR="00FE7B42" w:rsidRPr="00735726" w:rsidRDefault="00FE7B42" w:rsidP="00F75A32">
            <w:pPr>
              <w:pStyle w:val="03body"/>
              <w:spacing w:line="276" w:lineRule="auto"/>
              <w:outlineLvl w:val="0"/>
              <w:rPr>
                <w:rFonts w:cs="Arial"/>
                <w:b/>
                <w:bCs/>
                <w:color w:val="auto"/>
              </w:rPr>
            </w:pPr>
            <w:r w:rsidRPr="00735726">
              <w:rPr>
                <w:rFonts w:cs="Arial"/>
                <w:b/>
                <w:bCs/>
                <w:color w:val="auto"/>
              </w:rPr>
              <w:t>Water quality and resilience</w:t>
            </w:r>
          </w:p>
          <w:p w14:paraId="1F6C545C" w14:textId="77777777" w:rsidR="00FE7B42" w:rsidRPr="00735726" w:rsidRDefault="00FE7B42" w:rsidP="00F75A32">
            <w:pPr>
              <w:pStyle w:val="03body"/>
              <w:spacing w:line="276" w:lineRule="auto"/>
              <w:outlineLvl w:val="0"/>
              <w:rPr>
                <w:rFonts w:cs="Arial"/>
                <w:b/>
                <w:bCs/>
                <w:color w:val="auto"/>
              </w:rPr>
            </w:pPr>
          </w:p>
          <w:p w14:paraId="19ED1F9F" w14:textId="77777777" w:rsidR="00FE7B42" w:rsidRPr="00735726" w:rsidRDefault="00FE7B42" w:rsidP="00F75A32">
            <w:pPr>
              <w:pStyle w:val="03body"/>
              <w:spacing w:line="276" w:lineRule="auto"/>
              <w:outlineLvl w:val="0"/>
              <w:rPr>
                <w:rFonts w:cs="Arial"/>
                <w:b/>
                <w:bCs/>
                <w:color w:val="auto"/>
              </w:rPr>
            </w:pPr>
            <w:r w:rsidRPr="00735726">
              <w:rPr>
                <w:rFonts w:cs="Arial"/>
                <w:b/>
                <w:bCs/>
                <w:color w:val="auto"/>
              </w:rPr>
              <w:t>Storm overflows and pollutions</w:t>
            </w:r>
          </w:p>
          <w:p w14:paraId="38E2D434" w14:textId="77777777" w:rsidR="00FE7B42" w:rsidRPr="00735726" w:rsidRDefault="00FE7B42" w:rsidP="00F75A32">
            <w:pPr>
              <w:pStyle w:val="03body"/>
              <w:spacing w:line="276" w:lineRule="auto"/>
              <w:outlineLvl w:val="0"/>
              <w:rPr>
                <w:rFonts w:cs="Arial"/>
                <w:b/>
                <w:bCs/>
                <w:color w:val="auto"/>
              </w:rPr>
            </w:pPr>
          </w:p>
          <w:p w14:paraId="70F3A6A1" w14:textId="77777777" w:rsidR="00FE7B42" w:rsidRPr="00735726" w:rsidRDefault="00FE7B42" w:rsidP="00F75A32">
            <w:pPr>
              <w:pStyle w:val="03body"/>
              <w:spacing w:line="276" w:lineRule="auto"/>
              <w:outlineLvl w:val="0"/>
              <w:rPr>
                <w:rFonts w:cs="Arial"/>
                <w:b/>
                <w:bCs/>
                <w:color w:val="auto"/>
              </w:rPr>
            </w:pPr>
            <w:r w:rsidRPr="00735726">
              <w:rPr>
                <w:rFonts w:cs="Arial"/>
                <w:b/>
                <w:bCs/>
                <w:color w:val="auto"/>
              </w:rPr>
              <w:t>Net Zero and environmental gains</w:t>
            </w:r>
          </w:p>
          <w:p w14:paraId="4E4C633A" w14:textId="77777777" w:rsidR="00FE7B42" w:rsidRPr="00735726" w:rsidRDefault="00FE7B42" w:rsidP="00F75A32">
            <w:pPr>
              <w:pStyle w:val="03body"/>
              <w:spacing w:line="276" w:lineRule="auto"/>
              <w:outlineLvl w:val="0"/>
              <w:rPr>
                <w:rFonts w:cs="Arial"/>
                <w:b/>
                <w:bCs/>
                <w:color w:val="auto"/>
              </w:rPr>
            </w:pPr>
          </w:p>
          <w:p w14:paraId="3B6DCEC7" w14:textId="77777777" w:rsidR="00FE7B42" w:rsidRPr="00735726" w:rsidRDefault="00FE7B42" w:rsidP="00F75A32">
            <w:pPr>
              <w:pStyle w:val="03body"/>
              <w:spacing w:line="240" w:lineRule="auto"/>
              <w:rPr>
                <w:rFonts w:cs="Arial"/>
                <w:b/>
                <w:bCs/>
                <w:color w:val="auto"/>
              </w:rPr>
            </w:pPr>
            <w:r w:rsidRPr="00735726">
              <w:rPr>
                <w:rFonts w:cs="Arial"/>
                <w:b/>
                <w:bCs/>
                <w:color w:val="auto"/>
              </w:rPr>
              <w:t>Addressing affordability and delivering for our customers</w:t>
            </w:r>
          </w:p>
          <w:p w14:paraId="749205DF" w14:textId="77777777" w:rsidR="0091744D" w:rsidRPr="00735726" w:rsidRDefault="0091744D" w:rsidP="00F75A32">
            <w:pPr>
              <w:pStyle w:val="03body"/>
              <w:spacing w:line="240" w:lineRule="auto"/>
            </w:pPr>
          </w:p>
          <w:p w14:paraId="373CEB98" w14:textId="0DCA5C3D" w:rsidR="00FE7B42" w:rsidRPr="00735726" w:rsidRDefault="00FE7B42" w:rsidP="00E60DAB">
            <w:pPr>
              <w:pStyle w:val="03body"/>
              <w:spacing w:line="240" w:lineRule="auto"/>
              <w:rPr>
                <w:b/>
                <w:bCs/>
              </w:rPr>
            </w:pPr>
            <w:r w:rsidRPr="00735726">
              <w:br/>
            </w:r>
          </w:p>
          <w:p w14:paraId="3726F5B8" w14:textId="77777777" w:rsidR="00FE7B42" w:rsidRPr="00735726" w:rsidRDefault="00FE7B42" w:rsidP="00470234">
            <w:pPr>
              <w:pStyle w:val="03body"/>
              <w:spacing w:line="240" w:lineRule="auto"/>
            </w:pPr>
          </w:p>
          <w:p w14:paraId="6CAD62F7" w14:textId="77777777" w:rsidR="00FE7B42" w:rsidRPr="00735726" w:rsidRDefault="00FE7B42" w:rsidP="00470234">
            <w:pPr>
              <w:pStyle w:val="03body"/>
              <w:spacing w:line="240" w:lineRule="auto"/>
              <w:rPr>
                <w:rFonts w:cs="Arial"/>
                <w:b/>
                <w:color w:val="00B050"/>
              </w:rPr>
            </w:pPr>
          </w:p>
        </w:tc>
        <w:tc>
          <w:tcPr>
            <w:tcW w:w="6611" w:type="dxa"/>
            <w:gridSpan w:val="2"/>
          </w:tcPr>
          <w:p w14:paraId="0823EB9C" w14:textId="651286B4" w:rsidR="00D06D71" w:rsidRPr="00735726" w:rsidRDefault="001507F9" w:rsidP="001507F9">
            <w:pPr>
              <w:pStyle w:val="03body"/>
              <w:spacing w:line="240" w:lineRule="auto"/>
              <w:rPr>
                <w:b/>
                <w:bCs/>
              </w:rPr>
            </w:pPr>
            <w:r w:rsidRPr="00735726">
              <w:rPr>
                <w:b/>
                <w:bCs/>
              </w:rPr>
              <w:t>Strategic impact:</w:t>
            </w:r>
          </w:p>
          <w:p w14:paraId="72650D3B" w14:textId="14825689" w:rsidR="001507F9" w:rsidRPr="00735726" w:rsidRDefault="001507F9" w:rsidP="001507F9">
            <w:pPr>
              <w:pStyle w:val="03body"/>
              <w:spacing w:line="240" w:lineRule="auto"/>
              <w:rPr>
                <w:rFonts w:cs="Arial"/>
                <w:b/>
                <w:color w:val="00B050"/>
              </w:rPr>
            </w:pPr>
            <w:r w:rsidRPr="00735726">
              <w:t>Changes in Government policy and direction may fundamentally impact our ability to deliver the Company’s strategic priorities, impacting investment of £3.0 billion</w:t>
            </w:r>
            <w:r w:rsidRPr="00735726">
              <w:rPr>
                <w:rStyle w:val="FootnoteReference"/>
              </w:rPr>
              <w:footnoteReference w:id="16"/>
            </w:r>
            <w:r w:rsidRPr="00735726">
              <w:t xml:space="preserve"> in the next regulatory period.</w:t>
            </w:r>
          </w:p>
          <w:p w14:paraId="50DABBD7" w14:textId="77777777" w:rsidR="001507F9" w:rsidRPr="00735726" w:rsidRDefault="001507F9" w:rsidP="00FE7B42">
            <w:pPr>
              <w:autoSpaceDE w:val="0"/>
              <w:autoSpaceDN w:val="0"/>
              <w:adjustRightInd w:val="0"/>
              <w:spacing w:after="0"/>
              <w:rPr>
                <w:rFonts w:ascii="Arial" w:hAnsi="Arial" w:cs="DINOT-Light"/>
                <w:color w:val="000000"/>
                <w:sz w:val="18"/>
                <w:szCs w:val="18"/>
              </w:rPr>
            </w:pPr>
          </w:p>
          <w:p w14:paraId="6577F92C" w14:textId="3FC51509" w:rsidR="00D06D71" w:rsidRPr="00735726" w:rsidRDefault="0091744D" w:rsidP="00FE7B42">
            <w:pPr>
              <w:autoSpaceDE w:val="0"/>
              <w:autoSpaceDN w:val="0"/>
              <w:adjustRightInd w:val="0"/>
              <w:spacing w:after="0"/>
              <w:rPr>
                <w:rFonts w:ascii="Arial" w:hAnsi="Arial" w:cs="DINOT-Light"/>
                <w:b/>
                <w:bCs/>
                <w:color w:val="000000"/>
                <w:sz w:val="18"/>
                <w:szCs w:val="18"/>
              </w:rPr>
            </w:pPr>
            <w:r w:rsidRPr="00735726">
              <w:rPr>
                <w:rFonts w:ascii="Arial" w:hAnsi="Arial" w:cs="DINOT-Light"/>
                <w:b/>
                <w:bCs/>
                <w:color w:val="000000"/>
                <w:sz w:val="18"/>
                <w:szCs w:val="18"/>
              </w:rPr>
              <w:t>Mitigation:</w:t>
            </w:r>
          </w:p>
          <w:p w14:paraId="0FCF1EBE" w14:textId="77777777" w:rsidR="00FE7B42" w:rsidRPr="00735726" w:rsidRDefault="00FE7B42" w:rsidP="00FE7B42">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The Company actively monitors and responds to emerging policy and regulatory developments through regular engagement with government, regulators and industry bodies, both directly and via Water UK. This is supported by our experienced strategy and regulatory function, regular meetings with key stakeholders, robust consultation response processes, and ongoing horizon scanning, including climate change-related policy developments.</w:t>
            </w:r>
          </w:p>
          <w:p w14:paraId="48FFFA14" w14:textId="77777777" w:rsidR="00E60DAB" w:rsidRPr="00735726" w:rsidRDefault="00E60DAB" w:rsidP="00FE7B42">
            <w:pPr>
              <w:autoSpaceDE w:val="0"/>
              <w:autoSpaceDN w:val="0"/>
              <w:adjustRightInd w:val="0"/>
              <w:spacing w:after="0"/>
              <w:rPr>
                <w:rFonts w:ascii="Arial" w:hAnsi="Arial" w:cs="DINOT-Light"/>
                <w:color w:val="000000"/>
                <w:sz w:val="18"/>
                <w:szCs w:val="18"/>
              </w:rPr>
            </w:pPr>
          </w:p>
          <w:p w14:paraId="1F29B2D3" w14:textId="77777777" w:rsidR="00E60DAB" w:rsidRPr="00735726" w:rsidRDefault="00E60DAB" w:rsidP="00E60DAB">
            <w:pPr>
              <w:pStyle w:val="03body"/>
              <w:spacing w:line="240" w:lineRule="auto"/>
            </w:pPr>
            <w:r w:rsidRPr="00735726">
              <w:t xml:space="preserve">Climate change influence: </w:t>
            </w:r>
            <w:r w:rsidRPr="00735726">
              <w:rPr>
                <w:b/>
                <w:bCs/>
              </w:rPr>
              <w:t xml:space="preserve">Transitional </w:t>
            </w:r>
          </w:p>
          <w:p w14:paraId="1DBE0F2A" w14:textId="77777777" w:rsidR="00E60DAB" w:rsidRPr="00735726" w:rsidRDefault="00E60DAB" w:rsidP="00E60DAB">
            <w:pPr>
              <w:pStyle w:val="03body"/>
              <w:spacing w:line="240" w:lineRule="auto"/>
            </w:pPr>
          </w:p>
          <w:p w14:paraId="1F586ED0" w14:textId="77777777" w:rsidR="00E60DAB" w:rsidRPr="00735726" w:rsidRDefault="00E60DAB" w:rsidP="00E60DAB">
            <w:pPr>
              <w:pStyle w:val="03body"/>
              <w:spacing w:line="240" w:lineRule="auto"/>
              <w:rPr>
                <w:b/>
                <w:bCs/>
              </w:rPr>
            </w:pPr>
            <w:r w:rsidRPr="00735726">
              <w:t xml:space="preserve">Nature change influence: </w:t>
            </w:r>
            <w:r w:rsidRPr="00735726">
              <w:rPr>
                <w:b/>
                <w:bCs/>
              </w:rPr>
              <w:t>Transitional</w:t>
            </w:r>
          </w:p>
          <w:p w14:paraId="6495F499" w14:textId="5BDD38D9" w:rsidR="00E60DAB" w:rsidRPr="00735726" w:rsidRDefault="00E60DAB" w:rsidP="00FE7B42">
            <w:pPr>
              <w:autoSpaceDE w:val="0"/>
              <w:autoSpaceDN w:val="0"/>
              <w:adjustRightInd w:val="0"/>
              <w:spacing w:after="0"/>
              <w:rPr>
                <w:b/>
              </w:rPr>
            </w:pPr>
          </w:p>
        </w:tc>
      </w:tr>
      <w:tr w:rsidR="000E6C31" w:rsidRPr="00735726" w14:paraId="4DAFCA8C" w14:textId="77777777" w:rsidTr="00470234">
        <w:tc>
          <w:tcPr>
            <w:tcW w:w="9209" w:type="dxa"/>
            <w:gridSpan w:val="3"/>
          </w:tcPr>
          <w:p w14:paraId="0227D8AB" w14:textId="3CAA54F8" w:rsidR="000E6C31" w:rsidRPr="00735726" w:rsidRDefault="000E6C31" w:rsidP="00470234">
            <w:pPr>
              <w:pStyle w:val="03body"/>
              <w:spacing w:line="240" w:lineRule="auto"/>
              <w:rPr>
                <w:b/>
              </w:rPr>
            </w:pPr>
            <w:r w:rsidRPr="00735726">
              <w:rPr>
                <w:b/>
              </w:rPr>
              <w:t xml:space="preserve">Principal Risk B: </w:t>
            </w:r>
            <w:r w:rsidR="00FE7B42" w:rsidRPr="00735726">
              <w:rPr>
                <w:b/>
              </w:rPr>
              <w:t>Non-compliance with laws and regulations</w:t>
            </w:r>
            <w:r w:rsidRPr="00735726">
              <w:rPr>
                <w:b/>
              </w:rPr>
              <w:t xml:space="preserve"> </w:t>
            </w:r>
          </w:p>
        </w:tc>
      </w:tr>
      <w:tr w:rsidR="00FE7B42" w:rsidRPr="00735726" w14:paraId="020CD333" w14:textId="77777777" w:rsidTr="00470234">
        <w:tc>
          <w:tcPr>
            <w:tcW w:w="4512" w:type="dxa"/>
            <w:gridSpan w:val="2"/>
            <w:tcBorders>
              <w:bottom w:val="single" w:sz="4" w:space="0" w:color="auto"/>
            </w:tcBorders>
          </w:tcPr>
          <w:p w14:paraId="6BFA4010" w14:textId="7A67DDA7" w:rsidR="00FE7B42" w:rsidRPr="00735726" w:rsidRDefault="00FE7B42" w:rsidP="00FE7B42">
            <w:pPr>
              <w:pStyle w:val="03body"/>
              <w:spacing w:line="240" w:lineRule="auto"/>
              <w:rPr>
                <w:b/>
              </w:rPr>
            </w:pPr>
            <w:r w:rsidRPr="00735726">
              <w:rPr>
                <w:b/>
              </w:rPr>
              <w:t>20</w:t>
            </w:r>
            <w:r w:rsidR="00E60DAB" w:rsidRPr="00735726">
              <w:rPr>
                <w:b/>
              </w:rPr>
              <w:t>26</w:t>
            </w:r>
            <w:r w:rsidRPr="00735726">
              <w:rPr>
                <w:b/>
              </w:rPr>
              <w:t xml:space="preserve"> Net risk and direction:</w:t>
            </w:r>
          </w:p>
        </w:tc>
        <w:tc>
          <w:tcPr>
            <w:tcW w:w="4697" w:type="dxa"/>
            <w:tcBorders>
              <w:bottom w:val="single" w:sz="4" w:space="0" w:color="auto"/>
            </w:tcBorders>
          </w:tcPr>
          <w:p w14:paraId="7A78A989" w14:textId="2939CE66" w:rsidR="00FE7B42" w:rsidRPr="00735726" w:rsidRDefault="00FE7B42" w:rsidP="00FE7B42">
            <w:pPr>
              <w:pStyle w:val="03body"/>
              <w:spacing w:line="240" w:lineRule="auto"/>
              <w:rPr>
                <w:b/>
              </w:rPr>
            </w:pPr>
            <w:r w:rsidRPr="00735726">
              <w:rPr>
                <w:b/>
              </w:rPr>
              <w:t>2025 Net risk and direction:</w:t>
            </w:r>
          </w:p>
        </w:tc>
      </w:tr>
      <w:tr w:rsidR="00FE7B42" w:rsidRPr="00735726" w14:paraId="76861F9A" w14:textId="77777777" w:rsidTr="00277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1"/>
        </w:trPr>
        <w:tc>
          <w:tcPr>
            <w:tcW w:w="4512" w:type="dxa"/>
            <w:gridSpan w:val="2"/>
            <w:tcBorders>
              <w:top w:val="single" w:sz="4" w:space="0" w:color="auto"/>
              <w:left w:val="single" w:sz="4" w:space="0" w:color="auto"/>
              <w:bottom w:val="single" w:sz="4" w:space="0" w:color="auto"/>
              <w:right w:val="single" w:sz="4" w:space="0" w:color="auto"/>
            </w:tcBorders>
          </w:tcPr>
          <w:p w14:paraId="410F0AB1" w14:textId="4BC03ECB" w:rsidR="00FE7B42" w:rsidRPr="00735726" w:rsidRDefault="00FE7B42" w:rsidP="00FE7B42">
            <w:pPr>
              <w:pStyle w:val="03body"/>
              <w:spacing w:line="240" w:lineRule="auto"/>
              <w:rPr>
                <w:b/>
              </w:rPr>
            </w:pPr>
            <w:r w:rsidRPr="00735726">
              <w:rPr>
                <w:b/>
              </w:rPr>
              <w:t>MEDIUM, STABLE</w:t>
            </w:r>
          </w:p>
        </w:tc>
        <w:tc>
          <w:tcPr>
            <w:tcW w:w="4697" w:type="dxa"/>
            <w:tcBorders>
              <w:top w:val="single" w:sz="4" w:space="0" w:color="auto"/>
              <w:left w:val="single" w:sz="4" w:space="0" w:color="auto"/>
              <w:bottom w:val="single" w:sz="4" w:space="0" w:color="auto"/>
              <w:right w:val="single" w:sz="4" w:space="0" w:color="auto"/>
            </w:tcBorders>
          </w:tcPr>
          <w:p w14:paraId="791A06DC" w14:textId="5A041361" w:rsidR="00FE7B42" w:rsidRPr="00735726" w:rsidRDefault="00FE7B42" w:rsidP="00FE7B42">
            <w:pPr>
              <w:pStyle w:val="03body"/>
              <w:spacing w:line="240" w:lineRule="auto"/>
              <w:rPr>
                <w:b/>
              </w:rPr>
            </w:pPr>
            <w:r w:rsidRPr="00735726">
              <w:rPr>
                <w:b/>
              </w:rPr>
              <w:t>HIGH, STABLE</w:t>
            </w:r>
          </w:p>
        </w:tc>
      </w:tr>
      <w:tr w:rsidR="00FE7B42" w:rsidRPr="00735726" w14:paraId="4A651DD6" w14:textId="77777777" w:rsidTr="00277639">
        <w:trPr>
          <w:trHeight w:val="2911"/>
        </w:trPr>
        <w:tc>
          <w:tcPr>
            <w:tcW w:w="2598" w:type="dxa"/>
            <w:tcBorders>
              <w:bottom w:val="single" w:sz="4" w:space="0" w:color="auto"/>
            </w:tcBorders>
          </w:tcPr>
          <w:p w14:paraId="71182A0F" w14:textId="77777777" w:rsidR="0091744D" w:rsidRPr="00735726" w:rsidRDefault="0091744D" w:rsidP="0091744D">
            <w:pPr>
              <w:pStyle w:val="03body"/>
              <w:spacing w:line="240" w:lineRule="auto"/>
              <w:rPr>
                <w:b/>
                <w:bCs/>
              </w:rPr>
            </w:pPr>
            <w:r w:rsidRPr="00735726">
              <w:rPr>
                <w:b/>
                <w:bCs/>
              </w:rPr>
              <w:t>Strategic priorities:</w:t>
            </w:r>
          </w:p>
          <w:p w14:paraId="38B17B2C" w14:textId="77777777" w:rsidR="00FE7B42" w:rsidRPr="00735726" w:rsidRDefault="00FE7B42" w:rsidP="00FE7B42">
            <w:pPr>
              <w:pStyle w:val="03body"/>
              <w:spacing w:line="276" w:lineRule="auto"/>
              <w:outlineLvl w:val="0"/>
              <w:rPr>
                <w:bCs/>
              </w:rPr>
            </w:pPr>
          </w:p>
          <w:p w14:paraId="18A2A4D2" w14:textId="77777777" w:rsidR="00FE7B42" w:rsidRPr="00735726" w:rsidRDefault="00FE7B42" w:rsidP="00FE7B42">
            <w:pPr>
              <w:pStyle w:val="03body"/>
              <w:spacing w:line="276" w:lineRule="auto"/>
              <w:outlineLvl w:val="0"/>
              <w:rPr>
                <w:rFonts w:cs="Arial"/>
                <w:b/>
                <w:bCs/>
                <w:color w:val="auto"/>
              </w:rPr>
            </w:pPr>
            <w:r w:rsidRPr="00735726">
              <w:rPr>
                <w:rFonts w:cs="Arial"/>
                <w:b/>
                <w:bCs/>
                <w:color w:val="auto"/>
              </w:rPr>
              <w:t>Water quality and resilience</w:t>
            </w:r>
          </w:p>
          <w:p w14:paraId="3299C28A" w14:textId="77777777" w:rsidR="00FE7B42" w:rsidRPr="00735726" w:rsidRDefault="00FE7B42" w:rsidP="00FE7B42">
            <w:pPr>
              <w:pStyle w:val="03body"/>
              <w:spacing w:line="276" w:lineRule="auto"/>
              <w:outlineLvl w:val="0"/>
              <w:rPr>
                <w:rFonts w:cs="Arial"/>
                <w:b/>
                <w:bCs/>
                <w:color w:val="auto"/>
              </w:rPr>
            </w:pPr>
          </w:p>
          <w:p w14:paraId="4FC90618" w14:textId="77777777" w:rsidR="00FE7B42" w:rsidRPr="00735726" w:rsidRDefault="00FE7B42" w:rsidP="00FE7B42">
            <w:pPr>
              <w:pStyle w:val="03body"/>
              <w:spacing w:line="276" w:lineRule="auto"/>
              <w:outlineLvl w:val="0"/>
              <w:rPr>
                <w:rFonts w:cs="Arial"/>
                <w:b/>
                <w:bCs/>
                <w:color w:val="auto"/>
              </w:rPr>
            </w:pPr>
            <w:r w:rsidRPr="00735726">
              <w:rPr>
                <w:rFonts w:cs="Arial"/>
                <w:b/>
                <w:bCs/>
                <w:color w:val="auto"/>
              </w:rPr>
              <w:t>Storm overflows and pollutions</w:t>
            </w:r>
          </w:p>
          <w:p w14:paraId="6DFB9803" w14:textId="77777777" w:rsidR="00FE7B42" w:rsidRPr="00735726" w:rsidRDefault="00FE7B42" w:rsidP="00FE7B42">
            <w:pPr>
              <w:pStyle w:val="03body"/>
              <w:spacing w:line="276" w:lineRule="auto"/>
              <w:outlineLvl w:val="0"/>
              <w:rPr>
                <w:rFonts w:cs="Arial"/>
                <w:b/>
                <w:bCs/>
                <w:color w:val="auto"/>
              </w:rPr>
            </w:pPr>
          </w:p>
          <w:p w14:paraId="6803AE5D" w14:textId="77777777" w:rsidR="00FE7B42" w:rsidRPr="00735726" w:rsidRDefault="00FE7B42" w:rsidP="00FE7B42">
            <w:pPr>
              <w:pStyle w:val="03body"/>
              <w:spacing w:line="276" w:lineRule="auto"/>
              <w:outlineLvl w:val="0"/>
              <w:rPr>
                <w:rFonts w:cs="Arial"/>
                <w:b/>
                <w:bCs/>
                <w:color w:val="auto"/>
              </w:rPr>
            </w:pPr>
            <w:r w:rsidRPr="00735726">
              <w:rPr>
                <w:rFonts w:cs="Arial"/>
                <w:b/>
                <w:bCs/>
                <w:color w:val="auto"/>
              </w:rPr>
              <w:t>Net Zero and environmental gains</w:t>
            </w:r>
          </w:p>
          <w:p w14:paraId="7045089D" w14:textId="77777777" w:rsidR="00FE7B42" w:rsidRPr="00735726" w:rsidRDefault="00FE7B42" w:rsidP="00FE7B42">
            <w:pPr>
              <w:pStyle w:val="03body"/>
              <w:spacing w:line="276" w:lineRule="auto"/>
              <w:outlineLvl w:val="0"/>
              <w:rPr>
                <w:rFonts w:cs="Arial"/>
                <w:b/>
                <w:bCs/>
                <w:color w:val="auto"/>
              </w:rPr>
            </w:pPr>
          </w:p>
          <w:p w14:paraId="23685F48" w14:textId="77777777" w:rsidR="00FE7B42" w:rsidRPr="00735726" w:rsidRDefault="00FE7B42" w:rsidP="00FE7B42">
            <w:pPr>
              <w:pStyle w:val="03body"/>
              <w:spacing w:line="240" w:lineRule="auto"/>
              <w:rPr>
                <w:rFonts w:cs="Arial"/>
                <w:b/>
                <w:bCs/>
                <w:color w:val="auto"/>
              </w:rPr>
            </w:pPr>
            <w:r w:rsidRPr="00735726">
              <w:rPr>
                <w:rFonts w:cs="Arial"/>
                <w:b/>
                <w:bCs/>
                <w:color w:val="auto"/>
              </w:rPr>
              <w:t>Addressing affordability and delivering for our customers</w:t>
            </w:r>
          </w:p>
          <w:p w14:paraId="18C5D42C" w14:textId="659EA814" w:rsidR="00E60DAB" w:rsidRPr="00735726" w:rsidRDefault="00FE7B42" w:rsidP="00E60DAB">
            <w:pPr>
              <w:pStyle w:val="03body"/>
              <w:spacing w:line="240" w:lineRule="auto"/>
              <w:rPr>
                <w:rFonts w:cs="Arial"/>
                <w:b/>
                <w:color w:val="00B050"/>
              </w:rPr>
            </w:pPr>
            <w:r w:rsidRPr="00735726">
              <w:br/>
            </w:r>
          </w:p>
          <w:p w14:paraId="7869699B" w14:textId="2CA8077A" w:rsidR="00FE7B42" w:rsidRPr="00735726" w:rsidRDefault="00FE7B42" w:rsidP="00470234">
            <w:pPr>
              <w:pStyle w:val="03body"/>
              <w:spacing w:line="240" w:lineRule="auto"/>
              <w:rPr>
                <w:rFonts w:cs="Arial"/>
                <w:b/>
                <w:color w:val="00B050"/>
              </w:rPr>
            </w:pPr>
          </w:p>
        </w:tc>
        <w:tc>
          <w:tcPr>
            <w:tcW w:w="6611" w:type="dxa"/>
            <w:gridSpan w:val="2"/>
            <w:tcBorders>
              <w:bottom w:val="single" w:sz="4" w:space="0" w:color="auto"/>
            </w:tcBorders>
          </w:tcPr>
          <w:p w14:paraId="2B863B1B" w14:textId="77777777" w:rsidR="0091744D" w:rsidRPr="00735726" w:rsidRDefault="0091744D" w:rsidP="0091744D">
            <w:pPr>
              <w:pStyle w:val="03body"/>
              <w:spacing w:line="240" w:lineRule="auto"/>
              <w:rPr>
                <w:b/>
                <w:bCs/>
              </w:rPr>
            </w:pPr>
            <w:r w:rsidRPr="00735726">
              <w:rPr>
                <w:b/>
                <w:bCs/>
              </w:rPr>
              <w:t>Strategic impact:</w:t>
            </w:r>
          </w:p>
          <w:p w14:paraId="7D7DD085" w14:textId="30BFEB87" w:rsidR="0091744D" w:rsidRPr="00735726" w:rsidRDefault="0091744D" w:rsidP="0091744D">
            <w:pPr>
              <w:pStyle w:val="03body"/>
              <w:spacing w:line="276" w:lineRule="auto"/>
              <w:outlineLvl w:val="0"/>
            </w:pPr>
            <w:r w:rsidRPr="00735726">
              <w:t>The Company is required to comply with a range of regulated and non-regulated</w:t>
            </w:r>
          </w:p>
          <w:p w14:paraId="1FC3D3A9" w14:textId="694546EB" w:rsidR="0091744D" w:rsidRPr="00735726" w:rsidRDefault="0091744D" w:rsidP="0091744D">
            <w:pPr>
              <w:pStyle w:val="03body"/>
              <w:spacing w:line="276" w:lineRule="auto"/>
              <w:outlineLvl w:val="0"/>
            </w:pPr>
            <w:r w:rsidRPr="00735726">
              <w:t>laws and regulations across our business. Non-compliance with one or a number of these may result in financial penalties, negative impact on our ability to operate effectively and reputational damage to the Company.</w:t>
            </w:r>
          </w:p>
          <w:p w14:paraId="28C31527" w14:textId="77777777" w:rsidR="0091744D" w:rsidRPr="00735726" w:rsidRDefault="0091744D" w:rsidP="0091744D">
            <w:pPr>
              <w:autoSpaceDE w:val="0"/>
              <w:autoSpaceDN w:val="0"/>
              <w:adjustRightInd w:val="0"/>
              <w:spacing w:after="0"/>
              <w:rPr>
                <w:rFonts w:ascii="Arial" w:hAnsi="Arial" w:cs="DINOT-Light"/>
                <w:b/>
                <w:bCs/>
                <w:color w:val="000000"/>
                <w:sz w:val="18"/>
                <w:szCs w:val="18"/>
              </w:rPr>
            </w:pPr>
          </w:p>
          <w:p w14:paraId="2A334674" w14:textId="0C22A93C" w:rsidR="0091744D" w:rsidRPr="00735726" w:rsidRDefault="0091744D" w:rsidP="0091744D">
            <w:pPr>
              <w:autoSpaceDE w:val="0"/>
              <w:autoSpaceDN w:val="0"/>
              <w:adjustRightInd w:val="0"/>
              <w:spacing w:after="0"/>
              <w:rPr>
                <w:rFonts w:ascii="Arial" w:hAnsi="Arial" w:cs="DINOT-Light"/>
                <w:b/>
                <w:bCs/>
                <w:color w:val="000000"/>
                <w:sz w:val="18"/>
                <w:szCs w:val="18"/>
              </w:rPr>
            </w:pPr>
            <w:r w:rsidRPr="00735726">
              <w:rPr>
                <w:rFonts w:ascii="Arial" w:hAnsi="Arial" w:cs="DINOT-Light"/>
                <w:b/>
                <w:bCs/>
                <w:color w:val="000000"/>
                <w:sz w:val="18"/>
                <w:szCs w:val="18"/>
              </w:rPr>
              <w:t>Mitigation:</w:t>
            </w:r>
          </w:p>
          <w:p w14:paraId="12FDBCCC" w14:textId="77777777" w:rsidR="00FE7B42" w:rsidRPr="00735726" w:rsidRDefault="001507F9" w:rsidP="001507F9">
            <w:pPr>
              <w:rPr>
                <w:rFonts w:ascii="Arial" w:hAnsi="Arial" w:cs="DINOT-Light"/>
                <w:color w:val="000000"/>
                <w:sz w:val="18"/>
                <w:szCs w:val="18"/>
              </w:rPr>
            </w:pPr>
            <w:r w:rsidRPr="00735726">
              <w:rPr>
                <w:rFonts w:ascii="Arial" w:hAnsi="Arial" w:cs="DINOT-Light"/>
                <w:color w:val="000000"/>
                <w:sz w:val="18"/>
                <w:szCs w:val="18"/>
              </w:rPr>
              <w:t>The Company mitigates the risk of non-compliance through established legal and regulatory compliance frameworks supported by second line oversight, regular review and assurance, and targeted control enhancements such as the Environmental Permit Assurance Team and its site inspection programme. Compliance with corporate legal obligations is reinforced through Board-approved policies, oversight by the Legal Compliance function, mandatory staff training, and the Company-wide Code of Conduct. Additionally, a confidential whistleblowing process overseen by the Ethics Management Committee enables timely escalation and investigation of potential breaches.</w:t>
            </w:r>
          </w:p>
          <w:p w14:paraId="7D5AD95F" w14:textId="38506BBD" w:rsidR="00E60DAB" w:rsidRPr="00735726" w:rsidRDefault="00E60DAB" w:rsidP="00E60DAB">
            <w:pPr>
              <w:pStyle w:val="03body"/>
              <w:spacing w:line="240" w:lineRule="auto"/>
              <w:rPr>
                <w:b/>
                <w:bCs/>
              </w:rPr>
            </w:pPr>
            <w:r w:rsidRPr="00735726">
              <w:t xml:space="preserve">Climate change influence: </w:t>
            </w:r>
            <w:r w:rsidRPr="00735726">
              <w:rPr>
                <w:b/>
                <w:bCs/>
              </w:rPr>
              <w:t>Transitional / Physical</w:t>
            </w:r>
          </w:p>
          <w:p w14:paraId="2151FDA3" w14:textId="77777777" w:rsidR="00E60DAB" w:rsidRPr="00735726" w:rsidRDefault="00E60DAB" w:rsidP="00E60DAB">
            <w:pPr>
              <w:pStyle w:val="03body"/>
              <w:spacing w:line="240" w:lineRule="auto"/>
            </w:pPr>
          </w:p>
          <w:p w14:paraId="5F2F4199" w14:textId="77777777" w:rsidR="00E60DAB" w:rsidRPr="00735726" w:rsidRDefault="00E60DAB" w:rsidP="00E60DAB">
            <w:pPr>
              <w:pStyle w:val="03body"/>
              <w:spacing w:line="240" w:lineRule="auto"/>
              <w:rPr>
                <w:b/>
                <w:bCs/>
              </w:rPr>
            </w:pPr>
            <w:r w:rsidRPr="00735726">
              <w:t xml:space="preserve">Nature change influence: </w:t>
            </w:r>
            <w:r w:rsidRPr="00735726">
              <w:rPr>
                <w:b/>
                <w:bCs/>
              </w:rPr>
              <w:t>Transitional / Physical</w:t>
            </w:r>
          </w:p>
          <w:p w14:paraId="7E958D92" w14:textId="4F7BCAC9" w:rsidR="00E60DAB" w:rsidRPr="009A2CAE" w:rsidRDefault="00E60DAB" w:rsidP="00E60DAB">
            <w:pPr>
              <w:pStyle w:val="03body"/>
              <w:spacing w:line="240" w:lineRule="auto"/>
              <w:rPr>
                <w:b/>
              </w:rPr>
            </w:pPr>
          </w:p>
        </w:tc>
      </w:tr>
      <w:tr w:rsidR="007A70C4" w:rsidRPr="00735726" w14:paraId="43C45E14" w14:textId="77777777" w:rsidTr="00277639">
        <w:trPr>
          <w:trHeight w:val="2911"/>
        </w:trPr>
        <w:tc>
          <w:tcPr>
            <w:tcW w:w="2598" w:type="dxa"/>
            <w:tcBorders>
              <w:top w:val="single" w:sz="4" w:space="0" w:color="auto"/>
              <w:left w:val="nil"/>
              <w:bottom w:val="nil"/>
              <w:right w:val="nil"/>
            </w:tcBorders>
          </w:tcPr>
          <w:p w14:paraId="7328D04A" w14:textId="77777777" w:rsidR="007A70C4" w:rsidRPr="00735726" w:rsidRDefault="007A70C4" w:rsidP="0091744D">
            <w:pPr>
              <w:pStyle w:val="03body"/>
              <w:spacing w:line="240" w:lineRule="auto"/>
              <w:rPr>
                <w:b/>
                <w:bCs/>
              </w:rPr>
            </w:pPr>
          </w:p>
        </w:tc>
        <w:tc>
          <w:tcPr>
            <w:tcW w:w="6611" w:type="dxa"/>
            <w:gridSpan w:val="2"/>
            <w:tcBorders>
              <w:top w:val="single" w:sz="4" w:space="0" w:color="auto"/>
              <w:left w:val="nil"/>
              <w:bottom w:val="nil"/>
              <w:right w:val="nil"/>
            </w:tcBorders>
          </w:tcPr>
          <w:p w14:paraId="7FCBAD4D" w14:textId="77777777" w:rsidR="007A70C4" w:rsidRPr="00735726" w:rsidRDefault="007A70C4" w:rsidP="0091744D">
            <w:pPr>
              <w:pStyle w:val="03body"/>
              <w:spacing w:line="240" w:lineRule="auto"/>
              <w:rPr>
                <w:b/>
                <w:bCs/>
              </w:rPr>
            </w:pPr>
          </w:p>
        </w:tc>
      </w:tr>
      <w:tr w:rsidR="007A70C4" w:rsidRPr="00735726" w14:paraId="58AC3D62" w14:textId="77777777" w:rsidTr="00277639">
        <w:tc>
          <w:tcPr>
            <w:tcW w:w="9209" w:type="dxa"/>
            <w:gridSpan w:val="3"/>
            <w:tcBorders>
              <w:top w:val="nil"/>
              <w:left w:val="nil"/>
              <w:bottom w:val="single" w:sz="4" w:space="0" w:color="auto"/>
              <w:right w:val="nil"/>
            </w:tcBorders>
          </w:tcPr>
          <w:p w14:paraId="0B65BA64" w14:textId="77777777" w:rsidR="007A70C4" w:rsidRPr="00735726" w:rsidRDefault="007A70C4" w:rsidP="00470234">
            <w:pPr>
              <w:pStyle w:val="03body"/>
              <w:spacing w:line="240" w:lineRule="auto"/>
              <w:rPr>
                <w:b/>
              </w:rPr>
            </w:pPr>
          </w:p>
        </w:tc>
      </w:tr>
      <w:tr w:rsidR="000E6C31" w:rsidRPr="00735726" w14:paraId="5B0EA82D" w14:textId="77777777" w:rsidTr="00277639">
        <w:tc>
          <w:tcPr>
            <w:tcW w:w="9209" w:type="dxa"/>
            <w:gridSpan w:val="3"/>
            <w:tcBorders>
              <w:top w:val="single" w:sz="4" w:space="0" w:color="auto"/>
            </w:tcBorders>
          </w:tcPr>
          <w:p w14:paraId="24368811" w14:textId="35EF2ADF" w:rsidR="000E6C31" w:rsidRPr="00735726" w:rsidRDefault="000E6C31" w:rsidP="00470234">
            <w:pPr>
              <w:pStyle w:val="03body"/>
              <w:spacing w:line="240" w:lineRule="auto"/>
              <w:rPr>
                <w:b/>
              </w:rPr>
            </w:pPr>
            <w:r w:rsidRPr="00735726">
              <w:rPr>
                <w:b/>
              </w:rPr>
              <w:t xml:space="preserve">Principal Risk C: </w:t>
            </w:r>
            <w:r w:rsidR="00E60DAB" w:rsidRPr="00735726">
              <w:rPr>
                <w:b/>
              </w:rPr>
              <w:t>Inability to secure sufficient finance and funding, within our debt covenants, to meet ongoing commitments.</w:t>
            </w:r>
          </w:p>
        </w:tc>
      </w:tr>
      <w:tr w:rsidR="00E60DAB" w:rsidRPr="00735726" w14:paraId="2A2C2B48" w14:textId="77777777" w:rsidTr="00470234">
        <w:tc>
          <w:tcPr>
            <w:tcW w:w="4512" w:type="dxa"/>
            <w:gridSpan w:val="2"/>
            <w:tcBorders>
              <w:bottom w:val="single" w:sz="4" w:space="0" w:color="auto"/>
            </w:tcBorders>
          </w:tcPr>
          <w:p w14:paraId="5C56A26F" w14:textId="6D47DBB9" w:rsidR="00E60DAB" w:rsidRPr="00735726" w:rsidRDefault="00E60DAB" w:rsidP="00E60DAB">
            <w:pPr>
              <w:pStyle w:val="03body"/>
              <w:spacing w:line="240" w:lineRule="auto"/>
              <w:rPr>
                <w:b/>
              </w:rPr>
            </w:pPr>
            <w:r w:rsidRPr="00735726">
              <w:rPr>
                <w:b/>
              </w:rPr>
              <w:t xml:space="preserve">2026 Net risk and direction: </w:t>
            </w:r>
          </w:p>
        </w:tc>
        <w:tc>
          <w:tcPr>
            <w:tcW w:w="4697" w:type="dxa"/>
            <w:tcBorders>
              <w:bottom w:val="single" w:sz="4" w:space="0" w:color="auto"/>
            </w:tcBorders>
          </w:tcPr>
          <w:p w14:paraId="02A25F3C" w14:textId="6F49AECC" w:rsidR="00E60DAB" w:rsidRPr="00735726" w:rsidRDefault="00E60DAB" w:rsidP="00E60DAB">
            <w:pPr>
              <w:pStyle w:val="03body"/>
              <w:spacing w:line="240" w:lineRule="auto"/>
              <w:rPr>
                <w:b/>
              </w:rPr>
            </w:pPr>
            <w:r w:rsidRPr="00735726">
              <w:rPr>
                <w:b/>
              </w:rPr>
              <w:t xml:space="preserve">2025 Net risk and direction: </w:t>
            </w:r>
          </w:p>
        </w:tc>
      </w:tr>
      <w:tr w:rsidR="00E60DAB" w:rsidRPr="00735726" w14:paraId="073FD0F0" w14:textId="77777777" w:rsidTr="004702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
        </w:trPr>
        <w:tc>
          <w:tcPr>
            <w:tcW w:w="4512" w:type="dxa"/>
            <w:gridSpan w:val="2"/>
            <w:tcBorders>
              <w:top w:val="single" w:sz="4" w:space="0" w:color="auto"/>
              <w:left w:val="single" w:sz="4" w:space="0" w:color="auto"/>
              <w:bottom w:val="single" w:sz="4" w:space="0" w:color="auto"/>
              <w:right w:val="single" w:sz="4" w:space="0" w:color="auto"/>
            </w:tcBorders>
          </w:tcPr>
          <w:p w14:paraId="7B85429F" w14:textId="4803EE28" w:rsidR="00E60DAB" w:rsidRPr="00735726" w:rsidRDefault="00E60DAB" w:rsidP="00E60DAB">
            <w:pPr>
              <w:pStyle w:val="03body"/>
              <w:spacing w:line="240" w:lineRule="auto"/>
              <w:rPr>
                <w:b/>
              </w:rPr>
            </w:pPr>
            <w:r w:rsidRPr="00735726">
              <w:rPr>
                <w:b/>
              </w:rPr>
              <w:t>MEDIUM, STABLE</w:t>
            </w:r>
          </w:p>
        </w:tc>
        <w:tc>
          <w:tcPr>
            <w:tcW w:w="4697" w:type="dxa"/>
            <w:tcBorders>
              <w:top w:val="single" w:sz="4" w:space="0" w:color="auto"/>
              <w:left w:val="single" w:sz="4" w:space="0" w:color="auto"/>
              <w:bottom w:val="single" w:sz="4" w:space="0" w:color="auto"/>
              <w:right w:val="single" w:sz="4" w:space="0" w:color="auto"/>
            </w:tcBorders>
          </w:tcPr>
          <w:p w14:paraId="4259B9F5" w14:textId="0A475278" w:rsidR="00E60DAB" w:rsidRPr="00735726" w:rsidRDefault="00E60DAB" w:rsidP="00E60DAB">
            <w:pPr>
              <w:pStyle w:val="03body"/>
              <w:spacing w:line="240" w:lineRule="auto"/>
              <w:rPr>
                <w:b/>
              </w:rPr>
            </w:pPr>
            <w:r w:rsidRPr="00735726">
              <w:rPr>
                <w:b/>
              </w:rPr>
              <w:t>MEDIUM, INCREASING</w:t>
            </w:r>
          </w:p>
        </w:tc>
      </w:tr>
      <w:tr w:rsidR="00E60DAB" w:rsidRPr="00735726" w14:paraId="7AEEF6A7" w14:textId="77777777" w:rsidTr="00E13914">
        <w:trPr>
          <w:trHeight w:val="4476"/>
        </w:trPr>
        <w:tc>
          <w:tcPr>
            <w:tcW w:w="2598" w:type="dxa"/>
            <w:tcBorders>
              <w:bottom w:val="single" w:sz="4" w:space="0" w:color="auto"/>
            </w:tcBorders>
          </w:tcPr>
          <w:p w14:paraId="1C052827" w14:textId="77777777" w:rsidR="00E60DAB" w:rsidRPr="00735726" w:rsidRDefault="00E60DAB" w:rsidP="00E60DAB">
            <w:pPr>
              <w:pStyle w:val="03body"/>
              <w:spacing w:line="240" w:lineRule="auto"/>
              <w:rPr>
                <w:b/>
                <w:bCs/>
              </w:rPr>
            </w:pPr>
            <w:r w:rsidRPr="00735726">
              <w:rPr>
                <w:b/>
                <w:bCs/>
              </w:rPr>
              <w:t>Strategic priorities:</w:t>
            </w:r>
          </w:p>
          <w:p w14:paraId="149F6C21" w14:textId="77777777" w:rsidR="00E60DAB" w:rsidRPr="009A2CAE" w:rsidRDefault="00E60DAB" w:rsidP="00470234">
            <w:pPr>
              <w:pStyle w:val="03body"/>
              <w:spacing w:line="276" w:lineRule="auto"/>
              <w:outlineLvl w:val="0"/>
              <w:rPr>
                <w:bCs/>
              </w:rPr>
            </w:pPr>
          </w:p>
          <w:p w14:paraId="591B48B5" w14:textId="77777777" w:rsidR="00E60DAB" w:rsidRPr="00735726" w:rsidRDefault="00E60DAB" w:rsidP="00E60DAB">
            <w:pPr>
              <w:pStyle w:val="03body"/>
              <w:spacing w:line="276" w:lineRule="auto"/>
              <w:outlineLvl w:val="0"/>
              <w:rPr>
                <w:rFonts w:cs="Arial"/>
                <w:b/>
                <w:bCs/>
                <w:color w:val="auto"/>
              </w:rPr>
            </w:pPr>
            <w:r w:rsidRPr="00735726">
              <w:rPr>
                <w:rFonts w:cs="Arial"/>
                <w:b/>
                <w:bCs/>
                <w:color w:val="auto"/>
              </w:rPr>
              <w:t>Water quality and resilience</w:t>
            </w:r>
          </w:p>
          <w:p w14:paraId="06C120C6" w14:textId="77777777" w:rsidR="00E60DAB" w:rsidRPr="00735726" w:rsidRDefault="00E60DAB" w:rsidP="00E60DAB">
            <w:pPr>
              <w:pStyle w:val="03body"/>
              <w:spacing w:line="276" w:lineRule="auto"/>
              <w:outlineLvl w:val="0"/>
              <w:rPr>
                <w:rFonts w:cs="Arial"/>
                <w:b/>
                <w:bCs/>
                <w:color w:val="auto"/>
              </w:rPr>
            </w:pPr>
          </w:p>
          <w:p w14:paraId="3A12F750" w14:textId="77777777" w:rsidR="00E60DAB" w:rsidRPr="00735726" w:rsidRDefault="00E60DAB" w:rsidP="00E60DAB">
            <w:pPr>
              <w:pStyle w:val="03body"/>
              <w:spacing w:line="276" w:lineRule="auto"/>
              <w:outlineLvl w:val="0"/>
              <w:rPr>
                <w:rFonts w:cs="Arial"/>
                <w:b/>
                <w:bCs/>
                <w:color w:val="auto"/>
              </w:rPr>
            </w:pPr>
            <w:r w:rsidRPr="00735726">
              <w:rPr>
                <w:rFonts w:cs="Arial"/>
                <w:b/>
                <w:bCs/>
                <w:color w:val="auto"/>
              </w:rPr>
              <w:t>Storm overflows and pollutions</w:t>
            </w:r>
          </w:p>
          <w:p w14:paraId="04A6986D" w14:textId="77777777" w:rsidR="00E60DAB" w:rsidRPr="00735726" w:rsidRDefault="00E60DAB" w:rsidP="00E60DAB">
            <w:pPr>
              <w:pStyle w:val="03body"/>
              <w:spacing w:line="276" w:lineRule="auto"/>
              <w:outlineLvl w:val="0"/>
              <w:rPr>
                <w:rFonts w:cs="Arial"/>
                <w:b/>
                <w:bCs/>
                <w:color w:val="auto"/>
              </w:rPr>
            </w:pPr>
          </w:p>
          <w:p w14:paraId="06323158" w14:textId="77777777" w:rsidR="00E60DAB" w:rsidRPr="00735726" w:rsidRDefault="00E60DAB" w:rsidP="00E60DAB">
            <w:pPr>
              <w:pStyle w:val="03body"/>
              <w:spacing w:line="276" w:lineRule="auto"/>
              <w:outlineLvl w:val="0"/>
              <w:rPr>
                <w:rFonts w:cs="Arial"/>
                <w:b/>
                <w:bCs/>
                <w:color w:val="auto"/>
              </w:rPr>
            </w:pPr>
            <w:r w:rsidRPr="00735726">
              <w:rPr>
                <w:rFonts w:cs="Arial"/>
                <w:b/>
                <w:bCs/>
                <w:color w:val="auto"/>
              </w:rPr>
              <w:t>Net Zero and environmental gains</w:t>
            </w:r>
          </w:p>
          <w:p w14:paraId="4E9BA2BB" w14:textId="77777777" w:rsidR="00E60DAB" w:rsidRPr="00735726" w:rsidRDefault="00E60DAB" w:rsidP="00E60DAB">
            <w:pPr>
              <w:pStyle w:val="03body"/>
              <w:spacing w:line="276" w:lineRule="auto"/>
              <w:outlineLvl w:val="0"/>
              <w:rPr>
                <w:rFonts w:cs="Arial"/>
                <w:b/>
                <w:bCs/>
                <w:color w:val="auto"/>
              </w:rPr>
            </w:pPr>
          </w:p>
          <w:p w14:paraId="7F56589A" w14:textId="43BECEC1" w:rsidR="00E60DAB" w:rsidRPr="009A2CAE" w:rsidRDefault="00E60DAB" w:rsidP="00E60DAB">
            <w:pPr>
              <w:pStyle w:val="03body"/>
              <w:spacing w:line="240" w:lineRule="auto"/>
            </w:pPr>
            <w:r w:rsidRPr="00735726">
              <w:rPr>
                <w:rFonts w:cs="Arial"/>
                <w:b/>
                <w:bCs/>
                <w:color w:val="auto"/>
              </w:rPr>
              <w:t>Addressing affordability and delivering for our customers</w:t>
            </w:r>
          </w:p>
          <w:p w14:paraId="2E921930" w14:textId="77777777" w:rsidR="00E60DAB" w:rsidRPr="009A2CAE" w:rsidRDefault="00E60DAB" w:rsidP="00470234">
            <w:pPr>
              <w:pStyle w:val="03body"/>
              <w:spacing w:line="240" w:lineRule="auto"/>
            </w:pPr>
          </w:p>
          <w:p w14:paraId="4FFC1584" w14:textId="77777777" w:rsidR="00E60DAB" w:rsidRPr="009A2CAE" w:rsidRDefault="00E60DAB" w:rsidP="00297BCA"/>
        </w:tc>
        <w:tc>
          <w:tcPr>
            <w:tcW w:w="6611" w:type="dxa"/>
            <w:gridSpan w:val="2"/>
            <w:tcBorders>
              <w:bottom w:val="single" w:sz="4" w:space="0" w:color="auto"/>
            </w:tcBorders>
          </w:tcPr>
          <w:p w14:paraId="2302B158" w14:textId="77777777" w:rsidR="00E60DAB" w:rsidRPr="00735726" w:rsidRDefault="00E60DAB" w:rsidP="00E60DAB">
            <w:pPr>
              <w:pStyle w:val="03body"/>
              <w:spacing w:line="240" w:lineRule="auto"/>
              <w:rPr>
                <w:b/>
                <w:bCs/>
              </w:rPr>
            </w:pPr>
            <w:r w:rsidRPr="00735726">
              <w:rPr>
                <w:b/>
                <w:bCs/>
              </w:rPr>
              <w:t>Strategic impact:</w:t>
            </w:r>
          </w:p>
          <w:p w14:paraId="1F013447" w14:textId="22C9C93E" w:rsidR="00E60DAB" w:rsidRPr="00735726" w:rsidRDefault="00E60DAB" w:rsidP="00E60DAB">
            <w:pPr>
              <w:pStyle w:val="03body"/>
              <w:spacing w:line="240" w:lineRule="auto"/>
            </w:pPr>
            <w:r w:rsidRPr="00735726">
              <w:t xml:space="preserve">Failure to maintain funding requirements could lead to additional financing costs </w:t>
            </w:r>
            <w:r w:rsidR="00297BCA" w:rsidRPr="00735726">
              <w:t>and put</w:t>
            </w:r>
            <w:r w:rsidRPr="00735726">
              <w:t xml:space="preserve"> our growth agenda at risk. Breach of covenants could result in the requirement to repay certain debt.</w:t>
            </w:r>
          </w:p>
          <w:p w14:paraId="7D1AB07C" w14:textId="77777777" w:rsidR="00297BCA" w:rsidRPr="00735726" w:rsidRDefault="00297BCA" w:rsidP="00E60DAB">
            <w:pPr>
              <w:pStyle w:val="03body"/>
              <w:spacing w:line="240" w:lineRule="auto"/>
            </w:pPr>
          </w:p>
          <w:p w14:paraId="440F2F71" w14:textId="2B7CE127" w:rsidR="00297BCA" w:rsidRPr="00735726" w:rsidRDefault="00297BCA" w:rsidP="00E60DAB">
            <w:pPr>
              <w:pStyle w:val="03body"/>
              <w:spacing w:line="240" w:lineRule="auto"/>
              <w:rPr>
                <w:b/>
                <w:bCs/>
              </w:rPr>
            </w:pPr>
            <w:r w:rsidRPr="00735726">
              <w:rPr>
                <w:b/>
                <w:bCs/>
              </w:rPr>
              <w:t>Mitigation:</w:t>
            </w:r>
          </w:p>
          <w:p w14:paraId="06F6DADC" w14:textId="659F3CCC" w:rsidR="00297BCA" w:rsidRPr="00735726" w:rsidRDefault="00297BCA" w:rsidP="00297BCA">
            <w:pPr>
              <w:pStyle w:val="03body"/>
            </w:pPr>
            <w:r w:rsidRPr="00735726">
              <w:t xml:space="preserve">The Company has well established treasury, funding and cash flow arrangements in place, underpinned by a Treasury Management Policy endorsed by the Board. </w:t>
            </w:r>
          </w:p>
          <w:p w14:paraId="2073713C" w14:textId="77777777" w:rsidR="00297BCA" w:rsidRPr="00735726" w:rsidRDefault="00297BCA" w:rsidP="00297BCA">
            <w:pPr>
              <w:pStyle w:val="03body"/>
            </w:pPr>
          </w:p>
          <w:p w14:paraId="60392089" w14:textId="6B21D136" w:rsidR="00297BCA" w:rsidRPr="00735726" w:rsidRDefault="00297BCA" w:rsidP="00297BCA">
            <w:pPr>
              <w:pStyle w:val="03body"/>
            </w:pPr>
            <w:r w:rsidRPr="00735726">
              <w:t>The Company’s financing commitments and cash flow, funding and covenant compliance are regularly reviewed by the Executive and Board.</w:t>
            </w:r>
          </w:p>
          <w:p w14:paraId="760EA71D" w14:textId="77777777" w:rsidR="00E60DAB" w:rsidRPr="009A2CAE" w:rsidRDefault="00E60DAB" w:rsidP="00470234">
            <w:pPr>
              <w:rPr>
                <w:rFonts w:ascii="Arial" w:hAnsi="Arial" w:cs="DINOT-Light"/>
                <w:color w:val="000000"/>
                <w:sz w:val="18"/>
                <w:szCs w:val="18"/>
              </w:rPr>
            </w:pPr>
          </w:p>
          <w:p w14:paraId="168748A6" w14:textId="2C17745F" w:rsidR="00297BCA" w:rsidRPr="00735726" w:rsidRDefault="00297BCA" w:rsidP="00297BCA">
            <w:pPr>
              <w:rPr>
                <w:rFonts w:ascii="Arial" w:hAnsi="Arial" w:cs="DINOT-Light"/>
                <w:b/>
                <w:bCs/>
                <w:color w:val="000000"/>
                <w:sz w:val="18"/>
                <w:szCs w:val="18"/>
              </w:rPr>
            </w:pPr>
            <w:r w:rsidRPr="00735726">
              <w:rPr>
                <w:rFonts w:ascii="Arial" w:hAnsi="Arial" w:cs="DINOT-Light"/>
                <w:color w:val="000000"/>
                <w:sz w:val="18"/>
                <w:szCs w:val="18"/>
              </w:rPr>
              <w:t>Climate change influence:</w:t>
            </w:r>
            <w:r w:rsidRPr="00735726">
              <w:rPr>
                <w:rFonts w:ascii="Arial" w:hAnsi="Arial" w:cs="DINOT-Light"/>
                <w:b/>
                <w:bCs/>
                <w:color w:val="000000"/>
                <w:sz w:val="18"/>
                <w:szCs w:val="18"/>
              </w:rPr>
              <w:t xml:space="preserve"> Transitional / Physical</w:t>
            </w:r>
          </w:p>
          <w:p w14:paraId="5EFAD88D" w14:textId="38EA1A17" w:rsidR="00297BCA" w:rsidRPr="00735726" w:rsidRDefault="00297BCA" w:rsidP="00297BCA">
            <w:pPr>
              <w:rPr>
                <w:rFonts w:ascii="Arial" w:hAnsi="Arial" w:cs="DINOT-Light"/>
                <w:b/>
                <w:bCs/>
                <w:color w:val="000000"/>
                <w:sz w:val="18"/>
                <w:szCs w:val="18"/>
              </w:rPr>
            </w:pPr>
            <w:r w:rsidRPr="00735726">
              <w:rPr>
                <w:rFonts w:ascii="Arial" w:hAnsi="Arial" w:cs="DINOT-Light"/>
                <w:color w:val="000000"/>
                <w:sz w:val="18"/>
                <w:szCs w:val="18"/>
              </w:rPr>
              <w:t>Nature change influence:</w:t>
            </w:r>
            <w:r w:rsidRPr="00735726">
              <w:rPr>
                <w:rFonts w:ascii="Arial" w:hAnsi="Arial" w:cs="DINOT-Light"/>
                <w:b/>
                <w:bCs/>
                <w:color w:val="000000"/>
                <w:sz w:val="18"/>
                <w:szCs w:val="18"/>
              </w:rPr>
              <w:t xml:space="preserve"> Transitional / Physical</w:t>
            </w:r>
          </w:p>
          <w:p w14:paraId="262F2D70" w14:textId="42518C29" w:rsidR="00E60DAB" w:rsidRPr="009A2CAE" w:rsidRDefault="00E60DAB" w:rsidP="00470234">
            <w:pPr>
              <w:rPr>
                <w:rFonts w:ascii="Arial" w:hAnsi="Arial" w:cs="DINOT-Light"/>
                <w:color w:val="000000"/>
                <w:sz w:val="18"/>
                <w:szCs w:val="18"/>
              </w:rPr>
            </w:pPr>
          </w:p>
        </w:tc>
      </w:tr>
      <w:tr w:rsidR="000E6C31" w:rsidRPr="00735726" w14:paraId="3F411FEE" w14:textId="77777777" w:rsidTr="00470234">
        <w:tc>
          <w:tcPr>
            <w:tcW w:w="9209" w:type="dxa"/>
            <w:gridSpan w:val="3"/>
            <w:tcBorders>
              <w:top w:val="single" w:sz="4" w:space="0" w:color="auto"/>
            </w:tcBorders>
          </w:tcPr>
          <w:p w14:paraId="1802D20E" w14:textId="34FC2AEF" w:rsidR="000E6C31" w:rsidRPr="00735726" w:rsidRDefault="000E6C31" w:rsidP="00470234">
            <w:pPr>
              <w:pStyle w:val="03body"/>
              <w:spacing w:line="240" w:lineRule="auto"/>
              <w:rPr>
                <w:rFonts w:cs="Arial"/>
                <w:b/>
                <w:sz w:val="19"/>
                <w:szCs w:val="19"/>
              </w:rPr>
            </w:pPr>
            <w:r w:rsidRPr="00735726">
              <w:br w:type="page"/>
            </w:r>
            <w:r w:rsidRPr="00735726">
              <w:rPr>
                <w:b/>
              </w:rPr>
              <w:t xml:space="preserve">Principal Risk D: </w:t>
            </w:r>
            <w:r w:rsidR="00297BCA" w:rsidRPr="00735726">
              <w:rPr>
                <w:rFonts w:cs="Arial"/>
                <w:b/>
                <w:sz w:val="19"/>
                <w:szCs w:val="19"/>
              </w:rPr>
              <w:t>Non-compliance or occurrence of an avoidable health and safety incident</w:t>
            </w:r>
            <w:r w:rsidR="00EB3A62" w:rsidRPr="00735726">
              <w:rPr>
                <w:rFonts w:cs="Arial"/>
                <w:b/>
                <w:sz w:val="19"/>
                <w:szCs w:val="19"/>
              </w:rPr>
              <w:t>s</w:t>
            </w:r>
          </w:p>
        </w:tc>
      </w:tr>
      <w:tr w:rsidR="00297BCA" w:rsidRPr="00735726" w14:paraId="610655C2" w14:textId="77777777" w:rsidTr="00470234">
        <w:tc>
          <w:tcPr>
            <w:tcW w:w="4512" w:type="dxa"/>
            <w:gridSpan w:val="2"/>
          </w:tcPr>
          <w:p w14:paraId="4072B3D2" w14:textId="1B5E0AE7" w:rsidR="00297BCA" w:rsidRPr="00735726" w:rsidRDefault="00297BCA" w:rsidP="00297BCA">
            <w:pPr>
              <w:pStyle w:val="03body"/>
              <w:spacing w:line="240" w:lineRule="auto"/>
              <w:rPr>
                <w:b/>
              </w:rPr>
            </w:pPr>
            <w:r w:rsidRPr="00735726">
              <w:rPr>
                <w:b/>
              </w:rPr>
              <w:t>2026 Net risk and direction:</w:t>
            </w:r>
          </w:p>
        </w:tc>
        <w:tc>
          <w:tcPr>
            <w:tcW w:w="4697" w:type="dxa"/>
          </w:tcPr>
          <w:p w14:paraId="0B694846" w14:textId="2EE4EC2F" w:rsidR="00297BCA" w:rsidRPr="00735726" w:rsidRDefault="00297BCA" w:rsidP="00297BCA">
            <w:pPr>
              <w:pStyle w:val="03body"/>
              <w:spacing w:line="240" w:lineRule="auto"/>
              <w:rPr>
                <w:b/>
              </w:rPr>
            </w:pPr>
            <w:r w:rsidRPr="00735726">
              <w:rPr>
                <w:b/>
              </w:rPr>
              <w:t xml:space="preserve">2025 Net risk and direction: </w:t>
            </w:r>
          </w:p>
        </w:tc>
      </w:tr>
      <w:tr w:rsidR="00297BCA" w:rsidRPr="00735726" w14:paraId="4D750F9D" w14:textId="77777777" w:rsidTr="00470234">
        <w:tc>
          <w:tcPr>
            <w:tcW w:w="4512" w:type="dxa"/>
            <w:gridSpan w:val="2"/>
          </w:tcPr>
          <w:p w14:paraId="4B14D362" w14:textId="122D8CE8" w:rsidR="00297BCA" w:rsidRPr="00735726" w:rsidRDefault="00297BCA" w:rsidP="00297BCA">
            <w:pPr>
              <w:pStyle w:val="03body"/>
              <w:spacing w:line="240" w:lineRule="auto"/>
              <w:rPr>
                <w:b/>
              </w:rPr>
            </w:pPr>
            <w:r w:rsidRPr="00735726">
              <w:rPr>
                <w:b/>
              </w:rPr>
              <w:t>MEDIUM, STABLE</w:t>
            </w:r>
          </w:p>
        </w:tc>
        <w:tc>
          <w:tcPr>
            <w:tcW w:w="4697" w:type="dxa"/>
          </w:tcPr>
          <w:p w14:paraId="78FE439E" w14:textId="4CF0460B" w:rsidR="00297BCA" w:rsidRPr="00735726" w:rsidRDefault="00297BCA" w:rsidP="00297BCA">
            <w:pPr>
              <w:pStyle w:val="03body"/>
              <w:spacing w:line="240" w:lineRule="auto"/>
              <w:rPr>
                <w:b/>
              </w:rPr>
            </w:pPr>
            <w:r w:rsidRPr="00735726">
              <w:rPr>
                <w:b/>
              </w:rPr>
              <w:t>MEDIUM, STABLE</w:t>
            </w:r>
          </w:p>
        </w:tc>
      </w:tr>
      <w:tr w:rsidR="00297BCA" w:rsidRPr="00735726" w14:paraId="4B7998DD" w14:textId="77777777" w:rsidTr="00C72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5"/>
        </w:trPr>
        <w:tc>
          <w:tcPr>
            <w:tcW w:w="2598" w:type="dxa"/>
            <w:tcBorders>
              <w:top w:val="single" w:sz="4" w:space="0" w:color="auto"/>
              <w:left w:val="single" w:sz="4" w:space="0" w:color="auto"/>
              <w:bottom w:val="single" w:sz="4" w:space="0" w:color="auto"/>
              <w:right w:val="single" w:sz="4" w:space="0" w:color="auto"/>
            </w:tcBorders>
          </w:tcPr>
          <w:p w14:paraId="6AECC096" w14:textId="77777777" w:rsidR="00297BCA" w:rsidRPr="00735726" w:rsidRDefault="00297BCA" w:rsidP="00297BCA">
            <w:pPr>
              <w:pStyle w:val="03body"/>
              <w:spacing w:line="240" w:lineRule="auto"/>
              <w:rPr>
                <w:b/>
                <w:bCs/>
              </w:rPr>
            </w:pPr>
            <w:r w:rsidRPr="00735726">
              <w:rPr>
                <w:b/>
                <w:bCs/>
              </w:rPr>
              <w:t>Strategic priorities:</w:t>
            </w:r>
          </w:p>
          <w:p w14:paraId="3385E767" w14:textId="77777777" w:rsidR="00297BCA" w:rsidRPr="009A2CAE" w:rsidRDefault="00297BCA" w:rsidP="00470234">
            <w:pPr>
              <w:pStyle w:val="03body"/>
              <w:spacing w:line="276" w:lineRule="auto"/>
              <w:outlineLvl w:val="0"/>
              <w:rPr>
                <w:rFonts w:cs="Arial"/>
                <w:b/>
                <w:bCs/>
                <w:color w:val="auto"/>
              </w:rPr>
            </w:pPr>
          </w:p>
          <w:p w14:paraId="02C9D7B8" w14:textId="77777777" w:rsidR="00297BCA" w:rsidRPr="00735726" w:rsidRDefault="00297BCA" w:rsidP="00297BCA">
            <w:pPr>
              <w:pStyle w:val="03body"/>
              <w:spacing w:line="276" w:lineRule="auto"/>
              <w:outlineLvl w:val="0"/>
              <w:rPr>
                <w:rFonts w:cs="Arial"/>
                <w:b/>
                <w:bCs/>
                <w:color w:val="auto"/>
              </w:rPr>
            </w:pPr>
            <w:r w:rsidRPr="00735726">
              <w:rPr>
                <w:rFonts w:cs="Arial"/>
                <w:b/>
                <w:bCs/>
                <w:color w:val="auto"/>
              </w:rPr>
              <w:t>Water quality and resilience</w:t>
            </w:r>
          </w:p>
          <w:p w14:paraId="1465710F" w14:textId="77777777" w:rsidR="00297BCA" w:rsidRPr="00735726" w:rsidRDefault="00297BCA" w:rsidP="00297BCA">
            <w:pPr>
              <w:pStyle w:val="03body"/>
              <w:spacing w:line="276" w:lineRule="auto"/>
              <w:outlineLvl w:val="0"/>
              <w:rPr>
                <w:rFonts w:cs="Arial"/>
                <w:b/>
                <w:bCs/>
                <w:color w:val="auto"/>
              </w:rPr>
            </w:pPr>
          </w:p>
          <w:p w14:paraId="12AF144E" w14:textId="77777777" w:rsidR="00297BCA" w:rsidRPr="00735726" w:rsidRDefault="00297BCA" w:rsidP="00297BCA">
            <w:pPr>
              <w:pStyle w:val="03body"/>
              <w:spacing w:line="276" w:lineRule="auto"/>
              <w:outlineLvl w:val="0"/>
              <w:rPr>
                <w:rFonts w:cs="Arial"/>
                <w:b/>
                <w:bCs/>
                <w:color w:val="auto"/>
              </w:rPr>
            </w:pPr>
            <w:r w:rsidRPr="00735726">
              <w:rPr>
                <w:rFonts w:cs="Arial"/>
                <w:b/>
                <w:bCs/>
                <w:color w:val="auto"/>
              </w:rPr>
              <w:t>Storm overflows and pollutions</w:t>
            </w:r>
          </w:p>
          <w:p w14:paraId="2225C398" w14:textId="77777777" w:rsidR="00297BCA" w:rsidRPr="009A2CAE" w:rsidRDefault="00297BCA" w:rsidP="00470234">
            <w:pPr>
              <w:pStyle w:val="03body"/>
              <w:spacing w:line="240" w:lineRule="auto"/>
            </w:pPr>
          </w:p>
          <w:p w14:paraId="1DCD5C30" w14:textId="77777777" w:rsidR="00297BCA" w:rsidRPr="009A2CAE" w:rsidRDefault="00297BCA" w:rsidP="00470234">
            <w:pPr>
              <w:pStyle w:val="03body"/>
              <w:spacing w:line="240" w:lineRule="auto"/>
            </w:pPr>
          </w:p>
          <w:p w14:paraId="4E74C077" w14:textId="77777777" w:rsidR="00297BCA" w:rsidRPr="009A2CAE" w:rsidRDefault="00297BCA" w:rsidP="00A119EA"/>
        </w:tc>
        <w:tc>
          <w:tcPr>
            <w:tcW w:w="6611" w:type="dxa"/>
            <w:gridSpan w:val="2"/>
            <w:tcBorders>
              <w:top w:val="single" w:sz="4" w:space="0" w:color="auto"/>
              <w:left w:val="single" w:sz="4" w:space="0" w:color="auto"/>
              <w:bottom w:val="single" w:sz="4" w:space="0" w:color="auto"/>
              <w:right w:val="single" w:sz="4" w:space="0" w:color="auto"/>
            </w:tcBorders>
          </w:tcPr>
          <w:p w14:paraId="73E9959E" w14:textId="77777777" w:rsidR="00297BCA" w:rsidRPr="00735726" w:rsidRDefault="00297BCA" w:rsidP="00297BCA">
            <w:pPr>
              <w:pStyle w:val="03body"/>
              <w:spacing w:line="240" w:lineRule="auto"/>
              <w:rPr>
                <w:b/>
                <w:bCs/>
              </w:rPr>
            </w:pPr>
            <w:r w:rsidRPr="00735726">
              <w:rPr>
                <w:b/>
                <w:bCs/>
              </w:rPr>
              <w:t>Strategic impact:</w:t>
            </w:r>
          </w:p>
          <w:p w14:paraId="060DC3D7" w14:textId="63FA3292" w:rsidR="00297BCA" w:rsidRPr="00735726" w:rsidRDefault="00297BCA" w:rsidP="00297BCA">
            <w:pPr>
              <w:rPr>
                <w:rFonts w:ascii="Arial" w:hAnsi="Arial" w:cs="DINOT-Light"/>
                <w:color w:val="000000"/>
                <w:sz w:val="18"/>
                <w:szCs w:val="18"/>
              </w:rPr>
            </w:pPr>
            <w:r w:rsidRPr="00735726">
              <w:rPr>
                <w:rFonts w:ascii="Arial" w:hAnsi="Arial" w:cs="DINOT-Light"/>
                <w:color w:val="000000"/>
                <w:sz w:val="18"/>
                <w:szCs w:val="18"/>
              </w:rPr>
              <w:t>A significant health and safety event could result in financial penalties, significant legal costs and damage to the Company’s reputation.</w:t>
            </w:r>
          </w:p>
          <w:p w14:paraId="161E09AD" w14:textId="77777777" w:rsidR="00297BCA" w:rsidRPr="00735726" w:rsidRDefault="00297BCA" w:rsidP="00297BCA">
            <w:pPr>
              <w:pStyle w:val="03body"/>
              <w:spacing w:line="240" w:lineRule="auto"/>
              <w:rPr>
                <w:b/>
                <w:bCs/>
              </w:rPr>
            </w:pPr>
            <w:r w:rsidRPr="00735726">
              <w:rPr>
                <w:b/>
                <w:bCs/>
              </w:rPr>
              <w:t>Mitigation:</w:t>
            </w:r>
          </w:p>
          <w:p w14:paraId="10ED9533" w14:textId="389F3A60" w:rsidR="00A119EA" w:rsidRPr="00735726" w:rsidRDefault="00A119EA" w:rsidP="00A119EA">
            <w:pPr>
              <w:rPr>
                <w:rFonts w:ascii="Arial" w:hAnsi="Arial" w:cs="DINOT-Light"/>
                <w:color w:val="000000"/>
                <w:sz w:val="18"/>
                <w:szCs w:val="18"/>
              </w:rPr>
            </w:pPr>
            <w:r w:rsidRPr="00735726">
              <w:rPr>
                <w:rFonts w:ascii="Arial" w:hAnsi="Arial" w:cs="DINOT-Light"/>
                <w:color w:val="000000"/>
                <w:sz w:val="18"/>
                <w:szCs w:val="18"/>
              </w:rPr>
              <w:t xml:space="preserve">The Company has developed </w:t>
            </w:r>
            <w:proofErr w:type="spellStart"/>
            <w:r w:rsidRPr="00735726">
              <w:rPr>
                <w:rFonts w:ascii="Arial" w:hAnsi="Arial" w:cs="DINOT-Light"/>
                <w:color w:val="000000"/>
                <w:sz w:val="18"/>
                <w:szCs w:val="18"/>
              </w:rPr>
              <w:t>HomeSafe</w:t>
            </w:r>
            <w:proofErr w:type="spellEnd"/>
            <w:r w:rsidRPr="00735726">
              <w:rPr>
                <w:rFonts w:ascii="Arial" w:hAnsi="Arial" w:cs="DINOT-Light"/>
                <w:color w:val="000000"/>
                <w:sz w:val="18"/>
                <w:szCs w:val="18"/>
              </w:rPr>
              <w:t xml:space="preserve"> 2030 to ensure our plans and strategy are fit for the future and deliver continued improvements throughout AMP8.</w:t>
            </w:r>
          </w:p>
          <w:p w14:paraId="692D3F3E" w14:textId="48808D57" w:rsidR="00A119EA" w:rsidRPr="00735726" w:rsidRDefault="00A119EA" w:rsidP="00A119EA">
            <w:pPr>
              <w:rPr>
                <w:rFonts w:ascii="Arial" w:hAnsi="Arial" w:cs="DINOT-Light"/>
                <w:color w:val="000000"/>
                <w:sz w:val="18"/>
                <w:szCs w:val="18"/>
              </w:rPr>
            </w:pPr>
            <w:r w:rsidRPr="00735726">
              <w:rPr>
                <w:rFonts w:ascii="Arial" w:hAnsi="Arial" w:cs="DINOT-Light"/>
                <w:color w:val="000000"/>
                <w:sz w:val="18"/>
                <w:szCs w:val="18"/>
              </w:rPr>
              <w:t xml:space="preserve">Established health and safety training, procedures and reporting systems are complemented by </w:t>
            </w:r>
            <w:proofErr w:type="gramStart"/>
            <w:r w:rsidRPr="00735726">
              <w:rPr>
                <w:rFonts w:ascii="Arial" w:hAnsi="Arial" w:cs="DINOT-Light"/>
                <w:color w:val="000000"/>
                <w:sz w:val="18"/>
                <w:szCs w:val="18"/>
              </w:rPr>
              <w:t>site based</w:t>
            </w:r>
            <w:proofErr w:type="gramEnd"/>
            <w:r w:rsidRPr="00735726">
              <w:rPr>
                <w:rFonts w:ascii="Arial" w:hAnsi="Arial" w:cs="DINOT-Light"/>
                <w:color w:val="000000"/>
                <w:sz w:val="18"/>
                <w:szCs w:val="18"/>
              </w:rPr>
              <w:t xml:space="preserve"> investment, regular site visits by senior staff, initiatives such as Site Pride and </w:t>
            </w:r>
            <w:proofErr w:type="spellStart"/>
            <w:r w:rsidRPr="00735726">
              <w:rPr>
                <w:rFonts w:ascii="Arial" w:hAnsi="Arial" w:cs="DINOT-Light"/>
                <w:color w:val="000000"/>
                <w:sz w:val="18"/>
                <w:szCs w:val="18"/>
              </w:rPr>
              <w:t>HomeSafe</w:t>
            </w:r>
            <w:proofErr w:type="spellEnd"/>
            <w:r w:rsidRPr="00735726">
              <w:rPr>
                <w:rFonts w:ascii="Arial" w:hAnsi="Arial" w:cs="DINOT-Light"/>
                <w:color w:val="000000"/>
                <w:sz w:val="18"/>
                <w:szCs w:val="18"/>
              </w:rPr>
              <w:t xml:space="preserve"> Live as well a regular programme of wellbeing events.</w:t>
            </w:r>
          </w:p>
          <w:p w14:paraId="302257B0" w14:textId="77777777" w:rsidR="00297BCA" w:rsidRPr="00735726" w:rsidRDefault="00A119EA" w:rsidP="00A119EA">
            <w:pPr>
              <w:rPr>
                <w:rFonts w:ascii="Arial" w:hAnsi="Arial" w:cs="DINOT-Light"/>
                <w:color w:val="000000"/>
                <w:sz w:val="18"/>
                <w:szCs w:val="18"/>
              </w:rPr>
            </w:pPr>
            <w:r w:rsidRPr="00735726">
              <w:rPr>
                <w:rFonts w:ascii="Arial" w:hAnsi="Arial" w:cs="DINOT-Light"/>
                <w:color w:val="000000"/>
                <w:sz w:val="18"/>
                <w:szCs w:val="18"/>
              </w:rPr>
              <w:t>Health and safety performance is monitored by the Executive and the respective Board and Executive Health and Safety Committees.</w:t>
            </w:r>
          </w:p>
          <w:p w14:paraId="10644F5E" w14:textId="21B74376" w:rsidR="00A119EA" w:rsidRPr="00735726" w:rsidRDefault="00A119EA" w:rsidP="00A119EA">
            <w:pPr>
              <w:autoSpaceDE w:val="0"/>
              <w:autoSpaceDN w:val="0"/>
              <w:adjustRightInd w:val="0"/>
              <w:rPr>
                <w:rFonts w:ascii="Arial" w:hAnsi="Arial" w:cs="DINOT-Light"/>
                <w:b/>
                <w:bCs/>
                <w:color w:val="000000"/>
                <w:sz w:val="18"/>
                <w:szCs w:val="18"/>
              </w:rPr>
            </w:pPr>
            <w:r w:rsidRPr="00735726">
              <w:rPr>
                <w:rFonts w:ascii="Arial" w:hAnsi="Arial" w:cs="DINOT-Light"/>
                <w:color w:val="000000"/>
                <w:sz w:val="18"/>
                <w:szCs w:val="18"/>
              </w:rPr>
              <w:t>Climate change influence:</w:t>
            </w:r>
            <w:r w:rsidRPr="00735726">
              <w:rPr>
                <w:rFonts w:ascii="Arial" w:hAnsi="Arial" w:cs="DINOT-Light"/>
                <w:b/>
                <w:bCs/>
                <w:color w:val="000000"/>
                <w:sz w:val="18"/>
                <w:szCs w:val="18"/>
              </w:rPr>
              <w:t xml:space="preserve"> Physical </w:t>
            </w:r>
          </w:p>
          <w:p w14:paraId="3977FEE0" w14:textId="0EA3C08A" w:rsidR="00A119EA" w:rsidRPr="009A2CAE" w:rsidRDefault="00A119EA" w:rsidP="00A119EA">
            <w:pPr>
              <w:autoSpaceDE w:val="0"/>
              <w:autoSpaceDN w:val="0"/>
              <w:adjustRightInd w:val="0"/>
            </w:pPr>
            <w:r w:rsidRPr="00735726">
              <w:rPr>
                <w:rFonts w:ascii="Arial" w:hAnsi="Arial" w:cs="DINOT-Light"/>
                <w:color w:val="000000"/>
                <w:sz w:val="18"/>
                <w:szCs w:val="18"/>
              </w:rPr>
              <w:t>Nature change influence:</w:t>
            </w:r>
            <w:r w:rsidRPr="00735726">
              <w:rPr>
                <w:rFonts w:ascii="Arial" w:hAnsi="Arial" w:cs="DINOT-Light"/>
                <w:b/>
                <w:bCs/>
                <w:color w:val="000000"/>
                <w:sz w:val="18"/>
                <w:szCs w:val="18"/>
              </w:rPr>
              <w:t xml:space="preserve"> Physical</w:t>
            </w:r>
          </w:p>
        </w:tc>
      </w:tr>
    </w:tbl>
    <w:p w14:paraId="7C96164C" w14:textId="77777777" w:rsidR="000E6C31" w:rsidRPr="009A2CAE" w:rsidRDefault="000E6C31" w:rsidP="00277639">
      <w:pPr>
        <w:pStyle w:val="03body"/>
        <w:spacing w:line="276" w:lineRule="auto"/>
        <w:outlineLvl w:val="0"/>
        <w:rPr>
          <w:b/>
        </w:rPr>
      </w:pPr>
    </w:p>
    <w:p w14:paraId="24E25B4B" w14:textId="77777777" w:rsidR="000E6C31" w:rsidRPr="00735726" w:rsidRDefault="000E6C31" w:rsidP="000E6C31">
      <w:pPr>
        <w:pStyle w:val="03body"/>
        <w:spacing w:line="360" w:lineRule="auto"/>
        <w:outlineLvl w:val="0"/>
        <w:rPr>
          <w:b/>
        </w:rPr>
      </w:pPr>
      <w:r w:rsidRPr="00735726">
        <w:rPr>
          <w:b/>
        </w:rPr>
        <w:t>MARKET AND ECONOMIC CONDITIONS</w:t>
      </w:r>
    </w:p>
    <w:tbl>
      <w:tblPr>
        <w:tblStyle w:val="TableGrid"/>
        <w:tblW w:w="0" w:type="auto"/>
        <w:tblLook w:val="04A0" w:firstRow="1" w:lastRow="0" w:firstColumn="1" w:lastColumn="0" w:noHBand="0" w:noVBand="1"/>
      </w:tblPr>
      <w:tblGrid>
        <w:gridCol w:w="2599"/>
        <w:gridCol w:w="1915"/>
        <w:gridCol w:w="4502"/>
      </w:tblGrid>
      <w:tr w:rsidR="000E6C31" w:rsidRPr="00735726" w14:paraId="60B0B202" w14:textId="77777777" w:rsidTr="00470234">
        <w:tc>
          <w:tcPr>
            <w:tcW w:w="9016" w:type="dxa"/>
            <w:gridSpan w:val="3"/>
          </w:tcPr>
          <w:p w14:paraId="73676593" w14:textId="31166A1F" w:rsidR="000E6C31" w:rsidRPr="00735726" w:rsidRDefault="000E6C31" w:rsidP="00470234">
            <w:pPr>
              <w:pStyle w:val="03body"/>
              <w:spacing w:line="240" w:lineRule="auto"/>
              <w:rPr>
                <w:b/>
              </w:rPr>
            </w:pPr>
            <w:r w:rsidRPr="00735726">
              <w:rPr>
                <w:b/>
              </w:rPr>
              <w:t xml:space="preserve">Principal Risk </w:t>
            </w:r>
            <w:r w:rsidR="00A119EA" w:rsidRPr="00735726">
              <w:rPr>
                <w:b/>
              </w:rPr>
              <w:t>E</w:t>
            </w:r>
            <w:r w:rsidRPr="00735726">
              <w:rPr>
                <w:b/>
              </w:rPr>
              <w:t xml:space="preserve">: Macroeconomic </w:t>
            </w:r>
            <w:r w:rsidR="00EB3A62" w:rsidRPr="00735726">
              <w:rPr>
                <w:b/>
              </w:rPr>
              <w:t>near-term</w:t>
            </w:r>
            <w:r w:rsidRPr="00735726">
              <w:rPr>
                <w:b/>
              </w:rPr>
              <w:t xml:space="preserve"> risks impacting inflation, interest rates and power prices</w:t>
            </w:r>
          </w:p>
        </w:tc>
      </w:tr>
      <w:tr w:rsidR="00A119EA" w:rsidRPr="00735726" w14:paraId="01A5C6D4" w14:textId="77777777" w:rsidTr="00470234">
        <w:tc>
          <w:tcPr>
            <w:tcW w:w="4514" w:type="dxa"/>
            <w:gridSpan w:val="2"/>
          </w:tcPr>
          <w:p w14:paraId="75A9EF6F" w14:textId="14CF868C" w:rsidR="00A119EA" w:rsidRPr="00735726" w:rsidRDefault="00A119EA" w:rsidP="00A119EA">
            <w:pPr>
              <w:pStyle w:val="03body"/>
              <w:spacing w:line="240" w:lineRule="auto"/>
              <w:rPr>
                <w:b/>
              </w:rPr>
            </w:pPr>
            <w:r w:rsidRPr="00735726">
              <w:rPr>
                <w:b/>
              </w:rPr>
              <w:t xml:space="preserve">2026 Net risk and direction: </w:t>
            </w:r>
          </w:p>
        </w:tc>
        <w:tc>
          <w:tcPr>
            <w:tcW w:w="4502" w:type="dxa"/>
          </w:tcPr>
          <w:p w14:paraId="13536712" w14:textId="509C048F" w:rsidR="00A119EA" w:rsidRPr="00735726" w:rsidRDefault="00A119EA" w:rsidP="00A119EA">
            <w:pPr>
              <w:pStyle w:val="03body"/>
              <w:spacing w:line="240" w:lineRule="auto"/>
              <w:rPr>
                <w:b/>
              </w:rPr>
            </w:pPr>
            <w:r w:rsidRPr="00735726">
              <w:rPr>
                <w:b/>
              </w:rPr>
              <w:t xml:space="preserve">2025 Net risk and direction: </w:t>
            </w:r>
          </w:p>
        </w:tc>
      </w:tr>
      <w:tr w:rsidR="00A119EA" w:rsidRPr="00735726" w14:paraId="1F76E092" w14:textId="77777777" w:rsidTr="00470234">
        <w:tc>
          <w:tcPr>
            <w:tcW w:w="4514" w:type="dxa"/>
            <w:gridSpan w:val="2"/>
          </w:tcPr>
          <w:p w14:paraId="4FC969B6" w14:textId="43D5276D" w:rsidR="00A119EA" w:rsidRPr="00735726" w:rsidRDefault="00A119EA" w:rsidP="00A119EA">
            <w:pPr>
              <w:pStyle w:val="03body"/>
              <w:spacing w:line="240" w:lineRule="auto"/>
              <w:rPr>
                <w:b/>
              </w:rPr>
            </w:pPr>
            <w:r w:rsidRPr="00735726">
              <w:rPr>
                <w:b/>
              </w:rPr>
              <w:t>MEDIUM, STABLE</w:t>
            </w:r>
          </w:p>
        </w:tc>
        <w:tc>
          <w:tcPr>
            <w:tcW w:w="4502" w:type="dxa"/>
          </w:tcPr>
          <w:p w14:paraId="7CE95BE2" w14:textId="00C49B45" w:rsidR="00A119EA" w:rsidRPr="00735726" w:rsidRDefault="00A119EA" w:rsidP="00A119EA">
            <w:pPr>
              <w:pStyle w:val="03body"/>
              <w:spacing w:line="240" w:lineRule="auto"/>
              <w:rPr>
                <w:b/>
              </w:rPr>
            </w:pPr>
            <w:r w:rsidRPr="00735726">
              <w:rPr>
                <w:b/>
              </w:rPr>
              <w:t>HIGH, INCREASING</w:t>
            </w:r>
          </w:p>
        </w:tc>
      </w:tr>
      <w:tr w:rsidR="00A119EA" w:rsidRPr="00735726" w14:paraId="176C607E" w14:textId="77777777" w:rsidTr="00BE1DCF">
        <w:trPr>
          <w:trHeight w:val="841"/>
        </w:trPr>
        <w:tc>
          <w:tcPr>
            <w:tcW w:w="2599" w:type="dxa"/>
          </w:tcPr>
          <w:p w14:paraId="2FDA0393" w14:textId="7D88BFFB" w:rsidR="00A119EA" w:rsidRPr="00735726" w:rsidRDefault="00A119EA" w:rsidP="00470234">
            <w:pPr>
              <w:pStyle w:val="03body"/>
              <w:spacing w:line="276" w:lineRule="auto"/>
              <w:outlineLvl w:val="0"/>
              <w:rPr>
                <w:b/>
              </w:rPr>
            </w:pPr>
            <w:r w:rsidRPr="00735726">
              <w:rPr>
                <w:b/>
              </w:rPr>
              <w:t>Strategic priorities:</w:t>
            </w:r>
          </w:p>
          <w:p w14:paraId="03C68364" w14:textId="77777777" w:rsidR="00A119EA" w:rsidRPr="009A2CAE" w:rsidRDefault="00A119EA" w:rsidP="00470234">
            <w:pPr>
              <w:pStyle w:val="03body"/>
              <w:spacing w:line="276" w:lineRule="auto"/>
              <w:outlineLvl w:val="0"/>
              <w:rPr>
                <w:bCs/>
              </w:rPr>
            </w:pPr>
          </w:p>
          <w:p w14:paraId="04FD2ED5" w14:textId="77777777" w:rsidR="00A119EA" w:rsidRPr="00735726" w:rsidRDefault="00A119EA" w:rsidP="00A119EA">
            <w:pPr>
              <w:pStyle w:val="03body"/>
              <w:spacing w:line="276" w:lineRule="auto"/>
              <w:outlineLvl w:val="0"/>
              <w:rPr>
                <w:rFonts w:cs="Arial"/>
                <w:b/>
                <w:bCs/>
                <w:color w:val="auto"/>
              </w:rPr>
            </w:pPr>
            <w:r w:rsidRPr="00735726">
              <w:rPr>
                <w:rFonts w:cs="Arial"/>
                <w:b/>
                <w:bCs/>
                <w:color w:val="auto"/>
              </w:rPr>
              <w:t>Net Zero and environmental gains</w:t>
            </w:r>
          </w:p>
          <w:p w14:paraId="7FFA61BD" w14:textId="77777777" w:rsidR="00A119EA" w:rsidRPr="00735726" w:rsidRDefault="00A119EA" w:rsidP="00A119EA">
            <w:pPr>
              <w:pStyle w:val="03body"/>
              <w:spacing w:line="276" w:lineRule="auto"/>
              <w:outlineLvl w:val="0"/>
              <w:rPr>
                <w:rFonts w:cs="Arial"/>
                <w:b/>
                <w:bCs/>
                <w:color w:val="auto"/>
              </w:rPr>
            </w:pPr>
          </w:p>
          <w:p w14:paraId="5D643D83" w14:textId="438490FD" w:rsidR="00A119EA" w:rsidRPr="009A2CAE" w:rsidRDefault="00A119EA" w:rsidP="00A119EA">
            <w:pPr>
              <w:pStyle w:val="03body"/>
              <w:spacing w:line="240" w:lineRule="auto"/>
            </w:pPr>
            <w:r w:rsidRPr="00735726">
              <w:rPr>
                <w:rFonts w:cs="Arial"/>
                <w:b/>
                <w:bCs/>
                <w:color w:val="auto"/>
              </w:rPr>
              <w:t>Addressing affordability and delivering for our customers</w:t>
            </w:r>
          </w:p>
          <w:p w14:paraId="6998A207" w14:textId="77777777" w:rsidR="00A119EA" w:rsidRPr="009A2CAE" w:rsidRDefault="00A119EA" w:rsidP="00470234">
            <w:pPr>
              <w:pStyle w:val="03body"/>
              <w:spacing w:line="240" w:lineRule="auto"/>
            </w:pPr>
          </w:p>
          <w:p w14:paraId="1F8CE5C6" w14:textId="461DDEE2" w:rsidR="00A119EA" w:rsidRPr="009A2CAE" w:rsidRDefault="00A119EA" w:rsidP="00470234">
            <w:pPr>
              <w:rPr>
                <w:rFonts w:ascii="Arial" w:hAnsi="Arial" w:cs="DINOT-Light"/>
                <w:b/>
                <w:bCs/>
                <w:color w:val="000000"/>
                <w:sz w:val="18"/>
                <w:szCs w:val="18"/>
              </w:rPr>
            </w:pPr>
            <w:r w:rsidRPr="009A2CAE">
              <w:rPr>
                <w:rFonts w:ascii="Arial" w:hAnsi="Arial" w:cs="DINOT-Light"/>
                <w:b/>
                <w:bCs/>
                <w:color w:val="000000"/>
                <w:sz w:val="18"/>
                <w:szCs w:val="18"/>
              </w:rPr>
              <w:lastRenderedPageBreak/>
              <w:br/>
            </w:r>
          </w:p>
          <w:p w14:paraId="7B57A0BD" w14:textId="77777777" w:rsidR="00A119EA" w:rsidRPr="009A2CAE" w:rsidRDefault="00A119EA" w:rsidP="00470234">
            <w:pPr>
              <w:rPr>
                <w:rFonts w:ascii="Arial" w:hAnsi="Arial" w:cs="DINOT-Light"/>
                <w:color w:val="000000"/>
                <w:sz w:val="18"/>
                <w:szCs w:val="18"/>
              </w:rPr>
            </w:pPr>
          </w:p>
        </w:tc>
        <w:tc>
          <w:tcPr>
            <w:tcW w:w="6417" w:type="dxa"/>
            <w:gridSpan w:val="2"/>
          </w:tcPr>
          <w:p w14:paraId="6D94ABEC" w14:textId="77777777" w:rsidR="00A119EA" w:rsidRPr="00735726" w:rsidRDefault="00A119EA" w:rsidP="00A119EA">
            <w:pPr>
              <w:pStyle w:val="03body"/>
              <w:spacing w:line="276" w:lineRule="auto"/>
              <w:outlineLvl w:val="0"/>
            </w:pPr>
            <w:r w:rsidRPr="00735726">
              <w:rPr>
                <w:b/>
              </w:rPr>
              <w:lastRenderedPageBreak/>
              <w:t>Strategic impact:</w:t>
            </w:r>
          </w:p>
          <w:p w14:paraId="7B946781" w14:textId="79E1FB47" w:rsidR="00A119EA" w:rsidRPr="00735726" w:rsidRDefault="00A119EA" w:rsidP="00A119EA">
            <w:pPr>
              <w:pStyle w:val="03body"/>
              <w:spacing w:line="276" w:lineRule="auto"/>
              <w:outlineLvl w:val="0"/>
            </w:pPr>
            <w:r w:rsidRPr="00735726">
              <w:t xml:space="preserve">Significant changes in inflation, interest rates and power prices could increase the Company’s </w:t>
            </w:r>
            <w:r w:rsidR="00F52603" w:rsidRPr="00735726">
              <w:t>near-term</w:t>
            </w:r>
            <w:r w:rsidRPr="00735726">
              <w:t xml:space="preserve"> cost base.</w:t>
            </w:r>
          </w:p>
          <w:p w14:paraId="0753B9ED" w14:textId="77777777" w:rsidR="00A119EA" w:rsidRPr="00735726" w:rsidRDefault="00A119EA" w:rsidP="00A119EA">
            <w:pPr>
              <w:pStyle w:val="03body"/>
              <w:spacing w:line="276" w:lineRule="auto"/>
              <w:outlineLvl w:val="0"/>
            </w:pPr>
          </w:p>
          <w:p w14:paraId="32106887" w14:textId="77777777" w:rsidR="00A119EA" w:rsidRPr="00735726" w:rsidRDefault="00A119EA" w:rsidP="00A119EA">
            <w:pPr>
              <w:pStyle w:val="03body"/>
              <w:spacing w:line="276" w:lineRule="auto"/>
              <w:outlineLvl w:val="0"/>
              <w:rPr>
                <w:b/>
              </w:rPr>
            </w:pPr>
            <w:r w:rsidRPr="00735726">
              <w:rPr>
                <w:b/>
              </w:rPr>
              <w:t>Mitigation:</w:t>
            </w:r>
          </w:p>
          <w:p w14:paraId="52AC65B7" w14:textId="43F1ECDF" w:rsidR="007A70C4" w:rsidRPr="00735726" w:rsidRDefault="00A119EA" w:rsidP="00A119EA">
            <w:pPr>
              <w:rPr>
                <w:rFonts w:ascii="Arial" w:hAnsi="Arial" w:cs="DINOT-Light"/>
                <w:color w:val="000000"/>
                <w:sz w:val="18"/>
                <w:szCs w:val="18"/>
              </w:rPr>
            </w:pPr>
            <w:r w:rsidRPr="00735726">
              <w:rPr>
                <w:rFonts w:ascii="Arial" w:hAnsi="Arial" w:cs="DINOT-Light"/>
                <w:color w:val="000000"/>
                <w:sz w:val="18"/>
                <w:szCs w:val="18"/>
              </w:rPr>
              <w:t>The Company maintains a manageable debt maturity profile and diverse funding mix with c.2</w:t>
            </w:r>
            <w:r w:rsidR="006D18DA" w:rsidRPr="00735726">
              <w:rPr>
                <w:rFonts w:ascii="Arial" w:hAnsi="Arial" w:cs="DINOT-Light"/>
                <w:color w:val="000000"/>
                <w:sz w:val="18"/>
                <w:szCs w:val="18"/>
              </w:rPr>
              <w:t>0</w:t>
            </w:r>
            <w:r w:rsidRPr="00735726">
              <w:rPr>
                <w:rFonts w:ascii="Arial" w:hAnsi="Arial" w:cs="DINOT-Light"/>
                <w:color w:val="000000"/>
                <w:sz w:val="18"/>
                <w:szCs w:val="18"/>
              </w:rPr>
              <w:t xml:space="preserve">% index-linked which is continuously monitored. </w:t>
            </w:r>
            <w:r w:rsidRPr="00735726">
              <w:rPr>
                <w:rFonts w:ascii="Arial" w:hAnsi="Arial" w:cs="DINOT-Light"/>
                <w:color w:val="000000"/>
                <w:sz w:val="18"/>
                <w:szCs w:val="18"/>
              </w:rPr>
              <w:lastRenderedPageBreak/>
              <w:t>Additionally, a significant proportion of the Company’s power prices have been hedged for the next 24 months in line with defined levels.</w:t>
            </w:r>
          </w:p>
          <w:p w14:paraId="24437884" w14:textId="6EFF4950" w:rsidR="00A119EA" w:rsidRPr="00735726" w:rsidRDefault="00A119EA" w:rsidP="00A119EA">
            <w:pPr>
              <w:rPr>
                <w:rFonts w:ascii="Arial" w:hAnsi="Arial" w:cs="DINOT-Light"/>
                <w:color w:val="000000"/>
                <w:sz w:val="18"/>
                <w:szCs w:val="18"/>
              </w:rPr>
            </w:pPr>
            <w:r w:rsidRPr="00735726">
              <w:rPr>
                <w:rFonts w:ascii="Arial" w:hAnsi="Arial" w:cs="DINOT-Light"/>
                <w:color w:val="000000"/>
                <w:sz w:val="18"/>
                <w:szCs w:val="18"/>
              </w:rPr>
              <w:t xml:space="preserve">The Company’s in-house procurement function drives value within strategic contracts and consumables through competitive sourcing and tendering processes. </w:t>
            </w:r>
          </w:p>
          <w:p w14:paraId="285EC4B2" w14:textId="77777777" w:rsidR="00A119EA" w:rsidRPr="00735726" w:rsidRDefault="00A119EA" w:rsidP="00A119EA">
            <w:pPr>
              <w:rPr>
                <w:rFonts w:ascii="Arial" w:hAnsi="Arial" w:cs="DINOT-Light"/>
                <w:color w:val="000000"/>
                <w:sz w:val="18"/>
                <w:szCs w:val="18"/>
              </w:rPr>
            </w:pPr>
            <w:r w:rsidRPr="00735726">
              <w:rPr>
                <w:rFonts w:ascii="Arial" w:hAnsi="Arial" w:cs="DINOT-Light"/>
                <w:color w:val="000000"/>
                <w:sz w:val="18"/>
                <w:szCs w:val="18"/>
              </w:rPr>
              <w:t>Long-term protection from an increasing inflationary environment is provided through regulatory mechanisms with inflation-linked revenues and RCV growth, along with regulatory true-ups.</w:t>
            </w:r>
          </w:p>
          <w:p w14:paraId="7F84743E" w14:textId="56ACB197" w:rsidR="00A119EA" w:rsidRPr="009A2CAE" w:rsidRDefault="00A119EA" w:rsidP="00A119EA">
            <w:pPr>
              <w:rPr>
                <w:rFonts w:ascii="Arial" w:hAnsi="Arial" w:cs="DINOT-Light"/>
                <w:color w:val="000000"/>
                <w:sz w:val="18"/>
                <w:szCs w:val="18"/>
              </w:rPr>
            </w:pPr>
            <w:r w:rsidRPr="00735726">
              <w:rPr>
                <w:rFonts w:ascii="Arial" w:hAnsi="Arial" w:cs="DINOT-Light"/>
                <w:color w:val="000000"/>
                <w:sz w:val="18"/>
                <w:szCs w:val="18"/>
              </w:rPr>
              <w:t>Climate change influence:</w:t>
            </w:r>
            <w:r w:rsidRPr="00735726">
              <w:rPr>
                <w:rFonts w:ascii="Arial" w:hAnsi="Arial" w:cs="DINOT-Light"/>
                <w:b/>
                <w:bCs/>
                <w:color w:val="000000"/>
                <w:sz w:val="18"/>
                <w:szCs w:val="18"/>
              </w:rPr>
              <w:t xml:space="preserve"> Transitional </w:t>
            </w:r>
            <w:r w:rsidRPr="00735726">
              <w:rPr>
                <w:rFonts w:ascii="Arial" w:hAnsi="Arial" w:cs="DINOT-Light"/>
                <w:b/>
                <w:bCs/>
                <w:color w:val="000000"/>
                <w:sz w:val="18"/>
                <w:szCs w:val="18"/>
              </w:rPr>
              <w:br/>
            </w:r>
            <w:r w:rsidRPr="00735726">
              <w:rPr>
                <w:rFonts w:ascii="Arial" w:hAnsi="Arial" w:cs="DINOT-Light"/>
                <w:color w:val="000000"/>
                <w:sz w:val="18"/>
                <w:szCs w:val="18"/>
              </w:rPr>
              <w:br/>
              <w:t>Nature change influence:</w:t>
            </w:r>
            <w:r w:rsidRPr="00735726">
              <w:rPr>
                <w:rFonts w:ascii="Arial" w:hAnsi="Arial" w:cs="DINOT-Light"/>
                <w:b/>
                <w:bCs/>
                <w:color w:val="000000"/>
                <w:sz w:val="18"/>
                <w:szCs w:val="18"/>
              </w:rPr>
              <w:t xml:space="preserve"> Transitional</w:t>
            </w:r>
          </w:p>
        </w:tc>
      </w:tr>
    </w:tbl>
    <w:p w14:paraId="3CDC0DAF" w14:textId="77777777" w:rsidR="007A70C4" w:rsidRPr="00735726" w:rsidRDefault="007A70C4" w:rsidP="00277639">
      <w:pPr>
        <w:pStyle w:val="03body"/>
        <w:spacing w:line="276" w:lineRule="auto"/>
        <w:outlineLvl w:val="0"/>
        <w:rPr>
          <w:b/>
        </w:rPr>
      </w:pPr>
    </w:p>
    <w:p w14:paraId="33BE7FE4" w14:textId="7B09AA6D" w:rsidR="000E6C31" w:rsidRPr="00735726" w:rsidRDefault="000E6C31" w:rsidP="000E6C31">
      <w:pPr>
        <w:pStyle w:val="03body"/>
        <w:spacing w:line="360" w:lineRule="auto"/>
        <w:outlineLvl w:val="0"/>
        <w:rPr>
          <w:b/>
        </w:rPr>
      </w:pPr>
      <w:r w:rsidRPr="00735726">
        <w:rPr>
          <w:b/>
        </w:rPr>
        <w:t>OPERATING PERFORMANCE</w:t>
      </w:r>
    </w:p>
    <w:tbl>
      <w:tblPr>
        <w:tblStyle w:val="TableGrid"/>
        <w:tblW w:w="0" w:type="auto"/>
        <w:tblLook w:val="04A0" w:firstRow="1" w:lastRow="0" w:firstColumn="1" w:lastColumn="0" w:noHBand="0" w:noVBand="1"/>
      </w:tblPr>
      <w:tblGrid>
        <w:gridCol w:w="2596"/>
        <w:gridCol w:w="7"/>
        <w:gridCol w:w="1904"/>
        <w:gridCol w:w="9"/>
        <w:gridCol w:w="4500"/>
      </w:tblGrid>
      <w:tr w:rsidR="000E6C31" w:rsidRPr="00735726" w14:paraId="04FFE55D" w14:textId="77777777" w:rsidTr="00277639">
        <w:trPr>
          <w:trHeight w:val="317"/>
        </w:trPr>
        <w:tc>
          <w:tcPr>
            <w:tcW w:w="9016" w:type="dxa"/>
            <w:gridSpan w:val="5"/>
          </w:tcPr>
          <w:p w14:paraId="3D085DB6" w14:textId="44C5F62B" w:rsidR="000E6C31" w:rsidRPr="00735726" w:rsidRDefault="000E6C31" w:rsidP="00470234">
            <w:pPr>
              <w:spacing w:after="0" w:line="240" w:lineRule="auto"/>
              <w:rPr>
                <w:rFonts w:ascii="Arial" w:hAnsi="Arial" w:cs="Arial"/>
                <w:b/>
                <w:sz w:val="18"/>
                <w:szCs w:val="18"/>
              </w:rPr>
            </w:pPr>
            <w:r w:rsidRPr="00735726">
              <w:rPr>
                <w:rFonts w:ascii="Arial" w:hAnsi="Arial" w:cs="Arial"/>
                <w:b/>
                <w:sz w:val="18"/>
                <w:szCs w:val="18"/>
              </w:rPr>
              <w:t xml:space="preserve">Principal Risk </w:t>
            </w:r>
            <w:r w:rsidR="001621C9" w:rsidRPr="00735726">
              <w:rPr>
                <w:rFonts w:ascii="Arial" w:hAnsi="Arial" w:cs="Arial"/>
                <w:b/>
                <w:sz w:val="18"/>
                <w:szCs w:val="18"/>
              </w:rPr>
              <w:t>F</w:t>
            </w:r>
            <w:r w:rsidRPr="00735726">
              <w:rPr>
                <w:rFonts w:ascii="Arial" w:hAnsi="Arial" w:cs="Arial"/>
                <w:b/>
                <w:sz w:val="18"/>
                <w:szCs w:val="18"/>
              </w:rPr>
              <w:t xml:space="preserve">: </w:t>
            </w:r>
            <w:r w:rsidRPr="00735726">
              <w:rPr>
                <w:rFonts w:ascii="Arial" w:hAnsi="Arial" w:cs="DINOT-Light"/>
                <w:b/>
                <w:color w:val="000000"/>
                <w:sz w:val="18"/>
                <w:szCs w:val="18"/>
              </w:rPr>
              <w:t>Failure to secure, treat and supply clean drinking water</w:t>
            </w:r>
          </w:p>
        </w:tc>
      </w:tr>
      <w:tr w:rsidR="001621C9" w:rsidRPr="00735726" w14:paraId="3CCC26A7" w14:textId="77777777" w:rsidTr="00470234">
        <w:tc>
          <w:tcPr>
            <w:tcW w:w="4507" w:type="dxa"/>
            <w:gridSpan w:val="3"/>
          </w:tcPr>
          <w:p w14:paraId="680ED6E2" w14:textId="160ED16C" w:rsidR="001621C9" w:rsidRPr="00735726" w:rsidRDefault="001621C9" w:rsidP="001621C9">
            <w:pPr>
              <w:pStyle w:val="03body"/>
              <w:spacing w:line="240" w:lineRule="auto"/>
              <w:rPr>
                <w:b/>
              </w:rPr>
            </w:pPr>
            <w:r w:rsidRPr="00735726">
              <w:rPr>
                <w:b/>
              </w:rPr>
              <w:t xml:space="preserve">2026 Net risk and direction: </w:t>
            </w:r>
          </w:p>
        </w:tc>
        <w:tc>
          <w:tcPr>
            <w:tcW w:w="4509" w:type="dxa"/>
            <w:gridSpan w:val="2"/>
          </w:tcPr>
          <w:p w14:paraId="1C567B7D" w14:textId="4448F9ED" w:rsidR="001621C9" w:rsidRPr="00735726" w:rsidRDefault="001621C9" w:rsidP="001621C9">
            <w:pPr>
              <w:pStyle w:val="03body"/>
              <w:spacing w:line="240" w:lineRule="auto"/>
              <w:rPr>
                <w:b/>
              </w:rPr>
            </w:pPr>
            <w:r w:rsidRPr="00735726">
              <w:rPr>
                <w:b/>
              </w:rPr>
              <w:t xml:space="preserve">2025 Net risk and direction: </w:t>
            </w:r>
          </w:p>
        </w:tc>
      </w:tr>
      <w:tr w:rsidR="001621C9" w:rsidRPr="00735726" w14:paraId="457CD0E8" w14:textId="77777777" w:rsidTr="00470234">
        <w:tc>
          <w:tcPr>
            <w:tcW w:w="4507" w:type="dxa"/>
            <w:gridSpan w:val="3"/>
          </w:tcPr>
          <w:p w14:paraId="7EF3B001" w14:textId="61ACC6C9" w:rsidR="001621C9" w:rsidRPr="00735726" w:rsidRDefault="001621C9" w:rsidP="001621C9">
            <w:pPr>
              <w:pStyle w:val="03body"/>
              <w:spacing w:line="240" w:lineRule="auto"/>
              <w:rPr>
                <w:b/>
              </w:rPr>
            </w:pPr>
            <w:r w:rsidRPr="00735726">
              <w:rPr>
                <w:b/>
              </w:rPr>
              <w:t>MEDIUM, STABLE</w:t>
            </w:r>
          </w:p>
        </w:tc>
        <w:tc>
          <w:tcPr>
            <w:tcW w:w="4509" w:type="dxa"/>
            <w:gridSpan w:val="2"/>
          </w:tcPr>
          <w:p w14:paraId="65B4004F" w14:textId="6E43AC43" w:rsidR="001621C9" w:rsidRPr="00735726" w:rsidRDefault="001621C9" w:rsidP="001621C9">
            <w:pPr>
              <w:pStyle w:val="03body"/>
              <w:spacing w:line="240" w:lineRule="auto"/>
              <w:rPr>
                <w:b/>
              </w:rPr>
            </w:pPr>
            <w:r w:rsidRPr="00735726">
              <w:rPr>
                <w:b/>
              </w:rPr>
              <w:t>MEDIUM, INCREASING</w:t>
            </w:r>
          </w:p>
        </w:tc>
      </w:tr>
      <w:tr w:rsidR="001621C9" w:rsidRPr="00735726" w14:paraId="536DFA9C" w14:textId="77777777" w:rsidTr="00F112F6">
        <w:tc>
          <w:tcPr>
            <w:tcW w:w="2596" w:type="dxa"/>
          </w:tcPr>
          <w:p w14:paraId="193907C1" w14:textId="77777777" w:rsidR="001621C9" w:rsidRPr="00735726" w:rsidRDefault="001621C9" w:rsidP="001621C9">
            <w:pPr>
              <w:pStyle w:val="03body"/>
              <w:spacing w:line="276" w:lineRule="auto"/>
              <w:outlineLvl w:val="0"/>
              <w:rPr>
                <w:b/>
              </w:rPr>
            </w:pPr>
            <w:r w:rsidRPr="00735726">
              <w:rPr>
                <w:b/>
              </w:rPr>
              <w:t>Strategic priorities:</w:t>
            </w:r>
          </w:p>
          <w:p w14:paraId="72D9BBFD" w14:textId="77777777" w:rsidR="001621C9" w:rsidRPr="00735726" w:rsidRDefault="001621C9" w:rsidP="00470234">
            <w:pPr>
              <w:pStyle w:val="03body"/>
              <w:spacing w:line="276" w:lineRule="auto"/>
              <w:outlineLvl w:val="0"/>
              <w:rPr>
                <w:rFonts w:cs="Arial"/>
                <w:b/>
                <w:bCs/>
                <w:color w:val="auto"/>
              </w:rPr>
            </w:pPr>
          </w:p>
          <w:p w14:paraId="7BD364C4" w14:textId="4A181A25" w:rsidR="001621C9" w:rsidRPr="00735726" w:rsidRDefault="001621C9" w:rsidP="00470234">
            <w:pPr>
              <w:rPr>
                <w:rFonts w:ascii="Arial" w:hAnsi="Arial" w:cs="DINOT-Light"/>
                <w:b/>
                <w:color w:val="000000"/>
                <w:sz w:val="18"/>
                <w:szCs w:val="18"/>
              </w:rPr>
            </w:pPr>
            <w:r w:rsidRPr="00735726">
              <w:rPr>
                <w:rFonts w:ascii="Arial" w:hAnsi="Arial" w:cs="DINOT-Light"/>
                <w:b/>
                <w:color w:val="000000"/>
                <w:sz w:val="18"/>
                <w:szCs w:val="18"/>
              </w:rPr>
              <w:t>Water quality and resilience</w:t>
            </w:r>
          </w:p>
          <w:p w14:paraId="2726A899" w14:textId="77777777" w:rsidR="001621C9" w:rsidRPr="00735726" w:rsidRDefault="001621C9" w:rsidP="00A15BF2">
            <w:pPr>
              <w:rPr>
                <w:b/>
              </w:rPr>
            </w:pPr>
          </w:p>
        </w:tc>
        <w:tc>
          <w:tcPr>
            <w:tcW w:w="6420" w:type="dxa"/>
            <w:gridSpan w:val="4"/>
          </w:tcPr>
          <w:p w14:paraId="61F3C8DF" w14:textId="77777777" w:rsidR="001621C9" w:rsidRPr="00735726" w:rsidRDefault="001621C9" w:rsidP="001621C9">
            <w:pPr>
              <w:pStyle w:val="03body"/>
              <w:spacing w:line="276" w:lineRule="auto"/>
              <w:outlineLvl w:val="0"/>
            </w:pPr>
            <w:r w:rsidRPr="00735726">
              <w:rPr>
                <w:b/>
              </w:rPr>
              <w:t>Strategic impact:</w:t>
            </w:r>
          </w:p>
          <w:p w14:paraId="62C7DB52" w14:textId="77777777" w:rsidR="001621C9" w:rsidRPr="00735726" w:rsidRDefault="001621C9" w:rsidP="001621C9">
            <w:pPr>
              <w:rPr>
                <w:rFonts w:ascii="Arial" w:hAnsi="Arial" w:cs="DINOT-Light"/>
                <w:color w:val="000000"/>
                <w:sz w:val="18"/>
                <w:szCs w:val="18"/>
              </w:rPr>
            </w:pPr>
            <w:r w:rsidRPr="00735726">
              <w:rPr>
                <w:rFonts w:ascii="Arial" w:hAnsi="Arial" w:cs="DINOT-Light"/>
                <w:color w:val="000000"/>
                <w:sz w:val="18"/>
                <w:szCs w:val="18"/>
              </w:rPr>
              <w:t>An inability to secure, produce or supply clean drinking water could result in financial penalties, regulatory enforcement and damage to the Company’s reputation.</w:t>
            </w:r>
          </w:p>
          <w:p w14:paraId="7837A9EB" w14:textId="77777777" w:rsidR="001621C9" w:rsidRPr="00735726" w:rsidRDefault="001621C9" w:rsidP="001621C9">
            <w:pPr>
              <w:pStyle w:val="03body"/>
              <w:spacing w:line="276" w:lineRule="auto"/>
              <w:outlineLvl w:val="0"/>
              <w:rPr>
                <w:b/>
              </w:rPr>
            </w:pPr>
            <w:r w:rsidRPr="00735726">
              <w:rPr>
                <w:b/>
              </w:rPr>
              <w:t>Mitigation:</w:t>
            </w:r>
          </w:p>
          <w:p w14:paraId="6140732E" w14:textId="77777777" w:rsidR="001621C9" w:rsidRPr="00735726" w:rsidRDefault="001621C9" w:rsidP="001621C9">
            <w:pPr>
              <w:rPr>
                <w:rFonts w:ascii="Arial" w:hAnsi="Arial" w:cs="DINOT-Light"/>
                <w:color w:val="000000"/>
                <w:sz w:val="18"/>
                <w:szCs w:val="18"/>
              </w:rPr>
            </w:pPr>
            <w:r w:rsidRPr="00735726">
              <w:rPr>
                <w:rFonts w:ascii="Arial" w:hAnsi="Arial" w:cs="DINOT-Light"/>
                <w:color w:val="000000"/>
                <w:sz w:val="18"/>
                <w:szCs w:val="18"/>
              </w:rPr>
              <w:t xml:space="preserve">The Company strengthens the reliability and quality of drinking water supplies through diversified water resource planning, routine planned and preventative maintenance works, and continuous asset and network monitoring via the 24/7 Control Centre. Established incident response procedures and root cause analysis support recovery where such events occur, while investment in treatment works, catchment management, mains interventions, lead pipe replacement and monitoring of emerging contaminants </w:t>
            </w:r>
            <w:proofErr w:type="gramStart"/>
            <w:r w:rsidRPr="00735726">
              <w:rPr>
                <w:rFonts w:ascii="Arial" w:hAnsi="Arial" w:cs="DINOT-Light"/>
                <w:color w:val="000000"/>
                <w:sz w:val="18"/>
                <w:szCs w:val="18"/>
              </w:rPr>
              <w:t>helps</w:t>
            </w:r>
            <w:proofErr w:type="gramEnd"/>
            <w:r w:rsidRPr="00735726">
              <w:rPr>
                <w:rFonts w:ascii="Arial" w:hAnsi="Arial" w:cs="DINOT-Light"/>
                <w:color w:val="000000"/>
                <w:sz w:val="18"/>
                <w:szCs w:val="18"/>
              </w:rPr>
              <w:t xml:space="preserve"> protect water quality. Resilience is further supported through leakage reduction, demand management, smart metering, water efficiency initiatives, and the development of additional storage and network transfer capability to maintain supplies during periods of stress.</w:t>
            </w:r>
          </w:p>
          <w:p w14:paraId="09D88B8B" w14:textId="230782A6" w:rsidR="00A15BF2" w:rsidRPr="00735726" w:rsidRDefault="00A15BF2" w:rsidP="00A15BF2">
            <w:r w:rsidRPr="00735726">
              <w:rPr>
                <w:rFonts w:ascii="Arial" w:hAnsi="Arial" w:cs="DINOT-Light"/>
                <w:color w:val="000000"/>
                <w:sz w:val="18"/>
                <w:szCs w:val="18"/>
              </w:rPr>
              <w:t>Climate change influence:</w:t>
            </w:r>
            <w:r w:rsidRPr="00735726">
              <w:rPr>
                <w:rFonts w:ascii="Arial" w:hAnsi="Arial" w:cs="DINOT-Light"/>
                <w:b/>
                <w:bCs/>
                <w:color w:val="000000"/>
                <w:sz w:val="18"/>
                <w:szCs w:val="18"/>
              </w:rPr>
              <w:t xml:space="preserve"> Transitional / Physical</w:t>
            </w:r>
            <w:r w:rsidRPr="00735726">
              <w:rPr>
                <w:rFonts w:ascii="Arial" w:hAnsi="Arial" w:cs="DINOT-Light"/>
                <w:b/>
                <w:bCs/>
                <w:color w:val="000000"/>
                <w:sz w:val="18"/>
                <w:szCs w:val="18"/>
              </w:rPr>
              <w:br/>
            </w:r>
            <w:r w:rsidRPr="00735726">
              <w:rPr>
                <w:rFonts w:ascii="Arial" w:hAnsi="Arial" w:cs="DINOT-Light"/>
                <w:color w:val="000000"/>
                <w:sz w:val="18"/>
                <w:szCs w:val="18"/>
              </w:rPr>
              <w:br/>
              <w:t>Nature change influence:</w:t>
            </w:r>
            <w:r w:rsidRPr="00735726">
              <w:rPr>
                <w:rFonts w:ascii="Arial" w:hAnsi="Arial" w:cs="DINOT-Light"/>
                <w:b/>
                <w:bCs/>
                <w:color w:val="000000"/>
                <w:sz w:val="18"/>
                <w:szCs w:val="18"/>
              </w:rPr>
              <w:t xml:space="preserve"> Transitional / Physical</w:t>
            </w:r>
          </w:p>
        </w:tc>
      </w:tr>
      <w:tr w:rsidR="000E6C31" w:rsidRPr="00735726" w14:paraId="0FC29B6C" w14:textId="77777777" w:rsidTr="00470234">
        <w:tc>
          <w:tcPr>
            <w:tcW w:w="9016" w:type="dxa"/>
            <w:gridSpan w:val="5"/>
          </w:tcPr>
          <w:p w14:paraId="3D340578" w14:textId="1825FA6A" w:rsidR="000E6C31" w:rsidRPr="00735726" w:rsidRDefault="000E6C31" w:rsidP="00470234">
            <w:pPr>
              <w:spacing w:after="0"/>
              <w:rPr>
                <w:rFonts w:ascii="Arial" w:hAnsi="Arial" w:cs="Arial"/>
                <w:b/>
                <w:sz w:val="18"/>
                <w:szCs w:val="18"/>
              </w:rPr>
            </w:pPr>
            <w:r w:rsidRPr="00735726">
              <w:rPr>
                <w:rFonts w:ascii="Arial" w:hAnsi="Arial" w:cs="Arial"/>
                <w:b/>
                <w:sz w:val="18"/>
                <w:szCs w:val="18"/>
              </w:rPr>
              <w:t xml:space="preserve">Principal Risk </w:t>
            </w:r>
            <w:r w:rsidR="00FE1F09" w:rsidRPr="00735726">
              <w:rPr>
                <w:rFonts w:ascii="Arial" w:hAnsi="Arial" w:cs="Arial"/>
                <w:b/>
                <w:sz w:val="18"/>
                <w:szCs w:val="18"/>
              </w:rPr>
              <w:t>G</w:t>
            </w:r>
            <w:r w:rsidRPr="00735726">
              <w:rPr>
                <w:rFonts w:ascii="Arial" w:hAnsi="Arial" w:cs="Arial"/>
                <w:b/>
                <w:sz w:val="18"/>
                <w:szCs w:val="18"/>
              </w:rPr>
              <w:t xml:space="preserve">: </w:t>
            </w:r>
            <w:r w:rsidRPr="00735726">
              <w:rPr>
                <w:rFonts w:ascii="Arial" w:hAnsi="Arial" w:cs="DINOT-Light"/>
                <w:b/>
                <w:color w:val="000000"/>
                <w:sz w:val="18"/>
                <w:szCs w:val="18"/>
              </w:rPr>
              <w:t>Failure to improve wastewater performance resulting in environmental commitments not being delivered</w:t>
            </w:r>
          </w:p>
        </w:tc>
      </w:tr>
      <w:tr w:rsidR="00FE1F09" w:rsidRPr="00735726" w14:paraId="33AC25F6" w14:textId="77777777" w:rsidTr="00470234">
        <w:tc>
          <w:tcPr>
            <w:tcW w:w="4516" w:type="dxa"/>
            <w:gridSpan w:val="4"/>
          </w:tcPr>
          <w:p w14:paraId="37D13502" w14:textId="7E6E0370" w:rsidR="00FE1F09" w:rsidRPr="00735726" w:rsidRDefault="00FE1F09" w:rsidP="00FE1F09">
            <w:pPr>
              <w:pStyle w:val="03body"/>
              <w:spacing w:line="240" w:lineRule="auto"/>
              <w:rPr>
                <w:b/>
              </w:rPr>
            </w:pPr>
            <w:r w:rsidRPr="00735726">
              <w:rPr>
                <w:b/>
              </w:rPr>
              <w:t xml:space="preserve">2026 Net risk and direction: </w:t>
            </w:r>
          </w:p>
        </w:tc>
        <w:tc>
          <w:tcPr>
            <w:tcW w:w="4500" w:type="dxa"/>
          </w:tcPr>
          <w:p w14:paraId="6FEB5F19" w14:textId="73D30324" w:rsidR="00FE1F09" w:rsidRPr="00735726" w:rsidRDefault="00FE1F09" w:rsidP="00FE1F09">
            <w:pPr>
              <w:pStyle w:val="03body"/>
              <w:spacing w:line="240" w:lineRule="auto"/>
              <w:rPr>
                <w:b/>
              </w:rPr>
            </w:pPr>
            <w:r w:rsidRPr="00735726">
              <w:rPr>
                <w:b/>
              </w:rPr>
              <w:t xml:space="preserve">2025 Net risk and direction: </w:t>
            </w:r>
          </w:p>
        </w:tc>
      </w:tr>
      <w:tr w:rsidR="00FE1F09" w:rsidRPr="00735726" w14:paraId="0A168C46" w14:textId="77777777" w:rsidTr="00470234">
        <w:tc>
          <w:tcPr>
            <w:tcW w:w="4516" w:type="dxa"/>
            <w:gridSpan w:val="4"/>
          </w:tcPr>
          <w:p w14:paraId="6E392D26" w14:textId="77777777" w:rsidR="00FE1F09" w:rsidRPr="00735726" w:rsidRDefault="00FE1F09" w:rsidP="00FE1F09">
            <w:pPr>
              <w:pStyle w:val="03body"/>
              <w:spacing w:line="240" w:lineRule="auto"/>
              <w:rPr>
                <w:b/>
              </w:rPr>
            </w:pPr>
            <w:r w:rsidRPr="00735726">
              <w:rPr>
                <w:b/>
              </w:rPr>
              <w:t>HIGH, STABLE</w:t>
            </w:r>
          </w:p>
        </w:tc>
        <w:tc>
          <w:tcPr>
            <w:tcW w:w="4500" w:type="dxa"/>
          </w:tcPr>
          <w:p w14:paraId="22860264" w14:textId="2346C0DE" w:rsidR="00FE1F09" w:rsidRPr="00735726" w:rsidRDefault="00FE1F09" w:rsidP="00FE1F09">
            <w:pPr>
              <w:pStyle w:val="03body"/>
              <w:spacing w:line="240" w:lineRule="auto"/>
              <w:rPr>
                <w:b/>
              </w:rPr>
            </w:pPr>
            <w:r w:rsidRPr="00735726">
              <w:rPr>
                <w:b/>
              </w:rPr>
              <w:t>HIGH, STABLE</w:t>
            </w:r>
          </w:p>
        </w:tc>
      </w:tr>
      <w:tr w:rsidR="00FE1F09" w:rsidRPr="00735726" w14:paraId="0DD95A91" w14:textId="77777777" w:rsidTr="00FE1F09">
        <w:trPr>
          <w:trHeight w:val="558"/>
        </w:trPr>
        <w:tc>
          <w:tcPr>
            <w:tcW w:w="2603" w:type="dxa"/>
            <w:gridSpan w:val="2"/>
          </w:tcPr>
          <w:p w14:paraId="55D69C57" w14:textId="77777777" w:rsidR="00FE1F09" w:rsidRPr="00735726" w:rsidRDefault="00FE1F09" w:rsidP="00FE1F09">
            <w:pPr>
              <w:pStyle w:val="03body"/>
              <w:spacing w:line="276" w:lineRule="auto"/>
              <w:outlineLvl w:val="0"/>
              <w:rPr>
                <w:b/>
              </w:rPr>
            </w:pPr>
            <w:r w:rsidRPr="00735726">
              <w:rPr>
                <w:b/>
              </w:rPr>
              <w:t>Strategic priorities:</w:t>
            </w:r>
          </w:p>
          <w:p w14:paraId="553059E5" w14:textId="77777777" w:rsidR="00FE1F09" w:rsidRPr="009A2CAE" w:rsidRDefault="00FE1F09" w:rsidP="00470234">
            <w:pPr>
              <w:pStyle w:val="03body"/>
              <w:spacing w:line="276" w:lineRule="auto"/>
              <w:outlineLvl w:val="0"/>
              <w:rPr>
                <w:rFonts w:cs="Arial"/>
                <w:b/>
                <w:bCs/>
                <w:color w:val="auto"/>
              </w:rPr>
            </w:pPr>
          </w:p>
          <w:p w14:paraId="55FB311F" w14:textId="77777777" w:rsidR="00FE1F09" w:rsidRPr="00735726" w:rsidRDefault="00FE1F09" w:rsidP="00FE1F09">
            <w:pPr>
              <w:pStyle w:val="03body"/>
              <w:spacing w:line="276" w:lineRule="auto"/>
              <w:outlineLvl w:val="0"/>
              <w:rPr>
                <w:rFonts w:cs="Arial"/>
                <w:b/>
                <w:bCs/>
                <w:color w:val="auto"/>
              </w:rPr>
            </w:pPr>
            <w:r w:rsidRPr="00735726">
              <w:rPr>
                <w:rFonts w:cs="Arial"/>
                <w:b/>
                <w:bCs/>
                <w:color w:val="auto"/>
              </w:rPr>
              <w:t>Storm overflows and pollutions</w:t>
            </w:r>
          </w:p>
          <w:p w14:paraId="209850C0" w14:textId="77777777" w:rsidR="00FE1F09" w:rsidRPr="00735726" w:rsidRDefault="00FE1F09" w:rsidP="00FE1F09">
            <w:pPr>
              <w:pStyle w:val="03body"/>
              <w:spacing w:line="276" w:lineRule="auto"/>
              <w:outlineLvl w:val="0"/>
              <w:rPr>
                <w:rFonts w:cs="Arial"/>
                <w:b/>
                <w:bCs/>
                <w:color w:val="auto"/>
              </w:rPr>
            </w:pPr>
          </w:p>
          <w:p w14:paraId="0E5E8B1A" w14:textId="77777777" w:rsidR="00FE1F09" w:rsidRPr="00735726" w:rsidRDefault="00FE1F09" w:rsidP="00FE1F09">
            <w:pPr>
              <w:pStyle w:val="03body"/>
              <w:spacing w:line="276" w:lineRule="auto"/>
              <w:outlineLvl w:val="0"/>
              <w:rPr>
                <w:rFonts w:cs="Arial"/>
                <w:b/>
                <w:bCs/>
                <w:color w:val="auto"/>
              </w:rPr>
            </w:pPr>
            <w:r w:rsidRPr="00735726">
              <w:rPr>
                <w:rFonts w:cs="Arial"/>
                <w:b/>
                <w:bCs/>
                <w:color w:val="auto"/>
              </w:rPr>
              <w:t>Net Zero and environmental gains</w:t>
            </w:r>
          </w:p>
          <w:p w14:paraId="5D982601" w14:textId="77777777" w:rsidR="00FE1F09" w:rsidRPr="009A2CAE" w:rsidRDefault="00FE1F09" w:rsidP="00470234">
            <w:pPr>
              <w:pStyle w:val="03body"/>
              <w:spacing w:line="276" w:lineRule="auto"/>
              <w:outlineLvl w:val="0"/>
              <w:rPr>
                <w:rFonts w:cs="Arial"/>
                <w:b/>
                <w:bCs/>
                <w:color w:val="auto"/>
              </w:rPr>
            </w:pPr>
          </w:p>
          <w:p w14:paraId="30F6E9DA" w14:textId="77777777" w:rsidR="00FE1F09" w:rsidRPr="009A2CAE" w:rsidRDefault="00FE1F09" w:rsidP="00470234">
            <w:pPr>
              <w:pStyle w:val="03body"/>
              <w:spacing w:line="240" w:lineRule="auto"/>
            </w:pPr>
          </w:p>
          <w:p w14:paraId="4E23795B" w14:textId="43D57998" w:rsidR="00FE1F09" w:rsidRPr="009A2CAE" w:rsidRDefault="00FE1F09" w:rsidP="00470234">
            <w:pPr>
              <w:spacing w:after="0"/>
              <w:rPr>
                <w:rFonts w:ascii="Arial" w:hAnsi="Arial" w:cs="DINOT-Light"/>
                <w:color w:val="000000"/>
                <w:sz w:val="18"/>
                <w:szCs w:val="18"/>
              </w:rPr>
            </w:pPr>
          </w:p>
        </w:tc>
        <w:tc>
          <w:tcPr>
            <w:tcW w:w="6413" w:type="dxa"/>
            <w:gridSpan w:val="3"/>
          </w:tcPr>
          <w:p w14:paraId="3EADB546" w14:textId="77777777" w:rsidR="00FE1F09" w:rsidRPr="00735726" w:rsidRDefault="00FE1F09" w:rsidP="00FE1F09">
            <w:pPr>
              <w:pStyle w:val="03body"/>
              <w:spacing w:line="276" w:lineRule="auto"/>
              <w:outlineLvl w:val="0"/>
            </w:pPr>
            <w:r w:rsidRPr="00735726">
              <w:rPr>
                <w:b/>
              </w:rPr>
              <w:t>Strategic impact:</w:t>
            </w:r>
          </w:p>
          <w:p w14:paraId="10C09FF0" w14:textId="10994C13" w:rsidR="00FE1F09" w:rsidRPr="00735726" w:rsidRDefault="00FE1F09" w:rsidP="00FE1F09">
            <w:pPr>
              <w:autoSpaceDE w:val="0"/>
              <w:autoSpaceDN w:val="0"/>
              <w:adjustRightInd w:val="0"/>
              <w:spacing w:after="0" w:line="240" w:lineRule="auto"/>
            </w:pPr>
            <w:r w:rsidRPr="00735726">
              <w:rPr>
                <w:rFonts w:ascii="Arial" w:hAnsi="Arial" w:cs="DINOT-Light"/>
                <w:color w:val="000000"/>
                <w:sz w:val="18"/>
                <w:szCs w:val="18"/>
              </w:rPr>
              <w:t>An inability to improve wastewater could result in adverse environment impacts, financial penalties, regulatory enforcement and damage to the Company’s reputation.</w:t>
            </w:r>
          </w:p>
          <w:p w14:paraId="48C48591" w14:textId="77777777" w:rsidR="00FE1F09" w:rsidRPr="00735726" w:rsidRDefault="00FE1F09" w:rsidP="00470234">
            <w:pPr>
              <w:autoSpaceDE w:val="0"/>
              <w:autoSpaceDN w:val="0"/>
              <w:adjustRightInd w:val="0"/>
              <w:spacing w:after="0" w:line="240" w:lineRule="auto"/>
              <w:rPr>
                <w:rFonts w:ascii="Arial" w:hAnsi="Arial" w:cs="DINOT-Light"/>
                <w:color w:val="000000"/>
                <w:sz w:val="18"/>
                <w:szCs w:val="18"/>
              </w:rPr>
            </w:pPr>
          </w:p>
          <w:p w14:paraId="367FF31F" w14:textId="77777777" w:rsidR="00FE1F09" w:rsidRPr="00735726" w:rsidRDefault="00FE1F09" w:rsidP="00FE1F09">
            <w:pPr>
              <w:pStyle w:val="03body"/>
              <w:spacing w:line="276" w:lineRule="auto"/>
              <w:outlineLvl w:val="0"/>
              <w:rPr>
                <w:b/>
              </w:rPr>
            </w:pPr>
            <w:r w:rsidRPr="00735726">
              <w:rPr>
                <w:b/>
              </w:rPr>
              <w:t>Mitigation:</w:t>
            </w:r>
          </w:p>
          <w:p w14:paraId="35A88DC1" w14:textId="10A5CDEF" w:rsidR="00FE1F09" w:rsidRPr="00735726" w:rsidRDefault="00FE1F09" w:rsidP="00277639">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The Company is focused on improving wastewater performance through clear operational accountability, regular performance oversight and delivery of its Pollution Incident Reduction Plan. This includes targeted storm overflow</w:t>
            </w:r>
          </w:p>
          <w:p w14:paraId="6361DFEE" w14:textId="77777777" w:rsidR="00FE1F09" w:rsidRPr="00735726" w:rsidRDefault="00FE1F09" w:rsidP="00277639">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 xml:space="preserve">improvements, proactive asset health checks at key sites and the implementation of a wastewater compliance management system. These actions are supported by the delivery of WINEP and AMP8 investment </w:t>
            </w:r>
            <w:r w:rsidRPr="00735726">
              <w:rPr>
                <w:rFonts w:ascii="Arial" w:hAnsi="Arial" w:cs="DINOT-Light"/>
                <w:color w:val="000000"/>
                <w:sz w:val="18"/>
                <w:szCs w:val="18"/>
              </w:rPr>
              <w:lastRenderedPageBreak/>
              <w:t>programmes, wider initiatives to reduce pollution incidents, and continued engagement with the Environment Agency.</w:t>
            </w:r>
          </w:p>
          <w:p w14:paraId="1A0BEB0F" w14:textId="77777777" w:rsidR="00FE1F09" w:rsidRPr="00735726" w:rsidRDefault="00FE1F09" w:rsidP="00FE1F09">
            <w:pPr>
              <w:autoSpaceDE w:val="0"/>
              <w:autoSpaceDN w:val="0"/>
              <w:adjustRightInd w:val="0"/>
              <w:spacing w:after="0" w:line="240" w:lineRule="auto"/>
              <w:rPr>
                <w:rFonts w:ascii="Arial" w:hAnsi="Arial" w:cs="DINOT-Light"/>
                <w:color w:val="000000"/>
                <w:sz w:val="18"/>
                <w:szCs w:val="18"/>
              </w:rPr>
            </w:pPr>
          </w:p>
          <w:p w14:paraId="3CD8ABDE" w14:textId="51761A24" w:rsidR="00FE1F09" w:rsidRPr="00735726" w:rsidRDefault="00FE1F09" w:rsidP="00FE1F09">
            <w:pPr>
              <w:rPr>
                <w:rFonts w:ascii="Arial" w:hAnsi="Arial" w:cs="DINOT-Light"/>
                <w:b/>
                <w:bCs/>
                <w:color w:val="000000"/>
                <w:sz w:val="18"/>
                <w:szCs w:val="18"/>
              </w:rPr>
            </w:pPr>
            <w:r w:rsidRPr="00735726">
              <w:rPr>
                <w:rFonts w:ascii="Arial" w:hAnsi="Arial" w:cs="DINOT-Light"/>
                <w:color w:val="000000"/>
                <w:sz w:val="18"/>
                <w:szCs w:val="18"/>
              </w:rPr>
              <w:t>Climate change influence:</w:t>
            </w:r>
            <w:r w:rsidRPr="00735726">
              <w:rPr>
                <w:rFonts w:ascii="Arial" w:hAnsi="Arial" w:cs="DINOT-Light"/>
                <w:b/>
                <w:bCs/>
                <w:color w:val="000000"/>
                <w:sz w:val="18"/>
                <w:szCs w:val="18"/>
              </w:rPr>
              <w:t xml:space="preserve"> Transitional / Physical</w:t>
            </w:r>
          </w:p>
          <w:p w14:paraId="6E640323" w14:textId="3318F709" w:rsidR="00FE1F09" w:rsidRPr="009A2CAE" w:rsidRDefault="008C14A7" w:rsidP="00FE1F09">
            <w:pPr>
              <w:autoSpaceDE w:val="0"/>
              <w:autoSpaceDN w:val="0"/>
              <w:adjustRightInd w:val="0"/>
              <w:spacing w:after="0" w:line="240" w:lineRule="auto"/>
              <w:rPr>
                <w:rFonts w:ascii="Arial" w:hAnsi="Arial" w:cs="DINOT-Light"/>
                <w:color w:val="000000"/>
                <w:sz w:val="18"/>
                <w:szCs w:val="18"/>
              </w:rPr>
            </w:pPr>
            <w:r w:rsidRPr="00735726">
              <w:rPr>
                <w:rFonts w:ascii="Arial" w:hAnsi="Arial" w:cs="DINOT-Light"/>
                <w:color w:val="000000"/>
                <w:sz w:val="18"/>
                <w:szCs w:val="18"/>
              </w:rPr>
              <w:t xml:space="preserve">Nature </w:t>
            </w:r>
            <w:r w:rsidR="00FE1F09" w:rsidRPr="00735726">
              <w:rPr>
                <w:rFonts w:ascii="Arial" w:hAnsi="Arial" w:cs="DINOT-Light"/>
                <w:color w:val="000000"/>
                <w:sz w:val="18"/>
                <w:szCs w:val="18"/>
              </w:rPr>
              <w:t>change influence:</w:t>
            </w:r>
            <w:r w:rsidR="00FE1F09" w:rsidRPr="00735726">
              <w:rPr>
                <w:rFonts w:ascii="Arial" w:hAnsi="Arial" w:cs="DINOT-Light"/>
                <w:b/>
                <w:bCs/>
                <w:color w:val="000000"/>
                <w:sz w:val="18"/>
                <w:szCs w:val="18"/>
              </w:rPr>
              <w:t xml:space="preserve"> Transitional / Physical</w:t>
            </w:r>
          </w:p>
        </w:tc>
      </w:tr>
      <w:tr w:rsidR="000E6C31" w:rsidRPr="00735726" w14:paraId="104D067B" w14:textId="77777777" w:rsidTr="00470234">
        <w:tc>
          <w:tcPr>
            <w:tcW w:w="9016" w:type="dxa"/>
            <w:gridSpan w:val="5"/>
          </w:tcPr>
          <w:p w14:paraId="66742219" w14:textId="25C03436" w:rsidR="000E6C31" w:rsidRPr="00735726" w:rsidRDefault="000E6C31" w:rsidP="00470234">
            <w:pPr>
              <w:autoSpaceDE w:val="0"/>
              <w:autoSpaceDN w:val="0"/>
              <w:adjustRightInd w:val="0"/>
              <w:spacing w:after="0"/>
              <w:rPr>
                <w:rFonts w:ascii="Arial" w:hAnsi="Arial" w:cs="Arial"/>
                <w:b/>
                <w:sz w:val="18"/>
                <w:szCs w:val="18"/>
              </w:rPr>
            </w:pPr>
            <w:r w:rsidRPr="00735726">
              <w:rPr>
                <w:rFonts w:ascii="Arial" w:hAnsi="Arial" w:cs="Arial"/>
                <w:b/>
                <w:sz w:val="18"/>
                <w:szCs w:val="18"/>
              </w:rPr>
              <w:lastRenderedPageBreak/>
              <w:t xml:space="preserve">Principal Risk </w:t>
            </w:r>
            <w:r w:rsidR="00FE1F09" w:rsidRPr="00735726">
              <w:rPr>
                <w:rFonts w:ascii="Arial" w:hAnsi="Arial" w:cs="Arial"/>
                <w:b/>
                <w:sz w:val="18"/>
                <w:szCs w:val="18"/>
              </w:rPr>
              <w:t>H</w:t>
            </w:r>
            <w:r w:rsidRPr="00735726">
              <w:rPr>
                <w:rFonts w:ascii="Arial" w:hAnsi="Arial" w:cs="Arial"/>
                <w:b/>
                <w:sz w:val="18"/>
                <w:szCs w:val="18"/>
              </w:rPr>
              <w:t>: Failure to provide excellent service or meet the needs and expectations of our customers and communities</w:t>
            </w:r>
          </w:p>
        </w:tc>
      </w:tr>
      <w:tr w:rsidR="00FE1F09" w:rsidRPr="00735726" w14:paraId="6AC81F47" w14:textId="77777777" w:rsidTr="00470234">
        <w:trPr>
          <w:trHeight w:val="77"/>
        </w:trPr>
        <w:tc>
          <w:tcPr>
            <w:tcW w:w="4516" w:type="dxa"/>
            <w:gridSpan w:val="4"/>
            <w:tcBorders>
              <w:bottom w:val="single" w:sz="4" w:space="0" w:color="auto"/>
            </w:tcBorders>
          </w:tcPr>
          <w:p w14:paraId="75FE57A6" w14:textId="144211E0" w:rsidR="00FE1F09" w:rsidRPr="00735726" w:rsidRDefault="00FE1F09" w:rsidP="00FE1F09">
            <w:pPr>
              <w:pStyle w:val="03body"/>
              <w:spacing w:line="240" w:lineRule="auto"/>
              <w:rPr>
                <w:b/>
              </w:rPr>
            </w:pPr>
            <w:r w:rsidRPr="00735726">
              <w:rPr>
                <w:b/>
              </w:rPr>
              <w:t>2026 Net risk and direction:</w:t>
            </w:r>
          </w:p>
        </w:tc>
        <w:tc>
          <w:tcPr>
            <w:tcW w:w="4500" w:type="dxa"/>
            <w:tcBorders>
              <w:bottom w:val="single" w:sz="4" w:space="0" w:color="auto"/>
            </w:tcBorders>
          </w:tcPr>
          <w:p w14:paraId="397579A2" w14:textId="36634589" w:rsidR="00FE1F09" w:rsidRPr="00735726" w:rsidRDefault="00FE1F09" w:rsidP="00FE1F09">
            <w:pPr>
              <w:pStyle w:val="03body"/>
              <w:spacing w:line="240" w:lineRule="auto"/>
              <w:rPr>
                <w:b/>
              </w:rPr>
            </w:pPr>
            <w:r w:rsidRPr="00735726">
              <w:rPr>
                <w:b/>
              </w:rPr>
              <w:t>2025 Net risk and direction:</w:t>
            </w:r>
          </w:p>
        </w:tc>
      </w:tr>
      <w:tr w:rsidR="00FE1F09" w:rsidRPr="00735726" w14:paraId="1018C9C2" w14:textId="77777777" w:rsidTr="004702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16" w:type="dxa"/>
            <w:gridSpan w:val="4"/>
            <w:tcBorders>
              <w:top w:val="single" w:sz="4" w:space="0" w:color="auto"/>
              <w:left w:val="single" w:sz="4" w:space="0" w:color="auto"/>
              <w:right w:val="single" w:sz="4" w:space="0" w:color="auto"/>
            </w:tcBorders>
          </w:tcPr>
          <w:p w14:paraId="1A64E86C" w14:textId="126D1CE3" w:rsidR="00FE1F09" w:rsidRPr="00735726" w:rsidRDefault="00FE1F09" w:rsidP="00FE1F09">
            <w:pPr>
              <w:pStyle w:val="03body"/>
              <w:spacing w:line="240" w:lineRule="auto"/>
              <w:rPr>
                <w:b/>
              </w:rPr>
            </w:pPr>
            <w:r w:rsidRPr="00735726">
              <w:rPr>
                <w:b/>
              </w:rPr>
              <w:t>MEDIUM, STABLE</w:t>
            </w:r>
          </w:p>
        </w:tc>
        <w:tc>
          <w:tcPr>
            <w:tcW w:w="4500" w:type="dxa"/>
            <w:tcBorders>
              <w:top w:val="single" w:sz="4" w:space="0" w:color="auto"/>
              <w:left w:val="single" w:sz="4" w:space="0" w:color="auto"/>
              <w:right w:val="single" w:sz="4" w:space="0" w:color="auto"/>
            </w:tcBorders>
          </w:tcPr>
          <w:p w14:paraId="2C353401" w14:textId="6233ABDC" w:rsidR="00FE1F09" w:rsidRPr="00735726" w:rsidRDefault="00FE1F09" w:rsidP="00FE1F09">
            <w:pPr>
              <w:pStyle w:val="03body"/>
              <w:spacing w:line="240" w:lineRule="auto"/>
              <w:rPr>
                <w:b/>
              </w:rPr>
            </w:pPr>
            <w:r w:rsidRPr="00735726">
              <w:rPr>
                <w:b/>
              </w:rPr>
              <w:t>MEDIUM, INCREASING</w:t>
            </w:r>
          </w:p>
        </w:tc>
      </w:tr>
      <w:tr w:rsidR="00FE1F09" w:rsidRPr="00735726" w14:paraId="68A659B0" w14:textId="77777777" w:rsidTr="00123A4D">
        <w:trPr>
          <w:trHeight w:val="2957"/>
        </w:trPr>
        <w:tc>
          <w:tcPr>
            <w:tcW w:w="2596" w:type="dxa"/>
          </w:tcPr>
          <w:p w14:paraId="69F41968" w14:textId="77777777" w:rsidR="00FE1F09" w:rsidRPr="00735726" w:rsidRDefault="00FE1F09" w:rsidP="00FE1F09">
            <w:pPr>
              <w:pStyle w:val="03body"/>
              <w:spacing w:line="276" w:lineRule="auto"/>
              <w:outlineLvl w:val="0"/>
              <w:rPr>
                <w:b/>
              </w:rPr>
            </w:pPr>
            <w:r w:rsidRPr="00735726">
              <w:rPr>
                <w:b/>
              </w:rPr>
              <w:t>Strategic priorities:</w:t>
            </w:r>
          </w:p>
          <w:p w14:paraId="1393B90B" w14:textId="38CB4A74" w:rsidR="00FE1F09" w:rsidRPr="009A2CAE" w:rsidRDefault="00FE1F09" w:rsidP="00470234">
            <w:pPr>
              <w:pStyle w:val="03body"/>
              <w:spacing w:line="240" w:lineRule="auto"/>
              <w:rPr>
                <w:bCs/>
              </w:rPr>
            </w:pPr>
          </w:p>
          <w:p w14:paraId="0653272D" w14:textId="3F202A9E" w:rsidR="00FE1F09" w:rsidRPr="00735726" w:rsidRDefault="00FE1F09" w:rsidP="00470234">
            <w:pPr>
              <w:rPr>
                <w:rFonts w:ascii="Arial" w:hAnsi="Arial" w:cs="DINOT-Light"/>
                <w:b/>
                <w:bCs/>
                <w:color w:val="000000"/>
                <w:sz w:val="18"/>
                <w:szCs w:val="18"/>
              </w:rPr>
            </w:pPr>
            <w:r w:rsidRPr="00735726">
              <w:rPr>
                <w:rFonts w:ascii="Arial" w:hAnsi="Arial" w:cs="DINOT-Light"/>
                <w:b/>
                <w:bCs/>
                <w:color w:val="000000"/>
                <w:sz w:val="18"/>
                <w:szCs w:val="18"/>
              </w:rPr>
              <w:t>Addressing affordability and delivering for our customers</w:t>
            </w:r>
          </w:p>
          <w:p w14:paraId="18394A7F" w14:textId="77777777" w:rsidR="00FE1F09" w:rsidRPr="009A2CAE" w:rsidRDefault="00FE1F09" w:rsidP="00FE1F09">
            <w:pPr>
              <w:rPr>
                <w:rFonts w:ascii="Arial" w:hAnsi="Arial" w:cs="DINOT-Light"/>
                <w:color w:val="000000"/>
                <w:sz w:val="18"/>
                <w:szCs w:val="18"/>
              </w:rPr>
            </w:pPr>
          </w:p>
        </w:tc>
        <w:tc>
          <w:tcPr>
            <w:tcW w:w="6420" w:type="dxa"/>
            <w:gridSpan w:val="4"/>
          </w:tcPr>
          <w:p w14:paraId="586C9815" w14:textId="77777777" w:rsidR="00FE1F09" w:rsidRPr="00735726" w:rsidRDefault="00FE1F09" w:rsidP="00FE1F09">
            <w:pPr>
              <w:pStyle w:val="03body"/>
              <w:spacing w:line="276" w:lineRule="auto"/>
              <w:outlineLvl w:val="0"/>
            </w:pPr>
            <w:r w:rsidRPr="00735726">
              <w:rPr>
                <w:b/>
              </w:rPr>
              <w:t>Strategic impact:</w:t>
            </w:r>
          </w:p>
          <w:p w14:paraId="591353DD" w14:textId="77777777" w:rsidR="00FE1F09" w:rsidRPr="00735726" w:rsidRDefault="00FE1F09" w:rsidP="00FE1F09">
            <w:pPr>
              <w:autoSpaceDE w:val="0"/>
              <w:autoSpaceDN w:val="0"/>
              <w:adjustRightInd w:val="0"/>
              <w:spacing w:after="0" w:line="240" w:lineRule="auto"/>
            </w:pPr>
            <w:r w:rsidRPr="00735726">
              <w:rPr>
                <w:rFonts w:ascii="Arial" w:hAnsi="Arial" w:cs="DINOT-Light"/>
                <w:color w:val="000000"/>
                <w:sz w:val="18"/>
                <w:szCs w:val="18"/>
              </w:rPr>
              <w:t>Failure to meet the needs of both customers and wider stakeholders may result in reputational damage to the Company and lower performance resulting in financial penalties impacting on stakeholder value.</w:t>
            </w:r>
          </w:p>
          <w:p w14:paraId="55853740" w14:textId="77777777" w:rsidR="00FE1F09" w:rsidRPr="00735726" w:rsidRDefault="00FE1F09" w:rsidP="00470234">
            <w:pPr>
              <w:autoSpaceDE w:val="0"/>
              <w:autoSpaceDN w:val="0"/>
              <w:adjustRightInd w:val="0"/>
              <w:spacing w:after="0" w:line="240" w:lineRule="auto"/>
              <w:rPr>
                <w:rFonts w:ascii="Arial" w:hAnsi="Arial" w:cs="DINOT-Light"/>
                <w:color w:val="000000"/>
                <w:sz w:val="18"/>
                <w:szCs w:val="18"/>
              </w:rPr>
            </w:pPr>
          </w:p>
          <w:p w14:paraId="72A576A7" w14:textId="77777777" w:rsidR="00FE1F09" w:rsidRPr="00735726" w:rsidRDefault="00FE1F09" w:rsidP="00FE1F09">
            <w:pPr>
              <w:pStyle w:val="03body"/>
              <w:spacing w:line="276" w:lineRule="auto"/>
              <w:outlineLvl w:val="0"/>
              <w:rPr>
                <w:b/>
              </w:rPr>
            </w:pPr>
            <w:r w:rsidRPr="00735726">
              <w:rPr>
                <w:b/>
              </w:rPr>
              <w:t>Mitigation:</w:t>
            </w:r>
          </w:p>
          <w:p w14:paraId="50C5CDCB" w14:textId="43DA0372" w:rsidR="00FE1F09" w:rsidRPr="00735726" w:rsidRDefault="00FE1F09" w:rsidP="00FE1F09">
            <w:pPr>
              <w:autoSpaceDE w:val="0"/>
              <w:autoSpaceDN w:val="0"/>
              <w:adjustRightInd w:val="0"/>
              <w:spacing w:after="0" w:line="240" w:lineRule="auto"/>
              <w:rPr>
                <w:rFonts w:ascii="Arial" w:hAnsi="Arial" w:cs="DINOT-Light"/>
                <w:color w:val="000000"/>
                <w:sz w:val="18"/>
                <w:szCs w:val="18"/>
              </w:rPr>
            </w:pPr>
            <w:r w:rsidRPr="00735726">
              <w:rPr>
                <w:rFonts w:ascii="Arial" w:hAnsi="Arial" w:cs="DINOT-Light"/>
                <w:color w:val="000000"/>
                <w:sz w:val="18"/>
                <w:szCs w:val="18"/>
              </w:rPr>
              <w:t>The Company continues to enhance and invest in its customer services teams, expanding the channels by which it can interact with and support household customers.</w:t>
            </w:r>
          </w:p>
          <w:p w14:paraId="4F74B897" w14:textId="77777777" w:rsidR="00FE1F09" w:rsidRPr="00735726" w:rsidRDefault="00FE1F09" w:rsidP="00FE1F09">
            <w:pPr>
              <w:autoSpaceDE w:val="0"/>
              <w:autoSpaceDN w:val="0"/>
              <w:adjustRightInd w:val="0"/>
              <w:spacing w:after="0" w:line="240" w:lineRule="auto"/>
              <w:rPr>
                <w:rFonts w:ascii="Arial" w:hAnsi="Arial" w:cs="DINOT-Light"/>
                <w:color w:val="000000"/>
                <w:sz w:val="18"/>
                <w:szCs w:val="18"/>
              </w:rPr>
            </w:pPr>
          </w:p>
          <w:p w14:paraId="4BDA5C82" w14:textId="693609E3" w:rsidR="00FE1F09" w:rsidRPr="00735726" w:rsidRDefault="00FE1F09" w:rsidP="00FE1F09">
            <w:pPr>
              <w:autoSpaceDE w:val="0"/>
              <w:autoSpaceDN w:val="0"/>
              <w:adjustRightInd w:val="0"/>
              <w:spacing w:after="0" w:line="240" w:lineRule="auto"/>
              <w:rPr>
                <w:rFonts w:ascii="Arial" w:hAnsi="Arial" w:cs="DINOT-Light"/>
                <w:color w:val="000000"/>
                <w:sz w:val="18"/>
                <w:szCs w:val="18"/>
              </w:rPr>
            </w:pPr>
            <w:r w:rsidRPr="00735726">
              <w:rPr>
                <w:rFonts w:ascii="Arial" w:hAnsi="Arial" w:cs="DINOT-Light"/>
                <w:color w:val="000000"/>
                <w:sz w:val="18"/>
                <w:szCs w:val="18"/>
              </w:rPr>
              <w:t>The Company offers a range of schemes and tariffs to support customers with affordability challenges with a £200 million support package to 2030.</w:t>
            </w:r>
          </w:p>
          <w:p w14:paraId="131BD766" w14:textId="77777777" w:rsidR="00FE1F09" w:rsidRPr="00735726" w:rsidRDefault="00FE1F09" w:rsidP="00FE1F09">
            <w:pPr>
              <w:autoSpaceDE w:val="0"/>
              <w:autoSpaceDN w:val="0"/>
              <w:adjustRightInd w:val="0"/>
              <w:spacing w:after="0" w:line="240" w:lineRule="auto"/>
              <w:rPr>
                <w:rFonts w:ascii="Arial" w:hAnsi="Arial" w:cs="DINOT-Light"/>
                <w:color w:val="000000"/>
                <w:sz w:val="18"/>
                <w:szCs w:val="18"/>
              </w:rPr>
            </w:pPr>
          </w:p>
          <w:p w14:paraId="2E23144F" w14:textId="77777777" w:rsidR="00FE1F09" w:rsidRPr="00735726" w:rsidRDefault="00FE1F09" w:rsidP="00FE1F09">
            <w:pPr>
              <w:autoSpaceDE w:val="0"/>
              <w:autoSpaceDN w:val="0"/>
              <w:adjustRightInd w:val="0"/>
              <w:spacing w:after="0" w:line="240" w:lineRule="auto"/>
              <w:rPr>
                <w:rFonts w:ascii="Arial" w:hAnsi="Arial" w:cs="DINOT-Light"/>
                <w:color w:val="000000"/>
                <w:sz w:val="18"/>
                <w:szCs w:val="18"/>
              </w:rPr>
            </w:pPr>
            <w:r w:rsidRPr="00735726">
              <w:rPr>
                <w:rFonts w:ascii="Arial" w:hAnsi="Arial" w:cs="DINOT-Light"/>
                <w:color w:val="000000"/>
                <w:sz w:val="18"/>
                <w:szCs w:val="18"/>
              </w:rPr>
              <w:t xml:space="preserve">During the year both </w:t>
            </w:r>
            <w:proofErr w:type="gramStart"/>
            <w:r w:rsidRPr="00735726">
              <w:rPr>
                <w:rFonts w:ascii="Arial" w:hAnsi="Arial" w:cs="DINOT-Light"/>
                <w:color w:val="000000"/>
                <w:sz w:val="18"/>
                <w:szCs w:val="18"/>
              </w:rPr>
              <w:t>South West</w:t>
            </w:r>
            <w:proofErr w:type="gramEnd"/>
            <w:r w:rsidRPr="00735726">
              <w:rPr>
                <w:rFonts w:ascii="Arial" w:hAnsi="Arial" w:cs="DINOT-Light"/>
                <w:color w:val="000000"/>
                <w:sz w:val="18"/>
                <w:szCs w:val="18"/>
              </w:rPr>
              <w:t xml:space="preserve"> and Bristol Water successfully achieved kitemark certification to the vulnerable customer ISO 22458 standard.</w:t>
            </w:r>
          </w:p>
          <w:p w14:paraId="12CEF3A4" w14:textId="77777777" w:rsidR="00FE1F09" w:rsidRPr="00735726" w:rsidRDefault="00FE1F09" w:rsidP="00FE1F09">
            <w:pPr>
              <w:autoSpaceDE w:val="0"/>
              <w:autoSpaceDN w:val="0"/>
              <w:adjustRightInd w:val="0"/>
              <w:spacing w:after="0" w:line="240" w:lineRule="auto"/>
              <w:rPr>
                <w:rFonts w:ascii="Arial" w:hAnsi="Arial" w:cs="DINOT-Light"/>
                <w:color w:val="000000"/>
                <w:sz w:val="18"/>
                <w:szCs w:val="18"/>
              </w:rPr>
            </w:pPr>
          </w:p>
          <w:p w14:paraId="2BD2E0D9" w14:textId="77777777" w:rsidR="00FE1F09" w:rsidRPr="00735726" w:rsidRDefault="00FE1F09" w:rsidP="00FE1F09">
            <w:pPr>
              <w:autoSpaceDE w:val="0"/>
              <w:autoSpaceDN w:val="0"/>
              <w:adjustRightInd w:val="0"/>
              <w:spacing w:after="0" w:line="240" w:lineRule="auto"/>
              <w:rPr>
                <w:rFonts w:ascii="Arial" w:hAnsi="Arial" w:cs="DINOT-Light"/>
                <w:color w:val="000000"/>
                <w:sz w:val="18"/>
                <w:szCs w:val="18"/>
              </w:rPr>
            </w:pPr>
            <w:r w:rsidRPr="00735726">
              <w:rPr>
                <w:rFonts w:ascii="Arial" w:hAnsi="Arial" w:cs="DINOT-Light"/>
                <w:color w:val="000000"/>
                <w:sz w:val="18"/>
                <w:szCs w:val="18"/>
              </w:rPr>
              <w:t>The Company also undertakes a range of initiatives to engage with the wider communities it serves including community road-show events, Neighbourhood Fund and funding to support water retention and leakage reduction.</w:t>
            </w:r>
          </w:p>
          <w:p w14:paraId="6E14A354" w14:textId="77777777" w:rsidR="00FE1F09" w:rsidRPr="00735726" w:rsidRDefault="00FE1F09" w:rsidP="00FE1F09">
            <w:pPr>
              <w:autoSpaceDE w:val="0"/>
              <w:autoSpaceDN w:val="0"/>
              <w:adjustRightInd w:val="0"/>
              <w:spacing w:after="0" w:line="240" w:lineRule="auto"/>
              <w:rPr>
                <w:rFonts w:ascii="Arial" w:hAnsi="Arial" w:cs="DINOT-Light"/>
                <w:color w:val="000000"/>
                <w:sz w:val="18"/>
                <w:szCs w:val="18"/>
              </w:rPr>
            </w:pPr>
          </w:p>
          <w:p w14:paraId="589C7F26" w14:textId="0290663C" w:rsidR="00FE1F09" w:rsidRPr="00735726" w:rsidRDefault="00FE1F09" w:rsidP="00FE1F09">
            <w:pPr>
              <w:autoSpaceDE w:val="0"/>
              <w:autoSpaceDN w:val="0"/>
              <w:adjustRightInd w:val="0"/>
              <w:spacing w:after="0" w:line="240" w:lineRule="auto"/>
              <w:rPr>
                <w:rFonts w:ascii="Arial" w:hAnsi="Arial" w:cs="DINOT-Light"/>
                <w:b/>
                <w:bCs/>
                <w:color w:val="000000"/>
                <w:sz w:val="18"/>
                <w:szCs w:val="18"/>
              </w:rPr>
            </w:pPr>
            <w:r w:rsidRPr="00735726">
              <w:rPr>
                <w:rFonts w:ascii="Arial" w:hAnsi="Arial" w:cs="DINOT-Light"/>
                <w:color w:val="000000"/>
                <w:sz w:val="18"/>
                <w:szCs w:val="18"/>
              </w:rPr>
              <w:t>Climate change influence:</w:t>
            </w:r>
            <w:r w:rsidRPr="00735726">
              <w:rPr>
                <w:rFonts w:ascii="Arial" w:hAnsi="Arial" w:cs="DINOT-Light"/>
                <w:b/>
                <w:bCs/>
                <w:color w:val="000000"/>
                <w:sz w:val="18"/>
                <w:szCs w:val="18"/>
              </w:rPr>
              <w:t xml:space="preserve"> Transitional / Physical</w:t>
            </w:r>
          </w:p>
          <w:p w14:paraId="6303C810" w14:textId="77777777" w:rsidR="00FE1F09" w:rsidRPr="00735726" w:rsidRDefault="00FE1F09" w:rsidP="00FE1F09">
            <w:pPr>
              <w:autoSpaceDE w:val="0"/>
              <w:autoSpaceDN w:val="0"/>
              <w:adjustRightInd w:val="0"/>
              <w:spacing w:after="0" w:line="240" w:lineRule="auto"/>
              <w:rPr>
                <w:rFonts w:ascii="Arial" w:hAnsi="Arial" w:cs="DINOT-Light"/>
                <w:color w:val="000000"/>
                <w:sz w:val="18"/>
                <w:szCs w:val="18"/>
              </w:rPr>
            </w:pPr>
          </w:p>
          <w:p w14:paraId="339B5205" w14:textId="0386C220" w:rsidR="00FE1F09" w:rsidRPr="009A2CAE" w:rsidRDefault="00FE1F09" w:rsidP="00FE1F09">
            <w:r w:rsidRPr="00735726">
              <w:rPr>
                <w:rFonts w:ascii="Arial" w:hAnsi="Arial" w:cs="DINOT-Light"/>
                <w:color w:val="000000"/>
                <w:sz w:val="18"/>
                <w:szCs w:val="18"/>
              </w:rPr>
              <w:t>Nature change influence:</w:t>
            </w:r>
            <w:r w:rsidRPr="00735726">
              <w:rPr>
                <w:rFonts w:ascii="Arial" w:hAnsi="Arial" w:cs="DINOT-Light"/>
                <w:b/>
                <w:bCs/>
                <w:color w:val="000000"/>
                <w:sz w:val="18"/>
                <w:szCs w:val="18"/>
              </w:rPr>
              <w:t xml:space="preserve"> Transitional / Physical</w:t>
            </w:r>
          </w:p>
        </w:tc>
      </w:tr>
      <w:tr w:rsidR="000E6C31" w:rsidRPr="00735726" w14:paraId="2FCED053" w14:textId="77777777" w:rsidTr="00470234">
        <w:trPr>
          <w:trHeight w:val="204"/>
        </w:trPr>
        <w:tc>
          <w:tcPr>
            <w:tcW w:w="9016" w:type="dxa"/>
            <w:gridSpan w:val="5"/>
          </w:tcPr>
          <w:p w14:paraId="50CBA6E7" w14:textId="34347345" w:rsidR="000E6C31" w:rsidRPr="00735726" w:rsidRDefault="000E6C31" w:rsidP="00470234">
            <w:pPr>
              <w:pStyle w:val="03body"/>
              <w:spacing w:line="240" w:lineRule="auto"/>
              <w:rPr>
                <w:rFonts w:cs="Arial"/>
                <w:b/>
              </w:rPr>
            </w:pPr>
            <w:r w:rsidRPr="00735726">
              <w:rPr>
                <w:rFonts w:cs="Arial"/>
                <w:b/>
              </w:rPr>
              <w:t xml:space="preserve">Principal Risk </w:t>
            </w:r>
            <w:r w:rsidR="005B656C" w:rsidRPr="00735726">
              <w:rPr>
                <w:rFonts w:cs="Arial"/>
                <w:b/>
              </w:rPr>
              <w:t>I</w:t>
            </w:r>
            <w:r w:rsidRPr="00735726">
              <w:rPr>
                <w:rFonts w:cs="Arial"/>
                <w:b/>
              </w:rPr>
              <w:t>: Inability to attract and retain staff with the skills to deliver the Company’s strategy</w:t>
            </w:r>
          </w:p>
        </w:tc>
      </w:tr>
      <w:tr w:rsidR="000E6C31" w:rsidRPr="00735726" w14:paraId="37A4D4FB" w14:textId="77777777" w:rsidTr="0074466B">
        <w:trPr>
          <w:trHeight w:val="70"/>
        </w:trPr>
        <w:tc>
          <w:tcPr>
            <w:tcW w:w="4507" w:type="dxa"/>
            <w:gridSpan w:val="3"/>
            <w:tcBorders>
              <w:bottom w:val="single" w:sz="4" w:space="0" w:color="auto"/>
            </w:tcBorders>
          </w:tcPr>
          <w:p w14:paraId="2C1AC2EA" w14:textId="1FF5D917" w:rsidR="000E6C31" w:rsidRPr="00735726" w:rsidRDefault="000E6C31" w:rsidP="00470234">
            <w:pPr>
              <w:pStyle w:val="03body"/>
              <w:spacing w:line="240" w:lineRule="auto"/>
            </w:pPr>
            <w:r w:rsidRPr="00735726">
              <w:rPr>
                <w:b/>
              </w:rPr>
              <w:t>202</w:t>
            </w:r>
            <w:r w:rsidR="005B656C" w:rsidRPr="00735726">
              <w:rPr>
                <w:b/>
              </w:rPr>
              <w:t>6</w:t>
            </w:r>
            <w:r w:rsidRPr="00735726">
              <w:rPr>
                <w:b/>
              </w:rPr>
              <w:t xml:space="preserve"> Net risk and direction:</w:t>
            </w:r>
          </w:p>
        </w:tc>
        <w:tc>
          <w:tcPr>
            <w:tcW w:w="4509" w:type="dxa"/>
            <w:gridSpan w:val="2"/>
            <w:tcBorders>
              <w:bottom w:val="single" w:sz="4" w:space="0" w:color="auto"/>
            </w:tcBorders>
          </w:tcPr>
          <w:p w14:paraId="19B45EC8" w14:textId="6B750CEB" w:rsidR="000E6C31" w:rsidRPr="00735726" w:rsidRDefault="000E6C31" w:rsidP="00470234">
            <w:pPr>
              <w:pStyle w:val="03body"/>
              <w:spacing w:line="240" w:lineRule="auto"/>
            </w:pPr>
            <w:r w:rsidRPr="00735726">
              <w:rPr>
                <w:b/>
              </w:rPr>
              <w:t>20</w:t>
            </w:r>
            <w:r w:rsidR="005B656C" w:rsidRPr="00735726">
              <w:rPr>
                <w:b/>
              </w:rPr>
              <w:t>25</w:t>
            </w:r>
            <w:r w:rsidRPr="00735726">
              <w:rPr>
                <w:b/>
              </w:rPr>
              <w:t xml:space="preserve"> Net risk and direction: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74466B" w:rsidRPr="00735726" w14:paraId="77E9CDF7" w14:textId="77777777" w:rsidTr="00470234">
        <w:trPr>
          <w:trHeight w:val="161"/>
        </w:trPr>
        <w:tc>
          <w:tcPr>
            <w:tcW w:w="4507" w:type="dxa"/>
          </w:tcPr>
          <w:p w14:paraId="498B6F1C" w14:textId="5FC9EDCF" w:rsidR="0074466B" w:rsidRPr="00735726" w:rsidRDefault="0074466B" w:rsidP="0074466B">
            <w:pPr>
              <w:pStyle w:val="03body"/>
              <w:spacing w:line="240" w:lineRule="auto"/>
              <w:rPr>
                <w:b/>
              </w:rPr>
            </w:pPr>
            <w:r w:rsidRPr="00735726">
              <w:rPr>
                <w:b/>
              </w:rPr>
              <w:t>MEDIUM, STABLE</w:t>
            </w:r>
          </w:p>
        </w:tc>
        <w:tc>
          <w:tcPr>
            <w:tcW w:w="4509" w:type="dxa"/>
          </w:tcPr>
          <w:p w14:paraId="05325B6B" w14:textId="60B4FA5C" w:rsidR="0074466B" w:rsidRPr="00735726" w:rsidRDefault="0074466B" w:rsidP="0074466B">
            <w:pPr>
              <w:pStyle w:val="03body"/>
              <w:spacing w:line="240" w:lineRule="auto"/>
              <w:rPr>
                <w:b/>
              </w:rPr>
            </w:pPr>
            <w:r w:rsidRPr="00735726">
              <w:rPr>
                <w:b/>
              </w:rPr>
              <w:t>MEDIUM, INCREASING</w:t>
            </w:r>
          </w:p>
        </w:tc>
      </w:tr>
    </w:tbl>
    <w:tbl>
      <w:tblPr>
        <w:tblStyle w:val="TableGrid"/>
        <w:tblW w:w="0" w:type="auto"/>
        <w:tblLook w:val="04A0" w:firstRow="1" w:lastRow="0" w:firstColumn="1" w:lastColumn="0" w:noHBand="0" w:noVBand="1"/>
      </w:tblPr>
      <w:tblGrid>
        <w:gridCol w:w="2596"/>
        <w:gridCol w:w="6420"/>
      </w:tblGrid>
      <w:tr w:rsidR="005B656C" w:rsidRPr="00735726" w14:paraId="08BAA951" w14:textId="77777777" w:rsidTr="005B656C">
        <w:trPr>
          <w:trHeight w:val="3393"/>
        </w:trPr>
        <w:tc>
          <w:tcPr>
            <w:tcW w:w="2596" w:type="dxa"/>
          </w:tcPr>
          <w:p w14:paraId="4D344406" w14:textId="77777777" w:rsidR="005B656C" w:rsidRPr="00735726" w:rsidRDefault="005B656C" w:rsidP="005B656C">
            <w:pPr>
              <w:pStyle w:val="03body"/>
              <w:spacing w:line="276" w:lineRule="auto"/>
              <w:outlineLvl w:val="0"/>
              <w:rPr>
                <w:b/>
              </w:rPr>
            </w:pPr>
            <w:r w:rsidRPr="00735726">
              <w:rPr>
                <w:b/>
              </w:rPr>
              <w:t>Strategic priorities:</w:t>
            </w:r>
          </w:p>
          <w:p w14:paraId="0E68934F" w14:textId="77777777" w:rsidR="005B656C" w:rsidRPr="009A2CAE" w:rsidRDefault="005B656C" w:rsidP="00470234">
            <w:pPr>
              <w:pStyle w:val="03body"/>
              <w:spacing w:line="276" w:lineRule="auto"/>
              <w:outlineLvl w:val="0"/>
              <w:rPr>
                <w:bCs/>
              </w:rPr>
            </w:pPr>
          </w:p>
          <w:p w14:paraId="50B37461" w14:textId="77777777" w:rsidR="005B656C" w:rsidRPr="00735726" w:rsidRDefault="005B656C" w:rsidP="005B656C">
            <w:pPr>
              <w:pStyle w:val="03body"/>
              <w:spacing w:line="276" w:lineRule="auto"/>
              <w:outlineLvl w:val="0"/>
              <w:rPr>
                <w:rFonts w:cs="Arial"/>
                <w:b/>
                <w:bCs/>
                <w:color w:val="auto"/>
              </w:rPr>
            </w:pPr>
            <w:r w:rsidRPr="00735726">
              <w:rPr>
                <w:rFonts w:cs="Arial"/>
                <w:b/>
                <w:bCs/>
                <w:color w:val="auto"/>
              </w:rPr>
              <w:t>Water quality and resilience</w:t>
            </w:r>
          </w:p>
          <w:p w14:paraId="0F849B16" w14:textId="77777777" w:rsidR="005B656C" w:rsidRPr="00735726" w:rsidRDefault="005B656C" w:rsidP="005B656C">
            <w:pPr>
              <w:pStyle w:val="03body"/>
              <w:spacing w:line="276" w:lineRule="auto"/>
              <w:outlineLvl w:val="0"/>
              <w:rPr>
                <w:rFonts w:cs="Arial"/>
                <w:b/>
                <w:bCs/>
                <w:color w:val="auto"/>
              </w:rPr>
            </w:pPr>
          </w:p>
          <w:p w14:paraId="6D3E5968" w14:textId="77777777" w:rsidR="005B656C" w:rsidRPr="00735726" w:rsidRDefault="005B656C" w:rsidP="005B656C">
            <w:pPr>
              <w:pStyle w:val="03body"/>
              <w:spacing w:line="276" w:lineRule="auto"/>
              <w:outlineLvl w:val="0"/>
              <w:rPr>
                <w:rFonts w:cs="Arial"/>
                <w:b/>
                <w:bCs/>
                <w:color w:val="auto"/>
              </w:rPr>
            </w:pPr>
            <w:r w:rsidRPr="00735726">
              <w:rPr>
                <w:rFonts w:cs="Arial"/>
                <w:b/>
                <w:bCs/>
                <w:color w:val="auto"/>
              </w:rPr>
              <w:t>Storm overflows and pollutions</w:t>
            </w:r>
          </w:p>
          <w:p w14:paraId="0BF8D063" w14:textId="77777777" w:rsidR="005B656C" w:rsidRPr="00735726" w:rsidRDefault="005B656C" w:rsidP="005B656C">
            <w:pPr>
              <w:pStyle w:val="03body"/>
              <w:spacing w:line="276" w:lineRule="auto"/>
              <w:outlineLvl w:val="0"/>
              <w:rPr>
                <w:rFonts w:cs="Arial"/>
                <w:b/>
                <w:bCs/>
                <w:color w:val="auto"/>
              </w:rPr>
            </w:pPr>
          </w:p>
          <w:p w14:paraId="635F2521" w14:textId="77777777" w:rsidR="005B656C" w:rsidRPr="00735726" w:rsidRDefault="005B656C" w:rsidP="005B656C">
            <w:pPr>
              <w:pStyle w:val="03body"/>
              <w:spacing w:line="276" w:lineRule="auto"/>
              <w:outlineLvl w:val="0"/>
              <w:rPr>
                <w:rFonts w:cs="Arial"/>
                <w:b/>
                <w:bCs/>
                <w:color w:val="auto"/>
              </w:rPr>
            </w:pPr>
            <w:r w:rsidRPr="00735726">
              <w:rPr>
                <w:rFonts w:cs="Arial"/>
                <w:b/>
                <w:bCs/>
                <w:color w:val="auto"/>
              </w:rPr>
              <w:t>Net Zero and environmental gains</w:t>
            </w:r>
          </w:p>
          <w:p w14:paraId="5420418C" w14:textId="77777777" w:rsidR="005B656C" w:rsidRPr="00735726" w:rsidRDefault="005B656C" w:rsidP="005B656C">
            <w:pPr>
              <w:pStyle w:val="03body"/>
              <w:spacing w:line="276" w:lineRule="auto"/>
              <w:outlineLvl w:val="0"/>
              <w:rPr>
                <w:rFonts w:cs="Arial"/>
                <w:b/>
                <w:bCs/>
                <w:color w:val="auto"/>
              </w:rPr>
            </w:pPr>
          </w:p>
          <w:p w14:paraId="41AFECCB" w14:textId="747F7A89" w:rsidR="005B656C" w:rsidRPr="009A2CAE" w:rsidRDefault="005B656C" w:rsidP="005B656C">
            <w:pPr>
              <w:rPr>
                <w:rFonts w:ascii="Arial" w:hAnsi="Arial" w:cs="DINOT-Light"/>
                <w:color w:val="000000"/>
                <w:sz w:val="18"/>
                <w:szCs w:val="18"/>
              </w:rPr>
            </w:pPr>
            <w:r w:rsidRPr="00735726">
              <w:rPr>
                <w:rFonts w:ascii="Arial" w:hAnsi="Arial" w:cs="Arial"/>
                <w:b/>
                <w:bCs/>
                <w:sz w:val="18"/>
                <w:szCs w:val="18"/>
              </w:rPr>
              <w:t>Addressing affordability and delivering for our customers</w:t>
            </w:r>
          </w:p>
          <w:p w14:paraId="6FA09BB6" w14:textId="77777777" w:rsidR="005B656C" w:rsidRPr="009A2CAE" w:rsidRDefault="005B656C" w:rsidP="005B656C">
            <w:pPr>
              <w:rPr>
                <w:rFonts w:ascii="Arial" w:hAnsi="Arial" w:cs="DINOT-Light"/>
                <w:color w:val="000000"/>
                <w:sz w:val="18"/>
                <w:szCs w:val="18"/>
              </w:rPr>
            </w:pPr>
          </w:p>
        </w:tc>
        <w:tc>
          <w:tcPr>
            <w:tcW w:w="6420" w:type="dxa"/>
          </w:tcPr>
          <w:p w14:paraId="6AB6EBF5" w14:textId="77777777" w:rsidR="005B656C" w:rsidRPr="00735726" w:rsidRDefault="005B656C" w:rsidP="005B656C">
            <w:pPr>
              <w:pStyle w:val="03body"/>
              <w:spacing w:line="276" w:lineRule="auto"/>
              <w:outlineLvl w:val="0"/>
            </w:pPr>
            <w:r w:rsidRPr="00735726">
              <w:rPr>
                <w:b/>
              </w:rPr>
              <w:t>Strategic impact:</w:t>
            </w:r>
          </w:p>
          <w:p w14:paraId="50CA35BF" w14:textId="77777777" w:rsidR="005B656C" w:rsidRPr="00735726" w:rsidRDefault="005B656C" w:rsidP="005B656C">
            <w:pPr>
              <w:autoSpaceDE w:val="0"/>
              <w:autoSpaceDN w:val="0"/>
              <w:adjustRightInd w:val="0"/>
              <w:spacing w:after="0" w:line="240" w:lineRule="auto"/>
              <w:rPr>
                <w:rFonts w:ascii="Arial" w:hAnsi="Arial" w:cs="DINOT-Light"/>
                <w:color w:val="000000"/>
                <w:sz w:val="18"/>
                <w:szCs w:val="18"/>
              </w:rPr>
            </w:pPr>
            <w:r w:rsidRPr="00735726">
              <w:rPr>
                <w:rFonts w:ascii="Arial" w:hAnsi="Arial" w:cs="DINOT-Light"/>
                <w:color w:val="000000"/>
                <w:sz w:val="18"/>
                <w:szCs w:val="18"/>
              </w:rPr>
              <w:t xml:space="preserve">Failure to maintain a workforce of skilled and motivated individuals will detrimentally impact </w:t>
            </w:r>
            <w:proofErr w:type="gramStart"/>
            <w:r w:rsidRPr="00735726">
              <w:rPr>
                <w:rFonts w:ascii="Arial" w:hAnsi="Arial" w:cs="DINOT-Light"/>
                <w:color w:val="000000"/>
                <w:sz w:val="18"/>
                <w:szCs w:val="18"/>
              </w:rPr>
              <w:t>all of</w:t>
            </w:r>
            <w:proofErr w:type="gramEnd"/>
            <w:r w:rsidRPr="00735726">
              <w:rPr>
                <w:rFonts w:ascii="Arial" w:hAnsi="Arial" w:cs="DINOT-Light"/>
                <w:color w:val="000000"/>
                <w:sz w:val="18"/>
                <w:szCs w:val="18"/>
              </w:rPr>
              <w:t xml:space="preserve"> our strategic priorities. We need the right people in the right places to innovate, share best practice, deliver synergies and move the Company forward.</w:t>
            </w:r>
          </w:p>
          <w:p w14:paraId="628E456C" w14:textId="77777777" w:rsidR="005B656C" w:rsidRPr="00735726" w:rsidRDefault="005B656C" w:rsidP="005B656C">
            <w:pPr>
              <w:autoSpaceDE w:val="0"/>
              <w:autoSpaceDN w:val="0"/>
              <w:adjustRightInd w:val="0"/>
              <w:spacing w:after="0" w:line="240" w:lineRule="auto"/>
              <w:rPr>
                <w:rFonts w:ascii="Arial" w:hAnsi="Arial" w:cs="DINOT-Light"/>
                <w:b/>
                <w:color w:val="000000"/>
                <w:sz w:val="18"/>
                <w:szCs w:val="18"/>
              </w:rPr>
            </w:pPr>
          </w:p>
          <w:p w14:paraId="471C612D" w14:textId="070A3A99" w:rsidR="005B656C" w:rsidRPr="009A2CAE" w:rsidRDefault="005B656C" w:rsidP="005B656C">
            <w:pPr>
              <w:autoSpaceDE w:val="0"/>
              <w:autoSpaceDN w:val="0"/>
              <w:adjustRightInd w:val="0"/>
              <w:spacing w:after="0" w:line="240" w:lineRule="auto"/>
              <w:rPr>
                <w:rFonts w:ascii="Arial" w:hAnsi="Arial" w:cs="DINOT-Light"/>
                <w:color w:val="000000"/>
                <w:sz w:val="18"/>
                <w:szCs w:val="18"/>
              </w:rPr>
            </w:pPr>
            <w:r w:rsidRPr="00735726">
              <w:rPr>
                <w:rFonts w:ascii="Arial" w:hAnsi="Arial" w:cs="DINOT-Light"/>
                <w:b/>
                <w:color w:val="000000"/>
                <w:sz w:val="18"/>
                <w:szCs w:val="18"/>
              </w:rPr>
              <w:t>Mitigation:</w:t>
            </w:r>
          </w:p>
          <w:p w14:paraId="17E65D79" w14:textId="7EA571C9" w:rsidR="005B656C" w:rsidRPr="00735726" w:rsidRDefault="005B656C" w:rsidP="005B656C">
            <w:pPr>
              <w:rPr>
                <w:rFonts w:ascii="Arial" w:hAnsi="Arial" w:cs="DINOT-Light"/>
                <w:color w:val="000000"/>
                <w:sz w:val="18"/>
                <w:szCs w:val="18"/>
              </w:rPr>
            </w:pPr>
            <w:r w:rsidRPr="00735726">
              <w:rPr>
                <w:rFonts w:ascii="Arial" w:hAnsi="Arial" w:cs="DINOT-Light"/>
                <w:color w:val="000000"/>
                <w:sz w:val="18"/>
                <w:szCs w:val="18"/>
              </w:rPr>
              <w:t>The Company supports attraction and retention through its People strategy, aligned to the Company’s Values, with a focus on building capability, developing talent and aligning resources to customer and business priorities. Regular employee engagement, including pulse surveys, Big Chats for all employees to hear from our Executive, engagement forums, and newsletters, helps identify concerns and respond to feedback. This is reinforced by continued investment in graduate and apprentice recruitment, a strong focus on diversity and inclusion, and leadership development programmes designed to strengthen capability at current and future senior levels.</w:t>
            </w:r>
          </w:p>
          <w:p w14:paraId="41EBA8E1" w14:textId="19F5854C" w:rsidR="005B656C" w:rsidRPr="009A2CAE" w:rsidRDefault="005B656C" w:rsidP="00277639">
            <w:r w:rsidRPr="00735726">
              <w:rPr>
                <w:rFonts w:ascii="Arial" w:hAnsi="Arial" w:cs="DINOT-Light"/>
                <w:color w:val="000000"/>
                <w:sz w:val="18"/>
                <w:szCs w:val="18"/>
              </w:rPr>
              <w:t>Climate change influence:</w:t>
            </w:r>
            <w:r w:rsidRPr="00735726">
              <w:rPr>
                <w:rFonts w:ascii="Arial" w:hAnsi="Arial" w:cs="DINOT-Light"/>
                <w:b/>
                <w:bCs/>
                <w:color w:val="000000"/>
                <w:sz w:val="18"/>
                <w:szCs w:val="18"/>
              </w:rPr>
              <w:t xml:space="preserve"> Transitional </w:t>
            </w:r>
            <w:r w:rsidRPr="00735726">
              <w:rPr>
                <w:rFonts w:ascii="Arial" w:hAnsi="Arial" w:cs="DINOT-Light"/>
                <w:b/>
                <w:bCs/>
                <w:color w:val="000000"/>
                <w:sz w:val="18"/>
                <w:szCs w:val="18"/>
              </w:rPr>
              <w:br/>
            </w:r>
            <w:r w:rsidRPr="00735726">
              <w:rPr>
                <w:rFonts w:ascii="Arial" w:hAnsi="Arial" w:cs="DINOT-Light"/>
                <w:b/>
                <w:bCs/>
                <w:color w:val="000000"/>
                <w:sz w:val="18"/>
                <w:szCs w:val="18"/>
              </w:rPr>
              <w:br/>
            </w:r>
            <w:r w:rsidRPr="00735726">
              <w:rPr>
                <w:rFonts w:ascii="Arial" w:hAnsi="Arial" w:cs="DINOT-Light"/>
                <w:color w:val="000000"/>
                <w:sz w:val="18"/>
                <w:szCs w:val="18"/>
              </w:rPr>
              <w:t>Nature change influence:</w:t>
            </w:r>
            <w:r w:rsidRPr="00735726">
              <w:rPr>
                <w:rFonts w:ascii="Arial" w:hAnsi="Arial" w:cs="DINOT-Light"/>
                <w:b/>
                <w:bCs/>
                <w:color w:val="000000"/>
                <w:sz w:val="18"/>
                <w:szCs w:val="18"/>
              </w:rPr>
              <w:t xml:space="preserve"> Transitional</w:t>
            </w:r>
          </w:p>
        </w:tc>
      </w:tr>
    </w:tbl>
    <w:p w14:paraId="59A6628D" w14:textId="77777777" w:rsidR="005B656C" w:rsidRPr="009A2CAE" w:rsidRDefault="000E6C31" w:rsidP="000E6C31">
      <w:pPr>
        <w:spacing w:line="360" w:lineRule="auto"/>
        <w:rPr>
          <w:rFonts w:ascii="Arial" w:hAnsi="Arial" w:cs="Arial"/>
          <w:b/>
          <w:sz w:val="18"/>
          <w:szCs w:val="18"/>
        </w:rPr>
      </w:pPr>
      <w:r w:rsidRPr="009A2CAE">
        <w:rPr>
          <w:rFonts w:ascii="Arial" w:hAnsi="Arial" w:cs="Arial"/>
          <w:b/>
          <w:sz w:val="18"/>
          <w:szCs w:val="18"/>
        </w:rPr>
        <w:br/>
      </w:r>
    </w:p>
    <w:p w14:paraId="7BFE3947" w14:textId="7B078155" w:rsidR="000E6C31" w:rsidRPr="00735726" w:rsidRDefault="000E6C31" w:rsidP="000E6C31">
      <w:pPr>
        <w:spacing w:line="360" w:lineRule="auto"/>
        <w:rPr>
          <w:rFonts w:ascii="Arial" w:hAnsi="Arial" w:cs="Arial"/>
          <w:b/>
          <w:sz w:val="18"/>
          <w:szCs w:val="18"/>
        </w:rPr>
      </w:pPr>
      <w:r w:rsidRPr="00735726">
        <w:rPr>
          <w:rFonts w:ascii="Arial" w:hAnsi="Arial" w:cs="Arial"/>
          <w:b/>
          <w:sz w:val="18"/>
          <w:szCs w:val="18"/>
        </w:rPr>
        <w:lastRenderedPageBreak/>
        <w:t>BUSINESS SYSTEMS AND CAP</w:t>
      </w:r>
      <w:r w:rsidR="008C14A7" w:rsidRPr="00735726">
        <w:rPr>
          <w:rFonts w:ascii="Arial" w:hAnsi="Arial" w:cs="Arial"/>
          <w:b/>
          <w:sz w:val="18"/>
          <w:szCs w:val="18"/>
        </w:rPr>
        <w:t>IT</w:t>
      </w:r>
      <w:r w:rsidRPr="00735726">
        <w:rPr>
          <w:rFonts w:ascii="Arial" w:hAnsi="Arial" w:cs="Arial"/>
          <w:b/>
          <w:sz w:val="18"/>
          <w:szCs w:val="18"/>
        </w:rPr>
        <w:t>AL INVESTMENT</w:t>
      </w:r>
    </w:p>
    <w:tbl>
      <w:tblPr>
        <w:tblStyle w:val="TableGrid"/>
        <w:tblW w:w="0" w:type="auto"/>
        <w:tblLook w:val="04A0" w:firstRow="1" w:lastRow="0" w:firstColumn="1" w:lastColumn="0" w:noHBand="0" w:noVBand="1"/>
      </w:tblPr>
      <w:tblGrid>
        <w:gridCol w:w="2628"/>
        <w:gridCol w:w="1904"/>
        <w:gridCol w:w="4474"/>
      </w:tblGrid>
      <w:tr w:rsidR="000E6C31" w:rsidRPr="00735726" w14:paraId="3E2023C5" w14:textId="77777777" w:rsidTr="00470234">
        <w:tc>
          <w:tcPr>
            <w:tcW w:w="9006" w:type="dxa"/>
            <w:gridSpan w:val="3"/>
          </w:tcPr>
          <w:p w14:paraId="570A3856" w14:textId="16AC606F" w:rsidR="000E6C31" w:rsidRPr="00735726" w:rsidRDefault="000E6C31" w:rsidP="00470234">
            <w:pPr>
              <w:rPr>
                <w:b/>
              </w:rPr>
            </w:pPr>
            <w:r w:rsidRPr="00735726">
              <w:rPr>
                <w:rFonts w:ascii="Arial" w:hAnsi="Arial" w:cs="DINOT-Light"/>
                <w:b/>
                <w:color w:val="000000"/>
                <w:sz w:val="18"/>
                <w:szCs w:val="18"/>
              </w:rPr>
              <w:t xml:space="preserve">Principal Risk </w:t>
            </w:r>
            <w:r w:rsidR="00CB2AD0" w:rsidRPr="00735726">
              <w:rPr>
                <w:rFonts w:ascii="Arial" w:hAnsi="Arial" w:cs="DINOT-Light"/>
                <w:b/>
                <w:color w:val="000000"/>
                <w:sz w:val="18"/>
                <w:szCs w:val="18"/>
              </w:rPr>
              <w:t>J</w:t>
            </w:r>
            <w:r w:rsidRPr="00735726">
              <w:rPr>
                <w:rFonts w:ascii="Arial" w:hAnsi="Arial" w:cs="DINOT-Light"/>
                <w:b/>
                <w:color w:val="000000"/>
                <w:sz w:val="18"/>
                <w:szCs w:val="18"/>
              </w:rPr>
              <w:t xml:space="preserve">: Insufficient capacity and resilience of the supply chain to deliver the Company’s operational and capital programmes </w:t>
            </w:r>
            <w:r w:rsidR="007A70C4" w:rsidRPr="00735726">
              <w:rPr>
                <w:rFonts w:ascii="Arial" w:hAnsi="Arial" w:cs="DINOT-Light"/>
                <w:b/>
                <w:color w:val="000000"/>
                <w:sz w:val="18"/>
                <w:szCs w:val="18"/>
              </w:rPr>
              <w:t xml:space="preserve">which more than doubles </w:t>
            </w:r>
            <w:r w:rsidRPr="00735726">
              <w:rPr>
                <w:rFonts w:ascii="Arial" w:hAnsi="Arial" w:cs="DINOT-Light"/>
                <w:b/>
                <w:color w:val="000000"/>
                <w:sz w:val="18"/>
                <w:szCs w:val="18"/>
              </w:rPr>
              <w:t xml:space="preserve">in </w:t>
            </w:r>
            <w:r w:rsidR="00CB2AD0" w:rsidRPr="00735726">
              <w:rPr>
                <w:rFonts w:ascii="Arial" w:hAnsi="Arial" w:cs="DINOT-Light"/>
                <w:b/>
                <w:color w:val="000000"/>
                <w:sz w:val="18"/>
                <w:szCs w:val="18"/>
              </w:rPr>
              <w:t>AMP</w:t>
            </w:r>
            <w:r w:rsidRPr="00735726">
              <w:rPr>
                <w:rFonts w:ascii="Arial" w:hAnsi="Arial" w:cs="DINOT-Light"/>
                <w:b/>
                <w:color w:val="000000"/>
                <w:sz w:val="18"/>
                <w:szCs w:val="18"/>
              </w:rPr>
              <w:t>8</w:t>
            </w:r>
          </w:p>
        </w:tc>
      </w:tr>
      <w:tr w:rsidR="00CB2AD0" w:rsidRPr="00735726" w14:paraId="000274D5" w14:textId="77777777" w:rsidTr="00470234">
        <w:tc>
          <w:tcPr>
            <w:tcW w:w="4532" w:type="dxa"/>
            <w:gridSpan w:val="2"/>
            <w:tcBorders>
              <w:bottom w:val="single" w:sz="4" w:space="0" w:color="auto"/>
            </w:tcBorders>
          </w:tcPr>
          <w:p w14:paraId="7208FEF3" w14:textId="1197A881" w:rsidR="00CB2AD0" w:rsidRPr="00735726" w:rsidRDefault="00CB2AD0" w:rsidP="00CB2AD0">
            <w:pPr>
              <w:pStyle w:val="03body"/>
              <w:spacing w:line="240" w:lineRule="auto"/>
              <w:rPr>
                <w:b/>
              </w:rPr>
            </w:pPr>
            <w:r w:rsidRPr="00735726">
              <w:rPr>
                <w:b/>
              </w:rPr>
              <w:t>2026 Net risk and direction:</w:t>
            </w:r>
          </w:p>
        </w:tc>
        <w:tc>
          <w:tcPr>
            <w:tcW w:w="4474" w:type="dxa"/>
            <w:tcBorders>
              <w:bottom w:val="single" w:sz="4" w:space="0" w:color="auto"/>
            </w:tcBorders>
          </w:tcPr>
          <w:p w14:paraId="5E29ADEE" w14:textId="0FB74FD0" w:rsidR="00CB2AD0" w:rsidRPr="00735726" w:rsidRDefault="00CB2AD0" w:rsidP="00CB2AD0">
            <w:pPr>
              <w:pStyle w:val="03body"/>
              <w:spacing w:line="240" w:lineRule="auto"/>
              <w:rPr>
                <w:b/>
              </w:rPr>
            </w:pPr>
            <w:r w:rsidRPr="00735726">
              <w:rPr>
                <w:b/>
              </w:rPr>
              <w:t>2025 Net risk and direction:</w:t>
            </w:r>
          </w:p>
        </w:tc>
      </w:tr>
      <w:tr w:rsidR="00CB2AD0" w:rsidRPr="00735726" w14:paraId="3D2EA3A3" w14:textId="77777777" w:rsidTr="004702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2" w:type="dxa"/>
            <w:gridSpan w:val="2"/>
            <w:tcBorders>
              <w:top w:val="single" w:sz="4" w:space="0" w:color="auto"/>
              <w:left w:val="single" w:sz="4" w:space="0" w:color="auto"/>
              <w:right w:val="single" w:sz="4" w:space="0" w:color="auto"/>
            </w:tcBorders>
          </w:tcPr>
          <w:p w14:paraId="7948BC08" w14:textId="77777777" w:rsidR="00CB2AD0" w:rsidRPr="00735726" w:rsidRDefault="00CB2AD0" w:rsidP="00CB2AD0">
            <w:pPr>
              <w:pStyle w:val="03body"/>
              <w:spacing w:line="240" w:lineRule="auto"/>
              <w:rPr>
                <w:b/>
              </w:rPr>
            </w:pPr>
            <w:r w:rsidRPr="00735726">
              <w:rPr>
                <w:b/>
              </w:rPr>
              <w:t>LOW, STABLE</w:t>
            </w:r>
          </w:p>
        </w:tc>
        <w:tc>
          <w:tcPr>
            <w:tcW w:w="4474" w:type="dxa"/>
            <w:tcBorders>
              <w:top w:val="single" w:sz="4" w:space="0" w:color="auto"/>
              <w:left w:val="single" w:sz="4" w:space="0" w:color="auto"/>
              <w:bottom w:val="single" w:sz="4" w:space="0" w:color="auto"/>
              <w:right w:val="single" w:sz="4" w:space="0" w:color="auto"/>
            </w:tcBorders>
          </w:tcPr>
          <w:p w14:paraId="766288FF" w14:textId="1BDC69D9" w:rsidR="00CB2AD0" w:rsidRPr="00735726" w:rsidRDefault="00CB2AD0" w:rsidP="00CB2AD0">
            <w:pPr>
              <w:pStyle w:val="03body"/>
              <w:spacing w:line="240" w:lineRule="auto"/>
              <w:rPr>
                <w:b/>
              </w:rPr>
            </w:pPr>
            <w:r w:rsidRPr="00735726">
              <w:rPr>
                <w:b/>
              </w:rPr>
              <w:t>LOW, STABLE</w:t>
            </w:r>
          </w:p>
        </w:tc>
      </w:tr>
      <w:tr w:rsidR="00CB2AD0" w:rsidRPr="00735726" w14:paraId="510E89F5" w14:textId="77777777" w:rsidTr="007A059A">
        <w:trPr>
          <w:trHeight w:val="699"/>
        </w:trPr>
        <w:tc>
          <w:tcPr>
            <w:tcW w:w="2628" w:type="dxa"/>
          </w:tcPr>
          <w:p w14:paraId="59DEBF0C" w14:textId="77777777" w:rsidR="00CB2AD0" w:rsidRPr="00735726" w:rsidRDefault="00CB2AD0" w:rsidP="00CB2AD0">
            <w:pPr>
              <w:pStyle w:val="03body"/>
              <w:spacing w:line="276" w:lineRule="auto"/>
              <w:outlineLvl w:val="0"/>
              <w:rPr>
                <w:b/>
              </w:rPr>
            </w:pPr>
            <w:r w:rsidRPr="00735726">
              <w:rPr>
                <w:b/>
              </w:rPr>
              <w:t>Strategic priorities:</w:t>
            </w:r>
          </w:p>
          <w:p w14:paraId="11BA578F" w14:textId="77777777" w:rsidR="00CB2AD0" w:rsidRPr="00735726" w:rsidRDefault="00CB2AD0" w:rsidP="00470234">
            <w:pPr>
              <w:pStyle w:val="03body"/>
              <w:spacing w:line="276" w:lineRule="auto"/>
              <w:outlineLvl w:val="0"/>
              <w:rPr>
                <w:bCs/>
              </w:rPr>
            </w:pPr>
          </w:p>
          <w:p w14:paraId="377164F2" w14:textId="77777777" w:rsidR="00CB2AD0" w:rsidRPr="00735726" w:rsidRDefault="00CB2AD0" w:rsidP="00CB2AD0">
            <w:pPr>
              <w:pStyle w:val="03body"/>
              <w:spacing w:line="276" w:lineRule="auto"/>
              <w:outlineLvl w:val="0"/>
              <w:rPr>
                <w:rFonts w:cs="Arial"/>
                <w:b/>
                <w:bCs/>
                <w:color w:val="auto"/>
              </w:rPr>
            </w:pPr>
            <w:r w:rsidRPr="00735726">
              <w:rPr>
                <w:rFonts w:cs="Arial"/>
                <w:b/>
                <w:bCs/>
                <w:color w:val="auto"/>
              </w:rPr>
              <w:t>Water quality and resilience</w:t>
            </w:r>
          </w:p>
          <w:p w14:paraId="143A7B6C" w14:textId="77777777" w:rsidR="00CB2AD0" w:rsidRPr="00735726" w:rsidRDefault="00CB2AD0" w:rsidP="00CB2AD0">
            <w:pPr>
              <w:pStyle w:val="03body"/>
              <w:spacing w:line="276" w:lineRule="auto"/>
              <w:outlineLvl w:val="0"/>
              <w:rPr>
                <w:rFonts w:cs="Arial"/>
                <w:b/>
                <w:bCs/>
                <w:color w:val="auto"/>
              </w:rPr>
            </w:pPr>
          </w:p>
          <w:p w14:paraId="229D9A1B" w14:textId="77777777" w:rsidR="00CB2AD0" w:rsidRPr="00735726" w:rsidRDefault="00CB2AD0" w:rsidP="00CB2AD0">
            <w:pPr>
              <w:pStyle w:val="03body"/>
              <w:spacing w:line="276" w:lineRule="auto"/>
              <w:outlineLvl w:val="0"/>
              <w:rPr>
                <w:rFonts w:cs="Arial"/>
                <w:b/>
                <w:bCs/>
                <w:color w:val="auto"/>
              </w:rPr>
            </w:pPr>
            <w:r w:rsidRPr="00735726">
              <w:rPr>
                <w:rFonts w:cs="Arial"/>
                <w:b/>
                <w:bCs/>
                <w:color w:val="auto"/>
              </w:rPr>
              <w:t>Storm overflows and pollutions</w:t>
            </w:r>
          </w:p>
          <w:p w14:paraId="132DB64F" w14:textId="77777777" w:rsidR="00CB2AD0" w:rsidRPr="00735726" w:rsidRDefault="00CB2AD0" w:rsidP="00CB2AD0">
            <w:pPr>
              <w:pStyle w:val="03body"/>
              <w:spacing w:line="276" w:lineRule="auto"/>
              <w:outlineLvl w:val="0"/>
              <w:rPr>
                <w:rFonts w:cs="Arial"/>
                <w:b/>
                <w:bCs/>
                <w:color w:val="auto"/>
              </w:rPr>
            </w:pPr>
          </w:p>
          <w:p w14:paraId="5BB7A686" w14:textId="77777777" w:rsidR="00CB2AD0" w:rsidRPr="00735726" w:rsidRDefault="00CB2AD0" w:rsidP="00CB2AD0">
            <w:pPr>
              <w:pStyle w:val="03body"/>
              <w:spacing w:line="276" w:lineRule="auto"/>
              <w:outlineLvl w:val="0"/>
              <w:rPr>
                <w:rFonts w:cs="Arial"/>
                <w:b/>
                <w:bCs/>
                <w:color w:val="auto"/>
              </w:rPr>
            </w:pPr>
            <w:r w:rsidRPr="00735726">
              <w:rPr>
                <w:rFonts w:cs="Arial"/>
                <w:b/>
                <w:bCs/>
                <w:color w:val="auto"/>
              </w:rPr>
              <w:t>Net Zero and environmental gains</w:t>
            </w:r>
          </w:p>
          <w:p w14:paraId="2F7C5ADE" w14:textId="77777777" w:rsidR="00CB2AD0" w:rsidRPr="00735726" w:rsidRDefault="00CB2AD0" w:rsidP="00CB2AD0">
            <w:pPr>
              <w:pStyle w:val="03body"/>
              <w:spacing w:line="276" w:lineRule="auto"/>
              <w:outlineLvl w:val="0"/>
              <w:rPr>
                <w:rFonts w:cs="Arial"/>
                <w:b/>
                <w:bCs/>
                <w:color w:val="auto"/>
              </w:rPr>
            </w:pPr>
          </w:p>
          <w:p w14:paraId="50B37B75" w14:textId="50B6B79C" w:rsidR="00CB2AD0" w:rsidRPr="00735726" w:rsidRDefault="00CB2AD0" w:rsidP="00CB2AD0">
            <w:pPr>
              <w:pStyle w:val="03body"/>
              <w:spacing w:line="276" w:lineRule="auto"/>
              <w:outlineLvl w:val="0"/>
              <w:rPr>
                <w:rFonts w:cs="Arial"/>
                <w:b/>
                <w:bCs/>
                <w:color w:val="auto"/>
              </w:rPr>
            </w:pPr>
            <w:r w:rsidRPr="00735726">
              <w:rPr>
                <w:rFonts w:cs="Arial"/>
                <w:b/>
                <w:bCs/>
                <w:color w:val="auto"/>
              </w:rPr>
              <w:t>Addressing affordability and delivering for our customers</w:t>
            </w:r>
          </w:p>
          <w:p w14:paraId="283C3452" w14:textId="77777777" w:rsidR="00CB2AD0" w:rsidRPr="00735726" w:rsidRDefault="00CB2AD0" w:rsidP="00CB2AD0">
            <w:pPr>
              <w:pStyle w:val="03body"/>
              <w:spacing w:line="276" w:lineRule="auto"/>
              <w:outlineLvl w:val="0"/>
              <w:rPr>
                <w:rFonts w:cs="Arial"/>
                <w:b/>
                <w:bCs/>
                <w:color w:val="auto"/>
              </w:rPr>
            </w:pPr>
          </w:p>
          <w:p w14:paraId="1F16245A" w14:textId="6523E793" w:rsidR="00CB2AD0" w:rsidRPr="00735726" w:rsidRDefault="00CB2AD0" w:rsidP="00470234">
            <w:pPr>
              <w:rPr>
                <w:rFonts w:ascii="Arial" w:hAnsi="Arial" w:cs="DINOT-Light"/>
                <w:b/>
                <w:bCs/>
                <w:color w:val="000000"/>
                <w:sz w:val="18"/>
                <w:szCs w:val="18"/>
              </w:rPr>
            </w:pPr>
          </w:p>
        </w:tc>
        <w:tc>
          <w:tcPr>
            <w:tcW w:w="6378" w:type="dxa"/>
            <w:gridSpan w:val="2"/>
          </w:tcPr>
          <w:p w14:paraId="10742606" w14:textId="77777777" w:rsidR="00CB2AD0" w:rsidRPr="00735726" w:rsidRDefault="00CB2AD0" w:rsidP="00CB2AD0">
            <w:pPr>
              <w:pStyle w:val="03body"/>
              <w:spacing w:line="276" w:lineRule="auto"/>
              <w:outlineLvl w:val="0"/>
            </w:pPr>
            <w:r w:rsidRPr="00735726">
              <w:rPr>
                <w:b/>
              </w:rPr>
              <w:t>Strategic impact:</w:t>
            </w:r>
          </w:p>
          <w:p w14:paraId="52E37D02" w14:textId="77777777" w:rsidR="00CB2AD0" w:rsidRPr="00735726" w:rsidRDefault="00CB2AD0" w:rsidP="00CB2AD0">
            <w:pPr>
              <w:pStyle w:val="03body"/>
              <w:spacing w:line="276" w:lineRule="auto"/>
              <w:outlineLvl w:val="0"/>
            </w:pPr>
            <w:r w:rsidRPr="00735726">
              <w:t xml:space="preserve">The inability of our supply chain to support in the delivery of our operational and capital programmes may result in increased costs and delays, detrimentally impacting our ability to achieve our change and growth agenda. </w:t>
            </w:r>
          </w:p>
          <w:p w14:paraId="7C3FA4D8" w14:textId="77777777" w:rsidR="00CB2AD0" w:rsidRPr="00735726" w:rsidRDefault="00CB2AD0" w:rsidP="00470234">
            <w:pPr>
              <w:autoSpaceDE w:val="0"/>
              <w:autoSpaceDN w:val="0"/>
              <w:adjustRightInd w:val="0"/>
              <w:spacing w:after="0"/>
              <w:rPr>
                <w:rFonts w:ascii="Arial" w:hAnsi="Arial" w:cs="DINOT-Light"/>
                <w:color w:val="000000"/>
                <w:sz w:val="18"/>
                <w:szCs w:val="18"/>
              </w:rPr>
            </w:pPr>
          </w:p>
          <w:p w14:paraId="2450F700" w14:textId="77777777" w:rsidR="00CB2AD0" w:rsidRPr="00735726" w:rsidRDefault="00CB2AD0" w:rsidP="00CB2AD0">
            <w:pPr>
              <w:autoSpaceDE w:val="0"/>
              <w:autoSpaceDN w:val="0"/>
              <w:adjustRightInd w:val="0"/>
              <w:spacing w:after="0" w:line="240" w:lineRule="auto"/>
              <w:rPr>
                <w:rFonts w:ascii="Arial" w:hAnsi="Arial" w:cs="DINOT-Light"/>
                <w:color w:val="000000"/>
                <w:sz w:val="18"/>
                <w:szCs w:val="18"/>
              </w:rPr>
            </w:pPr>
            <w:r w:rsidRPr="00735726">
              <w:rPr>
                <w:rFonts w:ascii="Arial" w:hAnsi="Arial" w:cs="DINOT-Light"/>
                <w:b/>
                <w:color w:val="000000"/>
                <w:sz w:val="18"/>
                <w:szCs w:val="18"/>
              </w:rPr>
              <w:t>Mitigation:</w:t>
            </w:r>
          </w:p>
          <w:p w14:paraId="29BE6967" w14:textId="259A84CF" w:rsidR="00CB2AD0" w:rsidRPr="00735726" w:rsidRDefault="00CB2AD0" w:rsidP="00CB2AD0">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The integrated delivery model for AMP8 enables greater flexibility and broadens the number of supply chain partners providing enhanced resilience for the Company. The procurement framework for professional services, and Tier 1 and Tier 2 contractors is in place.</w:t>
            </w:r>
          </w:p>
          <w:p w14:paraId="5B8C1EBD" w14:textId="77777777" w:rsidR="00CB2AD0" w:rsidRPr="00735726" w:rsidRDefault="00CB2AD0" w:rsidP="00CB2AD0">
            <w:pPr>
              <w:autoSpaceDE w:val="0"/>
              <w:autoSpaceDN w:val="0"/>
              <w:adjustRightInd w:val="0"/>
              <w:spacing w:after="0"/>
              <w:rPr>
                <w:rFonts w:ascii="Arial" w:hAnsi="Arial" w:cs="DINOT-Light"/>
                <w:color w:val="000000"/>
                <w:sz w:val="18"/>
                <w:szCs w:val="18"/>
              </w:rPr>
            </w:pPr>
          </w:p>
          <w:p w14:paraId="6A13BEF9" w14:textId="683C06BB" w:rsidR="00CB2AD0" w:rsidRPr="00735726" w:rsidRDefault="00CB2AD0" w:rsidP="00CB2AD0">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 xml:space="preserve">The Company also regularly monitors the financial health of key partners, and we work in partnership with our supply chain to identify and manage potential issues and challenges. Where action is </w:t>
            </w:r>
            <w:r w:rsidR="00014F9A" w:rsidRPr="00735726">
              <w:rPr>
                <w:rFonts w:ascii="Arial" w:hAnsi="Arial" w:cs="DINOT-Light"/>
                <w:color w:val="000000"/>
                <w:sz w:val="18"/>
                <w:szCs w:val="18"/>
              </w:rPr>
              <w:t>required,</w:t>
            </w:r>
            <w:r w:rsidRPr="00735726">
              <w:rPr>
                <w:rFonts w:ascii="Arial" w:hAnsi="Arial" w:cs="DINOT-Light"/>
                <w:color w:val="000000"/>
                <w:sz w:val="18"/>
                <w:szCs w:val="18"/>
              </w:rPr>
              <w:t xml:space="preserve"> there are established plans and alternative arrangements which provide mitigation and early intervention.</w:t>
            </w:r>
          </w:p>
          <w:p w14:paraId="254A8929" w14:textId="77777777" w:rsidR="00CB2AD0" w:rsidRPr="00735726" w:rsidRDefault="00CB2AD0" w:rsidP="00CB2AD0">
            <w:pPr>
              <w:autoSpaceDE w:val="0"/>
              <w:autoSpaceDN w:val="0"/>
              <w:adjustRightInd w:val="0"/>
              <w:spacing w:after="0"/>
              <w:rPr>
                <w:rFonts w:ascii="Arial" w:hAnsi="Arial" w:cs="DINOT-Light"/>
                <w:color w:val="000000"/>
                <w:sz w:val="18"/>
                <w:szCs w:val="18"/>
              </w:rPr>
            </w:pPr>
          </w:p>
          <w:p w14:paraId="1292583C" w14:textId="1B4DFBE3" w:rsidR="00CB2AD0" w:rsidRPr="00735726" w:rsidRDefault="00CB2AD0" w:rsidP="00CB2AD0">
            <w:pPr>
              <w:rPr>
                <w:rFonts w:ascii="Arial" w:hAnsi="Arial" w:cs="DINOT-Light"/>
                <w:b/>
                <w:bCs/>
                <w:color w:val="000000"/>
                <w:sz w:val="18"/>
                <w:szCs w:val="18"/>
              </w:rPr>
            </w:pPr>
            <w:r w:rsidRPr="00735726">
              <w:rPr>
                <w:rFonts w:ascii="Arial" w:hAnsi="Arial" w:cs="DINOT-Light"/>
                <w:color w:val="000000"/>
                <w:sz w:val="18"/>
                <w:szCs w:val="18"/>
              </w:rPr>
              <w:t>Climate change influence:</w:t>
            </w:r>
            <w:r w:rsidRPr="00735726">
              <w:rPr>
                <w:rFonts w:ascii="Arial" w:hAnsi="Arial" w:cs="DINOT-Light"/>
                <w:b/>
                <w:bCs/>
                <w:color w:val="000000"/>
                <w:sz w:val="18"/>
                <w:szCs w:val="18"/>
              </w:rPr>
              <w:t xml:space="preserve"> Transitional / Physical</w:t>
            </w:r>
          </w:p>
          <w:p w14:paraId="6663ED5C" w14:textId="77777777" w:rsidR="00CB2AD0" w:rsidRPr="00735726" w:rsidRDefault="00CB2AD0" w:rsidP="00CB2AD0">
            <w:pPr>
              <w:autoSpaceDE w:val="0"/>
              <w:autoSpaceDN w:val="0"/>
              <w:adjustRightInd w:val="0"/>
              <w:spacing w:after="0"/>
              <w:rPr>
                <w:rFonts w:ascii="Arial" w:hAnsi="Arial" w:cs="DINOT-Light"/>
                <w:b/>
                <w:bCs/>
                <w:color w:val="000000"/>
                <w:sz w:val="18"/>
                <w:szCs w:val="18"/>
              </w:rPr>
            </w:pPr>
            <w:r w:rsidRPr="00735726">
              <w:rPr>
                <w:rFonts w:ascii="Arial" w:hAnsi="Arial" w:cs="DINOT-Light"/>
                <w:color w:val="000000"/>
                <w:sz w:val="18"/>
                <w:szCs w:val="18"/>
              </w:rPr>
              <w:t>Nature change influence:</w:t>
            </w:r>
            <w:r w:rsidRPr="00735726">
              <w:rPr>
                <w:rFonts w:ascii="Arial" w:hAnsi="Arial" w:cs="DINOT-Light"/>
                <w:b/>
                <w:bCs/>
                <w:color w:val="000000"/>
                <w:sz w:val="18"/>
                <w:szCs w:val="18"/>
              </w:rPr>
              <w:t xml:space="preserve"> Transitional / Physical</w:t>
            </w:r>
          </w:p>
          <w:p w14:paraId="58BFCC54" w14:textId="35780616" w:rsidR="00CB2AD0" w:rsidRPr="00735726" w:rsidRDefault="00CB2AD0" w:rsidP="00CB2AD0">
            <w:pPr>
              <w:autoSpaceDE w:val="0"/>
              <w:autoSpaceDN w:val="0"/>
              <w:adjustRightInd w:val="0"/>
              <w:spacing w:after="0"/>
            </w:pPr>
          </w:p>
        </w:tc>
      </w:tr>
      <w:tr w:rsidR="000E6C31" w:rsidRPr="00735726" w14:paraId="6DF7B2D2" w14:textId="77777777" w:rsidTr="00470234">
        <w:tc>
          <w:tcPr>
            <w:tcW w:w="9006" w:type="dxa"/>
            <w:gridSpan w:val="3"/>
          </w:tcPr>
          <w:p w14:paraId="35CF54DF" w14:textId="3EFD2EDF" w:rsidR="000E6C31" w:rsidRPr="00735726" w:rsidRDefault="000E6C31" w:rsidP="00470234">
            <w:pPr>
              <w:pStyle w:val="03body"/>
              <w:spacing w:line="240" w:lineRule="auto"/>
              <w:rPr>
                <w:b/>
              </w:rPr>
            </w:pPr>
            <w:r w:rsidRPr="00735726">
              <w:rPr>
                <w:b/>
              </w:rPr>
              <w:t xml:space="preserve">Principal Risk </w:t>
            </w:r>
            <w:r w:rsidR="00CB2AD0" w:rsidRPr="00735726">
              <w:rPr>
                <w:b/>
              </w:rPr>
              <w:t>K</w:t>
            </w:r>
            <w:r w:rsidRPr="00735726">
              <w:rPr>
                <w:b/>
              </w:rPr>
              <w:t>: Inadequate technological</w:t>
            </w:r>
            <w:r w:rsidR="00CB2AD0" w:rsidRPr="00735726">
              <w:rPr>
                <w:b/>
              </w:rPr>
              <w:t xml:space="preserve"> control or </w:t>
            </w:r>
            <w:proofErr w:type="spellStart"/>
            <w:r w:rsidR="00CB2AD0" w:rsidRPr="00735726">
              <w:rPr>
                <w:b/>
              </w:rPr>
              <w:t>cyber attack</w:t>
            </w:r>
            <w:proofErr w:type="spellEnd"/>
            <w:r w:rsidR="00CB2AD0" w:rsidRPr="00735726">
              <w:rPr>
                <w:b/>
              </w:rPr>
              <w:t xml:space="preserve"> results in a</w:t>
            </w:r>
            <w:r w:rsidRPr="00735726">
              <w:rPr>
                <w:b/>
              </w:rPr>
              <w:t xml:space="preserve"> breach of the Company’s assets, systems and data</w:t>
            </w:r>
          </w:p>
        </w:tc>
      </w:tr>
      <w:tr w:rsidR="00CB2AD0" w:rsidRPr="00735726" w14:paraId="0AF85C40" w14:textId="77777777" w:rsidTr="00470234">
        <w:tc>
          <w:tcPr>
            <w:tcW w:w="4532" w:type="dxa"/>
            <w:gridSpan w:val="2"/>
            <w:tcBorders>
              <w:bottom w:val="single" w:sz="4" w:space="0" w:color="auto"/>
            </w:tcBorders>
          </w:tcPr>
          <w:p w14:paraId="52940AE3" w14:textId="4058C555" w:rsidR="00CB2AD0" w:rsidRPr="00735726" w:rsidRDefault="00CB2AD0" w:rsidP="00CB2AD0">
            <w:pPr>
              <w:pStyle w:val="03body"/>
              <w:spacing w:line="240" w:lineRule="auto"/>
              <w:rPr>
                <w:b/>
              </w:rPr>
            </w:pPr>
            <w:r w:rsidRPr="00735726">
              <w:rPr>
                <w:b/>
              </w:rPr>
              <w:t>2026 Net risk and direction:</w:t>
            </w:r>
          </w:p>
        </w:tc>
        <w:tc>
          <w:tcPr>
            <w:tcW w:w="4474" w:type="dxa"/>
            <w:tcBorders>
              <w:bottom w:val="single" w:sz="4" w:space="0" w:color="auto"/>
            </w:tcBorders>
          </w:tcPr>
          <w:p w14:paraId="14729630" w14:textId="1198FFF9" w:rsidR="00CB2AD0" w:rsidRPr="00735726" w:rsidRDefault="00CB2AD0" w:rsidP="00CB2AD0">
            <w:pPr>
              <w:pStyle w:val="03body"/>
              <w:spacing w:line="240" w:lineRule="auto"/>
              <w:rPr>
                <w:b/>
              </w:rPr>
            </w:pPr>
            <w:r w:rsidRPr="00735726">
              <w:rPr>
                <w:b/>
              </w:rPr>
              <w:t>2025 Net risk and direction:</w:t>
            </w:r>
          </w:p>
        </w:tc>
      </w:tr>
      <w:tr w:rsidR="00CB2AD0" w:rsidRPr="00735726" w14:paraId="73A4181F" w14:textId="77777777" w:rsidTr="004702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2" w:type="dxa"/>
            <w:gridSpan w:val="2"/>
            <w:tcBorders>
              <w:top w:val="single" w:sz="4" w:space="0" w:color="auto"/>
              <w:left w:val="single" w:sz="4" w:space="0" w:color="auto"/>
              <w:right w:val="single" w:sz="4" w:space="0" w:color="auto"/>
            </w:tcBorders>
          </w:tcPr>
          <w:p w14:paraId="74F7A830" w14:textId="29C14722" w:rsidR="00CB2AD0" w:rsidRPr="00735726" w:rsidRDefault="00CB2AD0" w:rsidP="00CB2AD0">
            <w:pPr>
              <w:pStyle w:val="03body"/>
              <w:spacing w:line="240" w:lineRule="auto"/>
              <w:rPr>
                <w:b/>
              </w:rPr>
            </w:pPr>
            <w:r w:rsidRPr="00735726">
              <w:rPr>
                <w:b/>
              </w:rPr>
              <w:t>HIGH, STABLE</w:t>
            </w:r>
          </w:p>
        </w:tc>
        <w:tc>
          <w:tcPr>
            <w:tcW w:w="4474" w:type="dxa"/>
            <w:tcBorders>
              <w:top w:val="single" w:sz="4" w:space="0" w:color="auto"/>
              <w:left w:val="single" w:sz="4" w:space="0" w:color="auto"/>
              <w:bottom w:val="single" w:sz="4" w:space="0" w:color="auto"/>
              <w:right w:val="single" w:sz="4" w:space="0" w:color="auto"/>
            </w:tcBorders>
          </w:tcPr>
          <w:p w14:paraId="5BFC2854" w14:textId="6F64AE2A" w:rsidR="00CB2AD0" w:rsidRPr="00735726" w:rsidRDefault="00CB2AD0" w:rsidP="00CB2AD0">
            <w:pPr>
              <w:pStyle w:val="03body"/>
              <w:spacing w:line="240" w:lineRule="auto"/>
              <w:rPr>
                <w:b/>
              </w:rPr>
            </w:pPr>
            <w:r w:rsidRPr="00735726">
              <w:rPr>
                <w:b/>
              </w:rPr>
              <w:t>HIGH, INCREASING</w:t>
            </w:r>
          </w:p>
        </w:tc>
      </w:tr>
      <w:tr w:rsidR="00CB2AD0" w:rsidRPr="00735726" w14:paraId="76A1EF83" w14:textId="77777777" w:rsidTr="006253E9">
        <w:trPr>
          <w:trHeight w:val="699"/>
        </w:trPr>
        <w:tc>
          <w:tcPr>
            <w:tcW w:w="2628" w:type="dxa"/>
          </w:tcPr>
          <w:p w14:paraId="733202B8" w14:textId="77777777" w:rsidR="00CB2AD0" w:rsidRPr="00735726" w:rsidRDefault="00CB2AD0" w:rsidP="00CB2AD0">
            <w:pPr>
              <w:pStyle w:val="03body"/>
              <w:spacing w:line="276" w:lineRule="auto"/>
              <w:outlineLvl w:val="0"/>
              <w:rPr>
                <w:b/>
              </w:rPr>
            </w:pPr>
            <w:r w:rsidRPr="00735726">
              <w:rPr>
                <w:b/>
              </w:rPr>
              <w:t>Strategic priorities:</w:t>
            </w:r>
          </w:p>
          <w:p w14:paraId="67721D1D" w14:textId="77777777" w:rsidR="00CB2AD0" w:rsidRPr="009A2CAE" w:rsidRDefault="00CB2AD0" w:rsidP="00470234">
            <w:pPr>
              <w:pStyle w:val="03body"/>
              <w:spacing w:line="276" w:lineRule="auto"/>
              <w:outlineLvl w:val="0"/>
              <w:rPr>
                <w:bCs/>
              </w:rPr>
            </w:pPr>
          </w:p>
          <w:p w14:paraId="78D11157" w14:textId="77777777" w:rsidR="00CB2AD0" w:rsidRPr="00735726" w:rsidRDefault="00CB2AD0" w:rsidP="00CB2AD0">
            <w:pPr>
              <w:pStyle w:val="03body"/>
              <w:spacing w:line="276" w:lineRule="auto"/>
              <w:outlineLvl w:val="0"/>
              <w:rPr>
                <w:rFonts w:cs="Arial"/>
                <w:b/>
                <w:bCs/>
                <w:color w:val="auto"/>
              </w:rPr>
            </w:pPr>
            <w:r w:rsidRPr="00735726">
              <w:rPr>
                <w:rFonts w:cs="Arial"/>
                <w:b/>
                <w:bCs/>
                <w:color w:val="auto"/>
              </w:rPr>
              <w:t>Water quality and resilience</w:t>
            </w:r>
          </w:p>
          <w:p w14:paraId="07934174" w14:textId="77777777" w:rsidR="00CB2AD0" w:rsidRPr="00735726" w:rsidRDefault="00CB2AD0" w:rsidP="00CB2AD0">
            <w:pPr>
              <w:pStyle w:val="03body"/>
              <w:spacing w:line="276" w:lineRule="auto"/>
              <w:outlineLvl w:val="0"/>
              <w:rPr>
                <w:rFonts w:cs="Arial"/>
                <w:b/>
                <w:bCs/>
                <w:color w:val="auto"/>
              </w:rPr>
            </w:pPr>
          </w:p>
          <w:p w14:paraId="3742A295" w14:textId="77777777" w:rsidR="00CB2AD0" w:rsidRPr="00735726" w:rsidRDefault="00CB2AD0" w:rsidP="00CB2AD0">
            <w:pPr>
              <w:pStyle w:val="03body"/>
              <w:spacing w:line="276" w:lineRule="auto"/>
              <w:outlineLvl w:val="0"/>
              <w:rPr>
                <w:rFonts w:cs="Arial"/>
                <w:b/>
                <w:bCs/>
                <w:color w:val="auto"/>
              </w:rPr>
            </w:pPr>
            <w:r w:rsidRPr="00735726">
              <w:rPr>
                <w:rFonts w:cs="Arial"/>
                <w:b/>
                <w:bCs/>
                <w:color w:val="auto"/>
              </w:rPr>
              <w:t>Storm overflows and pollutions</w:t>
            </w:r>
          </w:p>
          <w:p w14:paraId="126404C0" w14:textId="77777777" w:rsidR="00CB2AD0" w:rsidRPr="00735726" w:rsidRDefault="00CB2AD0" w:rsidP="00CB2AD0">
            <w:pPr>
              <w:pStyle w:val="03body"/>
              <w:spacing w:line="276" w:lineRule="auto"/>
              <w:outlineLvl w:val="0"/>
              <w:rPr>
                <w:rFonts w:cs="Arial"/>
                <w:b/>
                <w:bCs/>
                <w:color w:val="auto"/>
              </w:rPr>
            </w:pPr>
          </w:p>
          <w:p w14:paraId="7BF1AAB9" w14:textId="3878DA7F" w:rsidR="00CB2AD0" w:rsidRPr="009A2CAE" w:rsidRDefault="00CB2AD0" w:rsidP="00CB2AD0">
            <w:pPr>
              <w:pStyle w:val="03body"/>
              <w:spacing w:line="276" w:lineRule="auto"/>
              <w:rPr>
                <w:color w:val="00B0F0"/>
              </w:rPr>
            </w:pPr>
            <w:r w:rsidRPr="00735726">
              <w:rPr>
                <w:rFonts w:cs="Arial"/>
                <w:b/>
                <w:bCs/>
                <w:color w:val="auto"/>
              </w:rPr>
              <w:t>Addressing affordability and delivering for our customers</w:t>
            </w:r>
          </w:p>
          <w:p w14:paraId="367FBE0E" w14:textId="77777777" w:rsidR="00CB2AD0" w:rsidRPr="009A2CAE" w:rsidRDefault="00CB2AD0" w:rsidP="00470234">
            <w:pPr>
              <w:pStyle w:val="03body"/>
              <w:spacing w:line="276" w:lineRule="auto"/>
              <w:rPr>
                <w:color w:val="00B0F0"/>
              </w:rPr>
            </w:pPr>
          </w:p>
          <w:p w14:paraId="5DAAE897" w14:textId="77777777" w:rsidR="00CB2AD0" w:rsidRPr="009A2CAE" w:rsidRDefault="00CB2AD0" w:rsidP="00470234">
            <w:pPr>
              <w:rPr>
                <w:rFonts w:ascii="Arial" w:hAnsi="Arial" w:cs="DINOT-Light"/>
                <w:color w:val="000000"/>
                <w:sz w:val="18"/>
                <w:szCs w:val="18"/>
              </w:rPr>
            </w:pPr>
          </w:p>
        </w:tc>
        <w:tc>
          <w:tcPr>
            <w:tcW w:w="6378" w:type="dxa"/>
            <w:gridSpan w:val="2"/>
          </w:tcPr>
          <w:p w14:paraId="61F279BE" w14:textId="77777777" w:rsidR="00CB2AD0" w:rsidRPr="00735726" w:rsidRDefault="00CB2AD0" w:rsidP="00CB2AD0">
            <w:pPr>
              <w:pStyle w:val="03body"/>
              <w:spacing w:line="276" w:lineRule="auto"/>
              <w:outlineLvl w:val="0"/>
            </w:pPr>
            <w:r w:rsidRPr="00735726">
              <w:rPr>
                <w:b/>
              </w:rPr>
              <w:t>Strategic impact:</w:t>
            </w:r>
          </w:p>
          <w:p w14:paraId="2E354624" w14:textId="77777777" w:rsidR="00CB2AD0" w:rsidRPr="00735726" w:rsidRDefault="00CB2AD0" w:rsidP="00CB2AD0">
            <w:pPr>
              <w:pStyle w:val="03body"/>
              <w:spacing w:line="276" w:lineRule="auto"/>
              <w:outlineLvl w:val="0"/>
            </w:pPr>
            <w:r w:rsidRPr="00735726">
              <w:t xml:space="preserve">Failure of our technology security, due to inadequate internal processes or external cyber threats, could result in the business being unable to operate effectively and the corruption or loss of data. This could have a detrimental impact on our customers and result in financial penalties and reputational damage to </w:t>
            </w:r>
            <w:proofErr w:type="gramStart"/>
            <w:r w:rsidRPr="00735726">
              <w:t>South West</w:t>
            </w:r>
            <w:proofErr w:type="gramEnd"/>
            <w:r w:rsidRPr="00735726">
              <w:t xml:space="preserve"> Water.</w:t>
            </w:r>
          </w:p>
          <w:p w14:paraId="4CD09DEE" w14:textId="77777777" w:rsidR="00CB2AD0" w:rsidRPr="00735726" w:rsidRDefault="00CB2AD0" w:rsidP="00470234">
            <w:pPr>
              <w:autoSpaceDE w:val="0"/>
              <w:autoSpaceDN w:val="0"/>
              <w:adjustRightInd w:val="0"/>
              <w:spacing w:after="0"/>
              <w:rPr>
                <w:rFonts w:ascii="Arial" w:hAnsi="Arial" w:cs="DINOT-Light"/>
                <w:color w:val="000000"/>
                <w:sz w:val="18"/>
                <w:szCs w:val="18"/>
              </w:rPr>
            </w:pPr>
          </w:p>
          <w:p w14:paraId="5C91548C" w14:textId="77777777" w:rsidR="00CB2AD0" w:rsidRPr="00735726" w:rsidRDefault="00CB2AD0" w:rsidP="00CB2AD0">
            <w:pPr>
              <w:autoSpaceDE w:val="0"/>
              <w:autoSpaceDN w:val="0"/>
              <w:adjustRightInd w:val="0"/>
              <w:spacing w:after="0" w:line="240" w:lineRule="auto"/>
              <w:rPr>
                <w:rFonts w:ascii="Arial" w:hAnsi="Arial" w:cs="DINOT-Light"/>
                <w:color w:val="000000"/>
                <w:sz w:val="18"/>
                <w:szCs w:val="18"/>
              </w:rPr>
            </w:pPr>
            <w:r w:rsidRPr="00735726">
              <w:rPr>
                <w:rFonts w:ascii="Arial" w:hAnsi="Arial" w:cs="DINOT-Light"/>
                <w:b/>
                <w:color w:val="000000"/>
                <w:sz w:val="18"/>
                <w:szCs w:val="18"/>
              </w:rPr>
              <w:t>Mitigation:</w:t>
            </w:r>
          </w:p>
          <w:p w14:paraId="06588EC5" w14:textId="3D996566" w:rsidR="00CB2AD0" w:rsidRPr="00735726" w:rsidRDefault="00CB2AD0" w:rsidP="00CB2AD0">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The Company maintains a dedicated Information Security team with a strong preventive and detective information security framework, aligned to guidance issued by the National Cyber Security Centre (NCSC), supported by regular</w:t>
            </w:r>
          </w:p>
          <w:p w14:paraId="0B91F22C" w14:textId="51CE0CE9" w:rsidR="00CB2AD0" w:rsidRPr="00735726" w:rsidRDefault="00CB2AD0" w:rsidP="00CB2AD0">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 xml:space="preserve">training and communications, to raise awareness amongst staff. </w:t>
            </w:r>
            <w:proofErr w:type="gramStart"/>
            <w:r w:rsidRPr="00735726">
              <w:rPr>
                <w:rFonts w:ascii="Arial" w:hAnsi="Arial" w:cs="DINOT-Light"/>
                <w:color w:val="000000"/>
                <w:sz w:val="18"/>
                <w:szCs w:val="18"/>
              </w:rPr>
              <w:t>South West</w:t>
            </w:r>
            <w:proofErr w:type="gramEnd"/>
            <w:r w:rsidRPr="00735726">
              <w:rPr>
                <w:rFonts w:ascii="Arial" w:hAnsi="Arial" w:cs="DINOT-Light"/>
                <w:color w:val="000000"/>
                <w:sz w:val="18"/>
                <w:szCs w:val="18"/>
              </w:rPr>
              <w:t xml:space="preserve"> Water continues to hold the ISO 27001 accreditation.</w:t>
            </w:r>
          </w:p>
          <w:p w14:paraId="60AAE16A" w14:textId="77777777" w:rsidR="00CB2AD0" w:rsidRPr="00735726" w:rsidRDefault="00CB2AD0" w:rsidP="00CB2AD0">
            <w:pPr>
              <w:autoSpaceDE w:val="0"/>
              <w:autoSpaceDN w:val="0"/>
              <w:adjustRightInd w:val="0"/>
              <w:spacing w:after="0"/>
              <w:rPr>
                <w:rFonts w:ascii="Arial" w:hAnsi="Arial" w:cs="DINOT-Light"/>
                <w:color w:val="000000"/>
                <w:sz w:val="18"/>
                <w:szCs w:val="18"/>
              </w:rPr>
            </w:pPr>
          </w:p>
          <w:p w14:paraId="7B95E778" w14:textId="29CFF700" w:rsidR="00CB2AD0" w:rsidRPr="00735726" w:rsidRDefault="00CB2AD0" w:rsidP="00470234">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Enhanced technical controls introduced during the year across the Company’s corporate and operational technology sector are informed by best practice and learnings from across sectors. Furthermore, the regulated water business continues to progress actions as part of the roadmap to meet the requirements of the Network and Information Systems Directive (NIS), with activities aligned to the priorities identified by the Drinking Water Inspectorate.</w:t>
            </w:r>
            <w:r w:rsidR="00841EB9" w:rsidRPr="00735726">
              <w:rPr>
                <w:rFonts w:ascii="Arial" w:hAnsi="Arial" w:cs="DINOT-Light"/>
                <w:color w:val="000000"/>
                <w:sz w:val="18"/>
                <w:szCs w:val="18"/>
              </w:rPr>
              <w:t xml:space="preserve"> </w:t>
            </w:r>
            <w:r w:rsidRPr="00735726">
              <w:rPr>
                <w:rFonts w:ascii="Arial" w:hAnsi="Arial" w:cs="DINOT-Light"/>
                <w:color w:val="000000"/>
                <w:sz w:val="18"/>
                <w:szCs w:val="18"/>
              </w:rPr>
              <w:t>The Company also maintains established disaster recovery plans which are subject to regular review and testing.</w:t>
            </w:r>
          </w:p>
          <w:p w14:paraId="2B654E25" w14:textId="77777777" w:rsidR="00CB2AD0" w:rsidRPr="00735726" w:rsidRDefault="00CB2AD0" w:rsidP="00470234">
            <w:pPr>
              <w:autoSpaceDE w:val="0"/>
              <w:autoSpaceDN w:val="0"/>
              <w:adjustRightInd w:val="0"/>
              <w:spacing w:after="0"/>
              <w:rPr>
                <w:rFonts w:ascii="Arial" w:hAnsi="Arial" w:cs="DINOT-Light"/>
                <w:color w:val="000000"/>
                <w:sz w:val="18"/>
                <w:szCs w:val="18"/>
              </w:rPr>
            </w:pPr>
          </w:p>
          <w:p w14:paraId="7DC976D5" w14:textId="77777777" w:rsidR="002A6341" w:rsidRPr="00735726" w:rsidRDefault="00CB2AD0" w:rsidP="002A6341">
            <w:pPr>
              <w:rPr>
                <w:rFonts w:ascii="Arial" w:hAnsi="Arial" w:cs="DINOT-Light"/>
                <w:b/>
                <w:bCs/>
                <w:color w:val="000000"/>
                <w:sz w:val="18"/>
                <w:szCs w:val="18"/>
              </w:rPr>
            </w:pPr>
            <w:r w:rsidRPr="00735726">
              <w:rPr>
                <w:rFonts w:ascii="Arial" w:hAnsi="Arial" w:cs="DINOT-Light"/>
                <w:color w:val="000000"/>
                <w:sz w:val="18"/>
                <w:szCs w:val="18"/>
              </w:rPr>
              <w:t>Climate change influence:</w:t>
            </w:r>
            <w:r w:rsidRPr="00735726">
              <w:rPr>
                <w:rFonts w:ascii="Arial" w:hAnsi="Arial" w:cs="DINOT-Light"/>
                <w:b/>
                <w:bCs/>
                <w:color w:val="000000"/>
                <w:sz w:val="18"/>
                <w:szCs w:val="18"/>
              </w:rPr>
              <w:t xml:space="preserve"> n/a</w:t>
            </w:r>
          </w:p>
          <w:p w14:paraId="2E9DCBD8" w14:textId="5C1070EF" w:rsidR="00CB2AD0" w:rsidRPr="00735726" w:rsidRDefault="00CB2AD0" w:rsidP="002A6341">
            <w:r w:rsidRPr="00735726">
              <w:rPr>
                <w:rFonts w:ascii="Arial" w:hAnsi="Arial" w:cs="DINOT-Light"/>
                <w:color w:val="000000"/>
                <w:sz w:val="18"/>
                <w:szCs w:val="18"/>
              </w:rPr>
              <w:t>Nature change influence:</w:t>
            </w:r>
            <w:r w:rsidRPr="00735726">
              <w:rPr>
                <w:rFonts w:ascii="Arial" w:hAnsi="Arial" w:cs="DINOT-Light"/>
                <w:b/>
                <w:bCs/>
                <w:color w:val="000000"/>
                <w:sz w:val="18"/>
                <w:szCs w:val="18"/>
              </w:rPr>
              <w:t xml:space="preserve"> n/a</w:t>
            </w:r>
          </w:p>
        </w:tc>
      </w:tr>
    </w:tbl>
    <w:p w14:paraId="42C90731" w14:textId="77777777" w:rsidR="003938A7" w:rsidRPr="00735726" w:rsidRDefault="003938A7" w:rsidP="003938A7">
      <w:pPr>
        <w:spacing w:after="160" w:line="259" w:lineRule="auto"/>
        <w:rPr>
          <w:rFonts w:ascii="Arial" w:hAnsi="Arial" w:cs="Arial"/>
          <w:sz w:val="32"/>
          <w:szCs w:val="32"/>
        </w:rPr>
      </w:pPr>
      <w:r w:rsidRPr="00735726">
        <w:rPr>
          <w:rFonts w:ascii="Arial" w:hAnsi="Arial" w:cs="Arial"/>
          <w:sz w:val="32"/>
          <w:szCs w:val="32"/>
        </w:rPr>
        <w:lastRenderedPageBreak/>
        <w:t>VIABILITY STATEMENT</w:t>
      </w:r>
    </w:p>
    <w:p w14:paraId="19AA5339" w14:textId="2798E961"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Directors are responsible for ensuring the long-term viability of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In doing so, they consider the Company’s current position, principal risks, financial resilience and the effectiveness of controls and mitigations in place to manage </w:t>
      </w:r>
      <w:r w:rsidR="00832C08" w:rsidRPr="00735726">
        <w:rPr>
          <w:rFonts w:ascii="Arial" w:eastAsia="Times New Roman" w:hAnsi="Arial" w:cs="DINOT-Light"/>
          <w:color w:val="000000"/>
          <w:sz w:val="18"/>
          <w:szCs w:val="18"/>
        </w:rPr>
        <w:t>those risks</w:t>
      </w:r>
      <w:r w:rsidRPr="00735726">
        <w:rPr>
          <w:rFonts w:ascii="Arial" w:eastAsia="Times New Roman" w:hAnsi="Arial" w:cs="DINOT-Light"/>
          <w:color w:val="000000"/>
          <w:sz w:val="18"/>
          <w:szCs w:val="18"/>
        </w:rPr>
        <w:t>.</w:t>
      </w:r>
    </w:p>
    <w:p w14:paraId="36477179" w14:textId="77777777"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Board’s assessment is embedded in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Water’s strategic planning process and supported by regular long-term modelling of liquidity, covenant headroom and key financial ratios. The Audit Committee supports this review, which is also informed by the Company’s risk management framework, sensitivity analysis and stress testing.</w:t>
      </w:r>
    </w:p>
    <w:p w14:paraId="6DD8F889" w14:textId="4AC3D7C8" w:rsidR="005B70DC" w:rsidRPr="00735726" w:rsidRDefault="005B70DC" w:rsidP="005B70DC">
      <w:pPr>
        <w:spacing w:after="160" w:line="259" w:lineRule="auto"/>
        <w:rPr>
          <w:rFonts w:ascii="Arial" w:eastAsia="Times New Roman" w:hAnsi="Arial" w:cs="DINOT-Light"/>
          <w:color w:val="000000"/>
          <w:sz w:val="18"/>
          <w:szCs w:val="18"/>
        </w:rPr>
      </w:pP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operates in a regulated market characterised by five-year price control periods, defined expenditure allowances and associated revenue mechanisms. This provides a clear framework for assessing longer-term viability</w:t>
      </w:r>
      <w:r w:rsidR="00832C08" w:rsidRPr="00735726">
        <w:rPr>
          <w:rFonts w:ascii="Arial" w:eastAsia="Times New Roman" w:hAnsi="Arial" w:cs="DINOT-Light"/>
          <w:color w:val="000000"/>
          <w:sz w:val="18"/>
          <w:szCs w:val="18"/>
        </w:rPr>
        <w:t>,</w:t>
      </w:r>
      <w:r w:rsidRPr="00735726">
        <w:rPr>
          <w:rFonts w:ascii="Arial" w:eastAsia="Times New Roman" w:hAnsi="Arial" w:cs="DINOT-Light"/>
          <w:color w:val="000000"/>
          <w:sz w:val="18"/>
          <w:szCs w:val="18"/>
        </w:rPr>
        <w:t xml:space="preserve"> while requiring the Company to consider the impact of operational performance, financing conditions, regulatory developments and other principal risks over the assessment period.</w:t>
      </w:r>
    </w:p>
    <w:p w14:paraId="37C387D9" w14:textId="2857D1B1"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assessment has been prepared by reference to the Company’s long-term strategy, current regulatory framework and principal risks, including macroeconomic, operational and climate-related risks. Climate-related risks are considered within the broader assessment of resilience and are described further in the relevant climate-related disclosures on pages </w:t>
      </w:r>
      <w:r w:rsidR="0051398C" w:rsidRPr="009A2CAE">
        <w:rPr>
          <w:rFonts w:ascii="Arial" w:eastAsia="Times New Roman" w:hAnsi="Arial" w:cs="DINOT-Light"/>
          <w:color w:val="000000"/>
          <w:sz w:val="18"/>
          <w:szCs w:val="18"/>
        </w:rPr>
        <w:t>79</w:t>
      </w:r>
      <w:r w:rsidRPr="009A2CAE">
        <w:rPr>
          <w:rFonts w:ascii="Arial" w:eastAsia="Times New Roman" w:hAnsi="Arial" w:cs="DINOT-Light"/>
          <w:color w:val="000000"/>
          <w:sz w:val="18"/>
          <w:szCs w:val="18"/>
        </w:rPr>
        <w:t xml:space="preserve"> to </w:t>
      </w:r>
      <w:r w:rsidR="0051398C" w:rsidRPr="009A2CAE">
        <w:rPr>
          <w:rFonts w:ascii="Arial" w:eastAsia="Times New Roman" w:hAnsi="Arial" w:cs="DINOT-Light"/>
          <w:color w:val="000000"/>
          <w:sz w:val="18"/>
          <w:szCs w:val="18"/>
        </w:rPr>
        <w:t>92</w:t>
      </w:r>
      <w:r w:rsidRPr="00735726">
        <w:rPr>
          <w:rFonts w:ascii="Arial" w:eastAsia="Times New Roman" w:hAnsi="Arial" w:cs="DINOT-Light"/>
          <w:color w:val="000000"/>
          <w:sz w:val="18"/>
          <w:szCs w:val="18"/>
        </w:rPr>
        <w:t>. The strategic plan includes the investment currently expected to support operational resilience and climate adaptation over the assessment period.</w:t>
      </w:r>
    </w:p>
    <w:p w14:paraId="0EC0AB75" w14:textId="5D9A176B"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PERIOD OF ASSESSMENT</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The Board regularly reviews the period over which viability should be assessed in line with the UK Corporate Governance Code. It considers a seven-year period to be appropriate because it reflects the long-term nature of the regulated water sector, extends beyond the current regulatory settlement to March 2030 and is consistent with the Company’s longer-term planning horizon. The Board also assumes that significant capital investment across the sector will continue beyond 2030 and remain an important feature of the regulatory framework.</w:t>
      </w:r>
    </w:p>
    <w:p w14:paraId="5D04835E" w14:textId="22CCEBD1"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RISKS</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 xml:space="preserve">The Board and management review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Water’s principal and emerging risks throughout the year, assessing both likelihood and impact in the context of the controls and mitigating actions in place. That assessment, and the related financial implications, informs the stress testing used in the viability assessment.</w:t>
      </w:r>
    </w:p>
    <w:p w14:paraId="109188BD" w14:textId="3F36EE67" w:rsidR="005B70DC" w:rsidRPr="009A2CAE" w:rsidRDefault="005B70DC" w:rsidP="00F1345F">
      <w:pPr>
        <w:spacing w:after="160" w:line="259" w:lineRule="auto"/>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CURRENT POSITION</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 xml:space="preserve">As set out in the Chief Financial Officer’s review on pages </w:t>
      </w:r>
      <w:r w:rsidR="0051398C" w:rsidRPr="009A2CAE">
        <w:rPr>
          <w:rFonts w:ascii="Arial" w:eastAsia="Times New Roman" w:hAnsi="Arial" w:cs="DINOT-Light"/>
          <w:color w:val="000000"/>
          <w:sz w:val="18"/>
          <w:szCs w:val="18"/>
        </w:rPr>
        <w:t xml:space="preserve">55 </w:t>
      </w:r>
      <w:r w:rsidRPr="009A2CAE">
        <w:rPr>
          <w:rFonts w:ascii="Arial" w:eastAsia="Times New Roman" w:hAnsi="Arial" w:cs="DINOT-Light"/>
          <w:color w:val="000000"/>
          <w:sz w:val="18"/>
          <w:szCs w:val="18"/>
        </w:rPr>
        <w:t xml:space="preserve">to </w:t>
      </w:r>
      <w:r w:rsidR="0051398C" w:rsidRPr="009A2CAE">
        <w:rPr>
          <w:rFonts w:ascii="Arial" w:eastAsia="Times New Roman" w:hAnsi="Arial" w:cs="DINOT-Light"/>
          <w:color w:val="000000"/>
          <w:sz w:val="18"/>
          <w:szCs w:val="18"/>
        </w:rPr>
        <w:t>61</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South West Water has a strong liquidity and funding position, with £74</w:t>
      </w:r>
      <w:r w:rsidR="00F1345F" w:rsidRPr="00735726">
        <w:rPr>
          <w:rFonts w:ascii="Arial" w:eastAsia="Times New Roman" w:hAnsi="Arial" w:cs="DINOT-Light"/>
          <w:color w:val="000000"/>
          <w:sz w:val="18"/>
          <w:szCs w:val="18"/>
        </w:rPr>
        <w:t>0.9</w:t>
      </w:r>
      <w:r w:rsidR="00902835"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m</w:t>
      </w:r>
      <w:r w:rsidR="00902835" w:rsidRPr="00735726">
        <w:rPr>
          <w:rFonts w:ascii="Arial" w:eastAsia="Times New Roman" w:hAnsi="Arial" w:cs="DINOT-Light"/>
          <w:color w:val="000000"/>
          <w:sz w:val="18"/>
          <w:szCs w:val="18"/>
        </w:rPr>
        <w:t>illion</w:t>
      </w:r>
      <w:r w:rsidRPr="00735726">
        <w:rPr>
          <w:rFonts w:ascii="Arial" w:eastAsia="Times New Roman" w:hAnsi="Arial" w:cs="DINOT-Light"/>
          <w:color w:val="000000"/>
          <w:sz w:val="18"/>
          <w:szCs w:val="18"/>
        </w:rPr>
        <w:t xml:space="preserve"> of cash</w:t>
      </w:r>
      <w:r w:rsidR="00C51709" w:rsidRPr="00735726">
        <w:rPr>
          <w:rFonts w:ascii="Arial" w:eastAsia="Times New Roman" w:hAnsi="Arial" w:cs="DINOT-Light"/>
          <w:color w:val="000000"/>
          <w:sz w:val="18"/>
          <w:szCs w:val="18"/>
        </w:rPr>
        <w:t xml:space="preserve"> and cash equivalents, restricted funds</w:t>
      </w:r>
      <w:r w:rsidRPr="00735726">
        <w:rPr>
          <w:rFonts w:ascii="Arial" w:eastAsia="Times New Roman" w:hAnsi="Arial" w:cs="DINOT-Light"/>
          <w:color w:val="000000"/>
          <w:sz w:val="18"/>
          <w:szCs w:val="18"/>
        </w:rPr>
        <w:t xml:space="preserve"> and committed facilities at 31 March 2026 </w:t>
      </w:r>
      <w:r w:rsidR="00F1345F" w:rsidRPr="00735726">
        <w:rPr>
          <w:rFonts w:ascii="Arial" w:eastAsia="Times New Roman" w:hAnsi="Arial" w:cs="DINOT-Light"/>
          <w:color w:val="000000"/>
          <w:sz w:val="18"/>
          <w:szCs w:val="18"/>
        </w:rPr>
        <w:t xml:space="preserve">with a mixture of fixed, floating and index-linked debt </w:t>
      </w:r>
      <w:r w:rsidRPr="00735726">
        <w:rPr>
          <w:rFonts w:ascii="Arial" w:eastAsia="Times New Roman" w:hAnsi="Arial" w:cs="DINOT-Light"/>
          <w:color w:val="000000"/>
          <w:sz w:val="18"/>
          <w:szCs w:val="18"/>
        </w:rPr>
        <w:t>and an average maturity of non</w:t>
      </w:r>
      <w:r w:rsidR="00832C08" w:rsidRPr="00735726">
        <w:rPr>
          <w:rFonts w:ascii="Arial" w:eastAsia="Times New Roman" w:hAnsi="Arial" w:cs="DINOT-Light"/>
          <w:color w:val="000000"/>
          <w:sz w:val="18"/>
          <w:szCs w:val="18"/>
        </w:rPr>
        <w:t>-</w:t>
      </w:r>
      <w:r w:rsidRPr="00735726">
        <w:rPr>
          <w:rFonts w:ascii="Arial" w:eastAsia="Times New Roman" w:hAnsi="Arial" w:cs="DINOT-Light"/>
          <w:color w:val="000000"/>
          <w:sz w:val="18"/>
          <w:szCs w:val="18"/>
        </w:rPr>
        <w:t>current borrowing</w:t>
      </w:r>
      <w:r w:rsidR="00A94931"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of 12 years. Forecast financial performance is based on the 2026/27 budget and the strategic plan thereafter to March 2033, reflecting the final determination through to March 2030 and </w:t>
      </w:r>
      <w:proofErr w:type="gramStart"/>
      <w:r w:rsidRPr="00735726">
        <w:rPr>
          <w:rFonts w:ascii="Arial" w:eastAsia="Times New Roman" w:hAnsi="Arial" w:cs="DINOT-Light"/>
          <w:color w:val="000000"/>
          <w:sz w:val="18"/>
          <w:szCs w:val="18"/>
        </w:rPr>
        <w:t>taking into account</w:t>
      </w:r>
      <w:proofErr w:type="gramEnd"/>
      <w:r w:rsidRPr="00735726">
        <w:rPr>
          <w:rFonts w:ascii="Arial" w:eastAsia="Times New Roman" w:hAnsi="Arial" w:cs="DINOT-Light"/>
          <w:color w:val="000000"/>
          <w:sz w:val="18"/>
          <w:szCs w:val="18"/>
        </w:rPr>
        <w:t xml:space="preserve"> the impact of revenue adjustments for operational performance through the Outcome Delivery Incentive </w:t>
      </w:r>
      <w:r w:rsidR="00F1345F" w:rsidRPr="00735726">
        <w:rPr>
          <w:rFonts w:ascii="Arial" w:eastAsia="Times New Roman" w:hAnsi="Arial" w:cs="DINOT-Light"/>
          <w:color w:val="000000"/>
          <w:sz w:val="18"/>
          <w:szCs w:val="18"/>
        </w:rPr>
        <w:t xml:space="preserve">(ODI) </w:t>
      </w:r>
      <w:r w:rsidRPr="00735726">
        <w:rPr>
          <w:rFonts w:ascii="Arial" w:eastAsia="Times New Roman" w:hAnsi="Arial" w:cs="DINOT-Light"/>
          <w:color w:val="000000"/>
          <w:sz w:val="18"/>
          <w:szCs w:val="18"/>
        </w:rPr>
        <w:t>mechanism where there is a high degree of certainty.</w:t>
      </w:r>
    </w:p>
    <w:p w14:paraId="79D41A0A" w14:textId="5A85DD0B" w:rsidR="005B70DC" w:rsidRPr="009A2CAE"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STRESS TESTING</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The</w:t>
      </w:r>
      <w:r w:rsidR="00832C08" w:rsidRPr="00735726">
        <w:rPr>
          <w:rFonts w:ascii="Arial" w:eastAsia="Times New Roman" w:hAnsi="Arial" w:cs="DINOT-Light"/>
          <w:color w:val="000000"/>
          <w:sz w:val="18"/>
          <w:szCs w:val="18"/>
        </w:rPr>
        <w:t xml:space="preserve"> approach taken to stress test the</w:t>
      </w:r>
      <w:r w:rsidRPr="00735726">
        <w:rPr>
          <w:rFonts w:ascii="Arial" w:eastAsia="Times New Roman" w:hAnsi="Arial" w:cs="DINOT-Light"/>
          <w:color w:val="000000"/>
          <w:sz w:val="18"/>
          <w:szCs w:val="18"/>
        </w:rPr>
        <w:t xml:space="preserve"> strategic plan has been </w:t>
      </w:r>
      <w:r w:rsidR="00832C08" w:rsidRPr="00735726">
        <w:rPr>
          <w:rFonts w:ascii="Arial" w:eastAsia="Times New Roman" w:hAnsi="Arial" w:cs="DINOT-Light"/>
          <w:color w:val="000000"/>
          <w:sz w:val="18"/>
          <w:szCs w:val="18"/>
        </w:rPr>
        <w:t>to use</w:t>
      </w:r>
      <w:r w:rsidRPr="00735726">
        <w:rPr>
          <w:rFonts w:ascii="Arial" w:eastAsia="Times New Roman" w:hAnsi="Arial" w:cs="DINOT-Light"/>
          <w:color w:val="000000"/>
          <w:sz w:val="18"/>
          <w:szCs w:val="18"/>
        </w:rPr>
        <w:t xml:space="preserve"> both individual sensitivities and combined scenarios linked to the Company’s principal risks</w:t>
      </w:r>
      <w:r w:rsidR="00832C08" w:rsidRPr="00735726">
        <w:rPr>
          <w:rFonts w:ascii="Arial" w:eastAsia="Times New Roman" w:hAnsi="Arial" w:cs="DINOT-Light"/>
          <w:color w:val="000000"/>
          <w:sz w:val="18"/>
          <w:szCs w:val="18"/>
        </w:rPr>
        <w:t xml:space="preserve"> and the impact on covenants and key metrics.</w:t>
      </w:r>
    </w:p>
    <w:p w14:paraId="3CD71B8A" w14:textId="2A92D8BA"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COVENANTS AND KEY METRICS</w:t>
      </w:r>
      <w:r w:rsidR="000046F8" w:rsidRPr="00735726">
        <w:rPr>
          <w:rFonts w:ascii="Arial" w:eastAsia="Times New Roman" w:hAnsi="Arial" w:cs="DINOT-Light"/>
          <w:i/>
          <w:iCs/>
          <w:color w:val="000000"/>
          <w:sz w:val="18"/>
          <w:szCs w:val="18"/>
        </w:rPr>
        <w:br/>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assesses financial viability by considering the effect of stress testing on debt covenants and key financial metrics. </w:t>
      </w:r>
      <w:proofErr w:type="gramStart"/>
      <w:r w:rsidRPr="00735726">
        <w:rPr>
          <w:rFonts w:ascii="Arial" w:eastAsia="Times New Roman" w:hAnsi="Arial" w:cs="DINOT-Light"/>
          <w:color w:val="000000"/>
          <w:sz w:val="18"/>
          <w:szCs w:val="18"/>
        </w:rPr>
        <w:t>In particular, covenant</w:t>
      </w:r>
      <w:proofErr w:type="gramEnd"/>
      <w:r w:rsidRPr="00735726">
        <w:rPr>
          <w:rFonts w:ascii="Arial" w:eastAsia="Times New Roman" w:hAnsi="Arial" w:cs="DINOT-Light"/>
          <w:color w:val="000000"/>
          <w:sz w:val="18"/>
          <w:szCs w:val="18"/>
        </w:rPr>
        <w:t xml:space="preserve"> compliance is assessed by reference to debt capacity and interest cover requirements within its financing arrangements.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w:t>
      </w:r>
      <w:r w:rsidR="00832C08"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debt capacity is calculated as 75% of Regulatory Capital Value plus 6x non-regulated EBITDA less net debt, and interest cover requirements are assessed against a minimum interest cover ratio of 1.75x.</w:t>
      </w:r>
    </w:p>
    <w:p w14:paraId="23484E0F" w14:textId="77777777"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Board also considers credit metrics and other key financial ratios as secondary indicators of </w:t>
      </w:r>
      <w:proofErr w:type="spellStart"/>
      <w:r w:rsidRPr="00735726">
        <w:rPr>
          <w:rFonts w:ascii="Arial" w:eastAsia="Times New Roman" w:hAnsi="Arial" w:cs="DINOT-Light"/>
          <w:color w:val="000000"/>
          <w:sz w:val="18"/>
          <w:szCs w:val="18"/>
        </w:rPr>
        <w:t>financeability</w:t>
      </w:r>
      <w:proofErr w:type="spellEnd"/>
      <w:r w:rsidRPr="00735726">
        <w:rPr>
          <w:rFonts w:ascii="Arial" w:eastAsia="Times New Roman" w:hAnsi="Arial" w:cs="DINOT-Light"/>
          <w:color w:val="000000"/>
          <w:sz w:val="18"/>
          <w:szCs w:val="18"/>
        </w:rPr>
        <w:t xml:space="preserve"> and rating resilience. The principal ratios considered are gearing, measured as net debt to Regulatory Capital Value, Adjusted Interest Cover Ratio and Funds from Operations to net debt.</w:t>
      </w:r>
    </w:p>
    <w:p w14:paraId="27E74F85" w14:textId="77777777"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Company’s financing and credit profile are monitored against relevant rating methodologies and broader </w:t>
      </w:r>
      <w:proofErr w:type="spellStart"/>
      <w:r w:rsidRPr="00735726">
        <w:rPr>
          <w:rFonts w:ascii="Arial" w:eastAsia="Times New Roman" w:hAnsi="Arial" w:cs="DINOT-Light"/>
          <w:color w:val="000000"/>
          <w:sz w:val="18"/>
          <w:szCs w:val="18"/>
        </w:rPr>
        <w:t>financeability</w:t>
      </w:r>
      <w:proofErr w:type="spellEnd"/>
      <w:r w:rsidRPr="00735726">
        <w:rPr>
          <w:rFonts w:ascii="Arial" w:eastAsia="Times New Roman" w:hAnsi="Arial" w:cs="DINOT-Light"/>
          <w:color w:val="000000"/>
          <w:sz w:val="18"/>
          <w:szCs w:val="18"/>
        </w:rPr>
        <w:t xml:space="preserve"> considerations.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maintains strong investment grade credit ratings, and where stress testing indicates pressure on financial metrics, the Board considers the mitigating actions available to protect resilience over the assessment period.</w:t>
      </w:r>
    </w:p>
    <w:p w14:paraId="545C9018" w14:textId="77777777" w:rsidR="000046F8" w:rsidRPr="00735726" w:rsidRDefault="000046F8" w:rsidP="005B70DC">
      <w:pPr>
        <w:spacing w:after="160" w:line="259" w:lineRule="auto"/>
        <w:rPr>
          <w:rFonts w:ascii="Arial" w:eastAsia="Times New Roman" w:hAnsi="Arial" w:cs="DINOT-Light"/>
          <w:color w:val="000000"/>
          <w:sz w:val="18"/>
          <w:szCs w:val="18"/>
        </w:rPr>
      </w:pPr>
    </w:p>
    <w:tbl>
      <w:tblPr>
        <w:tblStyle w:val="TableGrid"/>
        <w:tblW w:w="0" w:type="auto"/>
        <w:tblBorders>
          <w:top w:val="single" w:sz="4" w:space="0" w:color="0070C0"/>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2183"/>
        <w:gridCol w:w="1911"/>
        <w:gridCol w:w="1186"/>
        <w:gridCol w:w="1239"/>
        <w:gridCol w:w="897"/>
        <w:gridCol w:w="656"/>
        <w:gridCol w:w="949"/>
      </w:tblGrid>
      <w:tr w:rsidR="000046F8" w:rsidRPr="00735726" w14:paraId="661DC424" w14:textId="77777777" w:rsidTr="000046F8">
        <w:tc>
          <w:tcPr>
            <w:tcW w:w="0" w:type="auto"/>
            <w:vMerge w:val="restart"/>
            <w:tcBorders>
              <w:top w:val="single" w:sz="4" w:space="0" w:color="FFFFFF" w:themeColor="background1"/>
              <w:left w:val="nil"/>
              <w:bottom w:val="single" w:sz="4" w:space="0" w:color="0070C0"/>
              <w:right w:val="nil"/>
            </w:tcBorders>
            <w:shd w:val="clear" w:color="auto" w:fill="002060"/>
            <w:hideMark/>
          </w:tcPr>
          <w:p w14:paraId="0532499B" w14:textId="77777777" w:rsidR="005B70DC" w:rsidRPr="00735726" w:rsidRDefault="005B70DC" w:rsidP="005B70DC">
            <w:pPr>
              <w:spacing w:after="160" w:line="259" w:lineRule="auto"/>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lastRenderedPageBreak/>
              <w:t>Stress test</w:t>
            </w:r>
          </w:p>
        </w:tc>
        <w:tc>
          <w:tcPr>
            <w:tcW w:w="0" w:type="auto"/>
            <w:vMerge w:val="restart"/>
            <w:tcBorders>
              <w:top w:val="single" w:sz="4" w:space="0" w:color="FFFFFF" w:themeColor="background1"/>
              <w:left w:val="nil"/>
              <w:bottom w:val="single" w:sz="4" w:space="0" w:color="0070C0"/>
              <w:right w:val="nil"/>
            </w:tcBorders>
            <w:shd w:val="clear" w:color="auto" w:fill="002060"/>
            <w:hideMark/>
          </w:tcPr>
          <w:p w14:paraId="753E7148" w14:textId="77777777" w:rsidR="005B70DC" w:rsidRPr="00735726" w:rsidRDefault="005B70DC" w:rsidP="005B70DC">
            <w:pPr>
              <w:spacing w:after="160" w:line="259" w:lineRule="auto"/>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Principal risks</w:t>
            </w:r>
          </w:p>
        </w:tc>
        <w:tc>
          <w:tcPr>
            <w:tcW w:w="0" w:type="auto"/>
            <w:vMerge w:val="restart"/>
            <w:tcBorders>
              <w:top w:val="single" w:sz="4" w:space="0" w:color="FFFFFF" w:themeColor="background1"/>
              <w:left w:val="nil"/>
              <w:bottom w:val="single" w:sz="4" w:space="0" w:color="0070C0"/>
              <w:right w:val="nil"/>
            </w:tcBorders>
            <w:shd w:val="clear" w:color="auto" w:fill="002060"/>
            <w:hideMark/>
          </w:tcPr>
          <w:p w14:paraId="778CDD46" w14:textId="77777777" w:rsidR="005B70DC" w:rsidRPr="00735726" w:rsidRDefault="005B70DC" w:rsidP="005B70DC">
            <w:pPr>
              <w:spacing w:after="160" w:line="259" w:lineRule="auto"/>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Level of stretch</w:t>
            </w:r>
          </w:p>
        </w:tc>
        <w:tc>
          <w:tcPr>
            <w:tcW w:w="0" w:type="auto"/>
            <w:vMerge w:val="restart"/>
            <w:tcBorders>
              <w:top w:val="single" w:sz="4" w:space="0" w:color="FFFFFF" w:themeColor="background1"/>
              <w:left w:val="nil"/>
              <w:bottom w:val="nil"/>
              <w:right w:val="nil"/>
            </w:tcBorders>
            <w:shd w:val="clear" w:color="auto" w:fill="002060"/>
            <w:hideMark/>
          </w:tcPr>
          <w:p w14:paraId="7211CC06" w14:textId="77777777" w:rsidR="005B70DC" w:rsidRPr="00735726" w:rsidRDefault="005B70DC" w:rsidP="005B70DC">
            <w:pPr>
              <w:spacing w:after="160" w:line="259" w:lineRule="auto"/>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Covenants maintained</w:t>
            </w:r>
          </w:p>
        </w:tc>
        <w:tc>
          <w:tcPr>
            <w:tcW w:w="0" w:type="auto"/>
            <w:gridSpan w:val="3"/>
            <w:tcBorders>
              <w:top w:val="single" w:sz="4" w:space="0" w:color="FFFFFF" w:themeColor="background1"/>
              <w:left w:val="nil"/>
              <w:bottom w:val="nil"/>
              <w:right w:val="single" w:sz="4" w:space="0" w:color="FFFFFF" w:themeColor="background1"/>
            </w:tcBorders>
            <w:shd w:val="clear" w:color="auto" w:fill="002060"/>
            <w:hideMark/>
          </w:tcPr>
          <w:p w14:paraId="2FCCFD4A" w14:textId="77777777" w:rsidR="005B70DC" w:rsidRPr="00735726" w:rsidRDefault="005B70DC" w:rsidP="005B70DC">
            <w:pPr>
              <w:spacing w:after="160" w:line="259" w:lineRule="auto"/>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Impact on key metrics</w:t>
            </w:r>
          </w:p>
        </w:tc>
      </w:tr>
      <w:tr w:rsidR="000046F8" w:rsidRPr="00735726" w14:paraId="62E017ED" w14:textId="77777777" w:rsidTr="000046F8">
        <w:tc>
          <w:tcPr>
            <w:tcW w:w="0" w:type="auto"/>
            <w:vMerge/>
            <w:tcBorders>
              <w:top w:val="single" w:sz="4" w:space="0" w:color="0070C0"/>
              <w:left w:val="nil"/>
              <w:bottom w:val="single" w:sz="4" w:space="0" w:color="auto"/>
              <w:right w:val="nil"/>
            </w:tcBorders>
            <w:shd w:val="clear" w:color="auto" w:fill="002060"/>
            <w:vAlign w:val="center"/>
            <w:hideMark/>
          </w:tcPr>
          <w:p w14:paraId="1EFA8521" w14:textId="77777777" w:rsidR="005B70DC" w:rsidRPr="00735726" w:rsidRDefault="005B70DC" w:rsidP="005B70DC">
            <w:pPr>
              <w:spacing w:after="160" w:line="259" w:lineRule="auto"/>
              <w:rPr>
                <w:rFonts w:ascii="Arial" w:hAnsi="Arial" w:cs="DINOT-Light"/>
                <w:b/>
                <w:bCs/>
                <w:color w:val="FFFFFF" w:themeColor="background1"/>
                <w:sz w:val="18"/>
                <w:szCs w:val="18"/>
              </w:rPr>
            </w:pPr>
          </w:p>
        </w:tc>
        <w:tc>
          <w:tcPr>
            <w:tcW w:w="0" w:type="auto"/>
            <w:vMerge/>
            <w:tcBorders>
              <w:top w:val="single" w:sz="4" w:space="0" w:color="0070C0"/>
              <w:left w:val="nil"/>
              <w:bottom w:val="single" w:sz="4" w:space="0" w:color="auto"/>
              <w:right w:val="nil"/>
            </w:tcBorders>
            <w:shd w:val="clear" w:color="auto" w:fill="002060"/>
            <w:vAlign w:val="center"/>
            <w:hideMark/>
          </w:tcPr>
          <w:p w14:paraId="0BD1F39F" w14:textId="77777777" w:rsidR="005B70DC" w:rsidRPr="00735726" w:rsidRDefault="005B70DC" w:rsidP="005B70DC">
            <w:pPr>
              <w:spacing w:after="160" w:line="259" w:lineRule="auto"/>
              <w:rPr>
                <w:rFonts w:ascii="Arial" w:hAnsi="Arial" w:cs="DINOT-Light"/>
                <w:b/>
                <w:bCs/>
                <w:color w:val="FFFFFF" w:themeColor="background1"/>
                <w:sz w:val="18"/>
                <w:szCs w:val="18"/>
              </w:rPr>
            </w:pPr>
          </w:p>
        </w:tc>
        <w:tc>
          <w:tcPr>
            <w:tcW w:w="0" w:type="auto"/>
            <w:vMerge/>
            <w:tcBorders>
              <w:top w:val="single" w:sz="4" w:space="0" w:color="0070C0"/>
              <w:left w:val="nil"/>
              <w:bottom w:val="single" w:sz="4" w:space="0" w:color="auto"/>
              <w:right w:val="nil"/>
            </w:tcBorders>
            <w:shd w:val="clear" w:color="auto" w:fill="002060"/>
            <w:vAlign w:val="center"/>
            <w:hideMark/>
          </w:tcPr>
          <w:p w14:paraId="107BC9D2" w14:textId="77777777" w:rsidR="005B70DC" w:rsidRPr="00735726" w:rsidRDefault="005B70DC" w:rsidP="005B70DC">
            <w:pPr>
              <w:spacing w:after="160" w:line="259" w:lineRule="auto"/>
              <w:rPr>
                <w:rFonts w:ascii="Arial" w:hAnsi="Arial" w:cs="DINOT-Light"/>
                <w:b/>
                <w:bCs/>
                <w:color w:val="FFFFFF" w:themeColor="background1"/>
                <w:sz w:val="18"/>
                <w:szCs w:val="18"/>
              </w:rPr>
            </w:pPr>
          </w:p>
        </w:tc>
        <w:tc>
          <w:tcPr>
            <w:tcW w:w="0" w:type="auto"/>
            <w:vMerge/>
            <w:tcBorders>
              <w:top w:val="nil"/>
              <w:left w:val="nil"/>
              <w:bottom w:val="single" w:sz="4" w:space="0" w:color="auto"/>
              <w:right w:val="nil"/>
            </w:tcBorders>
            <w:shd w:val="clear" w:color="auto" w:fill="002060"/>
            <w:vAlign w:val="center"/>
            <w:hideMark/>
          </w:tcPr>
          <w:p w14:paraId="77FA3376" w14:textId="77777777" w:rsidR="005B70DC" w:rsidRPr="00735726" w:rsidRDefault="005B70DC" w:rsidP="005B70DC">
            <w:pPr>
              <w:spacing w:after="160" w:line="259" w:lineRule="auto"/>
              <w:rPr>
                <w:rFonts w:ascii="Arial" w:hAnsi="Arial" w:cs="DINOT-Light"/>
                <w:b/>
                <w:bCs/>
                <w:color w:val="FFFFFF" w:themeColor="background1"/>
                <w:sz w:val="18"/>
                <w:szCs w:val="18"/>
              </w:rPr>
            </w:pPr>
          </w:p>
        </w:tc>
        <w:tc>
          <w:tcPr>
            <w:tcW w:w="0" w:type="auto"/>
            <w:tcBorders>
              <w:top w:val="nil"/>
              <w:left w:val="nil"/>
              <w:bottom w:val="single" w:sz="4" w:space="0" w:color="auto"/>
              <w:right w:val="nil"/>
            </w:tcBorders>
            <w:shd w:val="clear" w:color="auto" w:fill="002060"/>
            <w:hideMark/>
          </w:tcPr>
          <w:p w14:paraId="54951C38" w14:textId="77777777" w:rsidR="005B70DC" w:rsidRPr="00735726" w:rsidRDefault="005B70DC" w:rsidP="005B70DC">
            <w:pPr>
              <w:spacing w:after="160" w:line="259" w:lineRule="auto"/>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Gearing</w:t>
            </w:r>
          </w:p>
        </w:tc>
        <w:tc>
          <w:tcPr>
            <w:tcW w:w="0" w:type="auto"/>
            <w:tcBorders>
              <w:top w:val="nil"/>
              <w:left w:val="nil"/>
              <w:bottom w:val="single" w:sz="4" w:space="0" w:color="auto"/>
              <w:right w:val="nil"/>
            </w:tcBorders>
            <w:shd w:val="clear" w:color="auto" w:fill="002060"/>
            <w:hideMark/>
          </w:tcPr>
          <w:p w14:paraId="77686EFA" w14:textId="77777777" w:rsidR="005B70DC" w:rsidRPr="00735726" w:rsidRDefault="005B70DC" w:rsidP="005B70DC">
            <w:pPr>
              <w:spacing w:after="160" w:line="259" w:lineRule="auto"/>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AICR</w:t>
            </w:r>
          </w:p>
        </w:tc>
        <w:tc>
          <w:tcPr>
            <w:tcW w:w="0" w:type="auto"/>
            <w:tcBorders>
              <w:top w:val="nil"/>
              <w:left w:val="nil"/>
              <w:bottom w:val="single" w:sz="4" w:space="0" w:color="auto"/>
              <w:right w:val="single" w:sz="4" w:space="0" w:color="FFFFFF" w:themeColor="background1"/>
            </w:tcBorders>
            <w:shd w:val="clear" w:color="auto" w:fill="002060"/>
            <w:hideMark/>
          </w:tcPr>
          <w:p w14:paraId="7C765677" w14:textId="77777777" w:rsidR="005B70DC" w:rsidRPr="00735726" w:rsidRDefault="005B70DC" w:rsidP="005B70DC">
            <w:pPr>
              <w:spacing w:after="160" w:line="259" w:lineRule="auto"/>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FFO/Net Debt</w:t>
            </w:r>
          </w:p>
        </w:tc>
      </w:tr>
      <w:tr w:rsidR="000046F8" w:rsidRPr="00735726" w14:paraId="60C92E06" w14:textId="77777777" w:rsidTr="000046F8">
        <w:tc>
          <w:tcPr>
            <w:tcW w:w="0" w:type="auto"/>
            <w:tcBorders>
              <w:top w:val="single" w:sz="4" w:space="0" w:color="auto"/>
              <w:left w:val="single" w:sz="4" w:space="0" w:color="auto"/>
              <w:bottom w:val="single" w:sz="4" w:space="0" w:color="auto"/>
              <w:right w:val="nil"/>
            </w:tcBorders>
            <w:hideMark/>
          </w:tcPr>
          <w:p w14:paraId="4A02D350" w14:textId="77777777" w:rsidR="000046F8" w:rsidRPr="00735726" w:rsidRDefault="000046F8" w:rsidP="000046F8">
            <w:pPr>
              <w:spacing w:after="160" w:line="259" w:lineRule="auto"/>
              <w:rPr>
                <w:rFonts w:ascii="Arial" w:hAnsi="Arial" w:cs="DINOT-Light"/>
                <w:b/>
                <w:bCs/>
                <w:color w:val="000000"/>
                <w:sz w:val="18"/>
                <w:szCs w:val="18"/>
              </w:rPr>
            </w:pPr>
            <w:r w:rsidRPr="00735726">
              <w:rPr>
                <w:rFonts w:ascii="Arial" w:hAnsi="Arial" w:cs="DINOT-Light"/>
                <w:b/>
                <w:bCs/>
                <w:color w:val="000000"/>
                <w:sz w:val="18"/>
                <w:szCs w:val="18"/>
              </w:rPr>
              <w:t>Interest rates</w:t>
            </w:r>
          </w:p>
        </w:tc>
        <w:tc>
          <w:tcPr>
            <w:tcW w:w="0" w:type="auto"/>
            <w:tcBorders>
              <w:top w:val="single" w:sz="4" w:space="0" w:color="auto"/>
              <w:left w:val="nil"/>
              <w:bottom w:val="single" w:sz="4" w:space="0" w:color="auto"/>
              <w:right w:val="nil"/>
            </w:tcBorders>
            <w:hideMark/>
          </w:tcPr>
          <w:p w14:paraId="69717356" w14:textId="3B132DD8" w:rsidR="000046F8" w:rsidRPr="00735726" w:rsidRDefault="00B824AE"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C</w:t>
            </w:r>
            <w:r w:rsidR="000046F8" w:rsidRPr="00735726">
              <w:rPr>
                <w:rFonts w:ascii="Arial" w:hAnsi="Arial" w:cs="DINOT-Light"/>
                <w:color w:val="000000"/>
                <w:sz w:val="18"/>
                <w:szCs w:val="18"/>
              </w:rPr>
              <w:t>: Inability to secure sufficient finance and funding within our debt covenants, to meet ongoing commitments</w:t>
            </w:r>
          </w:p>
        </w:tc>
        <w:tc>
          <w:tcPr>
            <w:tcW w:w="0" w:type="auto"/>
            <w:tcBorders>
              <w:top w:val="single" w:sz="4" w:space="0" w:color="auto"/>
              <w:left w:val="nil"/>
              <w:bottom w:val="single" w:sz="4" w:space="0" w:color="auto"/>
              <w:right w:val="nil"/>
            </w:tcBorders>
            <w:hideMark/>
          </w:tcPr>
          <w:p w14:paraId="40628AD3"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2% increase on any new and floating rate debt</w:t>
            </w:r>
          </w:p>
        </w:tc>
        <w:tc>
          <w:tcPr>
            <w:tcW w:w="0" w:type="auto"/>
            <w:tcBorders>
              <w:top w:val="single" w:sz="4" w:space="0" w:color="auto"/>
              <w:left w:val="nil"/>
              <w:bottom w:val="single" w:sz="4" w:space="0" w:color="auto"/>
              <w:right w:val="nil"/>
            </w:tcBorders>
            <w:hideMark/>
          </w:tcPr>
          <w:p w14:paraId="1F749FAA"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Yes</w:t>
            </w:r>
          </w:p>
        </w:tc>
        <w:tc>
          <w:tcPr>
            <w:tcW w:w="0" w:type="auto"/>
            <w:tcBorders>
              <w:top w:val="single" w:sz="4" w:space="0" w:color="auto"/>
              <w:left w:val="nil"/>
              <w:bottom w:val="single" w:sz="4" w:space="0" w:color="auto"/>
              <w:right w:val="nil"/>
            </w:tcBorders>
            <w:hideMark/>
          </w:tcPr>
          <w:p w14:paraId="581DFC85" w14:textId="59046853"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19232FAA" wp14:editId="75E85BBB">
                  <wp:extent cx="212725" cy="201930"/>
                  <wp:effectExtent l="19050" t="0" r="0" b="0"/>
                  <wp:docPr id="7721158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nil"/>
            </w:tcBorders>
            <w:hideMark/>
          </w:tcPr>
          <w:p w14:paraId="116D6A43" w14:textId="7E609943"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5AE48B89" wp14:editId="0CC9EBB4">
                  <wp:extent cx="212725" cy="201930"/>
                  <wp:effectExtent l="0" t="0" r="0" b="7620"/>
                  <wp:docPr id="12909282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single" w:sz="4" w:space="0" w:color="auto"/>
            </w:tcBorders>
            <w:hideMark/>
          </w:tcPr>
          <w:p w14:paraId="2D924E0E" w14:textId="6D982F5F"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025E4813" wp14:editId="75FFBE6A">
                  <wp:extent cx="212725" cy="201930"/>
                  <wp:effectExtent l="0" t="0" r="0" b="7620"/>
                  <wp:docPr id="10060304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r>
      <w:tr w:rsidR="000046F8" w:rsidRPr="00735726" w14:paraId="054E17CD" w14:textId="77777777" w:rsidTr="005B2128">
        <w:tc>
          <w:tcPr>
            <w:tcW w:w="0" w:type="auto"/>
            <w:tcBorders>
              <w:top w:val="single" w:sz="4" w:space="0" w:color="auto"/>
              <w:left w:val="single" w:sz="4" w:space="0" w:color="auto"/>
              <w:bottom w:val="single" w:sz="4" w:space="0" w:color="auto"/>
              <w:right w:val="nil"/>
            </w:tcBorders>
            <w:hideMark/>
          </w:tcPr>
          <w:p w14:paraId="20F78C33" w14:textId="77777777" w:rsidR="000046F8" w:rsidRPr="00735726" w:rsidRDefault="000046F8" w:rsidP="000046F8">
            <w:pPr>
              <w:spacing w:after="160" w:line="259" w:lineRule="auto"/>
              <w:rPr>
                <w:rFonts w:ascii="Arial" w:hAnsi="Arial" w:cs="DINOT-Light"/>
                <w:b/>
                <w:bCs/>
                <w:color w:val="000000"/>
                <w:sz w:val="18"/>
                <w:szCs w:val="18"/>
              </w:rPr>
            </w:pPr>
            <w:r w:rsidRPr="00735726">
              <w:rPr>
                <w:rFonts w:ascii="Arial" w:hAnsi="Arial" w:cs="DINOT-Light"/>
                <w:b/>
                <w:bCs/>
                <w:color w:val="000000"/>
                <w:sz w:val="18"/>
                <w:szCs w:val="18"/>
              </w:rPr>
              <w:t>Bad debt</w:t>
            </w:r>
          </w:p>
        </w:tc>
        <w:tc>
          <w:tcPr>
            <w:tcW w:w="0" w:type="auto"/>
            <w:vMerge w:val="restart"/>
            <w:tcBorders>
              <w:top w:val="single" w:sz="4" w:space="0" w:color="auto"/>
              <w:left w:val="nil"/>
              <w:right w:val="nil"/>
            </w:tcBorders>
            <w:hideMark/>
          </w:tcPr>
          <w:p w14:paraId="53CA4935" w14:textId="2FABFFF5" w:rsidR="000046F8" w:rsidRPr="00735726" w:rsidRDefault="00B824AE"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E</w:t>
            </w:r>
            <w:r w:rsidR="000046F8" w:rsidRPr="00735726">
              <w:rPr>
                <w:rFonts w:ascii="Arial" w:hAnsi="Arial" w:cs="DINOT-Light"/>
                <w:color w:val="000000"/>
                <w:sz w:val="18"/>
                <w:szCs w:val="18"/>
              </w:rPr>
              <w:t>: Macro-economic near-term risks</w:t>
            </w:r>
          </w:p>
        </w:tc>
        <w:tc>
          <w:tcPr>
            <w:tcW w:w="0" w:type="auto"/>
            <w:tcBorders>
              <w:top w:val="single" w:sz="4" w:space="0" w:color="auto"/>
              <w:left w:val="nil"/>
              <w:bottom w:val="single" w:sz="4" w:space="0" w:color="auto"/>
              <w:right w:val="nil"/>
            </w:tcBorders>
            <w:hideMark/>
          </w:tcPr>
          <w:p w14:paraId="12675770"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1% of Revenue</w:t>
            </w:r>
          </w:p>
        </w:tc>
        <w:tc>
          <w:tcPr>
            <w:tcW w:w="0" w:type="auto"/>
            <w:tcBorders>
              <w:top w:val="single" w:sz="4" w:space="0" w:color="auto"/>
              <w:left w:val="nil"/>
              <w:bottom w:val="single" w:sz="4" w:space="0" w:color="auto"/>
              <w:right w:val="nil"/>
            </w:tcBorders>
            <w:hideMark/>
          </w:tcPr>
          <w:p w14:paraId="21922DB8"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Yes</w:t>
            </w:r>
          </w:p>
        </w:tc>
        <w:tc>
          <w:tcPr>
            <w:tcW w:w="0" w:type="auto"/>
            <w:tcBorders>
              <w:top w:val="single" w:sz="4" w:space="0" w:color="auto"/>
              <w:left w:val="nil"/>
              <w:bottom w:val="single" w:sz="4" w:space="0" w:color="auto"/>
              <w:right w:val="nil"/>
            </w:tcBorders>
            <w:hideMark/>
          </w:tcPr>
          <w:p w14:paraId="7FF0B100" w14:textId="58147DCE"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252B1E3B" wp14:editId="02338179">
                  <wp:extent cx="212725" cy="201930"/>
                  <wp:effectExtent l="19050" t="0" r="0" b="0"/>
                  <wp:docPr id="17799060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nil"/>
            </w:tcBorders>
            <w:hideMark/>
          </w:tcPr>
          <w:p w14:paraId="4FC33FF0" w14:textId="4C424B2D"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264ADCA9" wp14:editId="20FFF4AC">
                  <wp:extent cx="212725" cy="201930"/>
                  <wp:effectExtent l="0" t="0" r="0" b="7620"/>
                  <wp:docPr id="7545183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single" w:sz="4" w:space="0" w:color="auto"/>
            </w:tcBorders>
            <w:hideMark/>
          </w:tcPr>
          <w:p w14:paraId="1078CC9B" w14:textId="75FF4E75"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5E71DCE8" wp14:editId="51349A9B">
                  <wp:extent cx="212725" cy="201930"/>
                  <wp:effectExtent l="0" t="0" r="0" b="7620"/>
                  <wp:docPr id="17877782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r>
      <w:tr w:rsidR="000046F8" w:rsidRPr="00735726" w14:paraId="261D6008" w14:textId="77777777" w:rsidTr="005B2128">
        <w:tc>
          <w:tcPr>
            <w:tcW w:w="0" w:type="auto"/>
            <w:tcBorders>
              <w:top w:val="single" w:sz="4" w:space="0" w:color="auto"/>
              <w:left w:val="single" w:sz="4" w:space="0" w:color="auto"/>
              <w:bottom w:val="single" w:sz="4" w:space="0" w:color="auto"/>
              <w:right w:val="nil"/>
            </w:tcBorders>
            <w:hideMark/>
          </w:tcPr>
          <w:p w14:paraId="1FF3BD82" w14:textId="77777777" w:rsidR="000046F8" w:rsidRPr="00735726" w:rsidRDefault="000046F8" w:rsidP="000046F8">
            <w:pPr>
              <w:spacing w:after="160" w:line="259" w:lineRule="auto"/>
              <w:rPr>
                <w:rFonts w:ascii="Arial" w:hAnsi="Arial" w:cs="DINOT-Light"/>
                <w:b/>
                <w:bCs/>
                <w:color w:val="000000"/>
                <w:sz w:val="18"/>
                <w:szCs w:val="18"/>
              </w:rPr>
            </w:pPr>
            <w:r w:rsidRPr="00735726">
              <w:rPr>
                <w:rFonts w:ascii="Arial" w:hAnsi="Arial" w:cs="DINOT-Light"/>
                <w:b/>
                <w:bCs/>
                <w:color w:val="000000"/>
                <w:sz w:val="18"/>
                <w:szCs w:val="18"/>
              </w:rPr>
              <w:t>Inflation - increase</w:t>
            </w:r>
          </w:p>
        </w:tc>
        <w:tc>
          <w:tcPr>
            <w:tcW w:w="0" w:type="auto"/>
            <w:vMerge/>
            <w:tcBorders>
              <w:left w:val="nil"/>
              <w:right w:val="nil"/>
            </w:tcBorders>
          </w:tcPr>
          <w:p w14:paraId="64B9FA3E" w14:textId="77777777" w:rsidR="000046F8" w:rsidRPr="00735726" w:rsidRDefault="000046F8" w:rsidP="000046F8">
            <w:pPr>
              <w:spacing w:after="160" w:line="259" w:lineRule="auto"/>
              <w:rPr>
                <w:rFonts w:ascii="Arial" w:hAnsi="Arial" w:cs="DINOT-Light"/>
                <w:color w:val="000000"/>
                <w:sz w:val="18"/>
                <w:szCs w:val="18"/>
              </w:rPr>
            </w:pPr>
          </w:p>
        </w:tc>
        <w:tc>
          <w:tcPr>
            <w:tcW w:w="0" w:type="auto"/>
            <w:tcBorders>
              <w:top w:val="single" w:sz="4" w:space="0" w:color="auto"/>
              <w:left w:val="nil"/>
              <w:bottom w:val="single" w:sz="4" w:space="0" w:color="auto"/>
              <w:right w:val="nil"/>
            </w:tcBorders>
            <w:hideMark/>
          </w:tcPr>
          <w:p w14:paraId="4DC20A71"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 xml:space="preserve">1% increase </w:t>
            </w:r>
          </w:p>
        </w:tc>
        <w:tc>
          <w:tcPr>
            <w:tcW w:w="0" w:type="auto"/>
            <w:tcBorders>
              <w:top w:val="single" w:sz="4" w:space="0" w:color="auto"/>
              <w:left w:val="nil"/>
              <w:bottom w:val="single" w:sz="4" w:space="0" w:color="auto"/>
              <w:right w:val="nil"/>
            </w:tcBorders>
            <w:hideMark/>
          </w:tcPr>
          <w:p w14:paraId="28177CCD"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Yes</w:t>
            </w:r>
          </w:p>
        </w:tc>
        <w:tc>
          <w:tcPr>
            <w:tcW w:w="0" w:type="auto"/>
            <w:tcBorders>
              <w:top w:val="single" w:sz="4" w:space="0" w:color="auto"/>
              <w:left w:val="nil"/>
              <w:bottom w:val="single" w:sz="4" w:space="0" w:color="auto"/>
              <w:right w:val="nil"/>
            </w:tcBorders>
            <w:hideMark/>
          </w:tcPr>
          <w:p w14:paraId="281B7F98" w14:textId="6B8E1FB3"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4663181A" wp14:editId="62A083DF">
                  <wp:extent cx="212725" cy="201930"/>
                  <wp:effectExtent l="0" t="0" r="0" b="7620"/>
                  <wp:docPr id="18491301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nil"/>
            </w:tcBorders>
            <w:hideMark/>
          </w:tcPr>
          <w:p w14:paraId="41FAA9C2" w14:textId="1B13CE58"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61DFB6D2" wp14:editId="5E75809C">
                  <wp:extent cx="212725" cy="201930"/>
                  <wp:effectExtent l="0" t="0" r="0" b="7620"/>
                  <wp:docPr id="19873806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single" w:sz="4" w:space="0" w:color="auto"/>
            </w:tcBorders>
            <w:hideMark/>
          </w:tcPr>
          <w:p w14:paraId="484F5284" w14:textId="4EB1E229"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193E12D1" wp14:editId="7D64A02F">
                  <wp:extent cx="212725" cy="201930"/>
                  <wp:effectExtent l="0" t="0" r="0" b="7620"/>
                  <wp:docPr id="90767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r>
      <w:tr w:rsidR="000046F8" w:rsidRPr="00735726" w14:paraId="455F52B9" w14:textId="77777777" w:rsidTr="005B2128">
        <w:tc>
          <w:tcPr>
            <w:tcW w:w="0" w:type="auto"/>
            <w:tcBorders>
              <w:top w:val="single" w:sz="4" w:space="0" w:color="auto"/>
              <w:left w:val="single" w:sz="4" w:space="0" w:color="auto"/>
              <w:bottom w:val="single" w:sz="4" w:space="0" w:color="auto"/>
              <w:right w:val="nil"/>
            </w:tcBorders>
            <w:hideMark/>
          </w:tcPr>
          <w:p w14:paraId="4FF9D0B9" w14:textId="77777777" w:rsidR="000046F8" w:rsidRPr="00735726" w:rsidRDefault="000046F8" w:rsidP="000046F8">
            <w:pPr>
              <w:spacing w:after="160" w:line="259" w:lineRule="auto"/>
              <w:rPr>
                <w:rFonts w:ascii="Arial" w:hAnsi="Arial" w:cs="DINOT-Light"/>
                <w:b/>
                <w:bCs/>
                <w:color w:val="000000"/>
                <w:sz w:val="18"/>
                <w:szCs w:val="18"/>
              </w:rPr>
            </w:pPr>
            <w:r w:rsidRPr="00735726">
              <w:rPr>
                <w:rFonts w:ascii="Arial" w:hAnsi="Arial" w:cs="DINOT-Light"/>
                <w:b/>
                <w:bCs/>
                <w:color w:val="000000"/>
                <w:sz w:val="18"/>
                <w:szCs w:val="18"/>
              </w:rPr>
              <w:t>Inflation - decrease</w:t>
            </w:r>
          </w:p>
        </w:tc>
        <w:tc>
          <w:tcPr>
            <w:tcW w:w="0" w:type="auto"/>
            <w:vMerge/>
            <w:tcBorders>
              <w:left w:val="nil"/>
              <w:bottom w:val="single" w:sz="4" w:space="0" w:color="auto"/>
              <w:right w:val="nil"/>
            </w:tcBorders>
          </w:tcPr>
          <w:p w14:paraId="3DC91D6D" w14:textId="77777777" w:rsidR="000046F8" w:rsidRPr="00735726" w:rsidRDefault="000046F8" w:rsidP="000046F8">
            <w:pPr>
              <w:spacing w:after="160" w:line="259" w:lineRule="auto"/>
              <w:rPr>
                <w:rFonts w:ascii="Arial" w:hAnsi="Arial" w:cs="DINOT-Light"/>
                <w:color w:val="000000"/>
                <w:sz w:val="18"/>
                <w:szCs w:val="18"/>
              </w:rPr>
            </w:pPr>
          </w:p>
        </w:tc>
        <w:tc>
          <w:tcPr>
            <w:tcW w:w="0" w:type="auto"/>
            <w:tcBorders>
              <w:top w:val="single" w:sz="4" w:space="0" w:color="auto"/>
              <w:left w:val="nil"/>
              <w:bottom w:val="single" w:sz="4" w:space="0" w:color="auto"/>
              <w:right w:val="nil"/>
            </w:tcBorders>
            <w:hideMark/>
          </w:tcPr>
          <w:p w14:paraId="677ABEBB"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1% decrease</w:t>
            </w:r>
          </w:p>
        </w:tc>
        <w:tc>
          <w:tcPr>
            <w:tcW w:w="0" w:type="auto"/>
            <w:tcBorders>
              <w:top w:val="single" w:sz="4" w:space="0" w:color="auto"/>
              <w:left w:val="nil"/>
              <w:bottom w:val="single" w:sz="4" w:space="0" w:color="auto"/>
              <w:right w:val="nil"/>
            </w:tcBorders>
            <w:hideMark/>
          </w:tcPr>
          <w:p w14:paraId="6AF3E77E"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Yes</w:t>
            </w:r>
          </w:p>
        </w:tc>
        <w:tc>
          <w:tcPr>
            <w:tcW w:w="0" w:type="auto"/>
            <w:tcBorders>
              <w:top w:val="single" w:sz="4" w:space="0" w:color="auto"/>
              <w:left w:val="nil"/>
              <w:bottom w:val="single" w:sz="4" w:space="0" w:color="auto"/>
              <w:right w:val="nil"/>
            </w:tcBorders>
            <w:hideMark/>
          </w:tcPr>
          <w:p w14:paraId="2A04CBA1" w14:textId="23B35EA0"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3341DFE4" wp14:editId="0136F769">
                  <wp:extent cx="212725" cy="201930"/>
                  <wp:effectExtent l="19050" t="0" r="0" b="0"/>
                  <wp:docPr id="7366545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nil"/>
            </w:tcBorders>
            <w:hideMark/>
          </w:tcPr>
          <w:p w14:paraId="1504A6E6" w14:textId="45F3F3BB"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3ADA20DB" wp14:editId="5D2B35D1">
                  <wp:extent cx="212725" cy="201930"/>
                  <wp:effectExtent l="0" t="0" r="0" b="7620"/>
                  <wp:docPr id="15834244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single" w:sz="4" w:space="0" w:color="auto"/>
            </w:tcBorders>
            <w:hideMark/>
          </w:tcPr>
          <w:p w14:paraId="6E837D00" w14:textId="061DD768"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41DD6DC6" wp14:editId="66C91939">
                  <wp:extent cx="212725" cy="201930"/>
                  <wp:effectExtent l="0" t="0" r="0" b="7620"/>
                  <wp:docPr id="1496840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r>
      <w:tr w:rsidR="000046F8" w:rsidRPr="00735726" w14:paraId="7D18FD98" w14:textId="77777777" w:rsidTr="000046F8">
        <w:tc>
          <w:tcPr>
            <w:tcW w:w="0" w:type="auto"/>
            <w:tcBorders>
              <w:top w:val="single" w:sz="4" w:space="0" w:color="auto"/>
              <w:left w:val="single" w:sz="4" w:space="0" w:color="auto"/>
              <w:bottom w:val="single" w:sz="4" w:space="0" w:color="auto"/>
              <w:right w:val="nil"/>
            </w:tcBorders>
            <w:hideMark/>
          </w:tcPr>
          <w:p w14:paraId="74F5686F" w14:textId="77777777" w:rsidR="000046F8" w:rsidRPr="00735726" w:rsidRDefault="000046F8" w:rsidP="000046F8">
            <w:pPr>
              <w:spacing w:after="160" w:line="259" w:lineRule="auto"/>
              <w:rPr>
                <w:rFonts w:ascii="Arial" w:hAnsi="Arial" w:cs="DINOT-Light"/>
                <w:b/>
                <w:bCs/>
                <w:color w:val="000000"/>
                <w:sz w:val="18"/>
                <w:szCs w:val="18"/>
              </w:rPr>
            </w:pPr>
            <w:r w:rsidRPr="00735726">
              <w:rPr>
                <w:rFonts w:ascii="Arial" w:hAnsi="Arial" w:cs="DINOT-Light"/>
                <w:b/>
                <w:bCs/>
                <w:color w:val="000000"/>
                <w:sz w:val="18"/>
                <w:szCs w:val="18"/>
              </w:rPr>
              <w:t>Fines and ODI Penalties</w:t>
            </w:r>
          </w:p>
        </w:tc>
        <w:tc>
          <w:tcPr>
            <w:tcW w:w="0" w:type="auto"/>
            <w:tcBorders>
              <w:top w:val="single" w:sz="4" w:space="0" w:color="auto"/>
              <w:left w:val="nil"/>
              <w:bottom w:val="single" w:sz="4" w:space="0" w:color="auto"/>
              <w:right w:val="nil"/>
            </w:tcBorders>
            <w:hideMark/>
          </w:tcPr>
          <w:p w14:paraId="05B45361" w14:textId="02B72D51" w:rsidR="000046F8" w:rsidRPr="00735726" w:rsidRDefault="00B824AE"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B</w:t>
            </w:r>
            <w:r w:rsidR="000046F8" w:rsidRPr="00735726">
              <w:rPr>
                <w:rFonts w:ascii="Arial" w:hAnsi="Arial" w:cs="DINOT-Light"/>
                <w:color w:val="000000"/>
                <w:sz w:val="18"/>
                <w:szCs w:val="18"/>
              </w:rPr>
              <w:t>: Non-compliance with laws and regulations</w:t>
            </w:r>
          </w:p>
          <w:p w14:paraId="71EF56D3" w14:textId="13078DFA" w:rsidR="000046F8" w:rsidRPr="00735726" w:rsidRDefault="00B824AE"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F</w:t>
            </w:r>
            <w:r w:rsidR="000046F8" w:rsidRPr="00735726">
              <w:rPr>
                <w:rFonts w:ascii="Arial" w:hAnsi="Arial" w:cs="DINOT-Light"/>
                <w:color w:val="000000"/>
                <w:sz w:val="18"/>
                <w:szCs w:val="18"/>
              </w:rPr>
              <w:t>: Failure to secure, treat and supply drinking water</w:t>
            </w:r>
          </w:p>
          <w:p w14:paraId="05E2CB66" w14:textId="25D08991" w:rsidR="000046F8" w:rsidRPr="00735726" w:rsidRDefault="00B824AE"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G</w:t>
            </w:r>
            <w:r w:rsidR="000046F8" w:rsidRPr="00735726">
              <w:rPr>
                <w:rFonts w:ascii="Arial" w:hAnsi="Arial" w:cs="DINOT-Light"/>
                <w:color w:val="000000"/>
                <w:sz w:val="18"/>
                <w:szCs w:val="18"/>
              </w:rPr>
              <w:t>: Failure to improve wastewater performance results in environmental commitments not being delivered</w:t>
            </w:r>
          </w:p>
          <w:p w14:paraId="68A1CD83" w14:textId="73FF2057" w:rsidR="000046F8" w:rsidRPr="00735726" w:rsidRDefault="00B824AE"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H</w:t>
            </w:r>
            <w:r w:rsidR="000046F8" w:rsidRPr="00735726">
              <w:rPr>
                <w:rFonts w:ascii="Arial" w:hAnsi="Arial" w:cs="DINOT-Light"/>
                <w:color w:val="000000"/>
                <w:sz w:val="18"/>
                <w:szCs w:val="18"/>
              </w:rPr>
              <w:t>: Failure to provide excellent service or meet the needs and expectations of our customers and communities</w:t>
            </w:r>
          </w:p>
        </w:tc>
        <w:tc>
          <w:tcPr>
            <w:tcW w:w="0" w:type="auto"/>
            <w:tcBorders>
              <w:top w:val="single" w:sz="4" w:space="0" w:color="auto"/>
              <w:left w:val="nil"/>
              <w:bottom w:val="single" w:sz="4" w:space="0" w:color="auto"/>
              <w:right w:val="nil"/>
            </w:tcBorders>
            <w:hideMark/>
          </w:tcPr>
          <w:p w14:paraId="2256030B"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1% of regulated equity</w:t>
            </w:r>
          </w:p>
        </w:tc>
        <w:tc>
          <w:tcPr>
            <w:tcW w:w="0" w:type="auto"/>
            <w:tcBorders>
              <w:top w:val="single" w:sz="4" w:space="0" w:color="auto"/>
              <w:left w:val="nil"/>
              <w:bottom w:val="single" w:sz="4" w:space="0" w:color="auto"/>
              <w:right w:val="nil"/>
            </w:tcBorders>
          </w:tcPr>
          <w:p w14:paraId="58BF786A" w14:textId="77777777" w:rsidR="000046F8" w:rsidRPr="00735726" w:rsidRDefault="000046F8" w:rsidP="000046F8">
            <w:pPr>
              <w:spacing w:after="160" w:line="259" w:lineRule="auto"/>
              <w:rPr>
                <w:rFonts w:ascii="Arial" w:hAnsi="Arial" w:cs="DINOT-Light"/>
                <w:color w:val="000000"/>
                <w:sz w:val="18"/>
                <w:szCs w:val="18"/>
              </w:rPr>
            </w:pPr>
          </w:p>
        </w:tc>
        <w:tc>
          <w:tcPr>
            <w:tcW w:w="0" w:type="auto"/>
            <w:tcBorders>
              <w:top w:val="single" w:sz="4" w:space="0" w:color="auto"/>
              <w:left w:val="nil"/>
              <w:bottom w:val="single" w:sz="4" w:space="0" w:color="auto"/>
              <w:right w:val="nil"/>
            </w:tcBorders>
            <w:hideMark/>
          </w:tcPr>
          <w:p w14:paraId="447B55EC" w14:textId="54F626AB"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023654DA" wp14:editId="7961E3CB">
                  <wp:extent cx="212725" cy="201930"/>
                  <wp:effectExtent l="19050" t="0" r="0" b="0"/>
                  <wp:docPr id="15821432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nil"/>
            </w:tcBorders>
            <w:hideMark/>
          </w:tcPr>
          <w:p w14:paraId="4A9C094A" w14:textId="235FED73"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32252A32" wp14:editId="56D09CB3">
                  <wp:extent cx="212725" cy="201930"/>
                  <wp:effectExtent l="0" t="0" r="0" b="7620"/>
                  <wp:docPr id="1229865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auto"/>
              <w:right w:val="single" w:sz="4" w:space="0" w:color="auto"/>
            </w:tcBorders>
            <w:hideMark/>
          </w:tcPr>
          <w:p w14:paraId="5F1D2B75" w14:textId="73158AA3"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1C748E72" wp14:editId="3E896F60">
                  <wp:extent cx="212725" cy="201930"/>
                  <wp:effectExtent l="0" t="0" r="0" b="7620"/>
                  <wp:docPr id="1640721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r>
      <w:tr w:rsidR="000046F8" w:rsidRPr="00735726" w14:paraId="1159FB08" w14:textId="77777777" w:rsidTr="000046F8">
        <w:tc>
          <w:tcPr>
            <w:tcW w:w="0" w:type="auto"/>
            <w:tcBorders>
              <w:top w:val="single" w:sz="4" w:space="0" w:color="auto"/>
              <w:left w:val="single" w:sz="4" w:space="0" w:color="auto"/>
              <w:bottom w:val="single" w:sz="4" w:space="0" w:color="0070C0"/>
              <w:right w:val="nil"/>
            </w:tcBorders>
            <w:hideMark/>
          </w:tcPr>
          <w:p w14:paraId="42C5A51B" w14:textId="77777777" w:rsidR="000046F8" w:rsidRPr="00735726" w:rsidRDefault="000046F8" w:rsidP="000046F8">
            <w:pPr>
              <w:spacing w:after="160" w:line="259" w:lineRule="auto"/>
              <w:rPr>
                <w:rFonts w:ascii="Arial" w:hAnsi="Arial" w:cs="DINOT-Light"/>
                <w:b/>
                <w:bCs/>
                <w:color w:val="000000"/>
                <w:sz w:val="18"/>
                <w:szCs w:val="18"/>
              </w:rPr>
            </w:pPr>
            <w:proofErr w:type="spellStart"/>
            <w:r w:rsidRPr="00735726">
              <w:rPr>
                <w:rFonts w:ascii="Arial" w:hAnsi="Arial" w:cs="DINOT-Light"/>
                <w:b/>
                <w:bCs/>
                <w:color w:val="000000"/>
                <w:sz w:val="18"/>
                <w:szCs w:val="18"/>
              </w:rPr>
              <w:t>Totex</w:t>
            </w:r>
            <w:proofErr w:type="spellEnd"/>
            <w:r w:rsidRPr="00735726">
              <w:rPr>
                <w:rFonts w:ascii="Arial" w:hAnsi="Arial" w:cs="DINOT-Light"/>
                <w:b/>
                <w:bCs/>
                <w:color w:val="000000"/>
                <w:sz w:val="18"/>
                <w:szCs w:val="18"/>
              </w:rPr>
              <w:t xml:space="preserve"> underperformance</w:t>
            </w:r>
          </w:p>
        </w:tc>
        <w:tc>
          <w:tcPr>
            <w:tcW w:w="0" w:type="auto"/>
            <w:tcBorders>
              <w:top w:val="single" w:sz="4" w:space="0" w:color="auto"/>
              <w:left w:val="nil"/>
              <w:bottom w:val="single" w:sz="4" w:space="0" w:color="0070C0"/>
              <w:right w:val="nil"/>
            </w:tcBorders>
          </w:tcPr>
          <w:p w14:paraId="335BE46F" w14:textId="77777777" w:rsidR="000046F8" w:rsidRPr="00735726" w:rsidRDefault="000046F8" w:rsidP="000046F8">
            <w:pPr>
              <w:spacing w:after="160" w:line="259" w:lineRule="auto"/>
              <w:rPr>
                <w:rFonts w:ascii="Arial" w:hAnsi="Arial" w:cs="DINOT-Light"/>
                <w:color w:val="000000"/>
                <w:sz w:val="18"/>
                <w:szCs w:val="18"/>
              </w:rPr>
            </w:pPr>
          </w:p>
        </w:tc>
        <w:tc>
          <w:tcPr>
            <w:tcW w:w="0" w:type="auto"/>
            <w:tcBorders>
              <w:top w:val="single" w:sz="4" w:space="0" w:color="auto"/>
              <w:left w:val="nil"/>
              <w:bottom w:val="single" w:sz="4" w:space="0" w:color="0070C0"/>
              <w:right w:val="nil"/>
            </w:tcBorders>
            <w:hideMark/>
          </w:tcPr>
          <w:p w14:paraId="6757582E" w14:textId="0E844288"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 xml:space="preserve">5-8% of </w:t>
            </w:r>
            <w:proofErr w:type="spellStart"/>
            <w:r w:rsidR="00490D9E" w:rsidRPr="00735726">
              <w:rPr>
                <w:rFonts w:ascii="Arial" w:hAnsi="Arial" w:cs="DINOT-Light"/>
                <w:color w:val="000000"/>
                <w:sz w:val="18"/>
                <w:szCs w:val="18"/>
              </w:rPr>
              <w:t>T</w:t>
            </w:r>
            <w:r w:rsidRPr="00735726">
              <w:rPr>
                <w:rFonts w:ascii="Arial" w:hAnsi="Arial" w:cs="DINOT-Light"/>
                <w:color w:val="000000"/>
                <w:sz w:val="18"/>
                <w:szCs w:val="18"/>
              </w:rPr>
              <w:t>otex</w:t>
            </w:r>
            <w:proofErr w:type="spellEnd"/>
            <w:r w:rsidRPr="00735726">
              <w:rPr>
                <w:rFonts w:ascii="Arial" w:hAnsi="Arial" w:cs="DINOT-Light"/>
                <w:color w:val="000000"/>
                <w:sz w:val="18"/>
                <w:szCs w:val="18"/>
              </w:rPr>
              <w:t xml:space="preserve"> per annum</w:t>
            </w:r>
          </w:p>
        </w:tc>
        <w:tc>
          <w:tcPr>
            <w:tcW w:w="0" w:type="auto"/>
            <w:tcBorders>
              <w:top w:val="single" w:sz="4" w:space="0" w:color="auto"/>
              <w:left w:val="nil"/>
              <w:bottom w:val="single" w:sz="4" w:space="0" w:color="0070C0"/>
              <w:right w:val="nil"/>
            </w:tcBorders>
            <w:hideMark/>
          </w:tcPr>
          <w:p w14:paraId="1CDEBF18"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Yes</w:t>
            </w:r>
          </w:p>
        </w:tc>
        <w:tc>
          <w:tcPr>
            <w:tcW w:w="0" w:type="auto"/>
            <w:tcBorders>
              <w:top w:val="single" w:sz="4" w:space="0" w:color="auto"/>
              <w:left w:val="nil"/>
              <w:bottom w:val="single" w:sz="4" w:space="0" w:color="0070C0"/>
              <w:right w:val="nil"/>
            </w:tcBorders>
            <w:hideMark/>
          </w:tcPr>
          <w:p w14:paraId="2855C227" w14:textId="2F9059FA"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4FD88D88" wp14:editId="41BA7FB6">
                  <wp:extent cx="212725" cy="201930"/>
                  <wp:effectExtent l="19050" t="0" r="0" b="0"/>
                  <wp:docPr id="11792874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0070C0"/>
              <w:right w:val="nil"/>
            </w:tcBorders>
            <w:hideMark/>
          </w:tcPr>
          <w:p w14:paraId="7D06221D" w14:textId="6EF618B8"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721F4CEB" wp14:editId="35D6B9CD">
                  <wp:extent cx="212725" cy="201930"/>
                  <wp:effectExtent l="0" t="0" r="0" b="7620"/>
                  <wp:docPr id="9031740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auto"/>
              <w:left w:val="nil"/>
              <w:bottom w:val="single" w:sz="4" w:space="0" w:color="0070C0"/>
              <w:right w:val="single" w:sz="4" w:space="0" w:color="auto"/>
            </w:tcBorders>
            <w:hideMark/>
          </w:tcPr>
          <w:p w14:paraId="6F57AB78" w14:textId="5F5D61D5"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1C7F22AA" wp14:editId="54619804">
                  <wp:extent cx="212725" cy="201930"/>
                  <wp:effectExtent l="0" t="0" r="0" b="7620"/>
                  <wp:docPr id="20510031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r>
      <w:tr w:rsidR="000046F8" w:rsidRPr="00735726" w14:paraId="42B73B68" w14:textId="77777777" w:rsidTr="000046F8">
        <w:tc>
          <w:tcPr>
            <w:tcW w:w="0" w:type="auto"/>
            <w:tcBorders>
              <w:top w:val="single" w:sz="4" w:space="0" w:color="0070C0"/>
              <w:left w:val="single" w:sz="4" w:space="0" w:color="auto"/>
              <w:bottom w:val="single" w:sz="4" w:space="0" w:color="auto"/>
              <w:right w:val="nil"/>
            </w:tcBorders>
            <w:hideMark/>
          </w:tcPr>
          <w:p w14:paraId="44000CB1" w14:textId="77777777" w:rsidR="000046F8" w:rsidRPr="00735726" w:rsidRDefault="000046F8" w:rsidP="000046F8">
            <w:pPr>
              <w:spacing w:after="160" w:line="259" w:lineRule="auto"/>
              <w:rPr>
                <w:rFonts w:ascii="Arial" w:hAnsi="Arial" w:cs="DINOT-Light"/>
                <w:b/>
                <w:bCs/>
                <w:color w:val="000000"/>
                <w:sz w:val="18"/>
                <w:szCs w:val="18"/>
              </w:rPr>
            </w:pPr>
            <w:r w:rsidRPr="00735726">
              <w:rPr>
                <w:rFonts w:ascii="Arial" w:hAnsi="Arial" w:cs="DINOT-Light"/>
                <w:b/>
                <w:bCs/>
                <w:color w:val="000000"/>
                <w:sz w:val="18"/>
                <w:szCs w:val="18"/>
              </w:rPr>
              <w:t xml:space="preserve">Combined Scenario: </w:t>
            </w:r>
            <w:proofErr w:type="spellStart"/>
            <w:r w:rsidRPr="00735726">
              <w:rPr>
                <w:rFonts w:ascii="Arial" w:hAnsi="Arial" w:cs="DINOT-Light"/>
                <w:b/>
                <w:bCs/>
                <w:color w:val="000000"/>
                <w:sz w:val="18"/>
                <w:szCs w:val="18"/>
              </w:rPr>
              <w:t>Totex</w:t>
            </w:r>
            <w:proofErr w:type="spellEnd"/>
            <w:r w:rsidRPr="00735726">
              <w:rPr>
                <w:rFonts w:ascii="Arial" w:hAnsi="Arial" w:cs="DINOT-Light"/>
                <w:b/>
                <w:bCs/>
                <w:color w:val="000000"/>
                <w:sz w:val="18"/>
                <w:szCs w:val="18"/>
              </w:rPr>
              <w:t xml:space="preserve"> underperformance, fines and ODI penalties</w:t>
            </w:r>
          </w:p>
        </w:tc>
        <w:tc>
          <w:tcPr>
            <w:tcW w:w="0" w:type="auto"/>
            <w:tcBorders>
              <w:top w:val="single" w:sz="4" w:space="0" w:color="0070C0"/>
              <w:left w:val="nil"/>
              <w:bottom w:val="single" w:sz="4" w:space="0" w:color="auto"/>
              <w:right w:val="nil"/>
            </w:tcBorders>
            <w:hideMark/>
          </w:tcPr>
          <w:p w14:paraId="50F3B146"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As referenced above</w:t>
            </w:r>
          </w:p>
        </w:tc>
        <w:tc>
          <w:tcPr>
            <w:tcW w:w="0" w:type="auto"/>
            <w:tcBorders>
              <w:top w:val="single" w:sz="4" w:space="0" w:color="0070C0"/>
              <w:left w:val="nil"/>
              <w:bottom w:val="single" w:sz="4" w:space="0" w:color="auto"/>
              <w:right w:val="nil"/>
            </w:tcBorders>
            <w:hideMark/>
          </w:tcPr>
          <w:p w14:paraId="2FE4B581"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As above</w:t>
            </w:r>
          </w:p>
        </w:tc>
        <w:tc>
          <w:tcPr>
            <w:tcW w:w="0" w:type="auto"/>
            <w:tcBorders>
              <w:top w:val="single" w:sz="4" w:space="0" w:color="0070C0"/>
              <w:left w:val="nil"/>
              <w:bottom w:val="single" w:sz="4" w:space="0" w:color="auto"/>
              <w:right w:val="nil"/>
            </w:tcBorders>
            <w:hideMark/>
          </w:tcPr>
          <w:p w14:paraId="7413DEFE" w14:textId="77777777" w:rsidR="000046F8" w:rsidRPr="00735726" w:rsidRDefault="000046F8" w:rsidP="000046F8">
            <w:pPr>
              <w:spacing w:after="160" w:line="259" w:lineRule="auto"/>
              <w:rPr>
                <w:rFonts w:ascii="Arial" w:hAnsi="Arial" w:cs="DINOT-Light"/>
                <w:color w:val="000000"/>
                <w:sz w:val="18"/>
                <w:szCs w:val="18"/>
              </w:rPr>
            </w:pPr>
            <w:r w:rsidRPr="00735726">
              <w:rPr>
                <w:rFonts w:ascii="Arial" w:hAnsi="Arial" w:cs="DINOT-Light"/>
                <w:color w:val="000000"/>
                <w:sz w:val="18"/>
                <w:szCs w:val="18"/>
              </w:rPr>
              <w:t>Yes</w:t>
            </w:r>
          </w:p>
        </w:tc>
        <w:tc>
          <w:tcPr>
            <w:tcW w:w="0" w:type="auto"/>
            <w:tcBorders>
              <w:top w:val="single" w:sz="4" w:space="0" w:color="0070C0"/>
              <w:left w:val="nil"/>
              <w:bottom w:val="single" w:sz="4" w:space="0" w:color="auto"/>
              <w:right w:val="nil"/>
            </w:tcBorders>
            <w:hideMark/>
          </w:tcPr>
          <w:p w14:paraId="395E9AE7" w14:textId="77229E9B"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062BA7DC" wp14:editId="53D346A9">
                  <wp:extent cx="212725" cy="201930"/>
                  <wp:effectExtent l="19050" t="0" r="0" b="0"/>
                  <wp:docPr id="12306909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0070C0"/>
              <w:left w:val="nil"/>
              <w:bottom w:val="single" w:sz="4" w:space="0" w:color="auto"/>
              <w:right w:val="nil"/>
            </w:tcBorders>
            <w:hideMark/>
          </w:tcPr>
          <w:p w14:paraId="7D6967A8" w14:textId="40C5C7C6"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7E8DD99B" wp14:editId="22E217FB">
                  <wp:extent cx="212725" cy="201930"/>
                  <wp:effectExtent l="0" t="0" r="0" b="7620"/>
                  <wp:docPr id="17921656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c>
          <w:tcPr>
            <w:tcW w:w="0" w:type="auto"/>
            <w:tcBorders>
              <w:top w:val="single" w:sz="4" w:space="0" w:color="0070C0"/>
              <w:left w:val="nil"/>
              <w:bottom w:val="single" w:sz="4" w:space="0" w:color="auto"/>
              <w:right w:val="single" w:sz="4" w:space="0" w:color="auto"/>
            </w:tcBorders>
            <w:hideMark/>
          </w:tcPr>
          <w:p w14:paraId="4FBA8CC5" w14:textId="269FAE7E" w:rsidR="000046F8" w:rsidRPr="00735726" w:rsidRDefault="000046F8" w:rsidP="000046F8">
            <w:pPr>
              <w:spacing w:after="160" w:line="259" w:lineRule="auto"/>
              <w:rPr>
                <w:rFonts w:ascii="Arial" w:hAnsi="Arial" w:cs="DINOT-Light"/>
                <w:color w:val="000000"/>
                <w:sz w:val="18"/>
                <w:szCs w:val="18"/>
              </w:rPr>
            </w:pPr>
            <w:r w:rsidRPr="00735726">
              <w:rPr>
                <w:b/>
                <w:noProof/>
              </w:rPr>
              <w:drawing>
                <wp:inline distT="0" distB="0" distL="0" distR="0" wp14:anchorId="56F5ED31" wp14:editId="33994D57">
                  <wp:extent cx="212725" cy="201930"/>
                  <wp:effectExtent l="0" t="0" r="0" b="7620"/>
                  <wp:docPr id="5782334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rot="10800000">
                            <a:off x="0" y="0"/>
                            <a:ext cx="212725" cy="201930"/>
                          </a:xfrm>
                          <a:prstGeom prst="rect">
                            <a:avLst/>
                          </a:prstGeom>
                          <a:noFill/>
                          <a:ln w="9525">
                            <a:noFill/>
                            <a:miter lim="800000"/>
                            <a:headEnd/>
                            <a:tailEnd/>
                          </a:ln>
                        </pic:spPr>
                      </pic:pic>
                    </a:graphicData>
                  </a:graphic>
                </wp:inline>
              </w:drawing>
            </w:r>
          </w:p>
        </w:tc>
      </w:tr>
    </w:tbl>
    <w:p w14:paraId="2E18C1C5" w14:textId="5C7DDDD0" w:rsidR="005B70DC" w:rsidRPr="00735726" w:rsidRDefault="00B824AE" w:rsidP="005B70DC">
      <w:pPr>
        <w:spacing w:after="160" w:line="259" w:lineRule="auto"/>
        <w:rPr>
          <w:rFonts w:ascii="Arial" w:eastAsia="Times New Roman" w:hAnsi="Arial" w:cs="DINOT-Light"/>
          <w:color w:val="000000"/>
          <w:sz w:val="18"/>
          <w:szCs w:val="18"/>
        </w:rPr>
      </w:pPr>
      <w:r w:rsidRPr="009A2CAE">
        <w:rPr>
          <w:rFonts w:ascii="Arial" w:eastAsia="Times New Roman" w:hAnsi="Arial" w:cs="DINOT-Light"/>
          <w:color w:val="000000"/>
          <w:sz w:val="18"/>
          <w:szCs w:val="18"/>
        </w:rPr>
        <w:br/>
      </w:r>
      <w:r w:rsidRPr="00735726">
        <w:rPr>
          <w:rFonts w:ascii="Arial" w:eastAsia="Times New Roman" w:hAnsi="Arial" w:cs="DINOT-Light"/>
          <w:i/>
          <w:iCs/>
          <w:color w:val="000000"/>
          <w:sz w:val="18"/>
          <w:szCs w:val="18"/>
        </w:rPr>
        <w:t>STRESS-TESTING EVALUATION AND MITIGATIONS</w:t>
      </w:r>
      <w:r w:rsidRPr="00735726">
        <w:rPr>
          <w:rFonts w:ascii="Arial" w:eastAsia="Times New Roman" w:hAnsi="Arial" w:cs="DINOT-Light"/>
          <w:i/>
          <w:iCs/>
          <w:color w:val="000000"/>
          <w:sz w:val="18"/>
          <w:szCs w:val="18"/>
        </w:rPr>
        <w:br/>
      </w:r>
      <w:r w:rsidR="005B70DC" w:rsidRPr="00735726">
        <w:rPr>
          <w:rFonts w:ascii="Arial" w:eastAsia="Times New Roman" w:hAnsi="Arial" w:cs="DINOT-Light"/>
          <w:color w:val="000000"/>
          <w:sz w:val="18"/>
          <w:szCs w:val="18"/>
        </w:rPr>
        <w:t xml:space="preserve">The stress testing performed indicates that the individual sensitivities and combined scenarios modelled, including those linked to principal risks, do not compromise </w:t>
      </w:r>
      <w:proofErr w:type="gramStart"/>
      <w:r w:rsidR="005B70DC" w:rsidRPr="00735726">
        <w:rPr>
          <w:rFonts w:ascii="Arial" w:eastAsia="Times New Roman" w:hAnsi="Arial" w:cs="DINOT-Light"/>
          <w:color w:val="000000"/>
          <w:sz w:val="18"/>
          <w:szCs w:val="18"/>
        </w:rPr>
        <w:t>South West</w:t>
      </w:r>
      <w:proofErr w:type="gramEnd"/>
      <w:r w:rsidR="005B70DC" w:rsidRPr="00735726">
        <w:rPr>
          <w:rFonts w:ascii="Arial" w:eastAsia="Times New Roman" w:hAnsi="Arial" w:cs="DINOT-Light"/>
          <w:color w:val="000000"/>
          <w:sz w:val="18"/>
          <w:szCs w:val="18"/>
        </w:rPr>
        <w:t xml:space="preserve"> Water’s viability over the seven-year assessment period.</w:t>
      </w:r>
    </w:p>
    <w:p w14:paraId="06CE7837" w14:textId="77777777"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Mitigations were not required to support the viability conclusion in the individual or combined scenario modelled. However, the Company has further actions available to protect liquidity, preserve covenant headroom and maintain financial resilience, including:</w:t>
      </w:r>
    </w:p>
    <w:p w14:paraId="39E67AB2" w14:textId="77777777" w:rsidR="005B70DC" w:rsidRPr="00735726" w:rsidRDefault="005B70DC" w:rsidP="00646F4F">
      <w:pPr>
        <w:pStyle w:val="ListParagraph"/>
        <w:numPr>
          <w:ilvl w:val="0"/>
          <w:numId w:val="87"/>
        </w:numPr>
        <w:rPr>
          <w:rFonts w:ascii="Arial" w:hAnsi="Arial" w:cs="Arial"/>
          <w:sz w:val="18"/>
          <w:szCs w:val="18"/>
        </w:rPr>
      </w:pPr>
      <w:r w:rsidRPr="00735726">
        <w:rPr>
          <w:rFonts w:ascii="Arial" w:hAnsi="Arial" w:cs="Arial"/>
          <w:sz w:val="18"/>
          <w:szCs w:val="18"/>
        </w:rPr>
        <w:t xml:space="preserve">Reduction in discretionary operational </w:t>
      </w:r>
      <w:proofErr w:type="gramStart"/>
      <w:r w:rsidRPr="00735726">
        <w:rPr>
          <w:rFonts w:ascii="Arial" w:hAnsi="Arial" w:cs="Arial"/>
          <w:sz w:val="18"/>
          <w:szCs w:val="18"/>
        </w:rPr>
        <w:t>expenditure;</w:t>
      </w:r>
      <w:proofErr w:type="gramEnd"/>
    </w:p>
    <w:p w14:paraId="59FDD8A7" w14:textId="77777777" w:rsidR="005B70DC" w:rsidRPr="00735726" w:rsidRDefault="005B70DC" w:rsidP="00646F4F">
      <w:pPr>
        <w:pStyle w:val="ListParagraph"/>
        <w:numPr>
          <w:ilvl w:val="0"/>
          <w:numId w:val="87"/>
        </w:numPr>
        <w:rPr>
          <w:rFonts w:ascii="Arial" w:hAnsi="Arial" w:cs="Arial"/>
          <w:sz w:val="18"/>
          <w:szCs w:val="18"/>
        </w:rPr>
      </w:pPr>
      <w:r w:rsidRPr="00735726">
        <w:rPr>
          <w:rFonts w:ascii="Arial" w:hAnsi="Arial" w:cs="Arial"/>
          <w:sz w:val="18"/>
          <w:szCs w:val="18"/>
        </w:rPr>
        <w:t xml:space="preserve">Deferral of capital expenditure and /or cancellation of non-essential </w:t>
      </w:r>
      <w:proofErr w:type="gramStart"/>
      <w:r w:rsidRPr="00735726">
        <w:rPr>
          <w:rFonts w:ascii="Arial" w:hAnsi="Arial" w:cs="Arial"/>
          <w:sz w:val="18"/>
          <w:szCs w:val="18"/>
        </w:rPr>
        <w:t>works;</w:t>
      </w:r>
      <w:proofErr w:type="gramEnd"/>
    </w:p>
    <w:p w14:paraId="7A6D5E46" w14:textId="77777777" w:rsidR="005B70DC" w:rsidRPr="00735726" w:rsidRDefault="005B70DC" w:rsidP="00646F4F">
      <w:pPr>
        <w:pStyle w:val="ListParagraph"/>
        <w:numPr>
          <w:ilvl w:val="0"/>
          <w:numId w:val="87"/>
        </w:numPr>
        <w:rPr>
          <w:rFonts w:ascii="Arial" w:hAnsi="Arial" w:cs="Arial"/>
          <w:sz w:val="18"/>
          <w:szCs w:val="18"/>
        </w:rPr>
      </w:pPr>
      <w:r w:rsidRPr="00735726">
        <w:rPr>
          <w:rFonts w:ascii="Arial" w:hAnsi="Arial" w:cs="Arial"/>
          <w:sz w:val="18"/>
          <w:szCs w:val="18"/>
        </w:rPr>
        <w:lastRenderedPageBreak/>
        <w:t xml:space="preserve">Working capital management e.g. re-negotiating credit </w:t>
      </w:r>
      <w:proofErr w:type="gramStart"/>
      <w:r w:rsidRPr="00735726">
        <w:rPr>
          <w:rFonts w:ascii="Arial" w:hAnsi="Arial" w:cs="Arial"/>
          <w:sz w:val="18"/>
          <w:szCs w:val="18"/>
        </w:rPr>
        <w:t>terms;</w:t>
      </w:r>
      <w:proofErr w:type="gramEnd"/>
    </w:p>
    <w:p w14:paraId="50C69AF1" w14:textId="77777777" w:rsidR="005B70DC" w:rsidRPr="00735726" w:rsidRDefault="005B70DC" w:rsidP="00646F4F">
      <w:pPr>
        <w:pStyle w:val="ListParagraph"/>
        <w:numPr>
          <w:ilvl w:val="0"/>
          <w:numId w:val="87"/>
        </w:numPr>
        <w:rPr>
          <w:rFonts w:ascii="Arial" w:hAnsi="Arial" w:cs="Arial"/>
          <w:sz w:val="18"/>
          <w:szCs w:val="18"/>
        </w:rPr>
      </w:pPr>
      <w:r w:rsidRPr="00735726">
        <w:rPr>
          <w:rFonts w:ascii="Arial" w:hAnsi="Arial" w:cs="Arial"/>
          <w:sz w:val="18"/>
          <w:szCs w:val="18"/>
        </w:rPr>
        <w:t>Parent Company support e.g. equity injection</w:t>
      </w:r>
    </w:p>
    <w:p w14:paraId="6E32DE99" w14:textId="77777777" w:rsidR="005B70DC" w:rsidRPr="00735726" w:rsidRDefault="005B70DC" w:rsidP="00646F4F">
      <w:pPr>
        <w:pStyle w:val="ListParagraph"/>
        <w:numPr>
          <w:ilvl w:val="0"/>
          <w:numId w:val="87"/>
        </w:numPr>
        <w:rPr>
          <w:rFonts w:ascii="Arial" w:hAnsi="Arial" w:cs="Arial"/>
          <w:sz w:val="18"/>
          <w:szCs w:val="18"/>
        </w:rPr>
      </w:pPr>
      <w:r w:rsidRPr="00735726">
        <w:rPr>
          <w:rFonts w:ascii="Arial" w:hAnsi="Arial" w:cs="Arial"/>
          <w:sz w:val="18"/>
          <w:szCs w:val="18"/>
        </w:rPr>
        <w:t>Restriction of dividends.</w:t>
      </w:r>
    </w:p>
    <w:p w14:paraId="309285A0" w14:textId="77777777"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Board also considers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Water’s funding options and its ability to secure additional financing if required to support solvency and liquidity over the assessment period.</w:t>
      </w:r>
    </w:p>
    <w:p w14:paraId="001D104A" w14:textId="77777777"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More extreme scenarios were also considered, including an absolute worst case in which all principal risks were assumed to occur. These would place significant pressure on the Company’s viability measures over the assessment period. The Board judged the likelihood of such scenarios to be remote and noted that further mitigations could be deployed if required.</w:t>
      </w:r>
    </w:p>
    <w:p w14:paraId="76068D18" w14:textId="77777777" w:rsidR="005B70DC" w:rsidRPr="00735726" w:rsidRDefault="005B70DC"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In reaching its assessment, the Directors considered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Water’s solvency, liquidity, covenant compliance and wider funding resilience. They also recognise that, as a regulated business subject to potential non-market influences, longer-term assessments are inherently </w:t>
      </w:r>
      <w:proofErr w:type="gramStart"/>
      <w:r w:rsidRPr="00735726">
        <w:rPr>
          <w:rFonts w:ascii="Arial" w:eastAsia="Times New Roman" w:hAnsi="Arial" w:cs="DINOT-Light"/>
          <w:color w:val="000000"/>
          <w:sz w:val="18"/>
          <w:szCs w:val="18"/>
        </w:rPr>
        <w:t>uncertain</w:t>
      </w:r>
      <w:proofErr w:type="gramEnd"/>
      <w:r w:rsidRPr="00735726">
        <w:rPr>
          <w:rFonts w:ascii="Arial" w:eastAsia="Times New Roman" w:hAnsi="Arial" w:cs="DINOT-Light"/>
          <w:color w:val="000000"/>
          <w:sz w:val="18"/>
          <w:szCs w:val="18"/>
        </w:rPr>
        <w:t xml:space="preserve"> and future outcomes cannot be predicted with certainty.</w:t>
      </w:r>
    </w:p>
    <w:p w14:paraId="1885AF5E" w14:textId="65DC9D3F" w:rsidR="00832C08" w:rsidRPr="00735726" w:rsidRDefault="005B70DC" w:rsidP="00832C08">
      <w:pPr>
        <w:rPr>
          <w:lang w:eastAsia="en-GB"/>
        </w:rPr>
      </w:pPr>
      <w:r w:rsidRPr="00735726">
        <w:rPr>
          <w:rFonts w:ascii="Arial" w:eastAsia="Times New Roman" w:hAnsi="Arial" w:cs="DINOT-Light"/>
          <w:color w:val="000000"/>
          <w:sz w:val="18"/>
          <w:szCs w:val="18"/>
        </w:rPr>
        <w:t>As set out in the Audit Committee’s report on pages</w:t>
      </w:r>
      <w:r w:rsidRPr="009A2CAE">
        <w:rPr>
          <w:rFonts w:ascii="Arial" w:eastAsia="Times New Roman" w:hAnsi="Arial" w:cs="DINOT-Light"/>
          <w:color w:val="000000"/>
          <w:sz w:val="18"/>
          <w:szCs w:val="18"/>
        </w:rPr>
        <w:t xml:space="preserve"> </w:t>
      </w:r>
      <w:r w:rsidR="0051398C" w:rsidRPr="009A2CAE">
        <w:rPr>
          <w:rFonts w:ascii="Arial" w:eastAsia="Times New Roman" w:hAnsi="Arial" w:cs="DINOT-Light"/>
          <w:color w:val="000000"/>
          <w:sz w:val="18"/>
          <w:szCs w:val="18"/>
        </w:rPr>
        <w:t xml:space="preserve">130 </w:t>
      </w:r>
      <w:r w:rsidRPr="009A2CAE">
        <w:rPr>
          <w:rFonts w:ascii="Arial" w:eastAsia="Times New Roman" w:hAnsi="Arial" w:cs="DINOT-Light"/>
          <w:color w:val="000000"/>
          <w:sz w:val="18"/>
          <w:szCs w:val="18"/>
        </w:rPr>
        <w:t xml:space="preserve">to </w:t>
      </w:r>
      <w:r w:rsidR="0051398C" w:rsidRPr="009A2CAE">
        <w:rPr>
          <w:rFonts w:ascii="Arial" w:eastAsia="Times New Roman" w:hAnsi="Arial" w:cs="DINOT-Light"/>
          <w:color w:val="000000"/>
          <w:sz w:val="18"/>
          <w:szCs w:val="18"/>
        </w:rPr>
        <w:t>139</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the Directors reviewed management’s assessment and the results of the stress testing performed.</w:t>
      </w:r>
      <w:r w:rsidR="00832C08" w:rsidRPr="00735726">
        <w:rPr>
          <w:rFonts w:ascii="Arial" w:eastAsia="Times New Roman" w:hAnsi="Arial" w:cs="DINOT-Light"/>
          <w:color w:val="000000"/>
          <w:sz w:val="18"/>
          <w:szCs w:val="18"/>
        </w:rPr>
        <w:t xml:space="preserve"> PwC, in its capacity as audit provider, reviewed the documentation prepared for the </w:t>
      </w:r>
      <w:r w:rsidR="00267376" w:rsidRPr="00735726">
        <w:rPr>
          <w:rFonts w:ascii="Arial" w:eastAsia="Times New Roman" w:hAnsi="Arial" w:cs="DINOT-Light"/>
          <w:color w:val="000000"/>
          <w:sz w:val="18"/>
          <w:szCs w:val="18"/>
        </w:rPr>
        <w:t>D</w:t>
      </w:r>
      <w:r w:rsidR="00832C08" w:rsidRPr="00735726">
        <w:rPr>
          <w:rFonts w:ascii="Arial" w:eastAsia="Times New Roman" w:hAnsi="Arial" w:cs="DINOT-Light"/>
          <w:color w:val="000000"/>
          <w:sz w:val="18"/>
          <w:szCs w:val="18"/>
        </w:rPr>
        <w:t>irectors to support their disclosure.</w:t>
      </w:r>
    </w:p>
    <w:p w14:paraId="112172A0" w14:textId="690DA591" w:rsidR="005B70DC" w:rsidRPr="00735726" w:rsidRDefault="00B824AE" w:rsidP="005B70DC">
      <w:pPr>
        <w:spacing w:after="160" w:line="259" w:lineRule="auto"/>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VIABILITY ASSESSMENT CONCLUSION</w:t>
      </w:r>
      <w:r w:rsidRPr="00735726">
        <w:rPr>
          <w:rFonts w:ascii="Arial" w:eastAsia="Times New Roman" w:hAnsi="Arial" w:cs="DINOT-Light"/>
          <w:i/>
          <w:iCs/>
          <w:color w:val="000000"/>
          <w:sz w:val="18"/>
          <w:szCs w:val="18"/>
        </w:rPr>
        <w:br/>
      </w:r>
      <w:r w:rsidR="005B70DC" w:rsidRPr="00735726">
        <w:rPr>
          <w:rFonts w:ascii="Arial" w:eastAsia="Times New Roman" w:hAnsi="Arial" w:cs="DINOT-Light"/>
          <w:color w:val="000000"/>
          <w:sz w:val="18"/>
          <w:szCs w:val="18"/>
        </w:rPr>
        <w:t xml:space="preserve">Based on this assessment, the Directors have a reasonable expectation that </w:t>
      </w:r>
      <w:proofErr w:type="gramStart"/>
      <w:r w:rsidR="005B70DC" w:rsidRPr="00735726">
        <w:rPr>
          <w:rFonts w:ascii="Arial" w:eastAsia="Times New Roman" w:hAnsi="Arial" w:cs="DINOT-Light"/>
          <w:color w:val="000000"/>
          <w:sz w:val="18"/>
          <w:szCs w:val="18"/>
        </w:rPr>
        <w:t>South West</w:t>
      </w:r>
      <w:proofErr w:type="gramEnd"/>
      <w:r w:rsidR="005B70DC" w:rsidRPr="00735726">
        <w:rPr>
          <w:rFonts w:ascii="Arial" w:eastAsia="Times New Roman" w:hAnsi="Arial" w:cs="DINOT-Light"/>
          <w:color w:val="000000"/>
          <w:sz w:val="18"/>
          <w:szCs w:val="18"/>
        </w:rPr>
        <w:t xml:space="preserve"> Water will be able to continue in operation and meet its liabilities as they fall due over the seven-year assessment period.</w:t>
      </w:r>
    </w:p>
    <w:p w14:paraId="7E8B5BFC" w14:textId="64AD1B33" w:rsidR="003938A7" w:rsidRPr="009A2CAE" w:rsidRDefault="003938A7">
      <w:pPr>
        <w:spacing w:after="160" w:line="259" w:lineRule="auto"/>
        <w:rPr>
          <w:rFonts w:ascii="Arial" w:eastAsia="Times New Roman" w:hAnsi="Arial" w:cs="DINOT-Light"/>
          <w:color w:val="000000"/>
          <w:sz w:val="18"/>
          <w:szCs w:val="18"/>
        </w:rPr>
      </w:pPr>
      <w:r w:rsidRPr="009A2CAE">
        <w:rPr>
          <w:rFonts w:ascii="Arial" w:eastAsia="Times New Roman" w:hAnsi="Arial" w:cs="DINOT-Light"/>
          <w:color w:val="000000"/>
          <w:sz w:val="18"/>
          <w:szCs w:val="18"/>
        </w:rPr>
        <w:br w:type="page"/>
      </w:r>
    </w:p>
    <w:p w14:paraId="67642AF4" w14:textId="71D496A0" w:rsidR="00F43134" w:rsidRPr="00735726" w:rsidRDefault="00F43134" w:rsidP="00F43134">
      <w:pPr>
        <w:spacing w:after="160" w:line="259" w:lineRule="auto"/>
        <w:rPr>
          <w:rFonts w:ascii="Arial" w:hAnsi="Arial" w:cs="Arial"/>
          <w:sz w:val="32"/>
          <w:szCs w:val="32"/>
        </w:rPr>
      </w:pPr>
      <w:r w:rsidRPr="00735726">
        <w:rPr>
          <w:rFonts w:ascii="Arial" w:hAnsi="Arial" w:cs="Arial"/>
          <w:sz w:val="32"/>
          <w:szCs w:val="32"/>
        </w:rPr>
        <w:lastRenderedPageBreak/>
        <w:t>OUR ESG APPROACH</w:t>
      </w:r>
    </w:p>
    <w:p w14:paraId="0CEFFB6D" w14:textId="77777777" w:rsidR="00237301" w:rsidRPr="00735726" w:rsidRDefault="00237301" w:rsidP="00237301">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We are proud of the progress we have made in our approach to ESG, embedded in all that we do. We continue to deliver lasting benefits for our customers, communities and the environment, now and for generations to come. This progress is delivered against our key strategic priorities, as we work to build a resilient, future-focused organisation for all those we serve. </w:t>
      </w:r>
    </w:p>
    <w:p w14:paraId="0A39E5EB" w14:textId="1B033193" w:rsidR="00237301" w:rsidRPr="00735726" w:rsidRDefault="00237301" w:rsidP="00237301">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Last year, we conducted a Double Materiality Assessment (DMA) to refresh our understanding of the most important ESG topics to our stakeholders, both in terms of their impact on our business and on our influence on the wider world. This assessment was reviewed during the year and remains current. This process sets the foundation for ambitious targets relevant to our stakeholders, to take us to 2030 and beyond.</w:t>
      </w:r>
    </w:p>
    <w:p w14:paraId="3EFAF5BC" w14:textId="0A0B589E" w:rsidR="00237301" w:rsidRPr="00735726" w:rsidRDefault="00237301" w:rsidP="00237301">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Throughout this period, our commitment to environmental stewardship, social responsibility, and strong governance remains unwavering. We continue to drive progress across climate action, resilience, and nature, while supporting our colleagues, customers, and communities.</w:t>
      </w:r>
    </w:p>
    <w:p w14:paraId="3E3A95B0" w14:textId="10668A12" w:rsidR="00237301" w:rsidRPr="00735726" w:rsidRDefault="00237301" w:rsidP="00237301">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With a strong governance framework and our core values guiding us, we are building our approach to keep the Company at the forefront of sustainability leadership in our industry.</w:t>
      </w:r>
    </w:p>
    <w:p w14:paraId="380B2C3E" w14:textId="415D2FF6" w:rsidR="00CD25FC" w:rsidRPr="00735726" w:rsidRDefault="00237301">
      <w:pPr>
        <w:spacing w:after="160" w:line="259" w:lineRule="auto"/>
        <w:rPr>
          <w:rFonts w:ascii="Arial" w:eastAsia="Times New Roman" w:hAnsi="Arial" w:cs="DINOT-Light"/>
          <w:color w:val="000000"/>
          <w:sz w:val="18"/>
          <w:szCs w:val="18"/>
        </w:rPr>
      </w:pPr>
      <w:bookmarkStart w:id="21" w:name="_Hlk201141370"/>
      <w:bookmarkStart w:id="22" w:name="_Hlk137044163"/>
      <w:r w:rsidRPr="00735726">
        <w:rPr>
          <w:rFonts w:ascii="Arial" w:eastAsia="Times New Roman" w:hAnsi="Arial" w:cs="DINOT-Light"/>
          <w:color w:val="000000"/>
          <w:sz w:val="18"/>
          <w:szCs w:val="18"/>
        </w:rPr>
        <w:t xml:space="preserve">ESG performance, targets and approach can be seen in the Pennon Group plc Annual report and Accounts 2026 on pages </w:t>
      </w:r>
      <w:r w:rsidR="0051398C" w:rsidRPr="009A2CAE">
        <w:rPr>
          <w:rFonts w:ascii="Arial" w:eastAsia="Times New Roman" w:hAnsi="Arial" w:cs="DINOT-Light"/>
          <w:color w:val="000000"/>
          <w:sz w:val="18"/>
          <w:szCs w:val="18"/>
        </w:rPr>
        <w:t xml:space="preserve">72 </w:t>
      </w:r>
      <w:r w:rsidRPr="009A2CAE">
        <w:rPr>
          <w:rFonts w:ascii="Arial" w:eastAsia="Times New Roman" w:hAnsi="Arial" w:cs="DINOT-Light"/>
          <w:color w:val="000000"/>
          <w:sz w:val="18"/>
          <w:szCs w:val="18"/>
        </w:rPr>
        <w:t xml:space="preserve">to </w:t>
      </w:r>
      <w:r w:rsidR="0051398C" w:rsidRPr="009A2CAE">
        <w:rPr>
          <w:rFonts w:ascii="Arial" w:eastAsia="Times New Roman" w:hAnsi="Arial" w:cs="DINOT-Light"/>
          <w:color w:val="000000"/>
          <w:sz w:val="18"/>
          <w:szCs w:val="18"/>
        </w:rPr>
        <w:t>77</w:t>
      </w:r>
      <w:r w:rsidR="0055086E" w:rsidRPr="009A2CAE">
        <w:rPr>
          <w:rFonts w:ascii="Arial" w:eastAsia="Times New Roman" w:hAnsi="Arial" w:cs="DINOT-Light"/>
          <w:color w:val="000000"/>
          <w:sz w:val="18"/>
          <w:szCs w:val="18"/>
        </w:rPr>
        <w:t>.</w:t>
      </w:r>
    </w:p>
    <w:p w14:paraId="333D6265" w14:textId="77777777" w:rsidR="00CD25FC" w:rsidRPr="00735726" w:rsidRDefault="00CD25FC" w:rsidP="00CD25FC">
      <w:pPr>
        <w:spacing w:after="160" w:line="259" w:lineRule="auto"/>
        <w:rPr>
          <w:rFonts w:ascii="Arial" w:hAnsi="Arial" w:cs="Arial"/>
          <w:sz w:val="18"/>
          <w:szCs w:val="18"/>
        </w:rPr>
      </w:pPr>
      <w:r w:rsidRPr="00735726">
        <w:rPr>
          <w:rFonts w:ascii="Arial" w:hAnsi="Arial" w:cs="Arial"/>
          <w:i/>
          <w:iCs/>
          <w:sz w:val="18"/>
          <w:szCs w:val="18"/>
        </w:rPr>
        <w:t>SUSTAINABILITY REPORTING</w:t>
      </w:r>
      <w:r w:rsidRPr="00735726">
        <w:rPr>
          <w:rFonts w:ascii="Arial" w:hAnsi="Arial" w:cs="Arial"/>
          <w:i/>
          <w:iCs/>
          <w:sz w:val="18"/>
          <w:szCs w:val="18"/>
        </w:rPr>
        <w:br/>
      </w:r>
      <w:r w:rsidRPr="00735726">
        <w:rPr>
          <w:rFonts w:ascii="Arial" w:hAnsi="Arial" w:cs="Arial"/>
          <w:sz w:val="18"/>
          <w:szCs w:val="18"/>
        </w:rPr>
        <w:t xml:space="preserve">The Company has taken advantage of the exemption offered under the Companies Act 2006 and has not reported details of Greenhouse gas emissions during the financial year. Details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greenhouse gas emissions can be found in the Annual Performance Report (APR).</w:t>
      </w:r>
    </w:p>
    <w:p w14:paraId="54F47EED" w14:textId="0BE907E7" w:rsidR="00CD25FC" w:rsidRPr="009A2CAE" w:rsidRDefault="00CD25FC" w:rsidP="00CD25FC">
      <w:pPr>
        <w:spacing w:after="160" w:line="259" w:lineRule="auto"/>
        <w:rPr>
          <w:rFonts w:ascii="Arial" w:hAnsi="Arial" w:cs="Arial"/>
          <w:sz w:val="18"/>
          <w:szCs w:val="18"/>
        </w:rPr>
      </w:pPr>
      <w:r w:rsidRPr="00735726">
        <w:rPr>
          <w:rFonts w:ascii="Arial" w:hAnsi="Arial" w:cs="Arial"/>
          <w:sz w:val="18"/>
          <w:szCs w:val="18"/>
        </w:rPr>
        <w:t xml:space="preserve">Further details on SECR can be found in our parent </w:t>
      </w:r>
      <w:r w:rsidR="003B36A4" w:rsidRPr="00735726">
        <w:rPr>
          <w:rFonts w:ascii="Arial" w:hAnsi="Arial" w:cs="Arial"/>
          <w:sz w:val="18"/>
          <w:szCs w:val="18"/>
        </w:rPr>
        <w:t>C</w:t>
      </w:r>
      <w:r w:rsidRPr="00735726">
        <w:rPr>
          <w:rFonts w:ascii="Arial" w:hAnsi="Arial" w:cs="Arial"/>
          <w:sz w:val="18"/>
          <w:szCs w:val="18"/>
        </w:rPr>
        <w:t xml:space="preserve">ompany Pennon Group </w:t>
      </w:r>
      <w:r w:rsidR="009F4FAE" w:rsidRPr="00735726">
        <w:rPr>
          <w:rFonts w:ascii="Arial" w:hAnsi="Arial" w:cs="Arial"/>
          <w:sz w:val="18"/>
          <w:szCs w:val="18"/>
        </w:rPr>
        <w:t xml:space="preserve">plc’s </w:t>
      </w:r>
      <w:r w:rsidRPr="00735726">
        <w:rPr>
          <w:rFonts w:ascii="Arial" w:hAnsi="Arial" w:cs="Arial"/>
          <w:sz w:val="18"/>
          <w:szCs w:val="18"/>
        </w:rPr>
        <w:t xml:space="preserve">Annual Report and Accounts 2026 on </w:t>
      </w:r>
      <w:r w:rsidRPr="009A2CAE">
        <w:rPr>
          <w:rFonts w:ascii="Arial" w:hAnsi="Arial" w:cs="Arial"/>
          <w:sz w:val="18"/>
          <w:szCs w:val="18"/>
        </w:rPr>
        <w:t xml:space="preserve">page </w:t>
      </w:r>
      <w:r w:rsidR="0051398C" w:rsidRPr="009A2CAE">
        <w:rPr>
          <w:rFonts w:ascii="Arial" w:hAnsi="Arial" w:cs="Arial"/>
          <w:sz w:val="18"/>
          <w:szCs w:val="18"/>
        </w:rPr>
        <w:t>81</w:t>
      </w:r>
      <w:r w:rsidRPr="009A2CAE">
        <w:rPr>
          <w:rFonts w:ascii="Arial" w:hAnsi="Arial" w:cs="Arial"/>
          <w:sz w:val="18"/>
          <w:szCs w:val="18"/>
        </w:rPr>
        <w:t>.</w:t>
      </w:r>
    </w:p>
    <w:p w14:paraId="42B639D1" w14:textId="6FD4A9F9" w:rsidR="00CD25FC" w:rsidRPr="00735726" w:rsidRDefault="00CD25FC" w:rsidP="00CD25FC">
      <w:pPr>
        <w:spacing w:after="160" w:line="259" w:lineRule="auto"/>
        <w:rPr>
          <w:rFonts w:ascii="Arial" w:hAnsi="Arial" w:cs="Arial"/>
          <w:sz w:val="18"/>
          <w:szCs w:val="18"/>
        </w:rPr>
      </w:pPr>
      <w:r w:rsidRPr="00735726">
        <w:rPr>
          <w:rFonts w:ascii="Arial" w:hAnsi="Arial" w:cs="Arial"/>
          <w:sz w:val="18"/>
          <w:szCs w:val="18"/>
        </w:rPr>
        <w:t xml:space="preserve">Further details on SASB disclosures can be found in the ESG data book on our parent </w:t>
      </w:r>
      <w:r w:rsidR="003B36A4" w:rsidRPr="00735726">
        <w:rPr>
          <w:rFonts w:ascii="Arial" w:hAnsi="Arial" w:cs="Arial"/>
          <w:sz w:val="18"/>
          <w:szCs w:val="18"/>
        </w:rPr>
        <w:t>C</w:t>
      </w:r>
      <w:r w:rsidRPr="00735726">
        <w:rPr>
          <w:rFonts w:ascii="Arial" w:hAnsi="Arial" w:cs="Arial"/>
          <w:sz w:val="18"/>
          <w:szCs w:val="18"/>
        </w:rPr>
        <w:t>ompany’s website www.pennon-group.co.uk.</w:t>
      </w:r>
    </w:p>
    <w:p w14:paraId="7B907BCD" w14:textId="1FAD1DF8" w:rsidR="00F43134" w:rsidRPr="00735726" w:rsidRDefault="00F43134">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br w:type="page"/>
      </w:r>
    </w:p>
    <w:p w14:paraId="4D29E53F" w14:textId="77777777" w:rsidR="002B5BAC" w:rsidRPr="00735726" w:rsidRDefault="002B5BAC" w:rsidP="002B5BAC">
      <w:pPr>
        <w:spacing w:after="160" w:line="259" w:lineRule="auto"/>
        <w:rPr>
          <w:rFonts w:ascii="Arial" w:eastAsia="Times New Roman" w:hAnsi="Arial" w:cs="DINOT"/>
          <w:caps/>
          <w:color w:val="000000"/>
          <w:sz w:val="32"/>
          <w:szCs w:val="32"/>
        </w:rPr>
      </w:pPr>
      <w:r w:rsidRPr="00735726">
        <w:rPr>
          <w:rFonts w:ascii="Arial" w:hAnsi="Arial" w:cs="Arial"/>
          <w:sz w:val="32"/>
          <w:szCs w:val="32"/>
        </w:rPr>
        <w:lastRenderedPageBreak/>
        <w:t xml:space="preserve">TASK FORCE ON CLIMATE-RELATED FINANCIAL DISCLOSURES (TCFD) AND </w:t>
      </w:r>
      <w:r w:rsidRPr="00735726">
        <w:rPr>
          <w:rFonts w:ascii="Arial" w:eastAsia="Times New Roman" w:hAnsi="Arial" w:cs="DINOT"/>
          <w:caps/>
          <w:color w:val="000000"/>
          <w:sz w:val="32"/>
          <w:szCs w:val="32"/>
        </w:rPr>
        <w:t>TASK FORCE ON NATURE-RELATED FINANCIAL DISCLOSURES (TNFD)</w:t>
      </w:r>
    </w:p>
    <w:p w14:paraId="7CDBB1C4" w14:textId="77777777" w:rsidR="00792F67" w:rsidRPr="00735726" w:rsidRDefault="00792F67" w:rsidP="00792F67">
      <w:pPr>
        <w:spacing w:after="160"/>
        <w:rPr>
          <w:rFonts w:ascii="Arial" w:hAnsi="Arial" w:cs="Arial"/>
          <w:sz w:val="18"/>
          <w:szCs w:val="18"/>
        </w:rPr>
      </w:pPr>
      <w:r w:rsidRPr="00735726">
        <w:rPr>
          <w:rFonts w:ascii="Arial" w:hAnsi="Arial" w:cs="Arial"/>
          <w:sz w:val="18"/>
          <w:szCs w:val="18"/>
        </w:rPr>
        <w:t xml:space="preserve">We are driven by our purpose of bringing water to life and remain focused on our strategic priorities, delivering for our customers, communities, and the environment. </w:t>
      </w:r>
    </w:p>
    <w:p w14:paraId="3EB897BD" w14:textId="0FC6D917" w:rsidR="00792F67" w:rsidRPr="00735726" w:rsidRDefault="00792F67" w:rsidP="00792F67">
      <w:pPr>
        <w:spacing w:after="160"/>
        <w:rPr>
          <w:rFonts w:ascii="Arial" w:hAnsi="Arial" w:cs="Arial"/>
          <w:sz w:val="18"/>
          <w:szCs w:val="18"/>
        </w:rPr>
      </w:pPr>
      <w:r w:rsidRPr="00735726">
        <w:rPr>
          <w:rFonts w:ascii="Arial" w:hAnsi="Arial" w:cs="Arial"/>
          <w:sz w:val="18"/>
          <w:szCs w:val="18"/>
        </w:rPr>
        <w:t xml:space="preserve">We operate in a changing environment where the impacts of climate change and biodiversity loss are increasingly evident. To remain resilient, we monitor climate risks, assess their implications, and embed these insights into our strategic planning and investment decisions. Our disclosures under the TCFD and TNFD frameworks reflect our commitment to transparency, accountability, and continuous improvement. </w:t>
      </w:r>
    </w:p>
    <w:p w14:paraId="5884A7B6" w14:textId="77777777" w:rsidR="00792F67" w:rsidRPr="00735726" w:rsidRDefault="00792F67" w:rsidP="00792F67">
      <w:pPr>
        <w:spacing w:after="160"/>
        <w:rPr>
          <w:rFonts w:ascii="Arial" w:eastAsia="Times New Roman" w:hAnsi="Arial" w:cs="DINOT-Light"/>
          <w:color w:val="000000"/>
          <w:sz w:val="18"/>
          <w:szCs w:val="18"/>
        </w:rPr>
      </w:pPr>
      <w:r w:rsidRPr="00735726">
        <w:rPr>
          <w:rFonts w:ascii="Arial" w:eastAsia="Times New Roman" w:hAnsi="Arial" w:cs="DINOT"/>
          <w:b/>
          <w:bCs/>
          <w:caps/>
          <w:sz w:val="18"/>
        </w:rPr>
        <w:t>TCFD recommendations</w:t>
      </w:r>
      <w:r w:rsidRPr="00735726">
        <w:rPr>
          <w:rFonts w:ascii="Arial" w:eastAsia="Times New Roman" w:hAnsi="Arial" w:cs="DINOT"/>
          <w:b/>
          <w:bCs/>
          <w:caps/>
          <w:sz w:val="18"/>
        </w:rPr>
        <w:br/>
      </w:r>
      <w:r w:rsidRPr="00735726">
        <w:rPr>
          <w:rFonts w:ascii="Arial" w:eastAsia="Times New Roman" w:hAnsi="Arial" w:cs="DINOT-Light"/>
          <w:color w:val="000000"/>
          <w:sz w:val="18"/>
          <w:szCs w:val="18"/>
        </w:rPr>
        <w:t>Created by the Financial Stability Board (FSB), the TCFD published its recommendations in June 2017. This is our seventh year of TCFD reporting.</w:t>
      </w:r>
    </w:p>
    <w:p w14:paraId="7555374A" w14:textId="77777777" w:rsidR="00792F67" w:rsidRPr="00735726" w:rsidRDefault="00792F67" w:rsidP="00792F67">
      <w:pPr>
        <w:spacing w:after="160"/>
        <w:rPr>
          <w:rFonts w:ascii="Arial" w:hAnsi="Arial" w:cs="Arial"/>
          <w:sz w:val="18"/>
          <w:szCs w:val="18"/>
        </w:rPr>
      </w:pPr>
      <w:r w:rsidRPr="00735726">
        <w:rPr>
          <w:rFonts w:ascii="Arial" w:hAnsi="Arial" w:cs="Arial"/>
          <w:sz w:val="18"/>
          <w:szCs w:val="18"/>
        </w:rPr>
        <w:t xml:space="preserve">In alignment with the FCA Listing Rule 6.6.6(8) we have </w:t>
      </w:r>
      <w:proofErr w:type="gramStart"/>
      <w:r w:rsidRPr="00735726">
        <w:rPr>
          <w:rFonts w:ascii="Arial" w:hAnsi="Arial" w:cs="Arial"/>
          <w:sz w:val="18"/>
          <w:szCs w:val="18"/>
        </w:rPr>
        <w:t>taken into account</w:t>
      </w:r>
      <w:proofErr w:type="gramEnd"/>
      <w:r w:rsidRPr="00735726">
        <w:rPr>
          <w:rFonts w:ascii="Arial" w:hAnsi="Arial" w:cs="Arial"/>
          <w:sz w:val="18"/>
          <w:szCs w:val="18"/>
        </w:rPr>
        <w:t xml:space="preserve"> available knowledge and guidance concerning the Listing Rule and climate-related risks to develop our TCFD disclosure, which is consistent with the TCFD framework. We have addressed the 11 recommended disclosures and have considered the best practice guidance from the TCFD. </w:t>
      </w:r>
    </w:p>
    <w:p w14:paraId="768FD070" w14:textId="77777777" w:rsidR="00792F67" w:rsidRPr="00735726" w:rsidRDefault="00792F67" w:rsidP="00792F67">
      <w:pPr>
        <w:spacing w:after="160"/>
        <w:rPr>
          <w:rFonts w:ascii="Arial" w:hAnsi="Arial" w:cs="Arial"/>
          <w:sz w:val="18"/>
          <w:szCs w:val="18"/>
        </w:rPr>
      </w:pPr>
      <w:r w:rsidRPr="00735726">
        <w:rPr>
          <w:rFonts w:ascii="Arial" w:eastAsia="Times New Roman" w:hAnsi="Arial" w:cs="DINOT"/>
          <w:b/>
          <w:bCs/>
          <w:caps/>
          <w:sz w:val="18"/>
        </w:rPr>
        <w:t>TnFD recommendations</w:t>
      </w:r>
      <w:r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br/>
      </w:r>
      <w:r w:rsidRPr="00735726">
        <w:rPr>
          <w:rFonts w:ascii="Arial" w:hAnsi="Arial" w:cs="Arial"/>
          <w:sz w:val="18"/>
          <w:szCs w:val="18"/>
        </w:rPr>
        <w:t xml:space="preserve">The TNFD published their final framework in September 2023 and published sector guidance for water utilities in June 2025. This is our fifth year of voluntarily reporting against the TNFD framework and we have now embedded our long-term commitment to managing nature-related risks and opportunities across the Company, through becoming an official TNFD adopter. We continue to integrate TNFD into our TCFD disclosures, recognising the substantial overlap and synergies between action on climate change and the nature emergency. At the same time, we also recognise some trade-offs in meeting our goals around resilience, Net Zero, and nature. There is further work to do on the recommended TNFD disclosures, and we are continuing to monitor the inclusion of nature risks in the UK sustainability disclosure requirements. </w:t>
      </w:r>
    </w:p>
    <w:p w14:paraId="7E018764" w14:textId="77777777" w:rsidR="00792F67" w:rsidRPr="00735726" w:rsidRDefault="00792F67" w:rsidP="00792F67">
      <w:pPr>
        <w:spacing w:after="160"/>
        <w:rPr>
          <w:rFonts w:ascii="Arial" w:hAnsi="Arial" w:cs="Arial"/>
          <w:sz w:val="18"/>
          <w:szCs w:val="18"/>
        </w:rPr>
      </w:pPr>
      <w:r w:rsidRPr="00735726">
        <w:rPr>
          <w:rFonts w:ascii="Arial" w:eastAsia="Times New Roman" w:hAnsi="Arial" w:cs="DINOT"/>
          <w:b/>
          <w:bCs/>
          <w:caps/>
          <w:sz w:val="18"/>
        </w:rPr>
        <w:t>Our approach to managing climate and nature risks</w:t>
      </w:r>
      <w:r w:rsidRPr="00735726">
        <w:rPr>
          <w:rFonts w:ascii="Arial" w:hAnsi="Arial" w:cs="Arial"/>
          <w:sz w:val="18"/>
          <w:szCs w:val="18"/>
        </w:rPr>
        <w:t xml:space="preserve"> </w:t>
      </w:r>
      <w:r w:rsidRPr="00735726">
        <w:rPr>
          <w:rFonts w:ascii="Arial" w:hAnsi="Arial" w:cs="Arial"/>
          <w:sz w:val="18"/>
          <w:szCs w:val="18"/>
        </w:rPr>
        <w:br/>
        <w:t xml:space="preserve">As weather extremes intensify, greater risks are posed to our water and wastewater services which our customers rely on. We are making adaptation progress in key areas, detailed in our Climate Adaptation Report published in 2024. </w:t>
      </w:r>
    </w:p>
    <w:p w14:paraId="6A3C9B0B" w14:textId="209AB29F" w:rsidR="00792F67" w:rsidRPr="00735726" w:rsidRDefault="00792F67" w:rsidP="00792F67">
      <w:pPr>
        <w:spacing w:after="160"/>
        <w:rPr>
          <w:rFonts w:ascii="Arial" w:hAnsi="Arial" w:cs="Arial"/>
          <w:sz w:val="18"/>
          <w:szCs w:val="18"/>
        </w:rPr>
      </w:pPr>
      <w:r w:rsidRPr="00735726">
        <w:rPr>
          <w:rFonts w:ascii="Arial" w:hAnsi="Arial" w:cs="Arial"/>
          <w:sz w:val="18"/>
          <w:szCs w:val="18"/>
        </w:rPr>
        <w:t>The challenges posed by climate hazards, combined with heightened customer and regulatory expectations, mean we need to go further to manage the impacts of extreme weather. A key area of focus for us is to reduce the impacts from storm overflows and sewer flooding.</w:t>
      </w:r>
    </w:p>
    <w:p w14:paraId="78BAC178" w14:textId="3AA70C86" w:rsidR="00792F67" w:rsidRPr="00735726" w:rsidRDefault="00792F67" w:rsidP="00792F67">
      <w:pPr>
        <w:spacing w:after="160"/>
        <w:rPr>
          <w:rFonts w:ascii="Arial" w:hAnsi="Arial" w:cs="Arial"/>
          <w:sz w:val="18"/>
          <w:szCs w:val="18"/>
        </w:rPr>
      </w:pPr>
      <w:r w:rsidRPr="00735726">
        <w:rPr>
          <w:rFonts w:ascii="Arial" w:hAnsi="Arial" w:cs="Arial"/>
          <w:sz w:val="18"/>
          <w:szCs w:val="18"/>
        </w:rPr>
        <w:t>We are investing £3.0 billion</w:t>
      </w:r>
      <w:r w:rsidRPr="00735726">
        <w:rPr>
          <w:rStyle w:val="FootnoteReference"/>
          <w:rFonts w:ascii="Arial" w:hAnsi="Arial" w:cs="Arial"/>
          <w:sz w:val="18"/>
          <w:szCs w:val="18"/>
        </w:rPr>
        <w:footnoteReference w:id="17"/>
      </w:r>
      <w:r w:rsidRPr="00735726">
        <w:rPr>
          <w:rFonts w:ascii="Arial" w:hAnsi="Arial" w:cs="Arial"/>
          <w:sz w:val="18"/>
          <w:szCs w:val="18"/>
        </w:rPr>
        <w:t xml:space="preserve"> into our services and</w:t>
      </w:r>
      <w:r w:rsidR="00C61FBD" w:rsidRPr="00735726">
        <w:rPr>
          <w:rFonts w:ascii="Arial" w:hAnsi="Arial" w:cs="Arial"/>
          <w:sz w:val="18"/>
          <w:szCs w:val="18"/>
        </w:rPr>
        <w:t xml:space="preserve"> </w:t>
      </w:r>
      <w:r w:rsidRPr="00735726">
        <w:rPr>
          <w:rFonts w:ascii="Arial" w:hAnsi="Arial" w:cs="Arial"/>
          <w:sz w:val="18"/>
          <w:szCs w:val="18"/>
        </w:rPr>
        <w:t>infrastructure across 2025-2030, focusing on four strategic</w:t>
      </w:r>
      <w:r w:rsidR="00C61FBD" w:rsidRPr="00735726">
        <w:rPr>
          <w:rFonts w:ascii="Arial" w:hAnsi="Arial" w:cs="Arial"/>
          <w:sz w:val="18"/>
          <w:szCs w:val="18"/>
        </w:rPr>
        <w:t xml:space="preserve"> </w:t>
      </w:r>
      <w:r w:rsidRPr="00735726">
        <w:rPr>
          <w:rFonts w:ascii="Arial" w:hAnsi="Arial" w:cs="Arial"/>
          <w:sz w:val="18"/>
          <w:szCs w:val="18"/>
        </w:rPr>
        <w:t>priorities: water quality and resilience, storm overflows</w:t>
      </w:r>
      <w:r w:rsidR="00C61FBD" w:rsidRPr="00735726">
        <w:rPr>
          <w:rFonts w:ascii="Arial" w:hAnsi="Arial" w:cs="Arial"/>
          <w:sz w:val="18"/>
          <w:szCs w:val="18"/>
        </w:rPr>
        <w:t xml:space="preserve"> </w:t>
      </w:r>
      <w:r w:rsidRPr="00735726">
        <w:rPr>
          <w:rFonts w:ascii="Arial" w:hAnsi="Arial" w:cs="Arial"/>
          <w:sz w:val="18"/>
          <w:szCs w:val="18"/>
        </w:rPr>
        <w:t>and pollution, Net Zero and environmental gains, and</w:t>
      </w:r>
      <w:r w:rsidR="00C61FBD" w:rsidRPr="00735726">
        <w:rPr>
          <w:rFonts w:ascii="Arial" w:hAnsi="Arial" w:cs="Arial"/>
          <w:sz w:val="18"/>
          <w:szCs w:val="18"/>
        </w:rPr>
        <w:t xml:space="preserve"> </w:t>
      </w:r>
      <w:r w:rsidRPr="00735726">
        <w:rPr>
          <w:rFonts w:ascii="Arial" w:hAnsi="Arial" w:cs="Arial"/>
          <w:sz w:val="18"/>
          <w:szCs w:val="18"/>
        </w:rPr>
        <w:t>addressing customer affordability. These investments will</w:t>
      </w:r>
      <w:r w:rsidR="00C61FBD" w:rsidRPr="00735726">
        <w:rPr>
          <w:rFonts w:ascii="Arial" w:hAnsi="Arial" w:cs="Arial"/>
          <w:sz w:val="18"/>
          <w:szCs w:val="18"/>
        </w:rPr>
        <w:t xml:space="preserve"> </w:t>
      </w:r>
      <w:r w:rsidRPr="00735726">
        <w:rPr>
          <w:rFonts w:ascii="Arial" w:hAnsi="Arial" w:cs="Arial"/>
          <w:sz w:val="18"/>
          <w:szCs w:val="18"/>
        </w:rPr>
        <w:t>strengthen our management of climate and nature risks,</w:t>
      </w:r>
      <w:r w:rsidR="00C61FBD" w:rsidRPr="00735726">
        <w:rPr>
          <w:rFonts w:ascii="Arial" w:hAnsi="Arial" w:cs="Arial"/>
          <w:sz w:val="18"/>
          <w:szCs w:val="18"/>
        </w:rPr>
        <w:t xml:space="preserve"> </w:t>
      </w:r>
      <w:r w:rsidRPr="00735726">
        <w:rPr>
          <w:rFonts w:ascii="Arial" w:hAnsi="Arial" w:cs="Arial"/>
          <w:sz w:val="18"/>
          <w:szCs w:val="18"/>
        </w:rPr>
        <w:t>and enable us to deliver opportunities which benefit our</w:t>
      </w:r>
      <w:r w:rsidR="00C61FBD" w:rsidRPr="00735726">
        <w:rPr>
          <w:rFonts w:ascii="Arial" w:hAnsi="Arial" w:cs="Arial"/>
          <w:sz w:val="18"/>
          <w:szCs w:val="18"/>
        </w:rPr>
        <w:t xml:space="preserve"> </w:t>
      </w:r>
      <w:r w:rsidRPr="00735726">
        <w:rPr>
          <w:rFonts w:ascii="Arial" w:hAnsi="Arial" w:cs="Arial"/>
          <w:sz w:val="18"/>
          <w:szCs w:val="18"/>
        </w:rPr>
        <w:t>customers and the regions we operate in.</w:t>
      </w:r>
    </w:p>
    <w:p w14:paraId="0A0295E7" w14:textId="6063B12F" w:rsidR="00792F67" w:rsidRPr="00735726" w:rsidRDefault="00792F67" w:rsidP="00792F67">
      <w:pPr>
        <w:spacing w:after="160"/>
        <w:rPr>
          <w:rFonts w:ascii="Arial" w:hAnsi="Arial" w:cs="Arial"/>
          <w:sz w:val="18"/>
          <w:szCs w:val="18"/>
        </w:rPr>
      </w:pPr>
      <w:r w:rsidRPr="00735726">
        <w:rPr>
          <w:rFonts w:ascii="Arial" w:hAnsi="Arial" w:cs="Arial"/>
          <w:sz w:val="18"/>
          <w:szCs w:val="18"/>
        </w:rPr>
        <w:t>We are focused on delivering for our customers and</w:t>
      </w:r>
      <w:r w:rsidR="00C61FBD" w:rsidRPr="00735726">
        <w:rPr>
          <w:rFonts w:ascii="Arial" w:hAnsi="Arial" w:cs="Arial"/>
          <w:sz w:val="18"/>
          <w:szCs w:val="18"/>
        </w:rPr>
        <w:t xml:space="preserve"> </w:t>
      </w:r>
      <w:r w:rsidRPr="00735726">
        <w:rPr>
          <w:rFonts w:ascii="Arial" w:hAnsi="Arial" w:cs="Arial"/>
          <w:sz w:val="18"/>
          <w:szCs w:val="18"/>
        </w:rPr>
        <w:t>stakeholders. We are continuing to embed climate</w:t>
      </w:r>
      <w:r w:rsidR="00C61FBD" w:rsidRPr="00735726">
        <w:rPr>
          <w:rFonts w:ascii="Arial" w:hAnsi="Arial" w:cs="Arial"/>
          <w:sz w:val="18"/>
          <w:szCs w:val="18"/>
        </w:rPr>
        <w:t xml:space="preserve"> </w:t>
      </w:r>
      <w:r w:rsidRPr="00735726">
        <w:rPr>
          <w:rFonts w:ascii="Arial" w:hAnsi="Arial" w:cs="Arial"/>
          <w:sz w:val="18"/>
          <w:szCs w:val="18"/>
        </w:rPr>
        <w:t>change resilience, sustainability, and nature-positive</w:t>
      </w:r>
      <w:r w:rsidR="00C61FBD" w:rsidRPr="00735726">
        <w:rPr>
          <w:rFonts w:ascii="Arial" w:hAnsi="Arial" w:cs="Arial"/>
          <w:sz w:val="18"/>
          <w:szCs w:val="18"/>
        </w:rPr>
        <w:t xml:space="preserve"> </w:t>
      </w:r>
      <w:r w:rsidRPr="00735726">
        <w:rPr>
          <w:rFonts w:ascii="Arial" w:hAnsi="Arial" w:cs="Arial"/>
          <w:sz w:val="18"/>
          <w:szCs w:val="18"/>
        </w:rPr>
        <w:t>practices into decision-making within our business,</w:t>
      </w:r>
      <w:r w:rsidR="00C61FBD" w:rsidRPr="00735726">
        <w:rPr>
          <w:rFonts w:ascii="Arial" w:hAnsi="Arial" w:cs="Arial"/>
          <w:sz w:val="18"/>
          <w:szCs w:val="18"/>
        </w:rPr>
        <w:t xml:space="preserve"> </w:t>
      </w:r>
      <w:r w:rsidRPr="00735726">
        <w:rPr>
          <w:rFonts w:ascii="Arial" w:hAnsi="Arial" w:cs="Arial"/>
          <w:sz w:val="18"/>
          <w:szCs w:val="18"/>
        </w:rPr>
        <w:t>as well as managing near-term inflationary pressures,</w:t>
      </w:r>
      <w:r w:rsidR="00C61FBD" w:rsidRPr="00735726">
        <w:rPr>
          <w:rFonts w:ascii="Arial" w:hAnsi="Arial" w:cs="Arial"/>
          <w:sz w:val="18"/>
          <w:szCs w:val="18"/>
        </w:rPr>
        <w:t xml:space="preserve"> </w:t>
      </w:r>
      <w:r w:rsidRPr="00735726">
        <w:rPr>
          <w:rFonts w:ascii="Arial" w:hAnsi="Arial" w:cs="Arial"/>
          <w:sz w:val="18"/>
          <w:szCs w:val="18"/>
        </w:rPr>
        <w:t>including energy prices. We also continue to manage</w:t>
      </w:r>
      <w:r w:rsidR="00C61FBD" w:rsidRPr="00735726">
        <w:rPr>
          <w:rFonts w:ascii="Arial" w:hAnsi="Arial" w:cs="Arial"/>
          <w:sz w:val="18"/>
          <w:szCs w:val="18"/>
        </w:rPr>
        <w:t xml:space="preserve"> </w:t>
      </w:r>
      <w:r w:rsidRPr="00735726">
        <w:rPr>
          <w:rFonts w:ascii="Arial" w:hAnsi="Arial" w:cs="Arial"/>
          <w:sz w:val="18"/>
          <w:szCs w:val="18"/>
        </w:rPr>
        <w:t>changes to our investments to explore new technology,</w:t>
      </w:r>
      <w:r w:rsidR="00C61FBD" w:rsidRPr="00735726">
        <w:rPr>
          <w:rFonts w:ascii="Arial" w:hAnsi="Arial" w:cs="Arial"/>
          <w:sz w:val="18"/>
          <w:szCs w:val="18"/>
        </w:rPr>
        <w:t xml:space="preserve"> </w:t>
      </w:r>
      <w:r w:rsidRPr="00735726">
        <w:rPr>
          <w:rFonts w:ascii="Arial" w:hAnsi="Arial" w:cs="Arial"/>
          <w:sz w:val="18"/>
          <w:szCs w:val="18"/>
        </w:rPr>
        <w:t>materials, and nature-based solutions, within global</w:t>
      </w:r>
      <w:r w:rsidR="00C61FBD" w:rsidRPr="00735726">
        <w:rPr>
          <w:rFonts w:ascii="Arial" w:hAnsi="Arial" w:cs="Arial"/>
          <w:sz w:val="18"/>
          <w:szCs w:val="18"/>
        </w:rPr>
        <w:t xml:space="preserve"> </w:t>
      </w:r>
      <w:r w:rsidRPr="00735726">
        <w:rPr>
          <w:rFonts w:ascii="Arial" w:hAnsi="Arial" w:cs="Arial"/>
          <w:sz w:val="18"/>
          <w:szCs w:val="18"/>
        </w:rPr>
        <w:t>capacity and supply chain constraints, to deliver both</w:t>
      </w:r>
      <w:r w:rsidR="00C61FBD" w:rsidRPr="00735726">
        <w:rPr>
          <w:rFonts w:ascii="Arial" w:hAnsi="Arial" w:cs="Arial"/>
          <w:sz w:val="18"/>
          <w:szCs w:val="18"/>
        </w:rPr>
        <w:t xml:space="preserve"> </w:t>
      </w:r>
      <w:r w:rsidRPr="00735726">
        <w:rPr>
          <w:rFonts w:ascii="Arial" w:hAnsi="Arial" w:cs="Arial"/>
          <w:sz w:val="18"/>
          <w:szCs w:val="18"/>
        </w:rPr>
        <w:t>affordability and fairness for our customers.</w:t>
      </w:r>
    </w:p>
    <w:p w14:paraId="1A169C5C" w14:textId="211761F9" w:rsidR="00E316B5" w:rsidRPr="009A2CAE" w:rsidRDefault="00792F67" w:rsidP="00792F67">
      <w:pPr>
        <w:spacing w:after="160"/>
        <w:rPr>
          <w:rFonts w:ascii="Arial" w:hAnsi="Arial" w:cs="Arial"/>
          <w:sz w:val="18"/>
          <w:szCs w:val="18"/>
        </w:rPr>
      </w:pPr>
      <w:r w:rsidRPr="00735726">
        <w:rPr>
          <w:rFonts w:ascii="Arial" w:hAnsi="Arial" w:cs="Arial"/>
          <w:sz w:val="18"/>
          <w:szCs w:val="18"/>
        </w:rPr>
        <w:t>We’ve demonstrated our commitment to action on</w:t>
      </w:r>
      <w:r w:rsidR="00C61FBD" w:rsidRPr="00735726">
        <w:rPr>
          <w:rFonts w:ascii="Arial" w:hAnsi="Arial" w:cs="Arial"/>
          <w:sz w:val="18"/>
          <w:szCs w:val="18"/>
        </w:rPr>
        <w:t xml:space="preserve"> </w:t>
      </w:r>
      <w:r w:rsidRPr="00735726">
        <w:rPr>
          <w:rFonts w:ascii="Arial" w:hAnsi="Arial" w:cs="Arial"/>
          <w:sz w:val="18"/>
          <w:szCs w:val="18"/>
        </w:rPr>
        <w:t>climate change and nature through our transparency</w:t>
      </w:r>
      <w:r w:rsidR="00C61FBD" w:rsidRPr="00735726">
        <w:rPr>
          <w:rFonts w:ascii="Arial" w:hAnsi="Arial" w:cs="Arial"/>
          <w:sz w:val="18"/>
          <w:szCs w:val="18"/>
        </w:rPr>
        <w:t xml:space="preserve"> </w:t>
      </w:r>
      <w:r w:rsidRPr="00735726">
        <w:rPr>
          <w:rFonts w:ascii="Arial" w:hAnsi="Arial" w:cs="Arial"/>
          <w:sz w:val="18"/>
          <w:szCs w:val="18"/>
        </w:rPr>
        <w:t>in voluntary reporting to CDP since 2013. We have</w:t>
      </w:r>
      <w:r w:rsidR="00C61FBD" w:rsidRPr="00735726">
        <w:rPr>
          <w:rFonts w:ascii="Arial" w:hAnsi="Arial" w:cs="Arial"/>
          <w:sz w:val="18"/>
          <w:szCs w:val="18"/>
        </w:rPr>
        <w:t xml:space="preserve"> </w:t>
      </w:r>
      <w:r w:rsidRPr="00735726">
        <w:rPr>
          <w:rFonts w:ascii="Arial" w:hAnsi="Arial" w:cs="Arial"/>
          <w:sz w:val="18"/>
          <w:szCs w:val="18"/>
        </w:rPr>
        <w:t>been recognised on CDP’s A List for Climate in 2025,</w:t>
      </w:r>
      <w:r w:rsidR="00C61FBD" w:rsidRPr="00735726">
        <w:rPr>
          <w:rFonts w:ascii="Arial" w:hAnsi="Arial" w:cs="Arial"/>
          <w:sz w:val="18"/>
          <w:szCs w:val="18"/>
        </w:rPr>
        <w:t xml:space="preserve"> </w:t>
      </w:r>
      <w:r w:rsidRPr="00735726">
        <w:rPr>
          <w:rFonts w:ascii="Arial" w:hAnsi="Arial" w:cs="Arial"/>
          <w:sz w:val="18"/>
          <w:szCs w:val="18"/>
        </w:rPr>
        <w:t>lacing us at the leadership level and in the top 4% of</w:t>
      </w:r>
      <w:r w:rsidR="00C61FBD" w:rsidRPr="00735726">
        <w:rPr>
          <w:rFonts w:ascii="Arial" w:hAnsi="Arial" w:cs="Arial"/>
          <w:sz w:val="18"/>
          <w:szCs w:val="18"/>
        </w:rPr>
        <w:t xml:space="preserve"> </w:t>
      </w:r>
      <w:r w:rsidRPr="00735726">
        <w:rPr>
          <w:rFonts w:ascii="Arial" w:hAnsi="Arial" w:cs="Arial"/>
          <w:sz w:val="18"/>
          <w:szCs w:val="18"/>
        </w:rPr>
        <w:t>disclosers globally. You can read more about our work to</w:t>
      </w:r>
      <w:r w:rsidR="00C61FBD" w:rsidRPr="00735726">
        <w:rPr>
          <w:rFonts w:ascii="Arial" w:hAnsi="Arial" w:cs="Arial"/>
          <w:sz w:val="18"/>
          <w:szCs w:val="18"/>
        </w:rPr>
        <w:t xml:space="preserve"> </w:t>
      </w:r>
      <w:r w:rsidRPr="00735726">
        <w:rPr>
          <w:rFonts w:ascii="Arial" w:hAnsi="Arial" w:cs="Arial"/>
          <w:sz w:val="18"/>
          <w:szCs w:val="18"/>
        </w:rPr>
        <w:t>enhance resilience and about our Net Zero</w:t>
      </w:r>
      <w:r w:rsidR="00C61FBD" w:rsidRPr="00735726">
        <w:rPr>
          <w:rFonts w:ascii="Arial" w:hAnsi="Arial" w:cs="Arial"/>
          <w:sz w:val="18"/>
          <w:szCs w:val="18"/>
        </w:rPr>
        <w:t xml:space="preserve"> </w:t>
      </w:r>
      <w:r w:rsidRPr="00735726">
        <w:rPr>
          <w:rFonts w:ascii="Arial" w:hAnsi="Arial" w:cs="Arial"/>
          <w:sz w:val="18"/>
          <w:szCs w:val="18"/>
        </w:rPr>
        <w:t xml:space="preserve">performance </w:t>
      </w:r>
      <w:r w:rsidR="0051398C" w:rsidRPr="00735726">
        <w:rPr>
          <w:rFonts w:ascii="Arial" w:hAnsi="Arial" w:cs="Arial"/>
          <w:sz w:val="18"/>
          <w:szCs w:val="18"/>
        </w:rPr>
        <w:t xml:space="preserve">in the Pennon Group plc Annual Report and Accounts </w:t>
      </w:r>
      <w:r w:rsidRPr="00735726">
        <w:rPr>
          <w:rFonts w:ascii="Arial" w:hAnsi="Arial" w:cs="Arial"/>
          <w:sz w:val="18"/>
          <w:szCs w:val="18"/>
        </w:rPr>
        <w:t>on page</w:t>
      </w:r>
      <w:r w:rsidR="0051398C" w:rsidRPr="00735726">
        <w:rPr>
          <w:rFonts w:ascii="Arial" w:hAnsi="Arial" w:cs="Arial"/>
          <w:sz w:val="18"/>
          <w:szCs w:val="18"/>
        </w:rPr>
        <w:t>s</w:t>
      </w:r>
      <w:r w:rsidRPr="00735726">
        <w:rPr>
          <w:rFonts w:ascii="Arial" w:hAnsi="Arial" w:cs="Arial"/>
          <w:sz w:val="18"/>
          <w:szCs w:val="18"/>
        </w:rPr>
        <w:t xml:space="preserve"> </w:t>
      </w:r>
      <w:r w:rsidR="0051398C" w:rsidRPr="009A2CAE">
        <w:rPr>
          <w:rFonts w:ascii="Arial" w:hAnsi="Arial" w:cs="Arial"/>
          <w:sz w:val="18"/>
          <w:szCs w:val="18"/>
        </w:rPr>
        <w:t>78 to 82</w:t>
      </w:r>
      <w:r w:rsidRPr="009A2CAE">
        <w:rPr>
          <w:rFonts w:ascii="Arial" w:hAnsi="Arial" w:cs="Arial"/>
          <w:sz w:val="18"/>
          <w:szCs w:val="18"/>
        </w:rPr>
        <w:t xml:space="preserve">. </w:t>
      </w:r>
    </w:p>
    <w:p w14:paraId="1AAB24E2" w14:textId="0A0D113A" w:rsidR="00E316B5" w:rsidRPr="009A2CAE" w:rsidRDefault="00E316B5" w:rsidP="00E316B5">
      <w:pPr>
        <w:spacing w:after="160"/>
        <w:rPr>
          <w:rFonts w:ascii="Arial" w:hAnsi="Arial" w:cs="Arial"/>
          <w:sz w:val="18"/>
          <w:szCs w:val="18"/>
        </w:rPr>
      </w:pPr>
      <w:r w:rsidRPr="00735726">
        <w:rPr>
          <w:rFonts w:ascii="Arial" w:hAnsi="Arial" w:cs="Arial"/>
          <w:sz w:val="18"/>
          <w:szCs w:val="18"/>
        </w:rPr>
        <w:lastRenderedPageBreak/>
        <w:t xml:space="preserve">As a UN Global Compact signatory, we embed its principles on human rights, labour, environment, and anti-corruption into our ESG approach and report progress annually. We recognise that climate change, the nature emergency, and the transition to Net Zero influence several of the Company’s principal risks (see our Principal Risks report on pages </w:t>
      </w:r>
      <w:r w:rsidRPr="009A2CAE">
        <w:rPr>
          <w:rFonts w:ascii="Arial" w:hAnsi="Arial" w:cs="Arial"/>
          <w:sz w:val="18"/>
          <w:szCs w:val="18"/>
        </w:rPr>
        <w:t>(</w:t>
      </w:r>
      <w:r w:rsidR="0051398C" w:rsidRPr="009A2CAE">
        <w:rPr>
          <w:rFonts w:ascii="Arial" w:hAnsi="Arial" w:cs="Arial"/>
          <w:sz w:val="18"/>
          <w:szCs w:val="18"/>
        </w:rPr>
        <w:t xml:space="preserve">62 </w:t>
      </w:r>
      <w:r w:rsidRPr="009A2CAE">
        <w:rPr>
          <w:rFonts w:ascii="Arial" w:hAnsi="Arial" w:cs="Arial"/>
          <w:sz w:val="18"/>
          <w:szCs w:val="18"/>
        </w:rPr>
        <w:t xml:space="preserve">to </w:t>
      </w:r>
      <w:r w:rsidR="0051398C" w:rsidRPr="009A2CAE">
        <w:rPr>
          <w:rFonts w:ascii="Arial" w:hAnsi="Arial" w:cs="Arial"/>
          <w:sz w:val="18"/>
          <w:szCs w:val="18"/>
        </w:rPr>
        <w:t>74</w:t>
      </w:r>
      <w:r w:rsidRPr="009A2CAE">
        <w:rPr>
          <w:rFonts w:ascii="Arial" w:hAnsi="Arial" w:cs="Arial"/>
          <w:sz w:val="18"/>
          <w:szCs w:val="18"/>
        </w:rPr>
        <w:t xml:space="preserve">). </w:t>
      </w:r>
      <w:r w:rsidRPr="00735726">
        <w:rPr>
          <w:rFonts w:ascii="Arial" w:hAnsi="Arial" w:cs="Arial"/>
          <w:sz w:val="18"/>
          <w:szCs w:val="18"/>
        </w:rPr>
        <w:t>Principal risks are reviewed as part of our audit governance processes.</w:t>
      </w:r>
    </w:p>
    <w:p w14:paraId="438415E5" w14:textId="004929A0" w:rsidR="00E316B5" w:rsidRPr="009A2CAE" w:rsidRDefault="00E316B5" w:rsidP="00E316B5">
      <w:pPr>
        <w:spacing w:after="160"/>
        <w:rPr>
          <w:rFonts w:ascii="Arial" w:hAnsi="Arial" w:cs="Arial"/>
          <w:sz w:val="18"/>
          <w:szCs w:val="18"/>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has its own Board, which reports to the Pennon Group</w:t>
      </w:r>
      <w:r w:rsidR="0078265F" w:rsidRPr="00735726">
        <w:rPr>
          <w:rFonts w:ascii="Arial" w:hAnsi="Arial" w:cs="Arial"/>
          <w:sz w:val="18"/>
          <w:szCs w:val="18"/>
        </w:rPr>
        <w:t xml:space="preserve"> plc</w:t>
      </w:r>
      <w:r w:rsidRPr="00735726">
        <w:rPr>
          <w:rFonts w:ascii="Arial" w:hAnsi="Arial" w:cs="Arial"/>
          <w:sz w:val="18"/>
          <w:szCs w:val="18"/>
        </w:rPr>
        <w:t xml:space="preserve"> Board. The boards oversee climate- and nature-related risks within their operations. New board members are briefed on key climate-related and nature-related risks, for example through site visits and strategic discussions. For more information see our Corporate Governance report on pages </w:t>
      </w:r>
      <w:r w:rsidR="0051398C" w:rsidRPr="009A2CAE">
        <w:rPr>
          <w:rFonts w:ascii="Arial" w:hAnsi="Arial" w:cs="Arial"/>
          <w:sz w:val="18"/>
          <w:szCs w:val="18"/>
        </w:rPr>
        <w:t xml:space="preserve">97 </w:t>
      </w:r>
      <w:r w:rsidRPr="009A2CAE">
        <w:rPr>
          <w:rFonts w:ascii="Arial" w:hAnsi="Arial" w:cs="Arial"/>
          <w:sz w:val="18"/>
          <w:szCs w:val="18"/>
        </w:rPr>
        <w:t xml:space="preserve">to </w:t>
      </w:r>
      <w:r w:rsidR="0051398C" w:rsidRPr="009A2CAE">
        <w:rPr>
          <w:rFonts w:ascii="Arial" w:hAnsi="Arial" w:cs="Arial"/>
          <w:sz w:val="18"/>
          <w:szCs w:val="18"/>
        </w:rPr>
        <w:t>167</w:t>
      </w:r>
      <w:r w:rsidRPr="009A2CAE">
        <w:rPr>
          <w:rFonts w:ascii="Arial" w:hAnsi="Arial" w:cs="Arial"/>
          <w:sz w:val="18"/>
          <w:szCs w:val="18"/>
        </w:rPr>
        <w:t xml:space="preserve">. </w:t>
      </w:r>
      <w:r w:rsidRPr="00735726">
        <w:rPr>
          <w:rFonts w:ascii="Arial" w:hAnsi="Arial" w:cs="Arial"/>
          <w:sz w:val="18"/>
          <w:szCs w:val="18"/>
        </w:rPr>
        <w:t>Further information on Board Committees and ESG skills can be found on page</w:t>
      </w:r>
      <w:r w:rsidRPr="009A2CAE">
        <w:rPr>
          <w:rFonts w:ascii="Arial" w:hAnsi="Arial" w:cs="Arial"/>
          <w:sz w:val="18"/>
          <w:szCs w:val="18"/>
        </w:rPr>
        <w:t xml:space="preserve"> </w:t>
      </w:r>
      <w:r w:rsidR="0051398C" w:rsidRPr="009A2CAE">
        <w:rPr>
          <w:rFonts w:ascii="Arial" w:hAnsi="Arial" w:cs="Arial"/>
          <w:sz w:val="18"/>
          <w:szCs w:val="18"/>
        </w:rPr>
        <w:t xml:space="preserve">99 and pages 125 </w:t>
      </w:r>
      <w:r w:rsidRPr="009A2CAE">
        <w:rPr>
          <w:rFonts w:ascii="Arial" w:hAnsi="Arial" w:cs="Arial"/>
          <w:sz w:val="18"/>
          <w:szCs w:val="18"/>
        </w:rPr>
        <w:t xml:space="preserve">to </w:t>
      </w:r>
      <w:r w:rsidR="0051398C" w:rsidRPr="009A2CAE">
        <w:rPr>
          <w:rFonts w:ascii="Arial" w:hAnsi="Arial" w:cs="Arial"/>
          <w:sz w:val="18"/>
          <w:szCs w:val="18"/>
        </w:rPr>
        <w:t>149</w:t>
      </w:r>
      <w:r w:rsidRPr="009A2CAE">
        <w:rPr>
          <w:rFonts w:ascii="Arial" w:hAnsi="Arial" w:cs="Arial"/>
          <w:sz w:val="18"/>
          <w:szCs w:val="18"/>
        </w:rPr>
        <w:t xml:space="preserve">. </w:t>
      </w:r>
    </w:p>
    <w:p w14:paraId="36411504" w14:textId="4C899A16" w:rsidR="00E316B5" w:rsidRPr="009A2CAE" w:rsidRDefault="00E316B5" w:rsidP="00E316B5">
      <w:pPr>
        <w:spacing w:after="160"/>
        <w:rPr>
          <w:rFonts w:ascii="Arial" w:hAnsi="Arial" w:cs="Arial"/>
          <w:sz w:val="18"/>
          <w:szCs w:val="18"/>
        </w:rPr>
      </w:pPr>
      <w:r w:rsidRPr="00735726">
        <w:rPr>
          <w:rFonts w:ascii="Arial" w:eastAsia="Times New Roman" w:hAnsi="Arial" w:cs="DINOT"/>
          <w:b/>
          <w:bCs/>
          <w:caps/>
          <w:sz w:val="18"/>
        </w:rPr>
        <w:t>Management’s role</w:t>
      </w:r>
      <w:r w:rsidRPr="00735726">
        <w:rPr>
          <w:rFonts w:ascii="Arial" w:eastAsia="Times New Roman" w:hAnsi="Arial" w:cs="DINOT"/>
          <w:b/>
          <w:bCs/>
          <w:caps/>
          <w:sz w:val="18"/>
        </w:rPr>
        <w:br/>
      </w:r>
      <w:r w:rsidRPr="00735726">
        <w:rPr>
          <w:rFonts w:ascii="Arial" w:hAnsi="Arial" w:cs="Arial"/>
          <w:sz w:val="18"/>
          <w:szCs w:val="18"/>
        </w:rPr>
        <w:t xml:space="preserve">Our C-suite Executives play a key role in identifying, assessing, and managing climate-related and nature-related risks and opportunities, including through relevant Executive committees. We have also appointed a Chief Sustainability and Natural Resources Officer (CSNRO), who is accountable for climate and nature policies and targets. Our business is divided into business units: Clean Water, Wastewater and Retail; all supported by our Corporate Functions. Management within each business unit are responsible for identifying, assessing, and managing climate-related and nature-related risks in their business units </w:t>
      </w:r>
      <w:r w:rsidR="006C1BA9" w:rsidRPr="00735726">
        <w:rPr>
          <w:rFonts w:ascii="Arial" w:hAnsi="Arial" w:cs="Arial"/>
          <w:sz w:val="18"/>
          <w:szCs w:val="18"/>
        </w:rPr>
        <w:t xml:space="preserve">- </w:t>
      </w:r>
      <w:r w:rsidRPr="00735726">
        <w:rPr>
          <w:rFonts w:ascii="Arial" w:hAnsi="Arial" w:cs="Arial"/>
          <w:sz w:val="18"/>
          <w:szCs w:val="18"/>
        </w:rPr>
        <w:t>including risks related to water resources, wastewater, regulation, procurement, engineering, natural resources/biodiversity, and finance.</w:t>
      </w:r>
    </w:p>
    <w:p w14:paraId="0BBB82FA" w14:textId="3BA19DB7" w:rsidR="004B0C26" w:rsidRPr="009A2CAE" w:rsidRDefault="00E316B5" w:rsidP="00E316B5">
      <w:pPr>
        <w:spacing w:after="160"/>
        <w:rPr>
          <w:rFonts w:ascii="Arial" w:hAnsi="Arial" w:cs="Arial"/>
          <w:sz w:val="18"/>
          <w:szCs w:val="18"/>
        </w:rPr>
      </w:pPr>
      <w:r w:rsidRPr="00735726">
        <w:rPr>
          <w:rFonts w:ascii="Arial" w:hAnsi="Arial" w:cs="Arial"/>
          <w:sz w:val="18"/>
          <w:szCs w:val="18"/>
        </w:rPr>
        <w:t xml:space="preserve">Risk is identified and categorised within each business unit prior to being formally passed on to senior management responsible for those business units. Each business function and department maintains a risk register, and management escalates risks to the Executive teams through meetings as appropriate. We are continuing to raise awareness and the capacity of teams and executive management to identify, assess, and manage climate-related and nature-related risks and opportunities. The Executive Directors’ Remuneration Policy is set to incentivise the achievement of key performance objectives. This includes ESG objectives and broader environmental performance including our </w:t>
      </w:r>
      <w:r w:rsidR="00141756" w:rsidRPr="00735726">
        <w:rPr>
          <w:rFonts w:ascii="Arial" w:hAnsi="Arial" w:cs="Arial"/>
          <w:sz w:val="18"/>
          <w:szCs w:val="18"/>
        </w:rPr>
        <w:t xml:space="preserve">Company’s </w:t>
      </w:r>
      <w:r w:rsidRPr="00735726">
        <w:rPr>
          <w:rFonts w:ascii="Arial" w:hAnsi="Arial" w:cs="Arial"/>
          <w:sz w:val="18"/>
          <w:szCs w:val="18"/>
        </w:rPr>
        <w:t xml:space="preserve">programme of ESG targets, that align with our ESG approach. You can read more about our ESG approach </w:t>
      </w:r>
      <w:r w:rsidR="004B0C26" w:rsidRPr="00735726">
        <w:rPr>
          <w:rFonts w:ascii="Arial" w:hAnsi="Arial" w:cs="Arial"/>
          <w:sz w:val="18"/>
          <w:szCs w:val="18"/>
        </w:rPr>
        <w:t xml:space="preserve">in the Pennon </w:t>
      </w:r>
      <w:r w:rsidR="008016B1" w:rsidRPr="00735726">
        <w:rPr>
          <w:rFonts w:ascii="Arial" w:hAnsi="Arial" w:cs="Arial"/>
          <w:sz w:val="18"/>
          <w:szCs w:val="18"/>
        </w:rPr>
        <w:t>Group plc A</w:t>
      </w:r>
      <w:r w:rsidR="004B0C26" w:rsidRPr="00735726">
        <w:rPr>
          <w:rFonts w:ascii="Arial" w:hAnsi="Arial" w:cs="Arial"/>
          <w:sz w:val="18"/>
          <w:szCs w:val="18"/>
        </w:rPr>
        <w:t xml:space="preserve">nnual </w:t>
      </w:r>
      <w:r w:rsidR="008016B1" w:rsidRPr="00735726">
        <w:rPr>
          <w:rFonts w:ascii="Arial" w:hAnsi="Arial" w:cs="Arial"/>
          <w:sz w:val="18"/>
          <w:szCs w:val="18"/>
        </w:rPr>
        <w:t>R</w:t>
      </w:r>
      <w:r w:rsidR="004B0C26" w:rsidRPr="00735726">
        <w:rPr>
          <w:rFonts w:ascii="Arial" w:hAnsi="Arial" w:cs="Arial"/>
          <w:sz w:val="18"/>
          <w:szCs w:val="18"/>
        </w:rPr>
        <w:t xml:space="preserve">eport and </w:t>
      </w:r>
      <w:r w:rsidR="008016B1" w:rsidRPr="00735726">
        <w:rPr>
          <w:rFonts w:ascii="Arial" w:hAnsi="Arial" w:cs="Arial"/>
          <w:sz w:val="18"/>
          <w:szCs w:val="18"/>
        </w:rPr>
        <w:t>A</w:t>
      </w:r>
      <w:r w:rsidR="004B0C26" w:rsidRPr="00735726">
        <w:rPr>
          <w:rFonts w:ascii="Arial" w:hAnsi="Arial" w:cs="Arial"/>
          <w:sz w:val="18"/>
          <w:szCs w:val="18"/>
        </w:rPr>
        <w:t xml:space="preserve">ccounts </w:t>
      </w:r>
      <w:r w:rsidRPr="00735726">
        <w:rPr>
          <w:rFonts w:ascii="Arial" w:hAnsi="Arial" w:cs="Arial"/>
          <w:sz w:val="18"/>
          <w:szCs w:val="18"/>
        </w:rPr>
        <w:t>on page</w:t>
      </w:r>
      <w:r w:rsidR="0051398C" w:rsidRPr="00735726">
        <w:rPr>
          <w:rFonts w:ascii="Arial" w:hAnsi="Arial" w:cs="Arial"/>
          <w:sz w:val="18"/>
          <w:szCs w:val="18"/>
        </w:rPr>
        <w:t>s</w:t>
      </w:r>
      <w:r w:rsidRPr="00735726">
        <w:rPr>
          <w:rFonts w:ascii="Arial" w:hAnsi="Arial" w:cs="Arial"/>
          <w:sz w:val="18"/>
          <w:szCs w:val="18"/>
        </w:rPr>
        <w:t xml:space="preserve"> </w:t>
      </w:r>
      <w:r w:rsidR="0051398C" w:rsidRPr="009A2CAE">
        <w:rPr>
          <w:rFonts w:ascii="Arial" w:hAnsi="Arial" w:cs="Arial"/>
          <w:sz w:val="18"/>
          <w:szCs w:val="18"/>
        </w:rPr>
        <w:t>72 to 73</w:t>
      </w:r>
      <w:r w:rsidRPr="009A2CAE">
        <w:rPr>
          <w:rFonts w:ascii="Arial" w:hAnsi="Arial" w:cs="Arial"/>
          <w:sz w:val="18"/>
          <w:szCs w:val="18"/>
        </w:rPr>
        <w:t xml:space="preserve">. </w:t>
      </w:r>
    </w:p>
    <w:p w14:paraId="52C63C70" w14:textId="77777777" w:rsidR="00F722E8" w:rsidRPr="00735726" w:rsidRDefault="00F722E8" w:rsidP="00F722E8">
      <w:pPr>
        <w:rPr>
          <w:rFonts w:ascii="Arial" w:eastAsia="Times New Roman" w:hAnsi="Arial" w:cs="DINOT"/>
          <w:b/>
          <w:bCs/>
          <w:caps/>
          <w:sz w:val="18"/>
        </w:rPr>
      </w:pPr>
      <w:r w:rsidRPr="00735726">
        <w:rPr>
          <w:rFonts w:ascii="Arial" w:eastAsia="Times New Roman" w:hAnsi="Arial" w:cs="DINOT"/>
          <w:b/>
          <w:bCs/>
          <w:caps/>
          <w:sz w:val="18"/>
        </w:rPr>
        <w:t xml:space="preserve">Climate-related and nature-related Governance </w:t>
      </w:r>
    </w:p>
    <w:p w14:paraId="1A096FE1" w14:textId="77777777" w:rsidR="00F722E8" w:rsidRPr="00735726" w:rsidRDefault="00F722E8" w:rsidP="00F722E8">
      <w:pP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TCFD/TNFD recommendations: Disclose the organisation’s governance around climate-related risks and opportunities.</w:t>
      </w:r>
    </w:p>
    <w:p w14:paraId="1FB4067F" w14:textId="397165BD" w:rsidR="00F722E8" w:rsidRPr="00735726" w:rsidRDefault="00F722E8" w:rsidP="00F722E8">
      <w:pPr>
        <w:spacing w:after="160"/>
        <w:rPr>
          <w:rFonts w:ascii="Arial" w:hAnsi="Arial" w:cs="Arial"/>
          <w:sz w:val="18"/>
          <w:szCs w:val="18"/>
        </w:rPr>
      </w:pPr>
      <w:r w:rsidRPr="00735726">
        <w:rPr>
          <w:rFonts w:ascii="Arial" w:eastAsia="Times New Roman" w:hAnsi="Arial" w:cs="DINOT"/>
          <w:b/>
          <w:bCs/>
          <w:caps/>
          <w:sz w:val="18"/>
        </w:rPr>
        <w:t>Board oversight</w:t>
      </w:r>
      <w:r w:rsidRPr="00735726">
        <w:rPr>
          <w:rFonts w:ascii="Arial" w:eastAsia="Times New Roman" w:hAnsi="Arial" w:cs="DINOT"/>
          <w:b/>
          <w:bCs/>
          <w:caps/>
          <w:sz w:val="18"/>
        </w:rPr>
        <w:br/>
      </w:r>
      <w:r w:rsidRPr="00735726">
        <w:rPr>
          <w:rFonts w:ascii="Arial" w:hAnsi="Arial" w:cs="Arial"/>
          <w:sz w:val="18"/>
          <w:szCs w:val="18"/>
        </w:rPr>
        <w:t xml:space="preserve">The Company has a strong governance structure in place to oversee the effective operation of our business and to manage all risks, including climate-related and nature-related risks and opportunities. Overall ownership and responsibility for risks, opportunities, and mitigation actions rests with the </w:t>
      </w:r>
      <w:proofErr w:type="gramStart"/>
      <w:r w:rsidRPr="00735726">
        <w:rPr>
          <w:rFonts w:ascii="Arial" w:hAnsi="Arial" w:cs="DINOT-Light"/>
          <w:color w:val="000000"/>
          <w:sz w:val="18"/>
          <w:szCs w:val="18"/>
        </w:rPr>
        <w:t>South West</w:t>
      </w:r>
      <w:proofErr w:type="gramEnd"/>
      <w:r w:rsidRPr="00735726">
        <w:rPr>
          <w:rFonts w:ascii="Arial" w:hAnsi="Arial" w:cs="DINOT-Light"/>
          <w:color w:val="000000"/>
          <w:sz w:val="18"/>
          <w:szCs w:val="18"/>
        </w:rPr>
        <w:t xml:space="preserve"> Water Board</w:t>
      </w:r>
      <w:r w:rsidRPr="00735726">
        <w:rPr>
          <w:rFonts w:ascii="Arial" w:hAnsi="Arial" w:cs="Arial"/>
          <w:sz w:val="18"/>
          <w:szCs w:val="18"/>
        </w:rPr>
        <w:t>, which regularly reviews principal risks as part of its risk management processes.</w:t>
      </w:r>
    </w:p>
    <w:p w14:paraId="621824FC" w14:textId="55E915BB" w:rsidR="00F722E8" w:rsidRPr="00735726" w:rsidRDefault="00F722E8" w:rsidP="00F722E8">
      <w:pPr>
        <w:rPr>
          <w:rFonts w:ascii="Arial" w:hAnsi="Arial" w:cs="Arial"/>
          <w:sz w:val="18"/>
          <w:szCs w:val="18"/>
        </w:rPr>
      </w:pPr>
      <w:r w:rsidRPr="00735726">
        <w:rPr>
          <w:rFonts w:ascii="Arial" w:hAnsi="Arial" w:cs="DINOT-Light"/>
          <w:color w:val="000000"/>
          <w:sz w:val="18"/>
          <w:szCs w:val="18"/>
        </w:rPr>
        <w:t xml:space="preserve">The Board considers climate-related and nature-related risks and opportunities throughout its duties </w:t>
      </w:r>
      <w:r w:rsidR="006C1BA9" w:rsidRPr="00735726">
        <w:rPr>
          <w:rFonts w:ascii="Arial" w:hAnsi="Arial" w:cs="DINOT-Light"/>
          <w:color w:val="000000"/>
          <w:sz w:val="18"/>
          <w:szCs w:val="18"/>
        </w:rPr>
        <w:t xml:space="preserve">- </w:t>
      </w:r>
      <w:r w:rsidRPr="00735726">
        <w:rPr>
          <w:rFonts w:ascii="Arial" w:hAnsi="Arial" w:cs="DINOT-Light"/>
          <w:color w:val="000000"/>
          <w:sz w:val="18"/>
          <w:szCs w:val="18"/>
        </w:rPr>
        <w:t xml:space="preserve">including when considering the Company’s strategy and objectives, monitoring business and operational performance, business planning and annual budget setting, reviewing major capital expenditures and existing investments, and in considering acquisitions/divestitures. </w:t>
      </w:r>
      <w:r w:rsidRPr="00735726">
        <w:rPr>
          <w:rFonts w:ascii="Arial" w:hAnsi="Arial" w:cs="Arial"/>
          <w:sz w:val="18"/>
          <w:szCs w:val="18"/>
        </w:rPr>
        <w:t>Several Board Committees support this oversight.</w:t>
      </w:r>
    </w:p>
    <w:tbl>
      <w:tblPr>
        <w:tblStyle w:val="TableGrid"/>
        <w:tblW w:w="0" w:type="auto"/>
        <w:tblLook w:val="04A0" w:firstRow="1" w:lastRow="0" w:firstColumn="1" w:lastColumn="0" w:noHBand="0" w:noVBand="1"/>
      </w:tblPr>
      <w:tblGrid>
        <w:gridCol w:w="4508"/>
        <w:gridCol w:w="4508"/>
      </w:tblGrid>
      <w:tr w:rsidR="00F722E8" w:rsidRPr="00735726" w14:paraId="4867ADAB" w14:textId="77777777" w:rsidTr="00277639">
        <w:tc>
          <w:tcPr>
            <w:tcW w:w="4508" w:type="dxa"/>
            <w:tcBorders>
              <w:bottom w:val="single" w:sz="4" w:space="0" w:color="auto"/>
            </w:tcBorders>
          </w:tcPr>
          <w:p w14:paraId="47E3695D" w14:textId="10395D1D" w:rsidR="00F722E8" w:rsidRPr="00735726" w:rsidRDefault="00F722E8" w:rsidP="00F722E8">
            <w:pPr>
              <w:rPr>
                <w:rFonts w:ascii="Arial" w:hAnsi="Arial" w:cs="DINOT-Light"/>
                <w:color w:val="000000"/>
                <w:sz w:val="18"/>
                <w:szCs w:val="18"/>
              </w:rPr>
            </w:pPr>
            <w:r w:rsidRPr="00735726">
              <w:rPr>
                <w:rFonts w:ascii="Arial" w:hAnsi="Arial" w:cs="DINOT-Light"/>
                <w:b/>
                <w:bCs/>
                <w:color w:val="000000"/>
                <w:sz w:val="18"/>
                <w:szCs w:val="18"/>
              </w:rPr>
              <w:t>ESG Committee</w:t>
            </w:r>
            <w:r w:rsidR="0089645F" w:rsidRPr="00735726">
              <w:rPr>
                <w:rFonts w:ascii="Arial" w:hAnsi="Arial" w:cs="DINOT-Light"/>
                <w:b/>
                <w:bCs/>
                <w:color w:val="000000"/>
                <w:sz w:val="18"/>
                <w:szCs w:val="18"/>
              </w:rPr>
              <w:br/>
            </w:r>
            <w:r w:rsidR="002902B7" w:rsidRPr="00735726">
              <w:rPr>
                <w:rFonts w:ascii="Arial" w:hAnsi="Arial" w:cs="DINOT-Light"/>
                <w:color w:val="000000"/>
                <w:sz w:val="18"/>
                <w:szCs w:val="18"/>
              </w:rPr>
              <w:br/>
            </w:r>
            <w:r w:rsidRPr="00735726">
              <w:rPr>
                <w:rFonts w:ascii="Arial" w:hAnsi="Arial" w:cs="DINOT-Light"/>
                <w:color w:val="000000"/>
                <w:sz w:val="18"/>
                <w:szCs w:val="18"/>
              </w:rPr>
              <w:t>The ESG Committee provides the platform for discussion of the Company’s ESG agenda, environmental performance and related climate and nature risks and opportunities, as well as setting and reviewing key metrics relating to ESG targets and goals.</w:t>
            </w:r>
          </w:p>
          <w:p w14:paraId="491CFC01" w14:textId="395571BA" w:rsidR="00F722E8" w:rsidRPr="009A2CAE" w:rsidRDefault="00F722E8" w:rsidP="00F722E8">
            <w:pPr>
              <w:rPr>
                <w:rFonts w:ascii="Arial" w:hAnsi="Arial" w:cs="DINOT-Light"/>
                <w:color w:val="000000"/>
                <w:sz w:val="18"/>
                <w:szCs w:val="18"/>
              </w:rPr>
            </w:pPr>
            <w:r w:rsidRPr="00735726">
              <w:rPr>
                <w:rFonts w:ascii="Arial" w:hAnsi="Arial" w:cs="DINOT-Light"/>
                <w:color w:val="000000"/>
                <w:sz w:val="18"/>
                <w:szCs w:val="18"/>
              </w:rPr>
              <w:t xml:space="preserve">ESG Committee report pages </w:t>
            </w:r>
            <w:r w:rsidR="0051398C" w:rsidRPr="009A2CAE">
              <w:rPr>
                <w:rFonts w:ascii="Arial" w:hAnsi="Arial" w:cs="DINOT-Light"/>
                <w:color w:val="000000"/>
                <w:sz w:val="18"/>
                <w:szCs w:val="18"/>
              </w:rPr>
              <w:t xml:space="preserve">140 </w:t>
            </w:r>
            <w:r w:rsidRPr="009A2CAE">
              <w:rPr>
                <w:rFonts w:ascii="Arial" w:hAnsi="Arial" w:cs="DINOT-Light"/>
                <w:color w:val="000000"/>
                <w:sz w:val="18"/>
                <w:szCs w:val="18"/>
              </w:rPr>
              <w:t xml:space="preserve">to </w:t>
            </w:r>
            <w:r w:rsidR="0051398C" w:rsidRPr="009A2CAE">
              <w:rPr>
                <w:rFonts w:ascii="Arial" w:hAnsi="Arial" w:cs="DINOT-Light"/>
                <w:color w:val="000000"/>
                <w:sz w:val="18"/>
                <w:szCs w:val="18"/>
              </w:rPr>
              <w:t>143.</w:t>
            </w:r>
          </w:p>
        </w:tc>
        <w:tc>
          <w:tcPr>
            <w:tcW w:w="4508" w:type="dxa"/>
            <w:tcBorders>
              <w:bottom w:val="single" w:sz="4" w:space="0" w:color="auto"/>
            </w:tcBorders>
          </w:tcPr>
          <w:p w14:paraId="49F191CE" w14:textId="03B5E8B9" w:rsidR="00F722E8" w:rsidRPr="00735726" w:rsidRDefault="00F722E8" w:rsidP="00F722E8">
            <w:pPr>
              <w:rPr>
                <w:rFonts w:ascii="Arial" w:hAnsi="Arial" w:cs="DINOT-Light"/>
                <w:color w:val="000000"/>
                <w:sz w:val="18"/>
                <w:szCs w:val="18"/>
              </w:rPr>
            </w:pPr>
            <w:r w:rsidRPr="00735726">
              <w:rPr>
                <w:rFonts w:ascii="Arial" w:hAnsi="Arial" w:cs="DINOT-Light"/>
                <w:b/>
                <w:bCs/>
                <w:color w:val="000000"/>
                <w:sz w:val="18"/>
                <w:szCs w:val="18"/>
              </w:rPr>
              <w:t>Audit Committee</w:t>
            </w:r>
            <w:r w:rsidR="0089645F" w:rsidRPr="00735726">
              <w:rPr>
                <w:rFonts w:ascii="Arial" w:hAnsi="Arial" w:cs="DINOT-Light"/>
                <w:b/>
                <w:bCs/>
                <w:color w:val="000000"/>
                <w:sz w:val="18"/>
                <w:szCs w:val="18"/>
              </w:rPr>
              <w:br/>
            </w:r>
            <w:r w:rsidR="002902B7" w:rsidRPr="00735726">
              <w:rPr>
                <w:rFonts w:ascii="Arial" w:hAnsi="Arial" w:cs="DINOT-Light"/>
                <w:color w:val="000000"/>
                <w:sz w:val="18"/>
                <w:szCs w:val="18"/>
              </w:rPr>
              <w:br/>
            </w:r>
            <w:r w:rsidRPr="00735726">
              <w:rPr>
                <w:rFonts w:ascii="Arial" w:hAnsi="Arial" w:cs="DINOT-Light"/>
                <w:color w:val="000000"/>
                <w:sz w:val="18"/>
                <w:szCs w:val="18"/>
              </w:rPr>
              <w:t>The Audit Committee oversees risk management and internal controls and monitors the Company’s financial reporting, including how the impacts of climate and nature risks are accounted for in financial statements. The Committee also reviews key risks and opportunities (including climate-related risks) and challenges and tests the Company’s internal control processes including risk management and internal audit.</w:t>
            </w:r>
          </w:p>
          <w:p w14:paraId="5A92AF9B" w14:textId="6C5EF620" w:rsidR="00F722E8" w:rsidRPr="009A2CAE" w:rsidRDefault="00F722E8" w:rsidP="00F722E8">
            <w:pPr>
              <w:rPr>
                <w:rFonts w:ascii="Arial" w:hAnsi="Arial" w:cs="DINOT-Light"/>
                <w:color w:val="000000"/>
                <w:sz w:val="18"/>
                <w:szCs w:val="18"/>
              </w:rPr>
            </w:pPr>
            <w:r w:rsidRPr="00735726">
              <w:rPr>
                <w:rFonts w:ascii="Arial" w:hAnsi="Arial" w:cs="DINOT-Light"/>
                <w:color w:val="000000"/>
                <w:sz w:val="18"/>
                <w:szCs w:val="18"/>
              </w:rPr>
              <w:t xml:space="preserve">Audit Committee report pages </w:t>
            </w:r>
            <w:r w:rsidR="0051398C" w:rsidRPr="009A2CAE">
              <w:rPr>
                <w:rFonts w:ascii="Arial" w:hAnsi="Arial" w:cs="DINOT-Light"/>
                <w:color w:val="000000"/>
                <w:sz w:val="18"/>
                <w:szCs w:val="18"/>
              </w:rPr>
              <w:t xml:space="preserve">130 </w:t>
            </w:r>
            <w:r w:rsidRPr="009A2CAE">
              <w:rPr>
                <w:rFonts w:ascii="Arial" w:hAnsi="Arial" w:cs="DINOT-Light"/>
                <w:color w:val="000000"/>
                <w:sz w:val="18"/>
                <w:szCs w:val="18"/>
              </w:rPr>
              <w:t xml:space="preserve">to </w:t>
            </w:r>
            <w:r w:rsidR="0051398C" w:rsidRPr="009A2CAE">
              <w:rPr>
                <w:rFonts w:ascii="Arial" w:hAnsi="Arial" w:cs="DINOT-Light"/>
                <w:color w:val="000000"/>
                <w:sz w:val="18"/>
                <w:szCs w:val="18"/>
              </w:rPr>
              <w:t>139</w:t>
            </w:r>
            <w:r w:rsidRPr="009A2CAE">
              <w:rPr>
                <w:rFonts w:ascii="Arial" w:hAnsi="Arial" w:cs="DINOT-Light"/>
                <w:color w:val="000000"/>
                <w:sz w:val="18"/>
                <w:szCs w:val="18"/>
              </w:rPr>
              <w:t>.</w:t>
            </w:r>
          </w:p>
        </w:tc>
      </w:tr>
      <w:tr w:rsidR="0089645F" w:rsidRPr="00735726" w14:paraId="344E9F05" w14:textId="77777777" w:rsidTr="00277639">
        <w:tc>
          <w:tcPr>
            <w:tcW w:w="4508" w:type="dxa"/>
            <w:tcBorders>
              <w:top w:val="single" w:sz="4" w:space="0" w:color="auto"/>
              <w:left w:val="nil"/>
              <w:bottom w:val="nil"/>
              <w:right w:val="nil"/>
            </w:tcBorders>
          </w:tcPr>
          <w:p w14:paraId="2E66F054" w14:textId="77777777" w:rsidR="0089645F" w:rsidRPr="00735726" w:rsidRDefault="0089645F" w:rsidP="00F722E8">
            <w:pPr>
              <w:rPr>
                <w:rFonts w:ascii="Arial" w:hAnsi="Arial" w:cs="DINOT-Light"/>
                <w:b/>
                <w:bCs/>
                <w:color w:val="000000"/>
                <w:sz w:val="18"/>
                <w:szCs w:val="18"/>
              </w:rPr>
            </w:pPr>
          </w:p>
        </w:tc>
        <w:tc>
          <w:tcPr>
            <w:tcW w:w="4508" w:type="dxa"/>
            <w:tcBorders>
              <w:top w:val="single" w:sz="4" w:space="0" w:color="auto"/>
              <w:left w:val="nil"/>
              <w:bottom w:val="nil"/>
              <w:right w:val="nil"/>
            </w:tcBorders>
          </w:tcPr>
          <w:p w14:paraId="3E1E87DB" w14:textId="77777777" w:rsidR="0089645F" w:rsidRPr="00735726" w:rsidRDefault="0089645F" w:rsidP="00F722E8">
            <w:pPr>
              <w:rPr>
                <w:rFonts w:ascii="Arial" w:hAnsi="Arial" w:cs="DINOT-Light"/>
                <w:b/>
                <w:bCs/>
                <w:color w:val="000000"/>
                <w:sz w:val="18"/>
                <w:szCs w:val="18"/>
              </w:rPr>
            </w:pPr>
          </w:p>
        </w:tc>
      </w:tr>
      <w:tr w:rsidR="00F722E8" w:rsidRPr="00735726" w14:paraId="725961D5" w14:textId="77777777" w:rsidTr="00277639">
        <w:tc>
          <w:tcPr>
            <w:tcW w:w="4508" w:type="dxa"/>
            <w:tcBorders>
              <w:top w:val="single" w:sz="4" w:space="0" w:color="auto"/>
            </w:tcBorders>
          </w:tcPr>
          <w:p w14:paraId="51D36D77" w14:textId="446FCC79" w:rsidR="00F722E8" w:rsidRPr="00735726" w:rsidRDefault="00F722E8" w:rsidP="00F722E8">
            <w:pPr>
              <w:rPr>
                <w:rFonts w:ascii="Arial" w:hAnsi="Arial" w:cs="DINOT-Light"/>
                <w:color w:val="000000"/>
                <w:sz w:val="18"/>
                <w:szCs w:val="18"/>
              </w:rPr>
            </w:pPr>
            <w:r w:rsidRPr="00735726">
              <w:rPr>
                <w:rFonts w:ascii="Arial" w:hAnsi="Arial" w:cs="DINOT-Light"/>
                <w:b/>
                <w:bCs/>
                <w:color w:val="000000"/>
                <w:sz w:val="18"/>
                <w:szCs w:val="18"/>
              </w:rPr>
              <w:t>Remuneration Committee</w:t>
            </w:r>
            <w:r w:rsidR="0089645F" w:rsidRPr="00735726">
              <w:rPr>
                <w:rFonts w:ascii="Arial" w:hAnsi="Arial" w:cs="DINOT-Light"/>
                <w:b/>
                <w:bCs/>
                <w:color w:val="000000"/>
                <w:sz w:val="18"/>
                <w:szCs w:val="18"/>
              </w:rPr>
              <w:br/>
            </w:r>
            <w:r w:rsidR="002902B7" w:rsidRPr="00735726">
              <w:rPr>
                <w:rFonts w:ascii="Arial" w:hAnsi="Arial" w:cs="DINOT-Light"/>
                <w:color w:val="000000"/>
                <w:sz w:val="18"/>
                <w:szCs w:val="18"/>
              </w:rPr>
              <w:br/>
            </w:r>
            <w:r w:rsidRPr="00735726">
              <w:rPr>
                <w:rFonts w:ascii="Arial" w:hAnsi="Arial" w:cs="DINOT-Light"/>
                <w:color w:val="000000"/>
                <w:sz w:val="18"/>
                <w:szCs w:val="18"/>
              </w:rPr>
              <w:t xml:space="preserve">The Remuneration Committee considers the Company’s objectives and responsibilities and advises the Board on the framework of executive remuneration for the Company and for the wider workforce, including mechanisms to incentivise achievement of the </w:t>
            </w:r>
            <w:r w:rsidR="00141756" w:rsidRPr="00735726">
              <w:rPr>
                <w:rFonts w:ascii="Arial" w:hAnsi="Arial" w:cs="DINOT-Light"/>
                <w:color w:val="000000"/>
                <w:sz w:val="18"/>
                <w:szCs w:val="18"/>
              </w:rPr>
              <w:t xml:space="preserve">Company’s </w:t>
            </w:r>
            <w:r w:rsidRPr="00735726">
              <w:rPr>
                <w:rFonts w:ascii="Arial" w:hAnsi="Arial" w:cs="DINOT-Light"/>
                <w:color w:val="000000"/>
                <w:sz w:val="18"/>
                <w:szCs w:val="18"/>
              </w:rPr>
              <w:t>objectives related to climate change, Net Zero, and sustainability goals.</w:t>
            </w:r>
          </w:p>
          <w:p w14:paraId="660A70FB" w14:textId="4CB3ECA6" w:rsidR="00F722E8" w:rsidRPr="009A2CAE" w:rsidRDefault="00F722E8" w:rsidP="003A1224">
            <w:pPr>
              <w:rPr>
                <w:rFonts w:ascii="Arial" w:hAnsi="Arial" w:cs="DINOT-Light"/>
                <w:color w:val="000000"/>
                <w:sz w:val="18"/>
                <w:szCs w:val="18"/>
              </w:rPr>
            </w:pPr>
            <w:r w:rsidRPr="00735726">
              <w:rPr>
                <w:rFonts w:ascii="Arial" w:hAnsi="Arial" w:cs="DINOT-Light"/>
                <w:color w:val="000000"/>
                <w:sz w:val="18"/>
                <w:szCs w:val="18"/>
              </w:rPr>
              <w:t xml:space="preserve">Remuneration Committee report pages </w:t>
            </w:r>
            <w:r w:rsidR="0051398C" w:rsidRPr="009A2CAE">
              <w:rPr>
                <w:rFonts w:ascii="Arial" w:hAnsi="Arial" w:cs="DINOT-Light"/>
                <w:color w:val="000000"/>
                <w:sz w:val="18"/>
                <w:szCs w:val="18"/>
              </w:rPr>
              <w:t xml:space="preserve">145 </w:t>
            </w:r>
            <w:r w:rsidRPr="009A2CAE">
              <w:rPr>
                <w:rFonts w:ascii="Arial" w:hAnsi="Arial" w:cs="DINOT-Light"/>
                <w:color w:val="000000"/>
                <w:sz w:val="18"/>
                <w:szCs w:val="18"/>
              </w:rPr>
              <w:t xml:space="preserve">to </w:t>
            </w:r>
            <w:r w:rsidR="0051398C" w:rsidRPr="009A2CAE">
              <w:rPr>
                <w:rFonts w:ascii="Arial" w:hAnsi="Arial" w:cs="DINOT-Light"/>
                <w:color w:val="000000"/>
                <w:sz w:val="18"/>
                <w:szCs w:val="18"/>
              </w:rPr>
              <w:t>149</w:t>
            </w:r>
            <w:r w:rsidRPr="009A2CAE">
              <w:rPr>
                <w:rFonts w:ascii="Arial" w:hAnsi="Arial" w:cs="DINOT-Light"/>
                <w:color w:val="000000"/>
                <w:sz w:val="18"/>
                <w:szCs w:val="18"/>
              </w:rPr>
              <w:t>.</w:t>
            </w:r>
          </w:p>
        </w:tc>
        <w:tc>
          <w:tcPr>
            <w:tcW w:w="4508" w:type="dxa"/>
            <w:tcBorders>
              <w:top w:val="single" w:sz="4" w:space="0" w:color="auto"/>
            </w:tcBorders>
          </w:tcPr>
          <w:p w14:paraId="2CC068A6" w14:textId="100421FD" w:rsidR="00F722E8" w:rsidRPr="00735726" w:rsidRDefault="00F722E8" w:rsidP="003A1224">
            <w:pPr>
              <w:rPr>
                <w:rFonts w:ascii="Arial" w:hAnsi="Arial" w:cs="DINOT-Light"/>
                <w:color w:val="000000"/>
                <w:sz w:val="18"/>
                <w:szCs w:val="18"/>
              </w:rPr>
            </w:pPr>
            <w:r w:rsidRPr="00735726">
              <w:rPr>
                <w:rFonts w:ascii="Arial" w:hAnsi="Arial" w:cs="DINOT-Light"/>
                <w:b/>
                <w:bCs/>
                <w:color w:val="000000"/>
                <w:sz w:val="18"/>
                <w:szCs w:val="18"/>
              </w:rPr>
              <w:t xml:space="preserve">Nomination Committee </w:t>
            </w:r>
            <w:r w:rsidR="0089645F" w:rsidRPr="00735726">
              <w:rPr>
                <w:rFonts w:ascii="Arial" w:hAnsi="Arial" w:cs="DINOT-Light"/>
                <w:b/>
                <w:bCs/>
                <w:color w:val="000000"/>
                <w:sz w:val="18"/>
                <w:szCs w:val="18"/>
              </w:rPr>
              <w:br/>
            </w:r>
            <w:r w:rsidR="002902B7" w:rsidRPr="00735726">
              <w:rPr>
                <w:rFonts w:ascii="Arial" w:hAnsi="Arial" w:cs="DINOT-Light"/>
                <w:color w:val="000000"/>
                <w:sz w:val="18"/>
                <w:szCs w:val="18"/>
              </w:rPr>
              <w:br/>
            </w:r>
            <w:r w:rsidR="003A1224" w:rsidRPr="00735726">
              <w:rPr>
                <w:rFonts w:ascii="Arial" w:hAnsi="Arial" w:cs="DINOT-Light"/>
                <w:color w:val="000000"/>
                <w:sz w:val="18"/>
                <w:szCs w:val="18"/>
              </w:rPr>
              <w:t>The Nomination Committee supports Board composition and succession planning, including consideration of ESG and climate-related expertise. It considers competencies related to climate</w:t>
            </w:r>
            <w:r w:rsidR="003A1224" w:rsidRPr="00735726">
              <w:rPr>
                <w:rFonts w:ascii="Cambria Math" w:hAnsi="Cambria Math" w:cs="Cambria Math"/>
                <w:color w:val="000000"/>
                <w:sz w:val="18"/>
                <w:szCs w:val="18"/>
              </w:rPr>
              <w:t>‑</w:t>
            </w:r>
            <w:r w:rsidR="003A1224" w:rsidRPr="00735726">
              <w:rPr>
                <w:rFonts w:ascii="Arial" w:hAnsi="Arial" w:cs="DINOT-Light"/>
                <w:color w:val="000000"/>
                <w:sz w:val="18"/>
                <w:szCs w:val="18"/>
              </w:rPr>
              <w:t>related risks and opportunities when reviewing the structure, size, and composition of the Board and senior executives across the Company.</w:t>
            </w:r>
          </w:p>
          <w:p w14:paraId="688C8864" w14:textId="3298A9FD" w:rsidR="003A1224" w:rsidRPr="009A2CAE" w:rsidRDefault="003A1224" w:rsidP="003A1224">
            <w:pPr>
              <w:rPr>
                <w:rFonts w:ascii="Arial" w:hAnsi="Arial" w:cs="DINOT-Light"/>
                <w:color w:val="000000"/>
                <w:sz w:val="18"/>
                <w:szCs w:val="18"/>
              </w:rPr>
            </w:pPr>
            <w:r w:rsidRPr="00735726">
              <w:rPr>
                <w:rFonts w:ascii="Arial" w:hAnsi="Arial" w:cs="DINOT-Light"/>
                <w:color w:val="000000"/>
                <w:sz w:val="18"/>
                <w:szCs w:val="18"/>
              </w:rPr>
              <w:t xml:space="preserve">Nomination Committee report pages </w:t>
            </w:r>
            <w:r w:rsidR="0051398C" w:rsidRPr="009A2CAE">
              <w:rPr>
                <w:rFonts w:ascii="Arial" w:hAnsi="Arial" w:cs="DINOT-Light"/>
                <w:color w:val="000000"/>
                <w:sz w:val="18"/>
                <w:szCs w:val="18"/>
              </w:rPr>
              <w:t xml:space="preserve">125 </w:t>
            </w:r>
            <w:r w:rsidRPr="009A2CAE">
              <w:rPr>
                <w:rFonts w:ascii="Arial" w:hAnsi="Arial" w:cs="DINOT-Light"/>
                <w:color w:val="000000"/>
                <w:sz w:val="18"/>
                <w:szCs w:val="18"/>
              </w:rPr>
              <w:t xml:space="preserve">to </w:t>
            </w:r>
            <w:r w:rsidR="0051398C" w:rsidRPr="009A2CAE">
              <w:rPr>
                <w:rFonts w:ascii="Arial" w:hAnsi="Arial" w:cs="DINOT-Light"/>
                <w:color w:val="000000"/>
                <w:sz w:val="18"/>
                <w:szCs w:val="18"/>
              </w:rPr>
              <w:t>129</w:t>
            </w:r>
            <w:r w:rsidRPr="009A2CAE">
              <w:rPr>
                <w:rFonts w:ascii="Arial" w:hAnsi="Arial" w:cs="DINOT-Light"/>
                <w:color w:val="000000"/>
                <w:sz w:val="18"/>
                <w:szCs w:val="18"/>
              </w:rPr>
              <w:t>.</w:t>
            </w:r>
          </w:p>
        </w:tc>
      </w:tr>
      <w:tr w:rsidR="00F722E8" w:rsidRPr="00735726" w14:paraId="14991EB0" w14:textId="77777777" w:rsidTr="00470234">
        <w:tc>
          <w:tcPr>
            <w:tcW w:w="4508" w:type="dxa"/>
          </w:tcPr>
          <w:p w14:paraId="2F128632" w14:textId="69F39BAB" w:rsidR="00F722E8" w:rsidRPr="00735726" w:rsidRDefault="00F722E8" w:rsidP="003A1224">
            <w:pPr>
              <w:rPr>
                <w:rFonts w:ascii="Arial" w:hAnsi="Arial" w:cs="DINOT-Light"/>
                <w:color w:val="000000"/>
                <w:sz w:val="18"/>
                <w:szCs w:val="18"/>
              </w:rPr>
            </w:pPr>
            <w:r w:rsidRPr="00735726">
              <w:rPr>
                <w:rFonts w:ascii="Arial" w:hAnsi="Arial" w:cs="DINOT-Light"/>
                <w:b/>
                <w:bCs/>
                <w:color w:val="000000"/>
                <w:sz w:val="18"/>
                <w:szCs w:val="18"/>
              </w:rPr>
              <w:t xml:space="preserve">Health and Safety Committee </w:t>
            </w:r>
            <w:r w:rsidR="0089645F" w:rsidRPr="00735726">
              <w:rPr>
                <w:rFonts w:ascii="Arial" w:hAnsi="Arial" w:cs="DINOT-Light"/>
                <w:b/>
                <w:bCs/>
                <w:color w:val="000000"/>
                <w:sz w:val="18"/>
                <w:szCs w:val="18"/>
              </w:rPr>
              <w:br/>
            </w:r>
            <w:r w:rsidR="002902B7" w:rsidRPr="00735726">
              <w:rPr>
                <w:rFonts w:ascii="Arial" w:hAnsi="Arial" w:cs="DINOT-Light"/>
                <w:color w:val="000000"/>
                <w:sz w:val="18"/>
                <w:szCs w:val="18"/>
              </w:rPr>
              <w:br/>
            </w:r>
            <w:r w:rsidR="003A1224" w:rsidRPr="00735726">
              <w:rPr>
                <w:rFonts w:ascii="Arial" w:hAnsi="Arial" w:cs="DINOT-Light"/>
                <w:color w:val="000000"/>
                <w:sz w:val="18"/>
                <w:szCs w:val="18"/>
              </w:rPr>
              <w:t xml:space="preserve">The Health and Safety Committee monitors risk across all areas of health and safety </w:t>
            </w:r>
            <w:r w:rsidR="006C1BA9" w:rsidRPr="00735726">
              <w:rPr>
                <w:rFonts w:ascii="Arial" w:hAnsi="Arial" w:cs="DINOT-Light"/>
                <w:color w:val="000000"/>
                <w:sz w:val="18"/>
                <w:szCs w:val="18"/>
              </w:rPr>
              <w:t xml:space="preserve">- </w:t>
            </w:r>
            <w:r w:rsidR="003A1224" w:rsidRPr="00735726">
              <w:rPr>
                <w:rFonts w:ascii="Arial" w:hAnsi="Arial" w:cs="DINOT-Light"/>
                <w:color w:val="000000"/>
                <w:sz w:val="18"/>
                <w:szCs w:val="18"/>
              </w:rPr>
              <w:t>including areas impacted by climate-related risks such as extreme weather events. The Committee also reviews the effectiveness of the Company’s procedures for Health and Safety reporting and performance.</w:t>
            </w:r>
          </w:p>
          <w:p w14:paraId="13676120" w14:textId="07656B02" w:rsidR="003A1224" w:rsidRPr="009A2CAE" w:rsidRDefault="0051398C" w:rsidP="003A1224">
            <w:pPr>
              <w:rPr>
                <w:rFonts w:ascii="Arial" w:hAnsi="Arial" w:cs="DINOT-Light"/>
                <w:color w:val="000000"/>
                <w:sz w:val="18"/>
                <w:szCs w:val="18"/>
              </w:rPr>
            </w:pPr>
            <w:r w:rsidRPr="00735726">
              <w:rPr>
                <w:rFonts w:ascii="Arial" w:hAnsi="Arial" w:cs="DINOT-Light"/>
                <w:color w:val="000000"/>
                <w:sz w:val="18"/>
                <w:szCs w:val="18"/>
              </w:rPr>
              <w:t xml:space="preserve">Health and Safety </w:t>
            </w:r>
            <w:r w:rsidR="003A1224" w:rsidRPr="00735726">
              <w:rPr>
                <w:rFonts w:ascii="Arial" w:hAnsi="Arial" w:cs="DINOT-Light"/>
                <w:color w:val="000000"/>
                <w:sz w:val="18"/>
                <w:szCs w:val="18"/>
              </w:rPr>
              <w:t xml:space="preserve">Committee report page </w:t>
            </w:r>
            <w:r w:rsidRPr="009A2CAE">
              <w:rPr>
                <w:rFonts w:ascii="Arial" w:hAnsi="Arial" w:cs="DINOT-Light"/>
                <w:color w:val="000000"/>
                <w:sz w:val="18"/>
                <w:szCs w:val="18"/>
              </w:rPr>
              <w:t>144</w:t>
            </w:r>
            <w:r w:rsidR="003A1224" w:rsidRPr="009A2CAE">
              <w:rPr>
                <w:rFonts w:ascii="Arial" w:hAnsi="Arial" w:cs="DINOT-Light"/>
                <w:color w:val="000000"/>
                <w:sz w:val="18"/>
                <w:szCs w:val="18"/>
              </w:rPr>
              <w:t>.</w:t>
            </w:r>
          </w:p>
          <w:p w14:paraId="2DD8EAB3" w14:textId="7464E81A" w:rsidR="003A1224" w:rsidRPr="009A2CAE" w:rsidRDefault="003A1224" w:rsidP="003A1224">
            <w:pPr>
              <w:rPr>
                <w:rFonts w:ascii="Arial" w:hAnsi="Arial" w:cs="DINOT-Light"/>
                <w:color w:val="000000"/>
                <w:sz w:val="18"/>
                <w:szCs w:val="18"/>
              </w:rPr>
            </w:pPr>
          </w:p>
        </w:tc>
        <w:tc>
          <w:tcPr>
            <w:tcW w:w="4508" w:type="dxa"/>
          </w:tcPr>
          <w:p w14:paraId="75B0A439" w14:textId="77777777" w:rsidR="00F722E8" w:rsidRPr="009A2CAE" w:rsidRDefault="00F722E8" w:rsidP="00470234">
            <w:pPr>
              <w:rPr>
                <w:rFonts w:ascii="Arial" w:hAnsi="Arial" w:cs="DINOT-Light"/>
                <w:color w:val="000000"/>
                <w:sz w:val="18"/>
                <w:szCs w:val="18"/>
              </w:rPr>
            </w:pPr>
          </w:p>
        </w:tc>
      </w:tr>
    </w:tbl>
    <w:p w14:paraId="5C3C631C" w14:textId="77777777" w:rsidR="000B64C0" w:rsidRPr="009A2CAE" w:rsidRDefault="000B64C0" w:rsidP="00F722E8">
      <w:pPr>
        <w:rPr>
          <w:rFonts w:ascii="Arial" w:hAnsi="Arial" w:cs="Arial"/>
          <w:sz w:val="18"/>
          <w:szCs w:val="18"/>
        </w:rPr>
      </w:pPr>
    </w:p>
    <w:p w14:paraId="6EFB5223" w14:textId="41A7EF2C" w:rsidR="001D6C6F" w:rsidRPr="00735726" w:rsidRDefault="000B64C0" w:rsidP="000B64C0">
      <w:pPr>
        <w:rPr>
          <w:rFonts w:ascii="Arial" w:hAnsi="Arial" w:cs="Arial"/>
          <w:sz w:val="18"/>
          <w:szCs w:val="18"/>
        </w:rPr>
      </w:pPr>
      <w:r w:rsidRPr="00735726">
        <w:rPr>
          <w:rFonts w:ascii="Arial" w:hAnsi="Arial" w:cs="Arial"/>
          <w:sz w:val="18"/>
          <w:szCs w:val="18"/>
        </w:rPr>
        <w:t xml:space="preserve">Executive Board headed by Chief Executive Officer </w:t>
      </w:r>
      <w:r w:rsidR="006C1BA9" w:rsidRPr="00735726">
        <w:rPr>
          <w:rFonts w:ascii="Arial" w:hAnsi="Arial" w:cs="Arial"/>
          <w:sz w:val="18"/>
          <w:szCs w:val="18"/>
        </w:rPr>
        <w:t xml:space="preserve">- </w:t>
      </w:r>
      <w:r w:rsidRPr="00735726">
        <w:rPr>
          <w:rFonts w:ascii="Arial" w:hAnsi="Arial" w:cs="Arial"/>
          <w:sz w:val="18"/>
          <w:szCs w:val="18"/>
        </w:rPr>
        <w:t xml:space="preserve">The Committee monitors, approves and reviews business objectives and plans, and provides challenge and feedback to investment decisions. Throughout these processes, climate-related and nature-related risks and opportunities are considered and actions to manage risks are embedded in business planning and investment decision-making. The CSNRO reports to </w:t>
      </w:r>
      <w:r w:rsidR="00FB6595" w:rsidRPr="00735726">
        <w:rPr>
          <w:rFonts w:ascii="Arial" w:hAnsi="Arial" w:cs="Arial"/>
          <w:sz w:val="18"/>
          <w:szCs w:val="18"/>
        </w:rPr>
        <w:t xml:space="preserve">the Executive Board </w:t>
      </w:r>
      <w:r w:rsidRPr="00735726">
        <w:rPr>
          <w:rFonts w:ascii="Arial" w:hAnsi="Arial" w:cs="Arial"/>
          <w:sz w:val="18"/>
          <w:szCs w:val="18"/>
        </w:rPr>
        <w:t xml:space="preserve">monthly, providing updates on sustainability and nature-related issues. There are several Executive committees which report to </w:t>
      </w:r>
      <w:r w:rsidR="00FB6595" w:rsidRPr="00735726">
        <w:rPr>
          <w:rFonts w:ascii="Arial" w:hAnsi="Arial" w:cs="Arial"/>
          <w:sz w:val="18"/>
          <w:szCs w:val="18"/>
        </w:rPr>
        <w:t>the Executive Board</w:t>
      </w:r>
      <w:r w:rsidRPr="00735726">
        <w:rPr>
          <w:rFonts w:ascii="Arial" w:hAnsi="Arial" w:cs="Arial"/>
          <w:sz w:val="18"/>
          <w:szCs w:val="18"/>
        </w:rPr>
        <w:t>, including business unit senior leadership teams.</w:t>
      </w:r>
    </w:p>
    <w:p w14:paraId="3A8AF9C8" w14:textId="1F08BDB4" w:rsidR="001D6C6F" w:rsidRPr="00735726" w:rsidRDefault="001D6C6F" w:rsidP="001D6C6F">
      <w:pPr>
        <w:rPr>
          <w:rFonts w:ascii="Arial" w:hAnsi="Arial" w:cs="Arial"/>
          <w:b/>
          <w:bCs/>
          <w:sz w:val="18"/>
          <w:szCs w:val="18"/>
        </w:rPr>
      </w:pPr>
      <w:r w:rsidRPr="00735726">
        <w:rPr>
          <w:rFonts w:ascii="Arial" w:eastAsia="Times New Roman" w:hAnsi="Arial" w:cs="DINOT"/>
          <w:b/>
          <w:bCs/>
          <w:caps/>
          <w:sz w:val="18"/>
        </w:rPr>
        <w:t>Climate-related strategy</w:t>
      </w:r>
      <w:r w:rsidRPr="009A2CAE">
        <w:rPr>
          <w:rFonts w:ascii="Arial" w:eastAsia="Times New Roman" w:hAnsi="Arial" w:cs="DINOT"/>
          <w:b/>
          <w:bCs/>
          <w:caps/>
          <w:sz w:val="18"/>
        </w:rPr>
        <w:br/>
      </w:r>
      <w:r w:rsidR="002902B7" w:rsidRPr="00735726">
        <w:rPr>
          <w:rFonts w:ascii="Arial" w:hAnsi="Arial" w:cs="Arial"/>
          <w:b/>
          <w:bCs/>
          <w:sz w:val="18"/>
          <w:szCs w:val="18"/>
        </w:rPr>
        <w:br/>
      </w:r>
      <w:r w:rsidRPr="00735726">
        <w:rPr>
          <w:rFonts w:ascii="Arial" w:hAnsi="Arial" w:cs="Arial"/>
          <w:b/>
          <w:bCs/>
          <w:sz w:val="18"/>
          <w:szCs w:val="18"/>
        </w:rPr>
        <w:t>TCFD/TNFD Recommendation: Disclose the impacts of climate-related and nature-related risks and opportunities on the organisation’s business, strategy, and financial planning where such information is material.</w:t>
      </w:r>
    </w:p>
    <w:p w14:paraId="2B496F39" w14:textId="63061157" w:rsidR="001D6C6F" w:rsidRPr="00735726" w:rsidRDefault="001D6C6F" w:rsidP="001D6C6F">
      <w:pPr>
        <w:rPr>
          <w:rFonts w:ascii="Arial" w:hAnsi="Arial" w:cs="Arial"/>
          <w:sz w:val="18"/>
          <w:szCs w:val="18"/>
        </w:rPr>
      </w:pPr>
      <w:r w:rsidRPr="00735726">
        <w:rPr>
          <w:rFonts w:ascii="Arial" w:hAnsi="Arial" w:cs="Arial"/>
          <w:i/>
          <w:iCs/>
          <w:sz w:val="18"/>
          <w:szCs w:val="18"/>
        </w:rPr>
        <w:t>CLIMATE SCENARIO ANALYSIS</w:t>
      </w:r>
      <w:r w:rsidRPr="00735726">
        <w:rPr>
          <w:rFonts w:ascii="Arial" w:hAnsi="Arial" w:cs="Arial"/>
          <w:i/>
          <w:iCs/>
          <w:sz w:val="18"/>
          <w:szCs w:val="18"/>
        </w:rPr>
        <w:br/>
      </w:r>
      <w:r w:rsidRPr="00735726">
        <w:rPr>
          <w:rFonts w:ascii="Arial" w:hAnsi="Arial" w:cs="Arial"/>
          <w:sz w:val="18"/>
          <w:szCs w:val="18"/>
        </w:rPr>
        <w:t>In alignment with the TCFD guidance, we have assessed the risks and opportunities associated with climate change and the transition to a Net Zero climate-resilient economy. We have used plausible contrasting scenarios to explore the potential range of impacts in the future and in turn the possible range in our strategic responses required to mitigate risks and build adaptive capacity in an uncertain future.</w:t>
      </w:r>
    </w:p>
    <w:p w14:paraId="17C8A9CD" w14:textId="630C70EA" w:rsidR="001D6C6F" w:rsidRPr="00735726" w:rsidRDefault="001D6C6F" w:rsidP="001D6C6F">
      <w:pPr>
        <w:rPr>
          <w:rFonts w:ascii="Arial" w:hAnsi="Arial" w:cs="Arial"/>
          <w:sz w:val="18"/>
          <w:szCs w:val="18"/>
        </w:rPr>
      </w:pPr>
      <w:r w:rsidRPr="00735726">
        <w:rPr>
          <w:rFonts w:ascii="Arial" w:hAnsi="Arial" w:cs="Arial"/>
          <w:sz w:val="18"/>
          <w:szCs w:val="18"/>
        </w:rPr>
        <w:t xml:space="preserve">Our </w:t>
      </w:r>
      <w:r w:rsidRPr="00735726">
        <w:rPr>
          <w:rFonts w:ascii="Arial" w:hAnsi="Arial" w:cs="Arial"/>
          <w:b/>
          <w:bCs/>
          <w:sz w:val="18"/>
          <w:szCs w:val="18"/>
        </w:rPr>
        <w:t>physical risk scenarios</w:t>
      </w:r>
      <w:r w:rsidRPr="00735726">
        <w:rPr>
          <w:rFonts w:ascii="Arial" w:hAnsi="Arial" w:cs="Arial"/>
          <w:sz w:val="18"/>
          <w:szCs w:val="18"/>
        </w:rPr>
        <w:t xml:space="preserve"> are informed by the IPCC’s Representative Concentration Pathways (RCPs) from the IPCC’s 5th assessment (2014), including a high and a low emissions scenario, which were also used as the basis for planning by Ofwat as part of the PR24 methodology and align with Ofwat’s climate change principles published in February 2026.</w:t>
      </w:r>
    </w:p>
    <w:p w14:paraId="4C97B317" w14:textId="5FF1F2AE" w:rsidR="001D6C6F" w:rsidRPr="00735726" w:rsidRDefault="001D6C6F" w:rsidP="001D6C6F">
      <w:pPr>
        <w:rPr>
          <w:rFonts w:ascii="Arial" w:hAnsi="Arial" w:cs="Arial"/>
          <w:sz w:val="18"/>
          <w:szCs w:val="18"/>
        </w:rPr>
      </w:pPr>
      <w:r w:rsidRPr="00735726">
        <w:rPr>
          <w:rFonts w:ascii="Arial" w:hAnsi="Arial" w:cs="Arial"/>
          <w:sz w:val="18"/>
          <w:szCs w:val="18"/>
        </w:rPr>
        <w:t xml:space="preserve">Our </w:t>
      </w:r>
      <w:r w:rsidRPr="00735726">
        <w:rPr>
          <w:rFonts w:ascii="Arial" w:hAnsi="Arial" w:cs="Arial"/>
          <w:b/>
          <w:bCs/>
          <w:sz w:val="18"/>
          <w:szCs w:val="18"/>
        </w:rPr>
        <w:t>transition risk scenarios</w:t>
      </w:r>
      <w:r w:rsidRPr="00735726">
        <w:rPr>
          <w:rFonts w:ascii="Arial" w:hAnsi="Arial" w:cs="Arial"/>
          <w:sz w:val="18"/>
          <w:szCs w:val="18"/>
        </w:rPr>
        <w:t xml:space="preserve"> align with scenarios developed by the Network for Greening the Financial System (NGFS), which are widely adopted in the UK. The two NGFS transition scenarios used are: (1) Orderly transition, aligned to the NGFS Net Zero 2050 and (2) Hot House World aligned to the NGFS Current Policies. The NGFS Net Zero 2050 aligns closely with the IEA Net Zero 2050 scenario. We have selected these contrasting scenarios as they span a range of possible futures, and present different challenges and opportunities for our business. The NGFS Disorderly Transition Scenario has also been considered, but our view is that negative impacts for our </w:t>
      </w:r>
      <w:r w:rsidR="00141756" w:rsidRPr="00735726">
        <w:rPr>
          <w:rFonts w:ascii="Arial" w:hAnsi="Arial" w:cs="Arial"/>
          <w:sz w:val="18"/>
          <w:szCs w:val="18"/>
        </w:rPr>
        <w:lastRenderedPageBreak/>
        <w:t xml:space="preserve">Company </w:t>
      </w:r>
      <w:r w:rsidRPr="00735726">
        <w:rPr>
          <w:rFonts w:ascii="Arial" w:hAnsi="Arial" w:cs="Arial"/>
          <w:sz w:val="18"/>
          <w:szCs w:val="18"/>
        </w:rPr>
        <w:t>are more significant under the NGFS Current Policies Scenario, so it has been the focus of our scenario analysis to provide a stress test of our resilience.</w:t>
      </w:r>
    </w:p>
    <w:p w14:paraId="6524D0C2" w14:textId="1252BB20" w:rsidR="001D6C6F" w:rsidRPr="00735726" w:rsidRDefault="001D6C6F" w:rsidP="001D6C6F">
      <w:pPr>
        <w:spacing w:after="160" w:line="259" w:lineRule="auto"/>
        <w:rPr>
          <w:rFonts w:ascii="Arial" w:hAnsi="Arial" w:cs="Arial"/>
          <w:sz w:val="18"/>
          <w:szCs w:val="18"/>
        </w:rPr>
      </w:pPr>
      <w:r w:rsidRPr="00735726">
        <w:rPr>
          <w:rFonts w:ascii="Arial" w:hAnsi="Arial" w:cs="Arial"/>
          <w:sz w:val="18"/>
          <w:szCs w:val="18"/>
        </w:rPr>
        <w:t>For our scenario analysis, the following assumptions were made:</w:t>
      </w:r>
    </w:p>
    <w:p w14:paraId="650D91AA" w14:textId="77777777" w:rsidR="001D6C6F" w:rsidRPr="00735726" w:rsidRDefault="001D6C6F" w:rsidP="00646F4F">
      <w:pPr>
        <w:pStyle w:val="ListParagraph"/>
        <w:numPr>
          <w:ilvl w:val="0"/>
          <w:numId w:val="90"/>
        </w:numPr>
        <w:spacing w:after="160" w:line="259" w:lineRule="auto"/>
        <w:rPr>
          <w:rFonts w:ascii="Arial" w:hAnsi="Arial" w:cs="Arial"/>
          <w:sz w:val="18"/>
          <w:szCs w:val="18"/>
        </w:rPr>
      </w:pPr>
      <w:r w:rsidRPr="00735726">
        <w:rPr>
          <w:rFonts w:ascii="Arial" w:hAnsi="Arial" w:cs="Arial"/>
          <w:sz w:val="18"/>
          <w:szCs w:val="18"/>
        </w:rPr>
        <w:t xml:space="preserve">Scenarios focus on the UK policy and regulatory context and are semi-independent of global action and temperature pathways. </w:t>
      </w:r>
    </w:p>
    <w:p w14:paraId="08DF1017" w14:textId="7172ECC3" w:rsidR="001D6C6F" w:rsidRPr="00735726" w:rsidRDefault="001D6C6F" w:rsidP="00646F4F">
      <w:pPr>
        <w:pStyle w:val="ListParagraph"/>
        <w:numPr>
          <w:ilvl w:val="0"/>
          <w:numId w:val="90"/>
        </w:numPr>
        <w:spacing w:after="160" w:line="259" w:lineRule="auto"/>
        <w:rPr>
          <w:rFonts w:ascii="Arial" w:hAnsi="Arial" w:cs="Arial"/>
          <w:sz w:val="18"/>
          <w:szCs w:val="18"/>
        </w:rPr>
      </w:pPr>
      <w:r w:rsidRPr="00735726">
        <w:rPr>
          <w:rFonts w:ascii="Arial" w:hAnsi="Arial" w:cs="Arial"/>
          <w:sz w:val="18"/>
          <w:szCs w:val="18"/>
        </w:rPr>
        <w:t>It is assumed energy prices remain high throughout the next decade.</w:t>
      </w:r>
    </w:p>
    <w:p w14:paraId="0D109C96" w14:textId="4EEC07B5" w:rsidR="001D6C6F" w:rsidRPr="00735726" w:rsidRDefault="001D6C6F" w:rsidP="00646F4F">
      <w:pPr>
        <w:pStyle w:val="ListParagraph"/>
        <w:numPr>
          <w:ilvl w:val="0"/>
          <w:numId w:val="90"/>
        </w:numPr>
        <w:spacing w:after="160" w:line="259" w:lineRule="auto"/>
        <w:rPr>
          <w:rFonts w:ascii="Arial" w:hAnsi="Arial" w:cs="Arial"/>
          <w:sz w:val="18"/>
          <w:szCs w:val="18"/>
        </w:rPr>
      </w:pPr>
      <w:r w:rsidRPr="00735726">
        <w:rPr>
          <w:rFonts w:ascii="Arial" w:hAnsi="Arial" w:cs="Arial"/>
          <w:sz w:val="18"/>
          <w:szCs w:val="18"/>
        </w:rPr>
        <w:t>The Government’s ambition around environmental protection and conservation remains high, regardless of the pace of transition.</w:t>
      </w:r>
    </w:p>
    <w:p w14:paraId="17EC5BA2" w14:textId="0C508FB6" w:rsidR="001D6C6F" w:rsidRPr="00735726" w:rsidRDefault="001D6C6F" w:rsidP="00646F4F">
      <w:pPr>
        <w:pStyle w:val="ListParagraph"/>
        <w:numPr>
          <w:ilvl w:val="0"/>
          <w:numId w:val="90"/>
        </w:numPr>
        <w:spacing w:after="160" w:line="259" w:lineRule="auto"/>
        <w:rPr>
          <w:rFonts w:ascii="Arial" w:hAnsi="Arial" w:cs="Arial"/>
          <w:sz w:val="18"/>
          <w:szCs w:val="18"/>
        </w:rPr>
      </w:pPr>
      <w:r w:rsidRPr="00735726">
        <w:rPr>
          <w:rFonts w:ascii="Arial" w:hAnsi="Arial" w:cs="Arial"/>
          <w:sz w:val="18"/>
          <w:szCs w:val="18"/>
        </w:rPr>
        <w:t xml:space="preserve">No significant change to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business activities.</w:t>
      </w:r>
    </w:p>
    <w:p w14:paraId="17FDF865" w14:textId="77777777" w:rsidR="001D6C6F" w:rsidRPr="00735726" w:rsidRDefault="001D6C6F" w:rsidP="00646F4F">
      <w:pPr>
        <w:pStyle w:val="ListParagraph"/>
        <w:numPr>
          <w:ilvl w:val="0"/>
          <w:numId w:val="90"/>
        </w:numPr>
        <w:spacing w:after="160"/>
        <w:rPr>
          <w:rFonts w:ascii="Arial" w:hAnsi="Arial" w:cs="Arial"/>
          <w:sz w:val="18"/>
          <w:szCs w:val="18"/>
        </w:rPr>
      </w:pPr>
      <w:r w:rsidRPr="00735726">
        <w:rPr>
          <w:rFonts w:ascii="Arial" w:hAnsi="Arial" w:cs="Arial"/>
          <w:sz w:val="18"/>
          <w:szCs w:val="18"/>
        </w:rPr>
        <w:t>Population increases across the regions we serve; however overall water demand remains unchanged from today (due to leakage reduction and water efficiency measures), and overall volume of wastewater treated remains unchanged from today (due to actions taken to reduce surface water flows to sewers).</w:t>
      </w:r>
    </w:p>
    <w:p w14:paraId="6AFF34E5" w14:textId="77777777" w:rsidR="001D6C6F" w:rsidRPr="00735726" w:rsidRDefault="001D6C6F" w:rsidP="001D6C6F">
      <w:pPr>
        <w:rPr>
          <w:rFonts w:ascii="Arial" w:eastAsia="Times New Roman" w:hAnsi="Arial" w:cs="DINOT-Light"/>
          <w:color w:val="000000"/>
          <w:sz w:val="18"/>
          <w:szCs w:val="18"/>
        </w:rPr>
      </w:pPr>
      <w:r w:rsidRPr="00735726">
        <w:rPr>
          <w:rFonts w:ascii="Arial" w:eastAsia="Times New Roman" w:hAnsi="Arial" w:cs="DINOT"/>
          <w:b/>
          <w:bCs/>
          <w:caps/>
          <w:sz w:val="18"/>
        </w:rPr>
        <w:t>Short- medium- and long-term horizons</w:t>
      </w:r>
      <w:r w:rsidRPr="00735726">
        <w:rPr>
          <w:rFonts w:ascii="Arial" w:eastAsia="Times New Roman" w:hAnsi="Arial" w:cs="DINOT"/>
          <w:b/>
          <w:bCs/>
          <w:caps/>
          <w:sz w:val="18"/>
        </w:rPr>
        <w:br/>
      </w:r>
      <w:r w:rsidRPr="00735726">
        <w:rPr>
          <w:rFonts w:ascii="Arial" w:eastAsia="Times New Roman" w:hAnsi="Arial" w:cs="DINOT-Light"/>
          <w:color w:val="000000"/>
          <w:sz w:val="18"/>
          <w:szCs w:val="18"/>
        </w:rPr>
        <w:t>In determining our strategy, we consider short, medium, and long-term horizons for climate risks and opportunities.</w:t>
      </w:r>
    </w:p>
    <w:p w14:paraId="3CCABB45" w14:textId="628F5515" w:rsidR="001D6C6F" w:rsidRPr="00735726" w:rsidRDefault="001D6C6F" w:rsidP="001D6C6F">
      <w:pPr>
        <w:spacing w:after="160"/>
        <w:rPr>
          <w:rFonts w:ascii="Arial" w:hAnsi="Arial" w:cs="Arial"/>
          <w:sz w:val="18"/>
          <w:szCs w:val="18"/>
        </w:rPr>
      </w:pPr>
      <w:r w:rsidRPr="00735726">
        <w:rPr>
          <w:rFonts w:ascii="Arial" w:eastAsia="Times New Roman" w:hAnsi="Arial" w:cs="DINOT-Light"/>
          <w:b/>
          <w:bCs/>
          <w:color w:val="000000"/>
          <w:sz w:val="18"/>
          <w:szCs w:val="18"/>
        </w:rPr>
        <w:t xml:space="preserve">Short-term </w:t>
      </w:r>
      <w:r w:rsidR="006C1BA9" w:rsidRPr="00735726">
        <w:rPr>
          <w:rFonts w:ascii="Arial" w:eastAsia="Times New Roman" w:hAnsi="Arial" w:cs="DINOT-Light"/>
          <w:b/>
          <w:bCs/>
          <w:color w:val="000000"/>
          <w:sz w:val="18"/>
          <w:szCs w:val="18"/>
        </w:rPr>
        <w:t xml:space="preserve">- </w:t>
      </w:r>
      <w:r w:rsidRPr="00735726">
        <w:rPr>
          <w:rFonts w:ascii="Arial" w:eastAsia="Times New Roman" w:hAnsi="Arial" w:cs="DINOT-Light"/>
          <w:b/>
          <w:bCs/>
          <w:color w:val="000000"/>
          <w:sz w:val="18"/>
          <w:szCs w:val="18"/>
        </w:rPr>
        <w:t>1 to 10 years</w:t>
      </w:r>
      <w:r w:rsidRPr="00735726">
        <w:rPr>
          <w:rFonts w:ascii="Arial" w:hAnsi="Arial" w:cs="Arial"/>
          <w:sz w:val="18"/>
          <w:szCs w:val="18"/>
        </w:rPr>
        <w:t xml:space="preserve"> </w:t>
      </w:r>
      <w:r w:rsidRPr="00735726">
        <w:rPr>
          <w:rFonts w:ascii="Arial" w:hAnsi="Arial" w:cs="Arial"/>
          <w:sz w:val="18"/>
          <w:szCs w:val="18"/>
        </w:rPr>
        <w:br/>
        <w:t xml:space="preserve">Over this horizon we define key targets (operational, financial, sustainability) and we consider changing regulatory frameworks and emerging policies. We develop business plans every five years, defining our actions and investments over this period. Operational risks are planned and budgeted for over this time frame, and planning begins during this period for the next regulatory period. Transition risks and opportunities are likely to have the largest impacts to our business across this period, with physical risks projected to increase over time. </w:t>
      </w:r>
    </w:p>
    <w:p w14:paraId="4A5F2409" w14:textId="2FBFE843" w:rsidR="001D6C6F" w:rsidRPr="00735726" w:rsidRDefault="001D6C6F" w:rsidP="001D6C6F">
      <w:r w:rsidRPr="00735726">
        <w:rPr>
          <w:rFonts w:ascii="Arial" w:eastAsia="Times New Roman" w:hAnsi="Arial" w:cs="DINOT-Light"/>
          <w:b/>
          <w:bCs/>
          <w:color w:val="000000"/>
          <w:sz w:val="18"/>
          <w:szCs w:val="18"/>
        </w:rPr>
        <w:t xml:space="preserve">Medium-term </w:t>
      </w:r>
      <w:r w:rsidR="006C1BA9" w:rsidRPr="00735726">
        <w:rPr>
          <w:rFonts w:ascii="Arial" w:eastAsia="Times New Roman" w:hAnsi="Arial" w:cs="DINOT-Light"/>
          <w:b/>
          <w:bCs/>
          <w:color w:val="000000"/>
          <w:sz w:val="18"/>
          <w:szCs w:val="18"/>
        </w:rPr>
        <w:t xml:space="preserve">- </w:t>
      </w:r>
      <w:r w:rsidRPr="00735726">
        <w:rPr>
          <w:rFonts w:ascii="Arial" w:eastAsia="Times New Roman" w:hAnsi="Arial" w:cs="DINOT-Light"/>
          <w:b/>
          <w:bCs/>
          <w:color w:val="000000"/>
          <w:sz w:val="18"/>
          <w:szCs w:val="18"/>
        </w:rPr>
        <w:t>10 to 25 years</w:t>
      </w:r>
      <w:r w:rsidRPr="00735726">
        <w:rPr>
          <w:rFonts w:ascii="Arial" w:eastAsia="Times New Roman" w:hAnsi="Arial" w:cs="DINOT-Light"/>
          <w:b/>
          <w:bCs/>
          <w:color w:val="000000"/>
          <w:sz w:val="18"/>
          <w:szCs w:val="18"/>
        </w:rPr>
        <w:br/>
      </w:r>
      <w:r w:rsidRPr="00735726">
        <w:rPr>
          <w:rFonts w:ascii="Arial" w:eastAsia="Times New Roman" w:hAnsi="Arial" w:cs="DINOT-Light"/>
          <w:color w:val="000000"/>
          <w:sz w:val="18"/>
          <w:szCs w:val="18"/>
        </w:rPr>
        <w:t>Our WRMP and DWMP strategic plans consider requirements up to 25 years. Major projects and operational plans will be renewed and managed over this time frame to ensure projects meet the correct regulatory period plans. Our Net Zero targets fall within this horizon, as well as the UK’s 2050 Net Zero target, which will continue to present emerging policy and market changes. Transition risks and physical risks will both impact our business across this period to varying levels, depending on global GHG emissions and the Net Zero pathway taken by the UK and globally.</w:t>
      </w:r>
    </w:p>
    <w:p w14:paraId="3EF64131" w14:textId="703E1FD0" w:rsidR="001D6C6F" w:rsidRPr="00735726" w:rsidRDefault="001D6C6F" w:rsidP="001D6C6F">
      <w:pPr>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 xml:space="preserve">Long-term </w:t>
      </w:r>
      <w:r w:rsidR="006C1BA9" w:rsidRPr="00735726">
        <w:rPr>
          <w:rFonts w:ascii="Arial" w:eastAsia="Times New Roman" w:hAnsi="Arial" w:cs="DINOT-Light"/>
          <w:b/>
          <w:bCs/>
          <w:color w:val="000000"/>
          <w:sz w:val="18"/>
          <w:szCs w:val="18"/>
        </w:rPr>
        <w:t xml:space="preserve">- </w:t>
      </w:r>
      <w:r w:rsidRPr="00735726">
        <w:rPr>
          <w:rFonts w:ascii="Arial" w:eastAsia="Times New Roman" w:hAnsi="Arial" w:cs="DINOT-Light"/>
          <w:b/>
          <w:bCs/>
          <w:color w:val="000000"/>
          <w:sz w:val="18"/>
          <w:szCs w:val="18"/>
        </w:rPr>
        <w:t>25 years and beyond</w:t>
      </w:r>
      <w:r w:rsidRPr="00735726">
        <w:rPr>
          <w:rFonts w:ascii="Arial" w:eastAsia="Times New Roman" w:hAnsi="Arial" w:cs="DINOT-Light"/>
          <w:b/>
          <w:bCs/>
          <w:color w:val="000000"/>
          <w:sz w:val="18"/>
          <w:szCs w:val="18"/>
        </w:rPr>
        <w:br/>
      </w:r>
      <w:r w:rsidRPr="00735726">
        <w:rPr>
          <w:rFonts w:ascii="Arial" w:eastAsia="Times New Roman" w:hAnsi="Arial" w:cs="DINOT-Light"/>
          <w:color w:val="000000"/>
          <w:sz w:val="18"/>
          <w:szCs w:val="18"/>
        </w:rPr>
        <w:t>Typically for longer-term strategic direction, risk, and resilience planning. Investment requirements for our long-life assets are considered, such as mains pipes and reservoirs. Physical risks become very significant over this period. Current projections are that by 2100 the planet will have warmed by up to 3°C, however there is much uncertainty.</w:t>
      </w:r>
    </w:p>
    <w:p w14:paraId="5C3A5358" w14:textId="5158B5D8" w:rsidR="00B568F5" w:rsidRPr="00735726" w:rsidRDefault="00B568F5" w:rsidP="00B568F5">
      <w:pPr>
        <w:autoSpaceDE w:val="0"/>
        <w:autoSpaceDN w:val="0"/>
        <w:adjustRightInd w:val="0"/>
        <w:spacing w:after="0" w:line="240" w:lineRule="auto"/>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Physical climate risk scenarios</w:t>
      </w:r>
    </w:p>
    <w:p w14:paraId="449C3215" w14:textId="2632F31C" w:rsidR="00B568F5" w:rsidRPr="00735726" w:rsidRDefault="00B568F5" w:rsidP="00646F4F">
      <w:pPr>
        <w:pStyle w:val="ListParagraph"/>
        <w:numPr>
          <w:ilvl w:val="0"/>
          <w:numId w:val="39"/>
        </w:numPr>
        <w:spacing w:after="160"/>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RCP2.6: Lower Physical Impacts</w:t>
      </w:r>
      <w:r w:rsidRPr="00735726">
        <w:rPr>
          <w:rFonts w:ascii="Arial" w:eastAsia="Times New Roman" w:hAnsi="Arial" w:cs="DINOT-Light"/>
          <w:color w:val="000000"/>
          <w:sz w:val="18"/>
          <w:szCs w:val="18"/>
        </w:rPr>
        <w:t xml:space="preserve">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 xml:space="preserve">less than 2°C warming scenario by the year 2100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 xml:space="preserve">corresponding to a low </w:t>
      </w:r>
      <w:proofErr w:type="gramStart"/>
      <w:r w:rsidRPr="00735726">
        <w:rPr>
          <w:rFonts w:ascii="Arial" w:eastAsia="Times New Roman" w:hAnsi="Arial" w:cs="DINOT-Light"/>
          <w:color w:val="000000"/>
          <w:sz w:val="18"/>
          <w:szCs w:val="18"/>
        </w:rPr>
        <w:t>emissions</w:t>
      </w:r>
      <w:proofErr w:type="gramEnd"/>
      <w:r w:rsidRPr="00735726">
        <w:rPr>
          <w:rFonts w:ascii="Arial" w:eastAsia="Times New Roman" w:hAnsi="Arial" w:cs="DINOT-Light"/>
          <w:color w:val="000000"/>
          <w:sz w:val="18"/>
          <w:szCs w:val="18"/>
        </w:rPr>
        <w:t xml:space="preserve"> ‘optimistic’ scenario.</w:t>
      </w:r>
    </w:p>
    <w:p w14:paraId="373A24AC" w14:textId="5C387C42" w:rsidR="00B568F5" w:rsidRPr="00735726" w:rsidRDefault="00B568F5" w:rsidP="00646F4F">
      <w:pPr>
        <w:pStyle w:val="ListParagraph"/>
        <w:numPr>
          <w:ilvl w:val="0"/>
          <w:numId w:val="39"/>
        </w:numPr>
        <w:spacing w:after="160"/>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RCP8.5: High Physical Impacts</w:t>
      </w:r>
      <w:r w:rsidRPr="00735726">
        <w:rPr>
          <w:rFonts w:ascii="Arial" w:eastAsia="Times New Roman" w:hAnsi="Arial" w:cs="DINOT-Light"/>
          <w:color w:val="000000"/>
          <w:sz w:val="18"/>
          <w:szCs w:val="18"/>
        </w:rPr>
        <w:t xml:space="preserve">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 xml:space="preserve">Up to 4°C warming scenario by the year 2100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corresponding to a high emissions ‘business-as-usual’ scenario, which is appropriate to use when considering high risks.</w:t>
      </w:r>
    </w:p>
    <w:p w14:paraId="7BFD8B02" w14:textId="323F9FDE" w:rsidR="00B568F5" w:rsidRPr="00735726" w:rsidRDefault="00B568F5" w:rsidP="00B568F5">
      <w:pP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Transition climate risk scenarios</w:t>
      </w:r>
    </w:p>
    <w:p w14:paraId="48CAD884" w14:textId="18C085E3" w:rsidR="00B568F5" w:rsidRPr="00735726" w:rsidRDefault="00B568F5" w:rsidP="00646F4F">
      <w:pPr>
        <w:pStyle w:val="ListParagraph"/>
        <w:numPr>
          <w:ilvl w:val="0"/>
          <w:numId w:val="40"/>
        </w:numPr>
        <w:spacing w:after="160"/>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Net Zero 2050</w:t>
      </w:r>
      <w:r w:rsidRPr="00735726">
        <w:rPr>
          <w:rFonts w:ascii="Arial" w:eastAsia="Times New Roman" w:hAnsi="Arial" w:cs="DINOT-Light"/>
          <w:color w:val="000000"/>
          <w:sz w:val="18"/>
          <w:szCs w:val="18"/>
        </w:rPr>
        <w:t>: The UK puts in place strong policies and actions to mitigate climate change and keep warming to under 2°C by 2100, aligned with the Paris Agreement. Supportive policies are introduced quickly and smoothly, enabling rapid technology and system change.</w:t>
      </w:r>
    </w:p>
    <w:p w14:paraId="2CDFABAF" w14:textId="77777777" w:rsidR="00B568F5" w:rsidRPr="00735726" w:rsidRDefault="00B568F5" w:rsidP="00646F4F">
      <w:pPr>
        <w:pStyle w:val="ListParagraph"/>
        <w:numPr>
          <w:ilvl w:val="0"/>
          <w:numId w:val="40"/>
        </w:numPr>
        <w:spacing w:after="160"/>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Current Policies</w:t>
      </w:r>
      <w:r w:rsidRPr="00735726">
        <w:rPr>
          <w:rFonts w:ascii="Arial" w:hAnsi="Arial" w:cs="Arial"/>
          <w:sz w:val="18"/>
          <w:szCs w:val="18"/>
        </w:rPr>
        <w:t>: The UK makes incremental progress to mitigate climate change, but no major policies change, resulting in limited action to keep warming below 4°C by 2100, and missing the targets of the Paris Agreement. Technology and system change is slow and stalls.</w:t>
      </w:r>
    </w:p>
    <w:p w14:paraId="57467CB5" w14:textId="77777777" w:rsidR="000279A1" w:rsidRPr="00735726" w:rsidRDefault="000279A1">
      <w:pPr>
        <w:spacing w:after="160" w:line="259" w:lineRule="auto"/>
        <w:rPr>
          <w:rFonts w:ascii="Arial" w:eastAsia="Times New Roman" w:hAnsi="Arial" w:cs="DINOT"/>
          <w:b/>
          <w:bCs/>
          <w:caps/>
          <w:sz w:val="18"/>
        </w:rPr>
      </w:pPr>
      <w:r w:rsidRPr="00735726">
        <w:rPr>
          <w:rFonts w:ascii="Arial" w:eastAsia="Times New Roman" w:hAnsi="Arial" w:cs="DINOT"/>
          <w:b/>
          <w:bCs/>
          <w:caps/>
          <w:sz w:val="18"/>
        </w:rPr>
        <w:br w:type="page"/>
      </w:r>
    </w:p>
    <w:p w14:paraId="383EBC9C" w14:textId="7425554E" w:rsidR="001D6C6F" w:rsidRPr="00735726" w:rsidRDefault="00B568F5" w:rsidP="00B568F5">
      <w:pPr>
        <w:spacing w:after="160"/>
        <w:rPr>
          <w:rFonts w:ascii="Arial" w:eastAsia="Times New Roman" w:hAnsi="Arial" w:cs="DINOT-Light"/>
          <w:color w:val="000000"/>
          <w:sz w:val="18"/>
          <w:szCs w:val="18"/>
        </w:rPr>
      </w:pPr>
      <w:r w:rsidRPr="00735726">
        <w:rPr>
          <w:rFonts w:ascii="Arial" w:eastAsia="Times New Roman" w:hAnsi="Arial" w:cs="DINOT"/>
          <w:b/>
          <w:bCs/>
          <w:caps/>
          <w:sz w:val="18"/>
        </w:rPr>
        <w:lastRenderedPageBreak/>
        <w:t>SCENARIO ANALYSIS - Physical CLIMATE risks</w:t>
      </w:r>
      <w:r w:rsidRPr="00735726">
        <w:rPr>
          <w:rFonts w:ascii="Arial" w:eastAsia="Times New Roman" w:hAnsi="Arial" w:cs="DINOT"/>
          <w:b/>
          <w:bCs/>
          <w:caps/>
          <w:sz w:val="18"/>
        </w:rPr>
        <w:br/>
      </w:r>
      <w:r w:rsidRPr="00735726">
        <w:rPr>
          <w:rFonts w:ascii="Arial" w:eastAsia="Times New Roman" w:hAnsi="Arial" w:cs="DINOT-Light"/>
          <w:color w:val="000000"/>
          <w:sz w:val="18"/>
          <w:szCs w:val="18"/>
        </w:rPr>
        <w:t>Our key physical climate risks:</w:t>
      </w:r>
    </w:p>
    <w:tbl>
      <w:tblPr>
        <w:tblStyle w:val="TableGrid"/>
        <w:tblW w:w="0" w:type="auto"/>
        <w:tblLook w:val="04A0" w:firstRow="1" w:lastRow="0" w:firstColumn="1" w:lastColumn="0" w:noHBand="0" w:noVBand="1"/>
      </w:tblPr>
      <w:tblGrid>
        <w:gridCol w:w="1804"/>
        <w:gridCol w:w="1384"/>
        <w:gridCol w:w="1407"/>
        <w:gridCol w:w="4421"/>
      </w:tblGrid>
      <w:tr w:rsidR="00B568F5" w:rsidRPr="00735726" w14:paraId="00C4C6D6" w14:textId="77777777" w:rsidTr="00C35FA9">
        <w:tc>
          <w:tcPr>
            <w:tcW w:w="1838" w:type="dxa"/>
            <w:shd w:val="clear" w:color="auto" w:fill="002060"/>
          </w:tcPr>
          <w:p w14:paraId="7C90BA26" w14:textId="38AF9513" w:rsidR="00B568F5" w:rsidRPr="00735726" w:rsidRDefault="00B568F5" w:rsidP="00B568F5">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Principal Risk</w:t>
            </w:r>
          </w:p>
        </w:tc>
        <w:tc>
          <w:tcPr>
            <w:tcW w:w="1418" w:type="dxa"/>
            <w:shd w:val="clear" w:color="auto" w:fill="002060"/>
          </w:tcPr>
          <w:p w14:paraId="57423971" w14:textId="310DDFA7" w:rsidR="00B568F5" w:rsidRPr="00735726" w:rsidRDefault="00B568F5" w:rsidP="00B568F5">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Time horizon</w:t>
            </w:r>
          </w:p>
        </w:tc>
        <w:tc>
          <w:tcPr>
            <w:tcW w:w="1134" w:type="dxa"/>
            <w:shd w:val="clear" w:color="auto" w:fill="002060"/>
          </w:tcPr>
          <w:p w14:paraId="22A284C9" w14:textId="7972F53B" w:rsidR="00B568F5" w:rsidRPr="00735726" w:rsidRDefault="00B568F5" w:rsidP="00B568F5">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Current risk rating and trend</w:t>
            </w:r>
          </w:p>
        </w:tc>
        <w:tc>
          <w:tcPr>
            <w:tcW w:w="4626" w:type="dxa"/>
            <w:shd w:val="clear" w:color="auto" w:fill="002060"/>
          </w:tcPr>
          <w:p w14:paraId="4FCCD99A" w14:textId="52D34F7E" w:rsidR="00B568F5" w:rsidRPr="00735726" w:rsidRDefault="00B568F5" w:rsidP="00B568F5">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Key impacts of physical climate risks</w:t>
            </w:r>
          </w:p>
        </w:tc>
      </w:tr>
      <w:tr w:rsidR="00C35FA9" w:rsidRPr="00735726" w14:paraId="64F71050" w14:textId="77777777" w:rsidTr="00C35FA9">
        <w:tc>
          <w:tcPr>
            <w:tcW w:w="1838" w:type="dxa"/>
          </w:tcPr>
          <w:p w14:paraId="180CA3B6" w14:textId="7D10816C" w:rsidR="00C35FA9" w:rsidRPr="00735726" w:rsidRDefault="00C35FA9" w:rsidP="00C35FA9">
            <w:pPr>
              <w:spacing w:after="160"/>
              <w:rPr>
                <w:rFonts w:ascii="Arial" w:hAnsi="Arial" w:cs="DINOT-Light"/>
                <w:color w:val="000000"/>
                <w:sz w:val="18"/>
                <w:szCs w:val="18"/>
              </w:rPr>
            </w:pPr>
            <w:r w:rsidRPr="00735726">
              <w:rPr>
                <w:rFonts w:ascii="Arial" w:hAnsi="Arial" w:cs="DINOT-Light"/>
                <w:color w:val="000000"/>
                <w:sz w:val="18"/>
                <w:szCs w:val="18"/>
              </w:rPr>
              <w:t>Chronic: Increasing frequency and intensity of droughts</w:t>
            </w:r>
          </w:p>
        </w:tc>
        <w:tc>
          <w:tcPr>
            <w:tcW w:w="1418" w:type="dxa"/>
          </w:tcPr>
          <w:p w14:paraId="37F137CA" w14:textId="0055D61D"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Short, medium and long-term</w:t>
            </w:r>
          </w:p>
        </w:tc>
        <w:tc>
          <w:tcPr>
            <w:tcW w:w="1134" w:type="dxa"/>
          </w:tcPr>
          <w:p w14:paraId="3BF607FA" w14:textId="6BA46EEE"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MEDIUM, STABLE</w:t>
            </w:r>
          </w:p>
        </w:tc>
        <w:tc>
          <w:tcPr>
            <w:tcW w:w="4626" w:type="dxa"/>
            <w:vMerge w:val="restart"/>
          </w:tcPr>
          <w:p w14:paraId="3DE19A48" w14:textId="77777777" w:rsidR="00C35FA9" w:rsidRPr="00735726" w:rsidRDefault="00C35FA9" w:rsidP="00C35FA9">
            <w:pPr>
              <w:spacing w:after="160"/>
              <w:rPr>
                <w:rFonts w:ascii="Arial" w:hAnsi="Arial" w:cs="DINOT-Light"/>
                <w:color w:val="000000"/>
                <w:sz w:val="18"/>
                <w:szCs w:val="18"/>
              </w:rPr>
            </w:pPr>
            <w:r w:rsidRPr="00735726">
              <w:rPr>
                <w:rFonts w:ascii="Arial" w:hAnsi="Arial" w:cs="DINOT-Light"/>
                <w:b/>
                <w:bCs/>
                <w:color w:val="000000"/>
                <w:sz w:val="18"/>
                <w:szCs w:val="18"/>
              </w:rPr>
              <w:t>Climate impacts will affect our ability to provide reliable services to customers.</w:t>
            </w:r>
            <w:r w:rsidRPr="00735726">
              <w:rPr>
                <w:rFonts w:ascii="Arial" w:hAnsi="Arial" w:cs="DINOT-Light"/>
                <w:color w:val="000000"/>
                <w:sz w:val="18"/>
                <w:szCs w:val="18"/>
              </w:rPr>
              <w:t xml:space="preserve"> Climate change will impact water resources and pose greater risks of supply shortages, as well as to our water and wastewater treatment and networks. Without adaptation, this would result in increased service disruptions and reduced outcomes for customers and the environment. For example, climate change is driving increases to rainfall which could contribute to greater storm overflows if left unmanaged and pose risks of flooding and damaging our assets.</w:t>
            </w:r>
          </w:p>
          <w:p w14:paraId="2CDA3F5F" w14:textId="77777777" w:rsidR="00C35FA9" w:rsidRPr="00735726" w:rsidRDefault="00C35FA9" w:rsidP="00C35FA9">
            <w:pPr>
              <w:spacing w:after="160"/>
              <w:rPr>
                <w:rFonts w:ascii="Arial" w:hAnsi="Arial" w:cs="DINOT-Light"/>
                <w:color w:val="000000"/>
                <w:sz w:val="18"/>
                <w:szCs w:val="18"/>
              </w:rPr>
            </w:pPr>
            <w:r w:rsidRPr="00735726">
              <w:rPr>
                <w:rFonts w:ascii="Arial" w:hAnsi="Arial" w:cs="DINOT-Light"/>
                <w:b/>
                <w:bCs/>
                <w:color w:val="000000"/>
                <w:sz w:val="18"/>
                <w:szCs w:val="18"/>
              </w:rPr>
              <w:t>Investment required is high, but the cost of inaction is much higher.</w:t>
            </w:r>
            <w:r w:rsidRPr="00735726">
              <w:rPr>
                <w:rFonts w:ascii="Arial" w:hAnsi="Arial" w:cs="DINOT-Light"/>
                <w:color w:val="000000"/>
                <w:sz w:val="18"/>
                <w:szCs w:val="18"/>
              </w:rPr>
              <w:t xml:space="preserve"> Our risk assessment clearly shows long-term significant risks if the impacts of climate change are not mitigated. For example, we have 36 major sites/assets at high-risk of coastal flooding and erosion. We operate over £7 billion of assets, which relate to water and wastewater and will be impacted by climate change in some way. Drought in the </w:t>
            </w:r>
            <w:proofErr w:type="gramStart"/>
            <w:r w:rsidRPr="00735726">
              <w:rPr>
                <w:rFonts w:ascii="Arial" w:hAnsi="Arial" w:cs="DINOT-Light"/>
                <w:color w:val="000000"/>
                <w:sz w:val="18"/>
                <w:szCs w:val="18"/>
              </w:rPr>
              <w:t>South West</w:t>
            </w:r>
            <w:proofErr w:type="gramEnd"/>
            <w:r w:rsidRPr="00735726">
              <w:rPr>
                <w:rFonts w:ascii="Arial" w:hAnsi="Arial" w:cs="DINOT-Light"/>
                <w:color w:val="000000"/>
                <w:sz w:val="18"/>
                <w:szCs w:val="18"/>
              </w:rPr>
              <w:t xml:space="preserve"> in 2022 cost the Company around £20 million, and following this we have continued to invest to enhance resilience.</w:t>
            </w:r>
          </w:p>
          <w:p w14:paraId="60497A79" w14:textId="77777777" w:rsidR="00C35FA9" w:rsidRPr="00735726" w:rsidRDefault="00C35FA9" w:rsidP="00C35FA9">
            <w:pPr>
              <w:spacing w:after="160"/>
              <w:rPr>
                <w:rFonts w:ascii="Arial" w:hAnsi="Arial" w:cs="DINOT-Light"/>
                <w:color w:val="000000"/>
                <w:sz w:val="18"/>
                <w:szCs w:val="18"/>
              </w:rPr>
            </w:pPr>
            <w:r w:rsidRPr="00735726">
              <w:rPr>
                <w:rFonts w:ascii="Arial" w:hAnsi="Arial" w:cs="DINOT-Light"/>
                <w:b/>
                <w:bCs/>
                <w:color w:val="000000"/>
                <w:sz w:val="18"/>
                <w:szCs w:val="18"/>
              </w:rPr>
              <w:t>Unmitigated risks would have material impacts on our business.</w:t>
            </w:r>
            <w:r w:rsidRPr="00735726">
              <w:rPr>
                <w:rFonts w:ascii="Arial" w:hAnsi="Arial" w:cs="DINOT-Light"/>
                <w:color w:val="000000"/>
                <w:sz w:val="18"/>
                <w:szCs w:val="18"/>
              </w:rPr>
              <w:t xml:space="preserve"> This would include additional expenditure (</w:t>
            </w:r>
            <w:proofErr w:type="spellStart"/>
            <w:r w:rsidRPr="00735726">
              <w:rPr>
                <w:rFonts w:ascii="Arial" w:hAnsi="Arial" w:cs="DINOT-Light"/>
                <w:color w:val="000000"/>
                <w:sz w:val="18"/>
                <w:szCs w:val="18"/>
              </w:rPr>
              <w:t>Opex</w:t>
            </w:r>
            <w:proofErr w:type="spellEnd"/>
            <w:r w:rsidRPr="00735726">
              <w:rPr>
                <w:rFonts w:ascii="Arial" w:hAnsi="Arial" w:cs="DINOT-Light"/>
                <w:color w:val="000000"/>
                <w:sz w:val="18"/>
                <w:szCs w:val="18"/>
              </w:rPr>
              <w:t xml:space="preserve"> and Capex) to recover from service interruptions and repair or replace deteriorated </w:t>
            </w:r>
            <w:proofErr w:type="gramStart"/>
            <w:r w:rsidRPr="00735726">
              <w:rPr>
                <w:rFonts w:ascii="Arial" w:hAnsi="Arial" w:cs="DINOT-Light"/>
                <w:color w:val="000000"/>
                <w:sz w:val="18"/>
                <w:szCs w:val="18"/>
              </w:rPr>
              <w:t>assets, and</w:t>
            </w:r>
            <w:proofErr w:type="gramEnd"/>
            <w:r w:rsidRPr="00735726">
              <w:rPr>
                <w:rFonts w:ascii="Arial" w:hAnsi="Arial" w:cs="DINOT-Light"/>
                <w:color w:val="000000"/>
                <w:sz w:val="18"/>
                <w:szCs w:val="18"/>
              </w:rPr>
              <w:t xml:space="preserve"> would result in more frequent and greater ODI penalties.</w:t>
            </w:r>
          </w:p>
          <w:p w14:paraId="689CDDD5" w14:textId="1D27B954" w:rsidR="00C35FA9" w:rsidRPr="00735726" w:rsidRDefault="00C35FA9" w:rsidP="00C35FA9">
            <w:pPr>
              <w:spacing w:after="160"/>
              <w:rPr>
                <w:rFonts w:ascii="Arial" w:hAnsi="Arial" w:cs="DINOT-Light"/>
                <w:color w:val="000000"/>
                <w:sz w:val="18"/>
                <w:szCs w:val="18"/>
              </w:rPr>
            </w:pPr>
            <w:r w:rsidRPr="00735726">
              <w:rPr>
                <w:rFonts w:ascii="Arial" w:hAnsi="Arial" w:cs="DINOT-Light"/>
                <w:b/>
                <w:bCs/>
                <w:color w:val="000000"/>
                <w:sz w:val="18"/>
                <w:szCs w:val="18"/>
              </w:rPr>
              <w:t>Impacts are worse with every bit of additional warming.</w:t>
            </w:r>
            <w:r w:rsidRPr="00735726">
              <w:rPr>
                <w:rFonts w:ascii="Arial" w:hAnsi="Arial" w:cs="DINOT-Light"/>
                <w:color w:val="000000"/>
                <w:sz w:val="18"/>
                <w:szCs w:val="18"/>
              </w:rPr>
              <w:t xml:space="preserve"> Impacts would increase over each time horizon as extreme weather events increase in frequency and magnitude and are compounded by chronic climate change. Additionally, the natural environment which we are dependent on would also decline over time, creating greater costs and impacts for us (e.g. reducing water quality and quantity).</w:t>
            </w:r>
          </w:p>
        </w:tc>
      </w:tr>
      <w:tr w:rsidR="00C35FA9" w:rsidRPr="00735726" w14:paraId="000AFA20" w14:textId="77777777" w:rsidTr="00C35FA9">
        <w:tc>
          <w:tcPr>
            <w:tcW w:w="1838" w:type="dxa"/>
          </w:tcPr>
          <w:p w14:paraId="7539C864" w14:textId="66FB77DA" w:rsidR="00C35FA9" w:rsidRPr="00735726" w:rsidRDefault="00C35FA9" w:rsidP="00C35FA9">
            <w:pPr>
              <w:spacing w:after="160"/>
              <w:rPr>
                <w:rFonts w:ascii="Arial" w:hAnsi="Arial" w:cs="DINOT-Light"/>
                <w:color w:val="000000"/>
                <w:sz w:val="18"/>
                <w:szCs w:val="18"/>
              </w:rPr>
            </w:pPr>
            <w:r w:rsidRPr="00735726">
              <w:rPr>
                <w:rFonts w:ascii="Arial" w:hAnsi="Arial" w:cs="DINOT-Light"/>
                <w:color w:val="000000"/>
                <w:sz w:val="18"/>
                <w:szCs w:val="18"/>
              </w:rPr>
              <w:t>Chronic: Increasing average and high temperatures</w:t>
            </w:r>
          </w:p>
        </w:tc>
        <w:tc>
          <w:tcPr>
            <w:tcW w:w="1418" w:type="dxa"/>
          </w:tcPr>
          <w:p w14:paraId="44C9A3C8" w14:textId="6580380B"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Short, medium and long-term</w:t>
            </w:r>
          </w:p>
        </w:tc>
        <w:tc>
          <w:tcPr>
            <w:tcW w:w="1134" w:type="dxa"/>
          </w:tcPr>
          <w:p w14:paraId="069D0873" w14:textId="56C81FE0"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MEDIUM, STABLE</w:t>
            </w:r>
          </w:p>
        </w:tc>
        <w:tc>
          <w:tcPr>
            <w:tcW w:w="4626" w:type="dxa"/>
            <w:vMerge/>
          </w:tcPr>
          <w:p w14:paraId="5159E09E" w14:textId="77777777" w:rsidR="00C35FA9" w:rsidRPr="009A2CAE" w:rsidRDefault="00C35FA9" w:rsidP="00B568F5">
            <w:pPr>
              <w:spacing w:after="160"/>
              <w:rPr>
                <w:rFonts w:ascii="Arial" w:hAnsi="Arial" w:cs="DINOT-Light"/>
                <w:color w:val="000000"/>
                <w:sz w:val="18"/>
                <w:szCs w:val="18"/>
              </w:rPr>
            </w:pPr>
          </w:p>
        </w:tc>
      </w:tr>
      <w:tr w:rsidR="00C35FA9" w:rsidRPr="00735726" w14:paraId="225945A1" w14:textId="77777777" w:rsidTr="00C35FA9">
        <w:tc>
          <w:tcPr>
            <w:tcW w:w="1838" w:type="dxa"/>
          </w:tcPr>
          <w:p w14:paraId="402A403E" w14:textId="0C4CB525" w:rsidR="00C35FA9" w:rsidRPr="00735726" w:rsidRDefault="00C35FA9" w:rsidP="00C35FA9">
            <w:pPr>
              <w:spacing w:after="160"/>
              <w:rPr>
                <w:rFonts w:ascii="Arial" w:hAnsi="Arial" w:cs="DINOT-Light"/>
                <w:color w:val="000000"/>
                <w:sz w:val="18"/>
                <w:szCs w:val="18"/>
              </w:rPr>
            </w:pPr>
            <w:r w:rsidRPr="00735726">
              <w:rPr>
                <w:rFonts w:ascii="Arial" w:hAnsi="Arial" w:cs="DINOT-Light"/>
                <w:color w:val="000000"/>
                <w:sz w:val="18"/>
                <w:szCs w:val="18"/>
              </w:rPr>
              <w:t>Chronic: Increasing frequency of heavy rainfall and floods</w:t>
            </w:r>
          </w:p>
        </w:tc>
        <w:tc>
          <w:tcPr>
            <w:tcW w:w="1418" w:type="dxa"/>
          </w:tcPr>
          <w:p w14:paraId="2FEF6138" w14:textId="02F2D8D0"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Short, medium and long-term</w:t>
            </w:r>
          </w:p>
        </w:tc>
        <w:tc>
          <w:tcPr>
            <w:tcW w:w="1134" w:type="dxa"/>
          </w:tcPr>
          <w:p w14:paraId="0D716887" w14:textId="2A4BEC33"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 xml:space="preserve">HIGH, </w:t>
            </w:r>
            <w:r w:rsidR="0000123D" w:rsidRPr="00735726">
              <w:rPr>
                <w:rFonts w:ascii="Arial" w:hAnsi="Arial" w:cs="DINOT-Light"/>
                <w:color w:val="000000"/>
                <w:sz w:val="18"/>
                <w:szCs w:val="18"/>
              </w:rPr>
              <w:t>DECREASING</w:t>
            </w:r>
          </w:p>
        </w:tc>
        <w:tc>
          <w:tcPr>
            <w:tcW w:w="4626" w:type="dxa"/>
            <w:vMerge/>
          </w:tcPr>
          <w:p w14:paraId="52C3CBF3" w14:textId="77777777" w:rsidR="00C35FA9" w:rsidRPr="009A2CAE" w:rsidRDefault="00C35FA9" w:rsidP="00B568F5">
            <w:pPr>
              <w:spacing w:after="160"/>
              <w:rPr>
                <w:rFonts w:ascii="Arial" w:hAnsi="Arial" w:cs="DINOT-Light"/>
                <w:color w:val="000000"/>
                <w:sz w:val="18"/>
                <w:szCs w:val="18"/>
              </w:rPr>
            </w:pPr>
          </w:p>
        </w:tc>
      </w:tr>
      <w:tr w:rsidR="00C35FA9" w:rsidRPr="00735726" w14:paraId="785E47CE" w14:textId="77777777" w:rsidTr="00C35FA9">
        <w:tc>
          <w:tcPr>
            <w:tcW w:w="1838" w:type="dxa"/>
          </w:tcPr>
          <w:p w14:paraId="253E02A6" w14:textId="7C9A5820" w:rsidR="00C35FA9" w:rsidRPr="00735726" w:rsidRDefault="00C35FA9" w:rsidP="00C35FA9">
            <w:pPr>
              <w:spacing w:after="160"/>
              <w:rPr>
                <w:rFonts w:ascii="Arial" w:hAnsi="Arial" w:cs="DINOT-Light"/>
                <w:color w:val="000000"/>
                <w:sz w:val="18"/>
                <w:szCs w:val="18"/>
              </w:rPr>
            </w:pPr>
            <w:r w:rsidRPr="00735726">
              <w:rPr>
                <w:rFonts w:ascii="Arial" w:hAnsi="Arial" w:cs="DINOT-Light"/>
                <w:color w:val="000000"/>
                <w:sz w:val="18"/>
                <w:szCs w:val="18"/>
              </w:rPr>
              <w:t>Chronic: Rising sea levels and coastal erosion</w:t>
            </w:r>
          </w:p>
        </w:tc>
        <w:tc>
          <w:tcPr>
            <w:tcW w:w="1418" w:type="dxa"/>
          </w:tcPr>
          <w:p w14:paraId="56F8507A" w14:textId="39745CBC"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Short, medium and long-term</w:t>
            </w:r>
          </w:p>
        </w:tc>
        <w:tc>
          <w:tcPr>
            <w:tcW w:w="1134" w:type="dxa"/>
          </w:tcPr>
          <w:p w14:paraId="0F343EAD" w14:textId="567BAA9E"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MEDIUM, STABLE</w:t>
            </w:r>
          </w:p>
        </w:tc>
        <w:tc>
          <w:tcPr>
            <w:tcW w:w="4626" w:type="dxa"/>
            <w:vMerge/>
          </w:tcPr>
          <w:p w14:paraId="62552AF8" w14:textId="77777777" w:rsidR="00C35FA9" w:rsidRPr="009A2CAE" w:rsidRDefault="00C35FA9" w:rsidP="00B568F5">
            <w:pPr>
              <w:spacing w:after="160"/>
              <w:rPr>
                <w:rFonts w:ascii="Arial" w:hAnsi="Arial" w:cs="DINOT-Light"/>
                <w:color w:val="000000"/>
                <w:sz w:val="18"/>
                <w:szCs w:val="18"/>
              </w:rPr>
            </w:pPr>
          </w:p>
        </w:tc>
      </w:tr>
      <w:tr w:rsidR="00C35FA9" w:rsidRPr="00735726" w14:paraId="61CB3BE2" w14:textId="77777777" w:rsidTr="00C35FA9">
        <w:tc>
          <w:tcPr>
            <w:tcW w:w="1838" w:type="dxa"/>
          </w:tcPr>
          <w:p w14:paraId="55D0E616" w14:textId="01BC127F" w:rsidR="00C35FA9" w:rsidRPr="00735726" w:rsidRDefault="00C35FA9" w:rsidP="00C35FA9">
            <w:pPr>
              <w:spacing w:after="160"/>
              <w:rPr>
                <w:rFonts w:ascii="Arial" w:hAnsi="Arial" w:cs="DINOT-Light"/>
                <w:color w:val="000000"/>
                <w:sz w:val="18"/>
                <w:szCs w:val="18"/>
              </w:rPr>
            </w:pPr>
            <w:r w:rsidRPr="00735726">
              <w:rPr>
                <w:rFonts w:ascii="Arial" w:hAnsi="Arial" w:cs="DINOT-Light"/>
                <w:color w:val="000000"/>
                <w:sz w:val="18"/>
                <w:szCs w:val="18"/>
              </w:rPr>
              <w:t>Acute: Increasing frequency of extreme weather events, heatwaves and storms</w:t>
            </w:r>
          </w:p>
        </w:tc>
        <w:tc>
          <w:tcPr>
            <w:tcW w:w="1418" w:type="dxa"/>
          </w:tcPr>
          <w:p w14:paraId="4A17C776" w14:textId="4016627B"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Short, medium and long-term</w:t>
            </w:r>
          </w:p>
        </w:tc>
        <w:tc>
          <w:tcPr>
            <w:tcW w:w="1134" w:type="dxa"/>
          </w:tcPr>
          <w:p w14:paraId="0D4BE22C" w14:textId="614D4BDC" w:rsidR="00C35FA9" w:rsidRPr="00735726" w:rsidRDefault="00C35FA9" w:rsidP="00B568F5">
            <w:pPr>
              <w:spacing w:after="160"/>
              <w:rPr>
                <w:rFonts w:ascii="Arial" w:hAnsi="Arial" w:cs="DINOT-Light"/>
                <w:color w:val="000000"/>
                <w:sz w:val="18"/>
                <w:szCs w:val="18"/>
              </w:rPr>
            </w:pPr>
            <w:r w:rsidRPr="00735726">
              <w:rPr>
                <w:rFonts w:ascii="Arial" w:hAnsi="Arial" w:cs="DINOT-Light"/>
                <w:color w:val="000000"/>
                <w:sz w:val="18"/>
                <w:szCs w:val="18"/>
              </w:rPr>
              <w:t>MEDIUM, STABLE</w:t>
            </w:r>
          </w:p>
        </w:tc>
        <w:tc>
          <w:tcPr>
            <w:tcW w:w="4626" w:type="dxa"/>
            <w:vMerge/>
          </w:tcPr>
          <w:p w14:paraId="33305F78" w14:textId="77777777" w:rsidR="00C35FA9" w:rsidRPr="009A2CAE" w:rsidRDefault="00C35FA9" w:rsidP="00B568F5">
            <w:pPr>
              <w:spacing w:after="160"/>
              <w:rPr>
                <w:rFonts w:ascii="Arial" w:hAnsi="Arial" w:cs="DINOT-Light"/>
                <w:color w:val="000000"/>
                <w:sz w:val="18"/>
                <w:szCs w:val="18"/>
              </w:rPr>
            </w:pPr>
          </w:p>
        </w:tc>
      </w:tr>
    </w:tbl>
    <w:p w14:paraId="231D319A" w14:textId="77777777" w:rsidR="00B568F5" w:rsidRPr="00735726" w:rsidRDefault="00B568F5" w:rsidP="00B568F5">
      <w:pPr>
        <w:spacing w:after="160"/>
        <w:rPr>
          <w:rFonts w:ascii="Arial" w:eastAsia="Times New Roman" w:hAnsi="Arial" w:cs="DINOT-Light"/>
          <w:color w:val="000000"/>
          <w:sz w:val="18"/>
          <w:szCs w:val="18"/>
        </w:rPr>
      </w:pPr>
    </w:p>
    <w:p w14:paraId="531F29C9" w14:textId="531318EF" w:rsidR="001D6C6F" w:rsidRPr="00735726" w:rsidRDefault="003A6A8A" w:rsidP="003A6A8A">
      <w:pPr>
        <w:rPr>
          <w:rFonts w:ascii="Arial" w:hAnsi="Arial" w:cs="Arial"/>
          <w:b/>
          <w:bCs/>
          <w:sz w:val="18"/>
          <w:szCs w:val="18"/>
        </w:rPr>
      </w:pPr>
      <w:r w:rsidRPr="00735726">
        <w:rPr>
          <w:rFonts w:ascii="Arial" w:hAnsi="Arial" w:cs="Arial"/>
          <w:b/>
          <w:bCs/>
          <w:sz w:val="18"/>
          <w:szCs w:val="18"/>
        </w:rPr>
        <w:t>OUR STRATEGIC RESPONSES TO PHYSICAL CLIMATE RISKS</w:t>
      </w:r>
    </w:p>
    <w:p w14:paraId="5E088366" w14:textId="77777777" w:rsidR="003A6A8A" w:rsidRPr="00735726" w:rsidRDefault="003A6A8A" w:rsidP="00BF7DBC">
      <w:pPr>
        <w:rPr>
          <w:rFonts w:ascii="Arial" w:hAnsi="Arial" w:cs="Arial"/>
          <w:sz w:val="18"/>
          <w:szCs w:val="18"/>
        </w:rPr>
      </w:pPr>
      <w:r w:rsidRPr="00735726">
        <w:rPr>
          <w:rFonts w:ascii="Arial" w:hAnsi="Arial" w:cs="Arial"/>
          <w:sz w:val="18"/>
          <w:szCs w:val="18"/>
        </w:rPr>
        <w:t xml:space="preserve">Our strategy for managing physical climate risks and financial impacts is underpinned by the following principles </w:t>
      </w:r>
      <w:proofErr w:type="gramStart"/>
      <w:r w:rsidRPr="00735726">
        <w:rPr>
          <w:rFonts w:ascii="Arial" w:hAnsi="Arial" w:cs="Arial"/>
          <w:sz w:val="18"/>
          <w:szCs w:val="18"/>
        </w:rPr>
        <w:t>in order to</w:t>
      </w:r>
      <w:proofErr w:type="gramEnd"/>
      <w:r w:rsidRPr="00735726">
        <w:rPr>
          <w:rFonts w:ascii="Arial" w:hAnsi="Arial" w:cs="Arial"/>
          <w:sz w:val="18"/>
          <w:szCs w:val="18"/>
        </w:rPr>
        <w:t xml:space="preserve"> maintain and improve our Company’s performance to the year 2050: </w:t>
      </w:r>
    </w:p>
    <w:p w14:paraId="35C97089" w14:textId="77777777" w:rsidR="003A6A8A" w:rsidRPr="00735726" w:rsidRDefault="003A6A8A" w:rsidP="00646F4F">
      <w:pPr>
        <w:pStyle w:val="ListParagraph"/>
        <w:numPr>
          <w:ilvl w:val="0"/>
          <w:numId w:val="91"/>
        </w:numPr>
        <w:rPr>
          <w:rFonts w:ascii="Arial" w:hAnsi="Arial" w:cs="Arial"/>
          <w:sz w:val="18"/>
          <w:szCs w:val="18"/>
        </w:rPr>
      </w:pPr>
      <w:r w:rsidRPr="00735726">
        <w:rPr>
          <w:rFonts w:ascii="Arial" w:hAnsi="Arial" w:cs="Arial"/>
          <w:sz w:val="18"/>
          <w:szCs w:val="18"/>
        </w:rPr>
        <w:t>Adapt to climate change</w:t>
      </w:r>
    </w:p>
    <w:p w14:paraId="4AC4059F" w14:textId="77777777" w:rsidR="003A6A8A" w:rsidRPr="00735726" w:rsidRDefault="003A6A8A" w:rsidP="00646F4F">
      <w:pPr>
        <w:pStyle w:val="ListParagraph"/>
        <w:numPr>
          <w:ilvl w:val="0"/>
          <w:numId w:val="91"/>
        </w:numPr>
        <w:rPr>
          <w:rFonts w:ascii="Arial" w:hAnsi="Arial" w:cs="Arial"/>
          <w:sz w:val="18"/>
          <w:szCs w:val="18"/>
        </w:rPr>
      </w:pPr>
      <w:r w:rsidRPr="00735726">
        <w:rPr>
          <w:rFonts w:ascii="Arial" w:hAnsi="Arial" w:cs="Arial"/>
          <w:sz w:val="18"/>
          <w:szCs w:val="18"/>
        </w:rPr>
        <w:t>Enhance resilience</w:t>
      </w:r>
    </w:p>
    <w:p w14:paraId="2E46503F" w14:textId="77777777" w:rsidR="003A6A8A" w:rsidRPr="00735726" w:rsidRDefault="003A6A8A" w:rsidP="00646F4F">
      <w:pPr>
        <w:pStyle w:val="ListParagraph"/>
        <w:numPr>
          <w:ilvl w:val="0"/>
          <w:numId w:val="91"/>
        </w:numPr>
        <w:rPr>
          <w:rFonts w:ascii="Arial" w:hAnsi="Arial" w:cs="Arial"/>
          <w:sz w:val="18"/>
          <w:szCs w:val="18"/>
        </w:rPr>
      </w:pPr>
      <w:r w:rsidRPr="00735726">
        <w:rPr>
          <w:rFonts w:ascii="Arial" w:hAnsi="Arial" w:cs="Arial"/>
          <w:sz w:val="18"/>
          <w:szCs w:val="18"/>
        </w:rPr>
        <w:t>Innovate</w:t>
      </w:r>
    </w:p>
    <w:p w14:paraId="1029F796" w14:textId="77777777" w:rsidR="003A6A8A" w:rsidRPr="00735726" w:rsidRDefault="003A6A8A" w:rsidP="00646F4F">
      <w:pPr>
        <w:pStyle w:val="ListParagraph"/>
        <w:numPr>
          <w:ilvl w:val="0"/>
          <w:numId w:val="91"/>
        </w:numPr>
        <w:rPr>
          <w:rFonts w:ascii="Arial" w:hAnsi="Arial" w:cs="Arial"/>
          <w:sz w:val="18"/>
          <w:szCs w:val="18"/>
        </w:rPr>
      </w:pPr>
      <w:r w:rsidRPr="00735726">
        <w:rPr>
          <w:rFonts w:ascii="Arial" w:hAnsi="Arial" w:cs="Arial"/>
          <w:sz w:val="18"/>
          <w:szCs w:val="18"/>
        </w:rPr>
        <w:t>Become more efficient</w:t>
      </w:r>
    </w:p>
    <w:p w14:paraId="6FA45CD3" w14:textId="77777777" w:rsidR="003A6A8A" w:rsidRPr="00735726" w:rsidRDefault="003A6A8A" w:rsidP="00646F4F">
      <w:pPr>
        <w:pStyle w:val="ListParagraph"/>
        <w:numPr>
          <w:ilvl w:val="0"/>
          <w:numId w:val="91"/>
        </w:numPr>
        <w:rPr>
          <w:rFonts w:ascii="Arial" w:hAnsi="Arial" w:cs="Arial"/>
          <w:sz w:val="18"/>
          <w:szCs w:val="18"/>
        </w:rPr>
      </w:pPr>
      <w:r w:rsidRPr="00735726">
        <w:rPr>
          <w:rFonts w:ascii="Arial" w:hAnsi="Arial" w:cs="Arial"/>
          <w:sz w:val="18"/>
          <w:szCs w:val="18"/>
        </w:rPr>
        <w:lastRenderedPageBreak/>
        <w:t>Collaborate</w:t>
      </w:r>
    </w:p>
    <w:p w14:paraId="5529BE56" w14:textId="77777777" w:rsidR="00BF7DBC" w:rsidRPr="00735726" w:rsidRDefault="003A6A8A" w:rsidP="00646F4F">
      <w:pPr>
        <w:pStyle w:val="ListParagraph"/>
        <w:numPr>
          <w:ilvl w:val="0"/>
          <w:numId w:val="91"/>
        </w:numPr>
        <w:rPr>
          <w:rFonts w:ascii="Arial" w:hAnsi="Arial" w:cs="Arial"/>
          <w:sz w:val="18"/>
          <w:szCs w:val="18"/>
        </w:rPr>
      </w:pPr>
      <w:r w:rsidRPr="00735726">
        <w:rPr>
          <w:rFonts w:ascii="Arial" w:hAnsi="Arial" w:cs="Arial"/>
          <w:sz w:val="18"/>
          <w:szCs w:val="18"/>
        </w:rPr>
        <w:t>Balance investment over time</w:t>
      </w:r>
    </w:p>
    <w:p w14:paraId="4B01036D" w14:textId="454BF854" w:rsidR="00BF7DBC" w:rsidRPr="00735726" w:rsidRDefault="00BF7DBC" w:rsidP="00BF7DBC">
      <w:pPr>
        <w:rPr>
          <w:rFonts w:ascii="Arial" w:hAnsi="Arial" w:cs="Arial"/>
          <w:sz w:val="18"/>
          <w:szCs w:val="18"/>
        </w:rPr>
      </w:pPr>
      <w:r w:rsidRPr="00735726">
        <w:rPr>
          <w:rFonts w:ascii="Arial" w:hAnsi="Arial" w:cs="Arial"/>
          <w:sz w:val="18"/>
          <w:szCs w:val="18"/>
        </w:rPr>
        <w:t>This will require significant action and investment by our Company, as well as action by our supply chain partners and wider actors (e.g. Government agencies, local authorities, and major landowners in our regions).</w:t>
      </w:r>
    </w:p>
    <w:p w14:paraId="1D80505B" w14:textId="249F49D0" w:rsidR="00BF7DBC" w:rsidRPr="00735726" w:rsidRDefault="00BF7DBC" w:rsidP="00BF7DBC">
      <w:pPr>
        <w:rPr>
          <w:rFonts w:ascii="Arial" w:hAnsi="Arial" w:cs="Arial"/>
          <w:sz w:val="18"/>
          <w:szCs w:val="18"/>
        </w:rPr>
      </w:pPr>
      <w:r w:rsidRPr="00735726">
        <w:rPr>
          <w:rFonts w:ascii="Arial" w:hAnsi="Arial" w:cs="Arial"/>
          <w:sz w:val="18"/>
          <w:szCs w:val="18"/>
        </w:rPr>
        <w:t>Longer-term investment, as outlined in our strategic plans, will be needed to manage future risks to acceptable/tolerable levels. To achieve this, regulatory and Government support within their policy frameworks will be needed.</w:t>
      </w:r>
    </w:p>
    <w:p w14:paraId="6DDB0A05" w14:textId="35F46470" w:rsidR="00BF7DBC" w:rsidRPr="00735726" w:rsidRDefault="00BF7DBC" w:rsidP="00BF7DBC">
      <w:pPr>
        <w:rPr>
          <w:rFonts w:ascii="Arial" w:hAnsi="Arial" w:cs="Arial"/>
          <w:sz w:val="18"/>
          <w:szCs w:val="18"/>
        </w:rPr>
      </w:pPr>
      <w:r w:rsidRPr="00735726">
        <w:rPr>
          <w:rFonts w:ascii="Arial" w:hAnsi="Arial" w:cs="Arial"/>
          <w:sz w:val="18"/>
          <w:szCs w:val="18"/>
        </w:rPr>
        <w:t xml:space="preserve">In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of England, the combined characteristics of low population density, high coastline to land area ratio, and tourism-based seasonal flux on water demand present a unique set of challenges. Through the years, by innovating, investing, and adapting, we have achieved industry-leading results in many areas of the business. Our extensive programme of environmental improvement with Upstream and Downstream Thinking catchment management has resulted in some of the finest bathing waters in Europe.</w:t>
      </w:r>
    </w:p>
    <w:p w14:paraId="4D36AEED" w14:textId="4F0034F9" w:rsidR="00BF7DBC" w:rsidRPr="00735726" w:rsidRDefault="00BF7DBC" w:rsidP="00BF7DBC">
      <w:pPr>
        <w:rPr>
          <w:rFonts w:ascii="Arial" w:hAnsi="Arial" w:cs="Arial"/>
          <w:sz w:val="18"/>
          <w:szCs w:val="18"/>
        </w:rPr>
      </w:pPr>
      <w:r w:rsidRPr="00735726">
        <w:rPr>
          <w:rFonts w:ascii="Arial" w:hAnsi="Arial" w:cs="Arial"/>
          <w:sz w:val="18"/>
          <w:szCs w:val="18"/>
        </w:rPr>
        <w:t xml:space="preserve">This has been instrumental for us to tackle these challenges and meet the expectations of our customers. Having seen record visitors to our region following the COVID-19 pandemic, it is expected that further investment will be required to continue building on the progress made by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to protect the environment and our bathing waters. Our strategic responses within our WRMP24 and DWMP23 for delivering reliable, efficient, and high-quality drinking water and wastewater services are driven by best-value adaptive planning.</w:t>
      </w:r>
    </w:p>
    <w:p w14:paraId="22A4C431" w14:textId="77777777" w:rsidR="00BF7DBC" w:rsidRPr="00735726" w:rsidRDefault="00BF7DBC" w:rsidP="00BF7DBC">
      <w:pPr>
        <w:rPr>
          <w:rFonts w:ascii="Arial" w:hAnsi="Arial" w:cs="Arial"/>
          <w:sz w:val="18"/>
          <w:szCs w:val="18"/>
        </w:rPr>
      </w:pPr>
      <w:r w:rsidRPr="00735726">
        <w:rPr>
          <w:rFonts w:ascii="Arial" w:hAnsi="Arial" w:cs="Arial"/>
          <w:sz w:val="18"/>
          <w:szCs w:val="18"/>
        </w:rPr>
        <w:t xml:space="preserve">We have developed adaptive investment programmes which: 1) fulfil immediate and most probable future needs; 2) respond to external pressures in the future with alternative investment options that are triggered under specific conditions; and 3) identify low and least regret investments that enable future options or return benefits under the broadest range of potential futures. Subsequently, our strategies for mitigating climate risks and building adaptive capacity are similar under the high and low emissions scenario in the short to medium-term, however, additional options will be required under the high emissions scenario, or options may need to be implemented earlier than the low emissions scenario over the long term. </w:t>
      </w:r>
    </w:p>
    <w:p w14:paraId="0BC3E95B" w14:textId="003B2888" w:rsidR="00BF7DBC" w:rsidRPr="00735726" w:rsidRDefault="00BF7DBC" w:rsidP="00BF7DBC">
      <w:pPr>
        <w:rPr>
          <w:rFonts w:ascii="Arial" w:hAnsi="Arial" w:cs="Arial"/>
          <w:sz w:val="18"/>
          <w:szCs w:val="18"/>
        </w:rPr>
      </w:pPr>
      <w:r w:rsidRPr="00735726">
        <w:rPr>
          <w:rFonts w:ascii="Arial" w:hAnsi="Arial" w:cs="Arial"/>
          <w:sz w:val="18"/>
          <w:szCs w:val="18"/>
        </w:rPr>
        <w:t>Investments in natural capital will be central to our climate adaptation. Healthy and functioning ecosystems are critical for resilient water and wastewater operations. Therefore, we are investing in natural capital schemes, catchment management, partnerships, and research and development in this area, as well as implementing our comprehensive Biodiversity Strategy and Environment Plan 2050. Our ‘Green First’ Framework prioritises nature-based solutions to improve climate adaptation and resilience.</w:t>
      </w:r>
    </w:p>
    <w:p w14:paraId="50D64719" w14:textId="7E03D43A" w:rsidR="00BF7DBC" w:rsidRPr="00735726" w:rsidRDefault="00BF7DBC" w:rsidP="00BF7DBC">
      <w:pPr>
        <w:rPr>
          <w:rFonts w:ascii="Arial" w:hAnsi="Arial" w:cs="Arial"/>
          <w:sz w:val="18"/>
          <w:szCs w:val="18"/>
        </w:rPr>
      </w:pPr>
      <w:r w:rsidRPr="00735726">
        <w:rPr>
          <w:rFonts w:ascii="Arial" w:hAnsi="Arial" w:cs="Arial"/>
          <w:sz w:val="18"/>
          <w:szCs w:val="18"/>
        </w:rPr>
        <w:t xml:space="preserve">Climate change adaptation is a continual, evolving and iterative process. We regularly review our adaptation progress, and as we did during the 2022 drought, we learn from the challenges we have faced to inform our future adaptation actions. As part of our adaptive planning approach, we have predefined trigger points to implement strategies of the appropriate pathway sufficiently early, so that we can have a proactive and more resilient response to climate change, including greater opportunity to implement nature-based solutions </w:t>
      </w:r>
      <w:r w:rsidR="006C1BA9" w:rsidRPr="00735726">
        <w:rPr>
          <w:rFonts w:ascii="Arial" w:hAnsi="Arial" w:cs="Arial"/>
          <w:sz w:val="18"/>
          <w:szCs w:val="18"/>
        </w:rPr>
        <w:t xml:space="preserve">- </w:t>
      </w:r>
      <w:r w:rsidRPr="00735726">
        <w:rPr>
          <w:rFonts w:ascii="Arial" w:hAnsi="Arial" w:cs="Arial"/>
          <w:sz w:val="18"/>
          <w:szCs w:val="18"/>
        </w:rPr>
        <w:t xml:space="preserve">rather than more costly reactive approaches which may have higher operational and embodied carbon. </w:t>
      </w:r>
    </w:p>
    <w:p w14:paraId="05578264" w14:textId="265B6AE5" w:rsidR="00BF7DBC" w:rsidRPr="00735726" w:rsidRDefault="00BF7DBC" w:rsidP="00BF7DBC">
      <w:pPr>
        <w:rPr>
          <w:rFonts w:ascii="Arial" w:hAnsi="Arial" w:cs="Arial"/>
          <w:sz w:val="18"/>
          <w:szCs w:val="18"/>
        </w:rPr>
      </w:pPr>
      <w:r w:rsidRPr="00735726">
        <w:rPr>
          <w:rFonts w:ascii="Arial" w:eastAsia="Times New Roman" w:hAnsi="Arial" w:cs="DINOT-Light"/>
          <w:i/>
          <w:iCs/>
          <w:color w:val="000000"/>
          <w:sz w:val="18"/>
          <w:szCs w:val="18"/>
        </w:rPr>
        <w:t>IMPACTS ON FINANCIAL PLANNING</w:t>
      </w:r>
      <w:r w:rsidRPr="00735726">
        <w:rPr>
          <w:rFonts w:ascii="Arial" w:hAnsi="Arial" w:cs="Arial"/>
          <w:sz w:val="18"/>
          <w:szCs w:val="18"/>
        </w:rPr>
        <w:t xml:space="preserve"> </w:t>
      </w:r>
      <w:r w:rsidRPr="00735726">
        <w:rPr>
          <w:rFonts w:ascii="Arial" w:hAnsi="Arial" w:cs="Arial"/>
          <w:sz w:val="18"/>
          <w:szCs w:val="18"/>
        </w:rPr>
        <w:br/>
      </w:r>
      <w:r w:rsidRPr="00735726">
        <w:rPr>
          <w:rFonts w:ascii="Arial" w:hAnsi="Arial" w:cs="Arial"/>
          <w:b/>
          <w:bCs/>
          <w:sz w:val="18"/>
          <w:szCs w:val="18"/>
        </w:rPr>
        <w:t>Impacts from not mitigating risks:</w:t>
      </w:r>
      <w:r w:rsidRPr="00735726">
        <w:rPr>
          <w:rFonts w:ascii="Arial" w:hAnsi="Arial" w:cs="Arial"/>
          <w:sz w:val="18"/>
          <w:szCs w:val="18"/>
        </w:rPr>
        <w:t xml:space="preserve"> Compared to today, </w:t>
      </w:r>
      <w:proofErr w:type="gramStart"/>
      <w:r w:rsidRPr="00735726">
        <w:rPr>
          <w:rFonts w:ascii="Arial" w:hAnsi="Arial" w:cs="Arial"/>
          <w:sz w:val="18"/>
          <w:szCs w:val="18"/>
        </w:rPr>
        <w:t>overall</w:t>
      </w:r>
      <w:proofErr w:type="gramEnd"/>
      <w:r w:rsidRPr="00735726">
        <w:rPr>
          <w:rFonts w:ascii="Arial" w:hAnsi="Arial" w:cs="Arial"/>
          <w:sz w:val="18"/>
          <w:szCs w:val="18"/>
        </w:rPr>
        <w:t xml:space="preserve"> our revenue is unlikely to be impacted significantly by climate change as we operate in a regulated environment funded through Price Reviews, although impacts could be felt on annual revenue recovery. However, there is a higher risk of reduced regulatory rewards and increased penalties (ODIs) due to climate change. Our operating costs are likely to increase compared to today due to climate change (e.g. </w:t>
      </w:r>
      <w:proofErr w:type="spellStart"/>
      <w:r w:rsidRPr="00735726">
        <w:rPr>
          <w:rFonts w:ascii="Arial" w:hAnsi="Arial" w:cs="Arial"/>
          <w:sz w:val="18"/>
          <w:szCs w:val="18"/>
        </w:rPr>
        <w:t>Opex</w:t>
      </w:r>
      <w:proofErr w:type="spellEnd"/>
      <w:r w:rsidRPr="00735726">
        <w:rPr>
          <w:rFonts w:ascii="Arial" w:hAnsi="Arial" w:cs="Arial"/>
          <w:sz w:val="18"/>
          <w:szCs w:val="18"/>
        </w:rPr>
        <w:t xml:space="preserve"> and Capex to recover from service disruptions and repair assets).</w:t>
      </w:r>
    </w:p>
    <w:p w14:paraId="7FEE2F0C" w14:textId="77777777" w:rsidR="00BF7DBC" w:rsidRPr="00735726" w:rsidRDefault="00BF7DBC" w:rsidP="00BF7DBC">
      <w:pPr>
        <w:rPr>
          <w:rFonts w:ascii="Arial" w:hAnsi="Arial" w:cs="Arial"/>
          <w:sz w:val="18"/>
          <w:szCs w:val="18"/>
        </w:rPr>
      </w:pPr>
      <w:r w:rsidRPr="00735726">
        <w:rPr>
          <w:rFonts w:ascii="Arial" w:hAnsi="Arial" w:cs="Arial"/>
          <w:sz w:val="18"/>
          <w:szCs w:val="18"/>
        </w:rPr>
        <w:t xml:space="preserve">The value of our assets and our cost of capital could decrease if assets become degraded / impaired, and if we were perceived as high-risk by financiers. </w:t>
      </w:r>
    </w:p>
    <w:p w14:paraId="3C6546EA" w14:textId="77777777" w:rsidR="003759BE" w:rsidRPr="00735726" w:rsidRDefault="00BF7DBC" w:rsidP="00BF7DBC">
      <w:pPr>
        <w:rPr>
          <w:rFonts w:ascii="Arial" w:hAnsi="Arial" w:cs="Arial"/>
          <w:sz w:val="18"/>
          <w:szCs w:val="18"/>
        </w:rPr>
      </w:pPr>
      <w:r w:rsidRPr="00735726">
        <w:rPr>
          <w:rFonts w:ascii="Arial" w:hAnsi="Arial" w:cs="Arial"/>
          <w:b/>
          <w:bCs/>
          <w:sz w:val="18"/>
          <w:szCs w:val="18"/>
        </w:rPr>
        <w:t>Impacts from mitigating risks:</w:t>
      </w:r>
      <w:r w:rsidRPr="00735726">
        <w:rPr>
          <w:rFonts w:ascii="Arial" w:hAnsi="Arial" w:cs="Arial"/>
          <w:sz w:val="18"/>
          <w:szCs w:val="18"/>
        </w:rPr>
        <w:t xml:space="preserve"> Our revenue is unlikely to be impacted significantly due to the regulatory Price Review system as explained above, however by investing in climate adaptation we have greater ability to achieve regulatory rewards (ODIs). Our Capex would increase to build resilience to climate change, and this investment would aim to prevent our operating costs from changing significantly from today (as we would experience fewer service disruptions than in a scenario where risks are unmitigated). The value of our assets and our cost of capital </w:t>
      </w:r>
      <w:proofErr w:type="gramStart"/>
      <w:r w:rsidRPr="00735726">
        <w:rPr>
          <w:rFonts w:ascii="Arial" w:hAnsi="Arial" w:cs="Arial"/>
          <w:sz w:val="18"/>
          <w:szCs w:val="18"/>
        </w:rPr>
        <w:t>would</w:t>
      </w:r>
      <w:proofErr w:type="gramEnd"/>
      <w:r w:rsidRPr="00735726">
        <w:rPr>
          <w:rFonts w:ascii="Arial" w:hAnsi="Arial" w:cs="Arial"/>
          <w:sz w:val="18"/>
          <w:szCs w:val="18"/>
        </w:rPr>
        <w:t xml:space="preserve"> remain relatively unchanged compared to today if we continue to enhance our resilience. </w:t>
      </w:r>
    </w:p>
    <w:p w14:paraId="657C5427" w14:textId="1AF7CDDA" w:rsidR="003759BE" w:rsidRPr="00735726" w:rsidRDefault="003759BE" w:rsidP="003759BE">
      <w:pPr>
        <w:spacing w:after="160"/>
        <w:rPr>
          <w:rFonts w:ascii="Arial" w:eastAsia="Times New Roman" w:hAnsi="Arial" w:cs="DINOT-Light"/>
          <w:color w:val="000000"/>
          <w:sz w:val="18"/>
          <w:szCs w:val="18"/>
        </w:rPr>
      </w:pPr>
      <w:r w:rsidRPr="00735726">
        <w:rPr>
          <w:rFonts w:ascii="Arial" w:eastAsia="Times New Roman" w:hAnsi="Arial" w:cs="DINOT"/>
          <w:b/>
          <w:bCs/>
          <w:caps/>
          <w:sz w:val="18"/>
        </w:rPr>
        <w:lastRenderedPageBreak/>
        <w:t xml:space="preserve">SCENARIO ANALYSIS </w:t>
      </w:r>
      <w:r w:rsidR="006C1BA9" w:rsidRPr="00735726">
        <w:rPr>
          <w:rFonts w:ascii="Arial" w:eastAsia="Times New Roman" w:hAnsi="Arial" w:cs="DINOT"/>
          <w:b/>
          <w:bCs/>
          <w:caps/>
          <w:sz w:val="18"/>
        </w:rPr>
        <w:t xml:space="preserve">- </w:t>
      </w:r>
      <w:r w:rsidRPr="00735726">
        <w:rPr>
          <w:rFonts w:ascii="Arial" w:eastAsia="Times New Roman" w:hAnsi="Arial" w:cs="DINOT"/>
          <w:b/>
          <w:bCs/>
          <w:caps/>
          <w:sz w:val="18"/>
        </w:rPr>
        <w:t>CLIMATE TRANSITION risks</w:t>
      </w:r>
      <w:r w:rsidRPr="00735726">
        <w:rPr>
          <w:rFonts w:ascii="Arial" w:eastAsia="Times New Roman" w:hAnsi="Arial" w:cs="DINOT"/>
          <w:b/>
          <w:bCs/>
          <w:caps/>
          <w:sz w:val="18"/>
        </w:rPr>
        <w:br/>
      </w:r>
      <w:r w:rsidRPr="00735726">
        <w:rPr>
          <w:rFonts w:ascii="Arial" w:eastAsia="Times New Roman" w:hAnsi="Arial" w:cs="DINOT-Light"/>
          <w:color w:val="000000"/>
          <w:sz w:val="18"/>
          <w:szCs w:val="18"/>
        </w:rPr>
        <w:t>Our key climate transition risks:</w:t>
      </w:r>
    </w:p>
    <w:tbl>
      <w:tblPr>
        <w:tblStyle w:val="TableGrid"/>
        <w:tblW w:w="0" w:type="auto"/>
        <w:tblLook w:val="04A0" w:firstRow="1" w:lastRow="0" w:firstColumn="1" w:lastColumn="0" w:noHBand="0" w:noVBand="1"/>
      </w:tblPr>
      <w:tblGrid>
        <w:gridCol w:w="1809"/>
        <w:gridCol w:w="1388"/>
        <w:gridCol w:w="1407"/>
        <w:gridCol w:w="4412"/>
      </w:tblGrid>
      <w:tr w:rsidR="0080037E" w:rsidRPr="00735726" w14:paraId="283DBC8F" w14:textId="77777777" w:rsidTr="00653E56">
        <w:tc>
          <w:tcPr>
            <w:tcW w:w="1809" w:type="dxa"/>
            <w:shd w:val="clear" w:color="auto" w:fill="002060"/>
          </w:tcPr>
          <w:p w14:paraId="43A7958D" w14:textId="2E6B7B8D" w:rsidR="0080037E" w:rsidRPr="00735726" w:rsidRDefault="0080037E" w:rsidP="00470234">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Transition Risk</w:t>
            </w:r>
          </w:p>
        </w:tc>
        <w:tc>
          <w:tcPr>
            <w:tcW w:w="1388" w:type="dxa"/>
            <w:shd w:val="clear" w:color="auto" w:fill="002060"/>
          </w:tcPr>
          <w:p w14:paraId="0F2117DE" w14:textId="77777777" w:rsidR="0080037E" w:rsidRPr="00735726" w:rsidRDefault="0080037E" w:rsidP="00470234">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Time horizon</w:t>
            </w:r>
          </w:p>
        </w:tc>
        <w:tc>
          <w:tcPr>
            <w:tcW w:w="1407" w:type="dxa"/>
            <w:shd w:val="clear" w:color="auto" w:fill="002060"/>
          </w:tcPr>
          <w:p w14:paraId="039D6ABB" w14:textId="77777777" w:rsidR="0080037E" w:rsidRPr="00735726" w:rsidRDefault="0080037E" w:rsidP="00470234">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Current risk rating and trend</w:t>
            </w:r>
          </w:p>
        </w:tc>
        <w:tc>
          <w:tcPr>
            <w:tcW w:w="4412" w:type="dxa"/>
            <w:shd w:val="clear" w:color="auto" w:fill="002060"/>
          </w:tcPr>
          <w:p w14:paraId="49143B8F" w14:textId="36841660" w:rsidR="0080037E" w:rsidRPr="00735726" w:rsidRDefault="0080037E" w:rsidP="00470234">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 xml:space="preserve">Key impacts of </w:t>
            </w:r>
            <w:r w:rsidR="0000123D" w:rsidRPr="00735726">
              <w:rPr>
                <w:rFonts w:ascii="Arial" w:hAnsi="Arial" w:cs="DINOT-Light"/>
                <w:b/>
                <w:bCs/>
                <w:color w:val="FFFFFF" w:themeColor="background1"/>
                <w:sz w:val="18"/>
                <w:szCs w:val="18"/>
              </w:rPr>
              <w:t>transition</w:t>
            </w:r>
            <w:r w:rsidRPr="00735726">
              <w:rPr>
                <w:rFonts w:ascii="Arial" w:hAnsi="Arial" w:cs="DINOT-Light"/>
                <w:b/>
                <w:bCs/>
                <w:color w:val="FFFFFF" w:themeColor="background1"/>
                <w:sz w:val="18"/>
                <w:szCs w:val="18"/>
              </w:rPr>
              <w:t xml:space="preserve"> risks</w:t>
            </w:r>
          </w:p>
        </w:tc>
      </w:tr>
      <w:tr w:rsidR="00653E56" w:rsidRPr="00735726" w14:paraId="3C694F9C" w14:textId="77777777" w:rsidTr="00653E56">
        <w:tc>
          <w:tcPr>
            <w:tcW w:w="1809" w:type="dxa"/>
          </w:tcPr>
          <w:p w14:paraId="5A9CC695" w14:textId="2151E707" w:rsidR="00653E56" w:rsidRPr="00735726" w:rsidRDefault="00653E56" w:rsidP="0000123D">
            <w:pPr>
              <w:spacing w:after="160"/>
              <w:rPr>
                <w:rFonts w:ascii="Arial" w:hAnsi="Arial" w:cs="DINOT-Light"/>
                <w:sz w:val="18"/>
                <w:szCs w:val="18"/>
              </w:rPr>
            </w:pPr>
            <w:r w:rsidRPr="00735726">
              <w:rPr>
                <w:rFonts w:ascii="Arial" w:hAnsi="Arial" w:cs="DINOT-Light"/>
                <w:sz w:val="18"/>
                <w:szCs w:val="18"/>
              </w:rPr>
              <w:t>Regulation and policy: Challenges balancing trade-offs in regulation in the water sector between agendas of infrastructure delivery, Net Zero, climate resilience, environmental enhancement, and other objectives, posing the risk of increasing costs and carbon</w:t>
            </w:r>
          </w:p>
        </w:tc>
        <w:tc>
          <w:tcPr>
            <w:tcW w:w="1388" w:type="dxa"/>
          </w:tcPr>
          <w:p w14:paraId="4B7B30B9" w14:textId="7FCA41E3" w:rsidR="00653E56" w:rsidRPr="00735726" w:rsidRDefault="00653E56" w:rsidP="00470234">
            <w:pPr>
              <w:spacing w:after="160"/>
              <w:rPr>
                <w:rFonts w:ascii="Arial" w:hAnsi="Arial" w:cs="DINOT-Light"/>
                <w:sz w:val="18"/>
                <w:szCs w:val="18"/>
              </w:rPr>
            </w:pPr>
            <w:r w:rsidRPr="00735726">
              <w:rPr>
                <w:rFonts w:ascii="Arial" w:hAnsi="Arial" w:cs="DINOT-Light"/>
                <w:sz w:val="18"/>
                <w:szCs w:val="18"/>
              </w:rPr>
              <w:t>Short and medium-term</w:t>
            </w:r>
          </w:p>
        </w:tc>
        <w:tc>
          <w:tcPr>
            <w:tcW w:w="1407" w:type="dxa"/>
          </w:tcPr>
          <w:p w14:paraId="500906F1" w14:textId="7B728DA4" w:rsidR="00653E56" w:rsidRPr="00735726" w:rsidRDefault="00653E56" w:rsidP="00470234">
            <w:pPr>
              <w:spacing w:after="160"/>
              <w:rPr>
                <w:rFonts w:ascii="Arial" w:hAnsi="Arial" w:cs="DINOT-Light"/>
                <w:sz w:val="18"/>
                <w:szCs w:val="18"/>
              </w:rPr>
            </w:pPr>
            <w:r w:rsidRPr="00735726">
              <w:rPr>
                <w:rFonts w:ascii="Arial" w:hAnsi="Arial" w:cs="DINOT-Light"/>
                <w:sz w:val="18"/>
                <w:szCs w:val="18"/>
              </w:rPr>
              <w:t>MEDIUM, INCREASING</w:t>
            </w:r>
          </w:p>
        </w:tc>
        <w:tc>
          <w:tcPr>
            <w:tcW w:w="4412" w:type="dxa"/>
            <w:vMerge w:val="restart"/>
          </w:tcPr>
          <w:p w14:paraId="74FECE59" w14:textId="77777777" w:rsidR="00653E56" w:rsidRPr="00735726" w:rsidRDefault="00CC4CBF" w:rsidP="00CC4CBF">
            <w:pPr>
              <w:spacing w:after="160"/>
              <w:rPr>
                <w:rFonts w:ascii="Arial" w:hAnsi="Arial" w:cs="DINOT-Light"/>
                <w:sz w:val="18"/>
                <w:szCs w:val="18"/>
              </w:rPr>
            </w:pPr>
            <w:r w:rsidRPr="00735726">
              <w:rPr>
                <w:rFonts w:ascii="Arial" w:hAnsi="Arial" w:cs="DINOT-Light"/>
                <w:b/>
                <w:bCs/>
                <w:sz w:val="18"/>
                <w:szCs w:val="18"/>
              </w:rPr>
              <w:t>The cost to our business of achieving our Net Zero target rises, and there is less ability to recover costs through the regulatory pricing system.</w:t>
            </w:r>
            <w:r w:rsidRPr="00735726">
              <w:rPr>
                <w:rFonts w:ascii="Arial" w:hAnsi="Arial" w:cs="DINOT-Light"/>
                <w:sz w:val="18"/>
                <w:szCs w:val="18"/>
              </w:rPr>
              <w:t xml:space="preserve"> Misalignment in policies and low incentives make reaching Net Zero more costly and impose greater investment risks to our business. Additionally, our supply chain could also lag in decarbonising, impacting our Scope 3 emissions.</w:t>
            </w:r>
          </w:p>
          <w:p w14:paraId="7069CC8D" w14:textId="77777777" w:rsidR="00CC4CBF" w:rsidRPr="00735726" w:rsidRDefault="00CC4CBF" w:rsidP="00CC4CBF">
            <w:pPr>
              <w:spacing w:after="160"/>
              <w:rPr>
                <w:rFonts w:ascii="Arial" w:hAnsi="Arial" w:cs="DINOT-Light"/>
                <w:sz w:val="18"/>
                <w:szCs w:val="18"/>
              </w:rPr>
            </w:pPr>
            <w:r w:rsidRPr="00735726">
              <w:rPr>
                <w:rFonts w:ascii="Arial" w:hAnsi="Arial" w:cs="DINOT-Light"/>
                <w:b/>
                <w:bCs/>
                <w:sz w:val="18"/>
                <w:szCs w:val="18"/>
              </w:rPr>
              <w:t>Current UK policies are not sufficient to deliver the necessary carbon emission reductions</w:t>
            </w:r>
            <w:r w:rsidRPr="00735726">
              <w:rPr>
                <w:rFonts w:ascii="Arial" w:hAnsi="Arial" w:cs="DINOT-Light"/>
                <w:sz w:val="18"/>
                <w:szCs w:val="18"/>
              </w:rPr>
              <w:t>. Therefore, meeting our Net Zero targets would require greater use of carbon offsets or we would be at risk of missing targets. Low readiness and capacity could stall our progress to reduce emissions and realise opportunities. This could result in higher costs for access to low-carbon technologies and related skills (due to the UK’s previous under-investment), and increased costs related to both our own renewable energy generation, and the purchasing of green electricity from external suppliers.</w:t>
            </w:r>
          </w:p>
          <w:p w14:paraId="60D9E534" w14:textId="77777777" w:rsidR="00CC4CBF" w:rsidRPr="00735726" w:rsidRDefault="00CC4CBF" w:rsidP="00CC4CBF">
            <w:pPr>
              <w:spacing w:after="160"/>
              <w:rPr>
                <w:rFonts w:ascii="Arial" w:hAnsi="Arial" w:cs="DINOT-Light"/>
                <w:sz w:val="18"/>
                <w:szCs w:val="18"/>
              </w:rPr>
            </w:pPr>
            <w:r w:rsidRPr="00735726">
              <w:rPr>
                <w:rFonts w:ascii="Arial" w:hAnsi="Arial" w:cs="DINOT-Light"/>
                <w:b/>
                <w:bCs/>
                <w:sz w:val="18"/>
                <w:szCs w:val="18"/>
              </w:rPr>
              <w:t>Environmental targets require additional energy use.</w:t>
            </w:r>
            <w:r w:rsidRPr="00735726">
              <w:rPr>
                <w:rFonts w:ascii="Arial" w:hAnsi="Arial" w:cs="DINOT-Light"/>
                <w:sz w:val="18"/>
                <w:szCs w:val="18"/>
              </w:rPr>
              <w:t xml:space="preserve"> New guidance on targets for both nutrients and storm overflows will require a significant increase in energy use and associated capital and operational carbon. While nature-based solutions will form part of the solution (our Green First Principle), there will be significant reliance on engineered solutions due to potential inflexibility in regulation and deadlines to improve outcomes. The increased energy and carbon use compounds </w:t>
            </w:r>
            <w:proofErr w:type="gramStart"/>
            <w:r w:rsidRPr="00735726">
              <w:rPr>
                <w:rFonts w:ascii="Arial" w:hAnsi="Arial" w:cs="DINOT-Light"/>
                <w:sz w:val="18"/>
                <w:szCs w:val="18"/>
              </w:rPr>
              <w:t>impacts</w:t>
            </w:r>
            <w:proofErr w:type="gramEnd"/>
            <w:r w:rsidRPr="00735726">
              <w:rPr>
                <w:rFonts w:ascii="Arial" w:hAnsi="Arial" w:cs="DINOT-Light"/>
                <w:sz w:val="18"/>
                <w:szCs w:val="18"/>
              </w:rPr>
              <w:t xml:space="preserve"> above.</w:t>
            </w:r>
          </w:p>
          <w:p w14:paraId="719E3D12" w14:textId="77777777" w:rsidR="00CC4CBF" w:rsidRPr="00735726" w:rsidRDefault="00CC4CBF" w:rsidP="00CC4CBF">
            <w:pPr>
              <w:spacing w:after="160"/>
              <w:rPr>
                <w:rFonts w:ascii="Arial" w:hAnsi="Arial" w:cs="DINOT-Light"/>
                <w:sz w:val="18"/>
                <w:szCs w:val="18"/>
              </w:rPr>
            </w:pPr>
            <w:r w:rsidRPr="00735726">
              <w:rPr>
                <w:rFonts w:ascii="Arial" w:hAnsi="Arial" w:cs="DINOT-Light"/>
                <w:b/>
                <w:bCs/>
                <w:sz w:val="18"/>
                <w:szCs w:val="18"/>
              </w:rPr>
              <w:t xml:space="preserve">Reputational risks are significant and require careful management. </w:t>
            </w:r>
            <w:r w:rsidRPr="00735726">
              <w:rPr>
                <w:rFonts w:ascii="Arial" w:hAnsi="Arial" w:cs="DINOT-Light"/>
                <w:sz w:val="18"/>
                <w:szCs w:val="18"/>
              </w:rPr>
              <w:t>Some of our customers and stakeholders may have differing priorities and preferences for actions to meet our climate targets. Some may be highly sensitive to affordability and increasingly scrutinise our investment choices.</w:t>
            </w:r>
          </w:p>
          <w:p w14:paraId="055C2E4F" w14:textId="3872DFB9" w:rsidR="00CC4CBF" w:rsidRPr="00735726" w:rsidRDefault="00CC4CBF" w:rsidP="00CC4CBF">
            <w:pPr>
              <w:spacing w:after="160"/>
              <w:rPr>
                <w:rFonts w:ascii="Arial" w:hAnsi="Arial" w:cs="DINOT-Light"/>
                <w:sz w:val="18"/>
                <w:szCs w:val="18"/>
              </w:rPr>
            </w:pPr>
            <w:r w:rsidRPr="00735726">
              <w:rPr>
                <w:rFonts w:ascii="Arial" w:hAnsi="Arial" w:cs="DINOT-Light"/>
                <w:b/>
                <w:bCs/>
                <w:sz w:val="18"/>
                <w:szCs w:val="18"/>
              </w:rPr>
              <w:t>Current UK policies and markets are not sufficient to enable us to realise some of our climate-related opportunities.</w:t>
            </w:r>
            <w:r w:rsidRPr="00735726">
              <w:rPr>
                <w:rFonts w:ascii="Arial" w:hAnsi="Arial" w:cs="DINOT-Light"/>
                <w:sz w:val="18"/>
                <w:szCs w:val="18"/>
              </w:rPr>
              <w:t xml:space="preserve"> Low incentives and low-maturity markets reduce opportunities for our business relating to resource efficiency, carbon sequestration, bioresources etc.</w:t>
            </w:r>
          </w:p>
        </w:tc>
      </w:tr>
      <w:tr w:rsidR="00653E56" w:rsidRPr="00735726" w14:paraId="4F63598D" w14:textId="77777777" w:rsidTr="00653E56">
        <w:tc>
          <w:tcPr>
            <w:tcW w:w="1809" w:type="dxa"/>
          </w:tcPr>
          <w:p w14:paraId="0E466365" w14:textId="00635CC7" w:rsidR="00653E56" w:rsidRPr="00735726" w:rsidRDefault="00653E56" w:rsidP="0000123D">
            <w:pPr>
              <w:spacing w:after="160"/>
              <w:rPr>
                <w:rFonts w:ascii="Arial" w:hAnsi="Arial" w:cs="DINOT-Light"/>
                <w:sz w:val="18"/>
                <w:szCs w:val="18"/>
              </w:rPr>
            </w:pPr>
            <w:r w:rsidRPr="00735726">
              <w:rPr>
                <w:rFonts w:ascii="Arial" w:hAnsi="Arial" w:cs="DINOT-Light"/>
                <w:sz w:val="18"/>
                <w:szCs w:val="18"/>
              </w:rPr>
              <w:t xml:space="preserve">Regulation and policy: Regulatory funding risk for achieving </w:t>
            </w:r>
            <w:proofErr w:type="gramStart"/>
            <w:r w:rsidRPr="00735726">
              <w:rPr>
                <w:rFonts w:ascii="Arial" w:hAnsi="Arial" w:cs="DINOT-Light"/>
                <w:sz w:val="18"/>
                <w:szCs w:val="18"/>
              </w:rPr>
              <w:t>South West</w:t>
            </w:r>
            <w:proofErr w:type="gramEnd"/>
            <w:r w:rsidRPr="00735726">
              <w:rPr>
                <w:rFonts w:ascii="Arial" w:hAnsi="Arial" w:cs="DINOT-Light"/>
                <w:sz w:val="18"/>
                <w:szCs w:val="18"/>
              </w:rPr>
              <w:t xml:space="preserve"> Water’s Net Zero ambitions and adapting to climate change</w:t>
            </w:r>
          </w:p>
        </w:tc>
        <w:tc>
          <w:tcPr>
            <w:tcW w:w="1388" w:type="dxa"/>
          </w:tcPr>
          <w:p w14:paraId="3D5FE06D" w14:textId="537AA2B6" w:rsidR="00653E56" w:rsidRPr="00735726" w:rsidRDefault="00653E56" w:rsidP="00470234">
            <w:pPr>
              <w:spacing w:after="160"/>
              <w:rPr>
                <w:rFonts w:ascii="Arial" w:hAnsi="Arial" w:cs="DINOT-Light"/>
                <w:b/>
                <w:bCs/>
                <w:sz w:val="18"/>
                <w:szCs w:val="18"/>
              </w:rPr>
            </w:pPr>
            <w:r w:rsidRPr="00735726">
              <w:rPr>
                <w:rFonts w:ascii="Arial" w:hAnsi="Arial" w:cs="DINOT-Light"/>
                <w:sz w:val="18"/>
                <w:szCs w:val="18"/>
              </w:rPr>
              <w:t>Short and medium-term</w:t>
            </w:r>
          </w:p>
        </w:tc>
        <w:tc>
          <w:tcPr>
            <w:tcW w:w="1407" w:type="dxa"/>
          </w:tcPr>
          <w:p w14:paraId="22317B0F" w14:textId="6F4C7F8D" w:rsidR="00653E56" w:rsidRPr="00735726" w:rsidRDefault="00653E56" w:rsidP="00470234">
            <w:pPr>
              <w:spacing w:after="160"/>
              <w:rPr>
                <w:rFonts w:ascii="Arial" w:hAnsi="Arial" w:cs="DINOT-Light"/>
                <w:b/>
                <w:bCs/>
                <w:sz w:val="18"/>
                <w:szCs w:val="18"/>
              </w:rPr>
            </w:pPr>
            <w:r w:rsidRPr="00735726">
              <w:rPr>
                <w:rFonts w:ascii="Arial" w:hAnsi="Arial" w:cs="DINOT-Light"/>
                <w:sz w:val="18"/>
                <w:szCs w:val="18"/>
              </w:rPr>
              <w:t>MEDIUM, INCREASING</w:t>
            </w:r>
          </w:p>
        </w:tc>
        <w:tc>
          <w:tcPr>
            <w:tcW w:w="4412" w:type="dxa"/>
            <w:vMerge/>
          </w:tcPr>
          <w:p w14:paraId="5F4AB089" w14:textId="77777777" w:rsidR="00653E56" w:rsidRPr="00735726" w:rsidRDefault="00653E56" w:rsidP="00470234">
            <w:pPr>
              <w:spacing w:after="160"/>
              <w:rPr>
                <w:rFonts w:ascii="Arial" w:hAnsi="Arial" w:cs="DINOT-Light"/>
                <w:b/>
                <w:bCs/>
                <w:sz w:val="18"/>
                <w:szCs w:val="18"/>
              </w:rPr>
            </w:pPr>
          </w:p>
        </w:tc>
      </w:tr>
      <w:tr w:rsidR="00653E56" w:rsidRPr="00735726" w14:paraId="448CCE58" w14:textId="77777777" w:rsidTr="00653E56">
        <w:tc>
          <w:tcPr>
            <w:tcW w:w="1809" w:type="dxa"/>
          </w:tcPr>
          <w:p w14:paraId="7969A372" w14:textId="4449625D" w:rsidR="00653E56" w:rsidRPr="00735726" w:rsidRDefault="00653E56" w:rsidP="0000123D">
            <w:pPr>
              <w:spacing w:after="160"/>
              <w:rPr>
                <w:rFonts w:ascii="Arial" w:hAnsi="Arial" w:cs="DINOT-Light"/>
                <w:sz w:val="18"/>
                <w:szCs w:val="18"/>
              </w:rPr>
            </w:pPr>
            <w:r w:rsidRPr="00735726">
              <w:rPr>
                <w:rFonts w:ascii="Arial" w:hAnsi="Arial" w:cs="DINOT-Light"/>
                <w:sz w:val="18"/>
                <w:szCs w:val="18"/>
              </w:rPr>
              <w:t>Technology: Capacity and readiness of technology, employees and supply chain to achieve Net Zero</w:t>
            </w:r>
          </w:p>
        </w:tc>
        <w:tc>
          <w:tcPr>
            <w:tcW w:w="1388" w:type="dxa"/>
          </w:tcPr>
          <w:p w14:paraId="64B0505C" w14:textId="22C1019A" w:rsidR="00653E56" w:rsidRPr="00735726" w:rsidRDefault="00653E56" w:rsidP="00470234">
            <w:pPr>
              <w:spacing w:after="160"/>
              <w:rPr>
                <w:rFonts w:ascii="Arial" w:hAnsi="Arial" w:cs="DINOT-Light"/>
                <w:sz w:val="18"/>
                <w:szCs w:val="18"/>
              </w:rPr>
            </w:pPr>
            <w:r w:rsidRPr="00735726">
              <w:rPr>
                <w:rFonts w:ascii="Arial" w:hAnsi="Arial" w:cs="DINOT-Light"/>
                <w:sz w:val="18"/>
                <w:szCs w:val="18"/>
              </w:rPr>
              <w:t>Short and medium-term</w:t>
            </w:r>
          </w:p>
        </w:tc>
        <w:tc>
          <w:tcPr>
            <w:tcW w:w="1407" w:type="dxa"/>
          </w:tcPr>
          <w:p w14:paraId="5676E955" w14:textId="68FBEBFE" w:rsidR="00653E56" w:rsidRPr="00735726" w:rsidRDefault="00653E56" w:rsidP="00470234">
            <w:pPr>
              <w:spacing w:after="160"/>
              <w:rPr>
                <w:rFonts w:ascii="Arial" w:hAnsi="Arial" w:cs="DINOT-Light"/>
                <w:b/>
                <w:bCs/>
                <w:sz w:val="18"/>
                <w:szCs w:val="18"/>
              </w:rPr>
            </w:pPr>
            <w:r w:rsidRPr="00735726">
              <w:rPr>
                <w:rFonts w:ascii="Arial" w:hAnsi="Arial" w:cs="DINOT-Light"/>
                <w:sz w:val="18"/>
                <w:szCs w:val="18"/>
              </w:rPr>
              <w:t>MEDIUM, DECREASING</w:t>
            </w:r>
          </w:p>
        </w:tc>
        <w:tc>
          <w:tcPr>
            <w:tcW w:w="4412" w:type="dxa"/>
            <w:vMerge/>
          </w:tcPr>
          <w:p w14:paraId="2AE23EB7" w14:textId="77777777" w:rsidR="00653E56" w:rsidRPr="00735726" w:rsidRDefault="00653E56" w:rsidP="00470234">
            <w:pPr>
              <w:spacing w:after="160"/>
              <w:rPr>
                <w:rFonts w:ascii="Arial" w:hAnsi="Arial" w:cs="DINOT-Light"/>
                <w:b/>
                <w:bCs/>
                <w:sz w:val="18"/>
                <w:szCs w:val="18"/>
              </w:rPr>
            </w:pPr>
          </w:p>
        </w:tc>
      </w:tr>
      <w:tr w:rsidR="00653E56" w:rsidRPr="00735726" w14:paraId="3457BDE6" w14:textId="77777777" w:rsidTr="00653E56">
        <w:tc>
          <w:tcPr>
            <w:tcW w:w="1809" w:type="dxa"/>
          </w:tcPr>
          <w:p w14:paraId="23E9F9D2" w14:textId="0D8D0D24" w:rsidR="00653E56" w:rsidRPr="00735726" w:rsidRDefault="00653E56" w:rsidP="0000123D">
            <w:pPr>
              <w:spacing w:after="160"/>
              <w:rPr>
                <w:rFonts w:ascii="Arial" w:hAnsi="Arial" w:cs="DINOT-Light"/>
                <w:sz w:val="18"/>
                <w:szCs w:val="18"/>
              </w:rPr>
            </w:pPr>
            <w:r w:rsidRPr="00735726">
              <w:rPr>
                <w:rFonts w:ascii="Arial" w:hAnsi="Arial" w:cs="DINOT-Light"/>
                <w:sz w:val="18"/>
                <w:szCs w:val="18"/>
              </w:rPr>
              <w:t>Market: Increased costs of energy and materials due to the transition to Net Zero, impacts of climate change, and wider factors</w:t>
            </w:r>
          </w:p>
        </w:tc>
        <w:tc>
          <w:tcPr>
            <w:tcW w:w="1388" w:type="dxa"/>
          </w:tcPr>
          <w:p w14:paraId="6221BDC3" w14:textId="6167307C" w:rsidR="00653E56" w:rsidRPr="00735726" w:rsidRDefault="00653E56" w:rsidP="00470234">
            <w:pPr>
              <w:spacing w:after="160"/>
              <w:rPr>
                <w:rFonts w:ascii="Arial" w:hAnsi="Arial" w:cs="DINOT-Light"/>
                <w:b/>
                <w:bCs/>
                <w:sz w:val="18"/>
                <w:szCs w:val="18"/>
              </w:rPr>
            </w:pPr>
            <w:r w:rsidRPr="00735726">
              <w:rPr>
                <w:rFonts w:ascii="Arial" w:hAnsi="Arial" w:cs="DINOT-Light"/>
                <w:sz w:val="18"/>
                <w:szCs w:val="18"/>
              </w:rPr>
              <w:t>Short and medium-term</w:t>
            </w:r>
          </w:p>
        </w:tc>
        <w:tc>
          <w:tcPr>
            <w:tcW w:w="1407" w:type="dxa"/>
          </w:tcPr>
          <w:p w14:paraId="4379BED3" w14:textId="79763A40" w:rsidR="00653E56" w:rsidRPr="00735726" w:rsidRDefault="00653E56" w:rsidP="00470234">
            <w:pPr>
              <w:spacing w:after="160"/>
              <w:rPr>
                <w:rFonts w:ascii="Arial" w:hAnsi="Arial" w:cs="DINOT-Light"/>
                <w:b/>
                <w:bCs/>
                <w:sz w:val="18"/>
                <w:szCs w:val="18"/>
              </w:rPr>
            </w:pPr>
            <w:r w:rsidRPr="00735726">
              <w:rPr>
                <w:rFonts w:ascii="Arial" w:hAnsi="Arial" w:cs="DINOT-Light"/>
                <w:sz w:val="18"/>
                <w:szCs w:val="18"/>
              </w:rPr>
              <w:t>MEDIUM, DECREASING</w:t>
            </w:r>
          </w:p>
        </w:tc>
        <w:tc>
          <w:tcPr>
            <w:tcW w:w="4412" w:type="dxa"/>
            <w:vMerge/>
          </w:tcPr>
          <w:p w14:paraId="309A8E74" w14:textId="77777777" w:rsidR="00653E56" w:rsidRPr="00735726" w:rsidRDefault="00653E56" w:rsidP="00470234">
            <w:pPr>
              <w:spacing w:after="160"/>
              <w:rPr>
                <w:rFonts w:ascii="Arial" w:hAnsi="Arial" w:cs="DINOT-Light"/>
                <w:b/>
                <w:bCs/>
                <w:sz w:val="18"/>
                <w:szCs w:val="18"/>
              </w:rPr>
            </w:pPr>
          </w:p>
        </w:tc>
      </w:tr>
      <w:tr w:rsidR="00653E56" w:rsidRPr="00735726" w14:paraId="0C3CF314" w14:textId="77777777" w:rsidTr="00653E56">
        <w:tc>
          <w:tcPr>
            <w:tcW w:w="1809" w:type="dxa"/>
          </w:tcPr>
          <w:p w14:paraId="5F5CFDE4" w14:textId="22C88978" w:rsidR="00653E56" w:rsidRPr="00735726" w:rsidRDefault="00653E56" w:rsidP="0000123D">
            <w:pPr>
              <w:spacing w:after="160"/>
              <w:rPr>
                <w:rFonts w:ascii="Arial" w:hAnsi="Arial" w:cs="DINOT-Light"/>
                <w:sz w:val="18"/>
                <w:szCs w:val="18"/>
              </w:rPr>
            </w:pPr>
            <w:r w:rsidRPr="00735726">
              <w:rPr>
                <w:rFonts w:ascii="Arial" w:hAnsi="Arial" w:cs="DINOT-Light"/>
                <w:sz w:val="18"/>
                <w:szCs w:val="18"/>
              </w:rPr>
              <w:t xml:space="preserve">Reputational: Negative public and stakeholder relations due to </w:t>
            </w:r>
            <w:proofErr w:type="gramStart"/>
            <w:r w:rsidRPr="00735726">
              <w:rPr>
                <w:rFonts w:ascii="Arial" w:hAnsi="Arial" w:cs="DINOT-Light"/>
                <w:sz w:val="18"/>
                <w:szCs w:val="18"/>
              </w:rPr>
              <w:t>South West</w:t>
            </w:r>
            <w:proofErr w:type="gramEnd"/>
            <w:r w:rsidRPr="00735726">
              <w:rPr>
                <w:rFonts w:ascii="Arial" w:hAnsi="Arial" w:cs="DINOT-Light"/>
                <w:sz w:val="18"/>
                <w:szCs w:val="18"/>
              </w:rPr>
              <w:t xml:space="preserve"> Water failing to be a seen as a leader in environmental sustainability</w:t>
            </w:r>
          </w:p>
        </w:tc>
        <w:tc>
          <w:tcPr>
            <w:tcW w:w="1388" w:type="dxa"/>
          </w:tcPr>
          <w:p w14:paraId="0D84EBDF" w14:textId="4EBBE016" w:rsidR="00653E56" w:rsidRPr="00735726" w:rsidRDefault="00653E56" w:rsidP="00470234">
            <w:pPr>
              <w:spacing w:after="160"/>
              <w:rPr>
                <w:rFonts w:ascii="Arial" w:hAnsi="Arial" w:cs="DINOT-Light"/>
                <w:b/>
                <w:bCs/>
                <w:sz w:val="18"/>
                <w:szCs w:val="18"/>
              </w:rPr>
            </w:pPr>
            <w:r w:rsidRPr="00735726">
              <w:rPr>
                <w:rFonts w:ascii="Arial" w:hAnsi="Arial" w:cs="DINOT-Light"/>
                <w:sz w:val="18"/>
                <w:szCs w:val="18"/>
              </w:rPr>
              <w:t>Short and medium-term</w:t>
            </w:r>
          </w:p>
        </w:tc>
        <w:tc>
          <w:tcPr>
            <w:tcW w:w="1407" w:type="dxa"/>
          </w:tcPr>
          <w:p w14:paraId="3F598DE6" w14:textId="4D7CBEDB" w:rsidR="00653E56" w:rsidRPr="00735726" w:rsidRDefault="00653E56" w:rsidP="00470234">
            <w:pPr>
              <w:spacing w:after="160"/>
              <w:rPr>
                <w:rFonts w:ascii="Arial" w:hAnsi="Arial" w:cs="DINOT-Light"/>
                <w:b/>
                <w:bCs/>
                <w:sz w:val="18"/>
                <w:szCs w:val="18"/>
              </w:rPr>
            </w:pPr>
            <w:r w:rsidRPr="00735726">
              <w:rPr>
                <w:rFonts w:ascii="Arial" w:hAnsi="Arial" w:cs="DINOT-Light"/>
                <w:sz w:val="18"/>
                <w:szCs w:val="18"/>
              </w:rPr>
              <w:t>HIGH, INCREASING</w:t>
            </w:r>
          </w:p>
        </w:tc>
        <w:tc>
          <w:tcPr>
            <w:tcW w:w="4412" w:type="dxa"/>
            <w:vMerge/>
          </w:tcPr>
          <w:p w14:paraId="69A579C2" w14:textId="77777777" w:rsidR="00653E56" w:rsidRPr="00735726" w:rsidRDefault="00653E56" w:rsidP="00470234">
            <w:pPr>
              <w:spacing w:after="160"/>
              <w:rPr>
                <w:rFonts w:ascii="Arial" w:hAnsi="Arial" w:cs="DINOT-Light"/>
                <w:b/>
                <w:bCs/>
                <w:sz w:val="18"/>
                <w:szCs w:val="18"/>
              </w:rPr>
            </w:pPr>
          </w:p>
        </w:tc>
      </w:tr>
      <w:tr w:rsidR="00653E56" w:rsidRPr="00735726" w14:paraId="2A9C5BDA" w14:textId="77777777" w:rsidTr="00653E56">
        <w:tc>
          <w:tcPr>
            <w:tcW w:w="1809" w:type="dxa"/>
          </w:tcPr>
          <w:p w14:paraId="769F25A8" w14:textId="2F0E6E4B" w:rsidR="00653E56" w:rsidRPr="00735726" w:rsidRDefault="00653E56" w:rsidP="0000123D">
            <w:pPr>
              <w:spacing w:after="160"/>
              <w:rPr>
                <w:rFonts w:ascii="Arial" w:hAnsi="Arial" w:cs="DINOT-Light"/>
                <w:b/>
                <w:bCs/>
                <w:sz w:val="18"/>
                <w:szCs w:val="18"/>
              </w:rPr>
            </w:pPr>
            <w:r w:rsidRPr="00735726">
              <w:rPr>
                <w:rFonts w:ascii="Arial" w:hAnsi="Arial" w:cs="DINOT-Light"/>
                <w:sz w:val="18"/>
                <w:szCs w:val="18"/>
              </w:rPr>
              <w:lastRenderedPageBreak/>
              <w:t>Reputational: Customer affordability and fairness concerns for achieving Net Zero and adapting to climate change</w:t>
            </w:r>
          </w:p>
        </w:tc>
        <w:tc>
          <w:tcPr>
            <w:tcW w:w="1388" w:type="dxa"/>
          </w:tcPr>
          <w:p w14:paraId="52749DEF" w14:textId="18907A12" w:rsidR="00653E56" w:rsidRPr="00735726" w:rsidRDefault="00653E56" w:rsidP="00470234">
            <w:pPr>
              <w:spacing w:after="160"/>
              <w:rPr>
                <w:rFonts w:ascii="Arial" w:hAnsi="Arial" w:cs="DINOT-Light"/>
                <w:b/>
                <w:bCs/>
                <w:sz w:val="18"/>
                <w:szCs w:val="18"/>
              </w:rPr>
            </w:pPr>
            <w:r w:rsidRPr="00735726">
              <w:rPr>
                <w:rFonts w:ascii="Arial" w:hAnsi="Arial" w:cs="DINOT-Light"/>
                <w:sz w:val="18"/>
                <w:szCs w:val="18"/>
              </w:rPr>
              <w:t>Short and medium-term</w:t>
            </w:r>
          </w:p>
        </w:tc>
        <w:tc>
          <w:tcPr>
            <w:tcW w:w="1407" w:type="dxa"/>
          </w:tcPr>
          <w:p w14:paraId="5EDBB60F" w14:textId="21F204CB" w:rsidR="00653E56" w:rsidRPr="00735726" w:rsidRDefault="00653E56" w:rsidP="00470234">
            <w:pPr>
              <w:spacing w:after="160"/>
              <w:rPr>
                <w:rFonts w:ascii="Arial" w:hAnsi="Arial" w:cs="DINOT-Light"/>
                <w:b/>
                <w:bCs/>
                <w:sz w:val="18"/>
                <w:szCs w:val="18"/>
              </w:rPr>
            </w:pPr>
            <w:r w:rsidRPr="00735726">
              <w:rPr>
                <w:rFonts w:ascii="Arial" w:hAnsi="Arial" w:cs="DINOT-Light"/>
                <w:sz w:val="18"/>
                <w:szCs w:val="18"/>
              </w:rPr>
              <w:t>LOW, STABLE</w:t>
            </w:r>
          </w:p>
        </w:tc>
        <w:tc>
          <w:tcPr>
            <w:tcW w:w="4412" w:type="dxa"/>
            <w:vMerge/>
          </w:tcPr>
          <w:p w14:paraId="2DE44E4B" w14:textId="77777777" w:rsidR="00653E56" w:rsidRPr="00735726" w:rsidRDefault="00653E56" w:rsidP="00470234">
            <w:pPr>
              <w:spacing w:after="160"/>
              <w:rPr>
                <w:rFonts w:ascii="Arial" w:hAnsi="Arial" w:cs="DINOT-Light"/>
                <w:b/>
                <w:bCs/>
                <w:sz w:val="18"/>
                <w:szCs w:val="18"/>
              </w:rPr>
            </w:pPr>
          </w:p>
        </w:tc>
      </w:tr>
    </w:tbl>
    <w:p w14:paraId="602CEB20" w14:textId="5FF7F039" w:rsidR="003759BE" w:rsidRPr="009A2CAE" w:rsidRDefault="003759BE">
      <w:pPr>
        <w:spacing w:after="160" w:line="259" w:lineRule="auto"/>
        <w:rPr>
          <w:rFonts w:ascii="Arial" w:hAnsi="Arial" w:cs="Arial"/>
          <w:sz w:val="18"/>
          <w:szCs w:val="18"/>
        </w:rPr>
      </w:pPr>
    </w:p>
    <w:p w14:paraId="44B7E84C" w14:textId="49DD6361" w:rsidR="001F40A7" w:rsidRPr="00735726" w:rsidRDefault="001F40A7" w:rsidP="001F40A7">
      <w:pPr>
        <w:spacing w:after="160"/>
        <w:rPr>
          <w:rFonts w:ascii="Arial" w:eastAsia="Times New Roman" w:hAnsi="Arial" w:cs="DINOT-Light"/>
          <w:color w:val="000000"/>
          <w:sz w:val="18"/>
          <w:szCs w:val="18"/>
        </w:rPr>
      </w:pPr>
      <w:r w:rsidRPr="00735726">
        <w:rPr>
          <w:rFonts w:ascii="Arial" w:eastAsia="Times New Roman" w:hAnsi="Arial" w:cs="DINOT"/>
          <w:b/>
          <w:bCs/>
          <w:caps/>
          <w:sz w:val="18"/>
        </w:rPr>
        <w:t xml:space="preserve">SCENARIO ANALYSIS </w:t>
      </w:r>
      <w:r w:rsidR="006C1BA9" w:rsidRPr="00735726">
        <w:rPr>
          <w:rFonts w:ascii="Arial" w:eastAsia="Times New Roman" w:hAnsi="Arial" w:cs="DINOT"/>
          <w:b/>
          <w:bCs/>
          <w:caps/>
          <w:sz w:val="18"/>
        </w:rPr>
        <w:t xml:space="preserve">- </w:t>
      </w:r>
      <w:r w:rsidRPr="00735726">
        <w:rPr>
          <w:rFonts w:ascii="Arial" w:eastAsia="Times New Roman" w:hAnsi="Arial" w:cs="DINOT"/>
          <w:b/>
          <w:bCs/>
          <w:caps/>
          <w:sz w:val="18"/>
        </w:rPr>
        <w:t>CLIMATE TRANSITION opportunities</w:t>
      </w:r>
      <w:r w:rsidRPr="00735726">
        <w:rPr>
          <w:rFonts w:ascii="Arial" w:eastAsia="Times New Roman" w:hAnsi="Arial" w:cs="DINOT"/>
          <w:b/>
          <w:bCs/>
          <w:caps/>
          <w:sz w:val="18"/>
        </w:rPr>
        <w:br/>
      </w:r>
      <w:r w:rsidRPr="00735726">
        <w:rPr>
          <w:rFonts w:ascii="Arial" w:eastAsia="Times New Roman" w:hAnsi="Arial" w:cs="DINOT-Light"/>
          <w:color w:val="000000"/>
          <w:sz w:val="18"/>
          <w:szCs w:val="18"/>
        </w:rPr>
        <w:t>Our key climate</w:t>
      </w:r>
      <w:r w:rsidR="00756031" w:rsidRPr="00735726">
        <w:rPr>
          <w:rFonts w:ascii="Arial" w:eastAsia="Times New Roman" w:hAnsi="Arial" w:cs="DINOT-Light"/>
          <w:color w:val="000000"/>
          <w:sz w:val="18"/>
          <w:szCs w:val="18"/>
        </w:rPr>
        <w:t xml:space="preserve">-related </w:t>
      </w:r>
      <w:r w:rsidRPr="00735726">
        <w:rPr>
          <w:rFonts w:ascii="Arial" w:eastAsia="Times New Roman" w:hAnsi="Arial" w:cs="DINOT-Light"/>
          <w:color w:val="000000"/>
          <w:sz w:val="18"/>
          <w:szCs w:val="18"/>
        </w:rPr>
        <w:t>opportunities:</w:t>
      </w:r>
    </w:p>
    <w:tbl>
      <w:tblPr>
        <w:tblStyle w:val="TableGrid"/>
        <w:tblW w:w="0" w:type="auto"/>
        <w:tblLook w:val="04A0" w:firstRow="1" w:lastRow="0" w:firstColumn="1" w:lastColumn="0" w:noHBand="0" w:noVBand="1"/>
      </w:tblPr>
      <w:tblGrid>
        <w:gridCol w:w="1809"/>
        <w:gridCol w:w="1388"/>
        <w:gridCol w:w="1407"/>
        <w:gridCol w:w="4412"/>
      </w:tblGrid>
      <w:tr w:rsidR="006C730C" w:rsidRPr="00735726" w14:paraId="13AF8E13" w14:textId="77777777" w:rsidTr="00470234">
        <w:tc>
          <w:tcPr>
            <w:tcW w:w="1809" w:type="dxa"/>
            <w:shd w:val="clear" w:color="auto" w:fill="002060"/>
          </w:tcPr>
          <w:p w14:paraId="1C59684A" w14:textId="4CDA19EC" w:rsidR="001F40A7" w:rsidRPr="00735726" w:rsidRDefault="00756031" w:rsidP="00470234">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Climate-related opportunities</w:t>
            </w:r>
          </w:p>
        </w:tc>
        <w:tc>
          <w:tcPr>
            <w:tcW w:w="1388" w:type="dxa"/>
            <w:shd w:val="clear" w:color="auto" w:fill="002060"/>
          </w:tcPr>
          <w:p w14:paraId="2D028EEA" w14:textId="77777777" w:rsidR="001F40A7" w:rsidRPr="00735726" w:rsidRDefault="001F40A7" w:rsidP="00470234">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Time horizon</w:t>
            </w:r>
          </w:p>
        </w:tc>
        <w:tc>
          <w:tcPr>
            <w:tcW w:w="1407" w:type="dxa"/>
            <w:shd w:val="clear" w:color="auto" w:fill="002060"/>
          </w:tcPr>
          <w:p w14:paraId="56316B0B" w14:textId="0CDB5E5F" w:rsidR="001F40A7" w:rsidRPr="00735726" w:rsidRDefault="001F40A7" w:rsidP="00470234">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 xml:space="preserve">Current </w:t>
            </w:r>
            <w:r w:rsidR="00756031" w:rsidRPr="00735726">
              <w:rPr>
                <w:rFonts w:ascii="Arial" w:hAnsi="Arial" w:cs="DINOT-Light"/>
                <w:b/>
                <w:bCs/>
                <w:color w:val="FFFFFF" w:themeColor="background1"/>
                <w:sz w:val="18"/>
                <w:szCs w:val="18"/>
              </w:rPr>
              <w:t>opportunity</w:t>
            </w:r>
            <w:r w:rsidRPr="00735726">
              <w:rPr>
                <w:rFonts w:ascii="Arial" w:hAnsi="Arial" w:cs="DINOT-Light"/>
                <w:b/>
                <w:bCs/>
                <w:color w:val="FFFFFF" w:themeColor="background1"/>
                <w:sz w:val="18"/>
                <w:szCs w:val="18"/>
              </w:rPr>
              <w:t xml:space="preserve"> rating and trend</w:t>
            </w:r>
          </w:p>
        </w:tc>
        <w:tc>
          <w:tcPr>
            <w:tcW w:w="4412" w:type="dxa"/>
            <w:shd w:val="clear" w:color="auto" w:fill="002060"/>
          </w:tcPr>
          <w:p w14:paraId="40E45C23" w14:textId="75A49A5F" w:rsidR="001F40A7" w:rsidRPr="00735726" w:rsidRDefault="001F40A7" w:rsidP="00470234">
            <w:pPr>
              <w:spacing w:after="160"/>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 xml:space="preserve">Key impacts of </w:t>
            </w:r>
            <w:r w:rsidR="00CD4A97" w:rsidRPr="00735726">
              <w:rPr>
                <w:rFonts w:ascii="Arial" w:hAnsi="Arial" w:cs="DINOT-Light"/>
                <w:b/>
                <w:bCs/>
                <w:color w:val="FFFFFF" w:themeColor="background1"/>
                <w:sz w:val="18"/>
                <w:szCs w:val="18"/>
              </w:rPr>
              <w:t>c</w:t>
            </w:r>
            <w:r w:rsidR="00756031" w:rsidRPr="00735726">
              <w:rPr>
                <w:rFonts w:ascii="Arial" w:hAnsi="Arial" w:cs="DINOT-Light"/>
                <w:b/>
                <w:bCs/>
                <w:color w:val="FFFFFF" w:themeColor="background1"/>
                <w:sz w:val="18"/>
                <w:szCs w:val="18"/>
              </w:rPr>
              <w:t>limate-related opportunities</w:t>
            </w:r>
          </w:p>
        </w:tc>
      </w:tr>
      <w:tr w:rsidR="001F40A7" w:rsidRPr="00735726" w14:paraId="062ACE65" w14:textId="77777777" w:rsidTr="00470234">
        <w:tc>
          <w:tcPr>
            <w:tcW w:w="1809" w:type="dxa"/>
          </w:tcPr>
          <w:p w14:paraId="50EA1CD5" w14:textId="50197445" w:rsidR="001F40A7" w:rsidRPr="00735726" w:rsidRDefault="006C730C" w:rsidP="006C730C">
            <w:pPr>
              <w:spacing w:after="160"/>
              <w:rPr>
                <w:rFonts w:ascii="Arial" w:hAnsi="Arial" w:cs="DINOT-Light"/>
                <w:sz w:val="18"/>
                <w:szCs w:val="18"/>
              </w:rPr>
            </w:pPr>
            <w:r w:rsidRPr="00735726">
              <w:rPr>
                <w:rFonts w:ascii="Arial" w:hAnsi="Arial" w:cs="DINOT-Light"/>
                <w:sz w:val="18"/>
                <w:szCs w:val="18"/>
              </w:rPr>
              <w:t xml:space="preserve">Resilience: Enhancing resilience across </w:t>
            </w:r>
            <w:proofErr w:type="gramStart"/>
            <w:r w:rsidRPr="00735726">
              <w:rPr>
                <w:rFonts w:ascii="Arial" w:hAnsi="Arial" w:cs="DINOT-Light"/>
                <w:sz w:val="18"/>
                <w:szCs w:val="18"/>
              </w:rPr>
              <w:t>South West</w:t>
            </w:r>
            <w:proofErr w:type="gramEnd"/>
            <w:r w:rsidRPr="00735726">
              <w:rPr>
                <w:rFonts w:ascii="Arial" w:hAnsi="Arial" w:cs="DINOT-Light"/>
                <w:sz w:val="18"/>
                <w:szCs w:val="18"/>
              </w:rPr>
              <w:t xml:space="preserve"> Water’s operations, asset base, and supply chain to avoid costs and enhance value</w:t>
            </w:r>
          </w:p>
        </w:tc>
        <w:tc>
          <w:tcPr>
            <w:tcW w:w="1388" w:type="dxa"/>
          </w:tcPr>
          <w:p w14:paraId="4060FE7B" w14:textId="3BFC430A" w:rsidR="001F40A7" w:rsidRPr="00735726" w:rsidRDefault="006C730C" w:rsidP="001F40A7">
            <w:pPr>
              <w:spacing w:after="160"/>
              <w:rPr>
                <w:rFonts w:ascii="Arial" w:hAnsi="Arial" w:cs="DINOT-Light"/>
                <w:sz w:val="18"/>
                <w:szCs w:val="18"/>
              </w:rPr>
            </w:pPr>
            <w:r w:rsidRPr="00735726">
              <w:rPr>
                <w:rFonts w:ascii="Arial" w:hAnsi="Arial" w:cs="DINOT-Light"/>
                <w:sz w:val="18"/>
                <w:szCs w:val="18"/>
              </w:rPr>
              <w:t>Short and medium-term</w:t>
            </w:r>
          </w:p>
        </w:tc>
        <w:tc>
          <w:tcPr>
            <w:tcW w:w="1407" w:type="dxa"/>
          </w:tcPr>
          <w:p w14:paraId="640F8C1F" w14:textId="2E1D52FC" w:rsidR="001F40A7" w:rsidRPr="00735726" w:rsidRDefault="006C730C" w:rsidP="001F40A7">
            <w:pPr>
              <w:spacing w:after="160"/>
              <w:rPr>
                <w:rFonts w:ascii="Arial" w:hAnsi="Arial" w:cs="DINOT-Light"/>
                <w:sz w:val="18"/>
                <w:szCs w:val="18"/>
              </w:rPr>
            </w:pPr>
            <w:r w:rsidRPr="00735726">
              <w:rPr>
                <w:rFonts w:ascii="Arial" w:hAnsi="Arial" w:cs="DINOT-Light"/>
                <w:sz w:val="18"/>
                <w:szCs w:val="18"/>
              </w:rPr>
              <w:t>MEDIUM, INCREASING</w:t>
            </w:r>
          </w:p>
        </w:tc>
        <w:tc>
          <w:tcPr>
            <w:tcW w:w="4412" w:type="dxa"/>
            <w:vMerge w:val="restart"/>
          </w:tcPr>
          <w:p w14:paraId="25251A3A" w14:textId="77777777" w:rsidR="001F40A7" w:rsidRPr="00735726" w:rsidRDefault="004818AF" w:rsidP="004818AF">
            <w:pPr>
              <w:spacing w:after="160"/>
              <w:rPr>
                <w:rFonts w:ascii="Arial" w:hAnsi="Arial" w:cs="DINOT-Light"/>
                <w:sz w:val="18"/>
                <w:szCs w:val="18"/>
              </w:rPr>
            </w:pPr>
            <w:r w:rsidRPr="00735726">
              <w:rPr>
                <w:rFonts w:ascii="Arial" w:hAnsi="Arial" w:cs="DINOT-Light"/>
                <w:b/>
                <w:bCs/>
                <w:sz w:val="18"/>
                <w:szCs w:val="18"/>
              </w:rPr>
              <w:t>Costs to our business of achieving our Net Zero targets could be reduced.</w:t>
            </w:r>
            <w:r w:rsidRPr="00735726">
              <w:rPr>
                <w:rFonts w:ascii="Arial" w:hAnsi="Arial" w:cs="DINOT-Light"/>
                <w:sz w:val="18"/>
                <w:szCs w:val="18"/>
              </w:rPr>
              <w:t xml:space="preserve"> With greater regulatory support towards the step-change in investment required, the cost and availability of technologies, skills, and resources could be reduced. We are already benefiting from reducing our energy costs through investment in renewable energy.</w:t>
            </w:r>
          </w:p>
          <w:p w14:paraId="350C0046" w14:textId="77777777" w:rsidR="004818AF" w:rsidRPr="00735726" w:rsidRDefault="004818AF" w:rsidP="004818AF">
            <w:pPr>
              <w:spacing w:after="160"/>
              <w:rPr>
                <w:rFonts w:ascii="Arial" w:hAnsi="Arial" w:cs="DINOT-Light"/>
                <w:sz w:val="18"/>
                <w:szCs w:val="18"/>
              </w:rPr>
            </w:pPr>
            <w:r w:rsidRPr="00735726">
              <w:rPr>
                <w:rFonts w:ascii="Arial" w:hAnsi="Arial" w:cs="DINOT-Light"/>
                <w:b/>
                <w:bCs/>
                <w:sz w:val="18"/>
                <w:szCs w:val="18"/>
              </w:rPr>
              <w:t>The regulatory environment may be more favourable for nature-based solutions (NBS) which can also sequester carbon.</w:t>
            </w:r>
            <w:r w:rsidRPr="00735726">
              <w:rPr>
                <w:rFonts w:ascii="Arial" w:hAnsi="Arial" w:cs="DINOT-Light"/>
                <w:sz w:val="18"/>
                <w:szCs w:val="18"/>
              </w:rPr>
              <w:t xml:space="preserve"> More stringent carbon management requirements across the economy and more mature carbon/biodiversity markets would provide more incentives for NBS.</w:t>
            </w:r>
          </w:p>
          <w:p w14:paraId="52259D10" w14:textId="77777777" w:rsidR="004818AF" w:rsidRPr="00735726" w:rsidRDefault="004818AF" w:rsidP="004818AF">
            <w:pPr>
              <w:spacing w:after="160"/>
              <w:rPr>
                <w:rFonts w:ascii="Arial" w:hAnsi="Arial" w:cs="DINOT-Light"/>
                <w:sz w:val="18"/>
                <w:szCs w:val="18"/>
              </w:rPr>
            </w:pPr>
            <w:r w:rsidRPr="00735726">
              <w:rPr>
                <w:rFonts w:ascii="Arial" w:hAnsi="Arial" w:cs="DINOT-Light"/>
                <w:b/>
                <w:bCs/>
                <w:sz w:val="18"/>
                <w:szCs w:val="18"/>
              </w:rPr>
              <w:t>Our reputation could benefit from realising climate opportunities, provided we support customers in need</w:t>
            </w:r>
            <w:r w:rsidRPr="00735726">
              <w:rPr>
                <w:rFonts w:ascii="Arial" w:hAnsi="Arial" w:cs="DINOT-Light"/>
                <w:sz w:val="18"/>
                <w:szCs w:val="18"/>
              </w:rPr>
              <w:t>. Fairness in the distribution of the costs of the UK’s transition to Net Zero is a key concern among stakeholders. Increased support to some customers may be required, and our investments will need to be carefully planned and phased to ensure they are efficient and avoid sudden price impacts.</w:t>
            </w:r>
          </w:p>
          <w:p w14:paraId="44B8F20E" w14:textId="6520DD03" w:rsidR="004818AF" w:rsidRPr="00735726" w:rsidRDefault="004818AF" w:rsidP="004818AF">
            <w:pPr>
              <w:spacing w:after="160"/>
              <w:rPr>
                <w:rFonts w:ascii="Arial" w:hAnsi="Arial" w:cs="DINOT-Light"/>
                <w:sz w:val="18"/>
                <w:szCs w:val="18"/>
              </w:rPr>
            </w:pPr>
            <w:r w:rsidRPr="00735726">
              <w:rPr>
                <w:rFonts w:ascii="Arial" w:hAnsi="Arial" w:cs="DINOT-Light"/>
                <w:b/>
                <w:bCs/>
                <w:sz w:val="18"/>
                <w:szCs w:val="18"/>
              </w:rPr>
              <w:t>We can increase our revenue and decrease our operating costs</w:t>
            </w:r>
            <w:r w:rsidRPr="00735726">
              <w:rPr>
                <w:rFonts w:ascii="Arial" w:hAnsi="Arial" w:cs="DINOT-Light"/>
                <w:sz w:val="18"/>
                <w:szCs w:val="18"/>
              </w:rPr>
              <w:t>. A more favourable enabling environment would mean that our climate-related opportunities are enhanced and easier to realise. Investing and innovating on energy and resource efficiency can reduce our operating costs, and delivering SROs and bioresources could enhance our revenues.</w:t>
            </w:r>
          </w:p>
        </w:tc>
      </w:tr>
      <w:tr w:rsidR="006C730C" w:rsidRPr="00735726" w14:paraId="05DFD492" w14:textId="77777777" w:rsidTr="00470234">
        <w:tc>
          <w:tcPr>
            <w:tcW w:w="1809" w:type="dxa"/>
          </w:tcPr>
          <w:p w14:paraId="333C9ADC" w14:textId="1DEAC409" w:rsidR="006C730C" w:rsidRPr="00735726" w:rsidRDefault="006C730C" w:rsidP="006C730C">
            <w:pPr>
              <w:spacing w:after="160"/>
              <w:rPr>
                <w:rFonts w:ascii="Arial" w:hAnsi="Arial" w:cs="DINOT-Light"/>
                <w:sz w:val="18"/>
                <w:szCs w:val="18"/>
              </w:rPr>
            </w:pPr>
            <w:r w:rsidRPr="00735726">
              <w:rPr>
                <w:rFonts w:ascii="Arial" w:hAnsi="Arial" w:cs="DINOT-Light"/>
                <w:sz w:val="18"/>
                <w:szCs w:val="18"/>
              </w:rPr>
              <w:t>Energy source: Reducing carbon and enhancing energy resilience and revenue by using and generating renewable energy</w:t>
            </w:r>
          </w:p>
        </w:tc>
        <w:tc>
          <w:tcPr>
            <w:tcW w:w="1388" w:type="dxa"/>
          </w:tcPr>
          <w:p w14:paraId="370DBD2B" w14:textId="57A49C04" w:rsidR="006C730C" w:rsidRPr="00735726" w:rsidRDefault="006C730C" w:rsidP="006C730C">
            <w:pPr>
              <w:spacing w:after="160"/>
              <w:rPr>
                <w:rFonts w:ascii="Arial" w:hAnsi="Arial" w:cs="DINOT-Light"/>
                <w:b/>
                <w:bCs/>
                <w:sz w:val="18"/>
                <w:szCs w:val="18"/>
              </w:rPr>
            </w:pPr>
            <w:r w:rsidRPr="00735726">
              <w:rPr>
                <w:rFonts w:ascii="Arial" w:hAnsi="Arial" w:cs="DINOT-Light"/>
                <w:sz w:val="18"/>
                <w:szCs w:val="18"/>
              </w:rPr>
              <w:t>Short and medium-term</w:t>
            </w:r>
          </w:p>
        </w:tc>
        <w:tc>
          <w:tcPr>
            <w:tcW w:w="1407" w:type="dxa"/>
          </w:tcPr>
          <w:p w14:paraId="251EECE5" w14:textId="19526161" w:rsidR="006C730C" w:rsidRPr="00735726" w:rsidRDefault="006C730C" w:rsidP="006C730C">
            <w:pPr>
              <w:spacing w:after="160"/>
              <w:rPr>
                <w:rFonts w:ascii="Arial" w:hAnsi="Arial" w:cs="DINOT-Light"/>
                <w:b/>
                <w:bCs/>
                <w:sz w:val="18"/>
                <w:szCs w:val="18"/>
              </w:rPr>
            </w:pPr>
            <w:r w:rsidRPr="00735726">
              <w:rPr>
                <w:rFonts w:ascii="Arial" w:hAnsi="Arial" w:cs="DINOT-Light"/>
                <w:sz w:val="18"/>
                <w:szCs w:val="18"/>
              </w:rPr>
              <w:t>MEDIUM, INCREASING</w:t>
            </w:r>
          </w:p>
        </w:tc>
        <w:tc>
          <w:tcPr>
            <w:tcW w:w="4412" w:type="dxa"/>
            <w:vMerge/>
          </w:tcPr>
          <w:p w14:paraId="2E72D19A" w14:textId="77777777" w:rsidR="006C730C" w:rsidRPr="00735726" w:rsidRDefault="006C730C" w:rsidP="006C730C">
            <w:pPr>
              <w:spacing w:after="160"/>
              <w:rPr>
                <w:rFonts w:ascii="Arial" w:hAnsi="Arial" w:cs="DINOT-Light"/>
                <w:b/>
                <w:bCs/>
                <w:sz w:val="18"/>
                <w:szCs w:val="18"/>
              </w:rPr>
            </w:pPr>
          </w:p>
        </w:tc>
      </w:tr>
      <w:tr w:rsidR="006C730C" w:rsidRPr="00735726" w14:paraId="53483FA2" w14:textId="77777777" w:rsidTr="00470234">
        <w:tc>
          <w:tcPr>
            <w:tcW w:w="1809" w:type="dxa"/>
          </w:tcPr>
          <w:p w14:paraId="76EA8D6C" w14:textId="1C727DD7" w:rsidR="006C730C" w:rsidRPr="00735726" w:rsidRDefault="006C730C" w:rsidP="006C730C">
            <w:pPr>
              <w:spacing w:after="160"/>
              <w:rPr>
                <w:rFonts w:ascii="Arial" w:hAnsi="Arial" w:cs="DINOT-Light"/>
                <w:sz w:val="18"/>
                <w:szCs w:val="18"/>
              </w:rPr>
            </w:pPr>
            <w:r w:rsidRPr="00735726">
              <w:rPr>
                <w:rFonts w:ascii="Arial" w:hAnsi="Arial" w:cs="DINOT-Light"/>
                <w:sz w:val="18"/>
                <w:szCs w:val="18"/>
              </w:rPr>
              <w:t>Markets: Generating value and reducing our financing costs through sustainable financing</w:t>
            </w:r>
          </w:p>
        </w:tc>
        <w:tc>
          <w:tcPr>
            <w:tcW w:w="1388" w:type="dxa"/>
          </w:tcPr>
          <w:p w14:paraId="1F4064C4" w14:textId="610226EF" w:rsidR="006C730C" w:rsidRPr="00735726" w:rsidRDefault="006C730C" w:rsidP="006C730C">
            <w:pPr>
              <w:spacing w:after="160"/>
              <w:rPr>
                <w:rFonts w:ascii="Arial" w:hAnsi="Arial" w:cs="DINOT-Light"/>
                <w:sz w:val="18"/>
                <w:szCs w:val="18"/>
              </w:rPr>
            </w:pPr>
            <w:r w:rsidRPr="00735726">
              <w:rPr>
                <w:rFonts w:ascii="Arial" w:hAnsi="Arial" w:cs="DINOT-Light"/>
                <w:sz w:val="18"/>
                <w:szCs w:val="18"/>
              </w:rPr>
              <w:t>Short and medium-term</w:t>
            </w:r>
          </w:p>
        </w:tc>
        <w:tc>
          <w:tcPr>
            <w:tcW w:w="1407" w:type="dxa"/>
          </w:tcPr>
          <w:p w14:paraId="046688DA" w14:textId="14622F13" w:rsidR="006C730C" w:rsidRPr="00735726" w:rsidRDefault="006C730C" w:rsidP="006C730C">
            <w:pPr>
              <w:spacing w:after="160"/>
              <w:rPr>
                <w:rFonts w:ascii="Arial" w:hAnsi="Arial" w:cs="DINOT-Light"/>
                <w:b/>
                <w:bCs/>
                <w:sz w:val="18"/>
                <w:szCs w:val="18"/>
              </w:rPr>
            </w:pPr>
            <w:r w:rsidRPr="00735726">
              <w:rPr>
                <w:rFonts w:ascii="Arial" w:hAnsi="Arial" w:cs="DINOT-Light"/>
                <w:sz w:val="18"/>
                <w:szCs w:val="18"/>
              </w:rPr>
              <w:t>MEDIUM, INCREASING</w:t>
            </w:r>
          </w:p>
        </w:tc>
        <w:tc>
          <w:tcPr>
            <w:tcW w:w="4412" w:type="dxa"/>
            <w:vMerge/>
          </w:tcPr>
          <w:p w14:paraId="6C9CB7E8" w14:textId="77777777" w:rsidR="006C730C" w:rsidRPr="00735726" w:rsidRDefault="006C730C" w:rsidP="006C730C">
            <w:pPr>
              <w:spacing w:after="160"/>
              <w:rPr>
                <w:rFonts w:ascii="Arial" w:hAnsi="Arial" w:cs="DINOT-Light"/>
                <w:b/>
                <w:bCs/>
                <w:sz w:val="18"/>
                <w:szCs w:val="18"/>
              </w:rPr>
            </w:pPr>
          </w:p>
        </w:tc>
      </w:tr>
      <w:tr w:rsidR="006C730C" w:rsidRPr="00735726" w14:paraId="3F9327FC" w14:textId="77777777" w:rsidTr="00470234">
        <w:tc>
          <w:tcPr>
            <w:tcW w:w="1809" w:type="dxa"/>
          </w:tcPr>
          <w:p w14:paraId="15BE098A" w14:textId="69F9D71C" w:rsidR="006C730C" w:rsidRPr="00735726" w:rsidRDefault="006C730C" w:rsidP="006C730C">
            <w:pPr>
              <w:spacing w:after="160"/>
              <w:rPr>
                <w:rFonts w:ascii="Arial" w:hAnsi="Arial" w:cs="DINOT-Light"/>
                <w:sz w:val="18"/>
                <w:szCs w:val="18"/>
              </w:rPr>
            </w:pPr>
            <w:r w:rsidRPr="00735726">
              <w:rPr>
                <w:rFonts w:ascii="Arial" w:hAnsi="Arial" w:cs="DINOT-Light"/>
                <w:sz w:val="18"/>
                <w:szCs w:val="18"/>
              </w:rPr>
              <w:t xml:space="preserve">Resource efficiency: Saving water, energy, materials, and carbon by enhancing efficiency, using low-carbon and nature-based solutions, and reducing emissions across </w:t>
            </w:r>
            <w:proofErr w:type="gramStart"/>
            <w:r w:rsidRPr="00735726">
              <w:rPr>
                <w:rFonts w:ascii="Arial" w:hAnsi="Arial" w:cs="DINOT-Light"/>
                <w:sz w:val="18"/>
                <w:szCs w:val="18"/>
              </w:rPr>
              <w:t>South West</w:t>
            </w:r>
            <w:proofErr w:type="gramEnd"/>
            <w:r w:rsidRPr="00735726">
              <w:rPr>
                <w:rFonts w:ascii="Arial" w:hAnsi="Arial" w:cs="DINOT-Light"/>
                <w:sz w:val="18"/>
                <w:szCs w:val="18"/>
              </w:rPr>
              <w:t xml:space="preserve"> Water’s supply chain</w:t>
            </w:r>
          </w:p>
        </w:tc>
        <w:tc>
          <w:tcPr>
            <w:tcW w:w="1388" w:type="dxa"/>
          </w:tcPr>
          <w:p w14:paraId="3680A4E3" w14:textId="2A9C84BA" w:rsidR="006C730C" w:rsidRPr="00735726" w:rsidRDefault="006C730C" w:rsidP="006C730C">
            <w:pPr>
              <w:spacing w:after="160"/>
              <w:rPr>
                <w:rFonts w:ascii="Arial" w:hAnsi="Arial" w:cs="DINOT-Light"/>
                <w:b/>
                <w:bCs/>
                <w:sz w:val="18"/>
                <w:szCs w:val="18"/>
              </w:rPr>
            </w:pPr>
            <w:r w:rsidRPr="00735726">
              <w:rPr>
                <w:rFonts w:ascii="Arial" w:hAnsi="Arial" w:cs="DINOT-Light"/>
                <w:sz w:val="18"/>
                <w:szCs w:val="18"/>
              </w:rPr>
              <w:t>Short and medium-term</w:t>
            </w:r>
          </w:p>
        </w:tc>
        <w:tc>
          <w:tcPr>
            <w:tcW w:w="1407" w:type="dxa"/>
          </w:tcPr>
          <w:p w14:paraId="00426353" w14:textId="4D6CFCBF" w:rsidR="006C730C" w:rsidRPr="00735726" w:rsidRDefault="006C730C" w:rsidP="006C730C">
            <w:pPr>
              <w:spacing w:after="160"/>
              <w:rPr>
                <w:rFonts w:ascii="Arial" w:hAnsi="Arial" w:cs="DINOT-Light"/>
                <w:b/>
                <w:bCs/>
                <w:sz w:val="18"/>
                <w:szCs w:val="18"/>
              </w:rPr>
            </w:pPr>
            <w:r w:rsidRPr="00735726">
              <w:rPr>
                <w:rFonts w:ascii="Arial" w:hAnsi="Arial" w:cs="DINOT-Light"/>
                <w:sz w:val="18"/>
                <w:szCs w:val="18"/>
              </w:rPr>
              <w:t>MEDIUM, INCREASING</w:t>
            </w:r>
          </w:p>
        </w:tc>
        <w:tc>
          <w:tcPr>
            <w:tcW w:w="4412" w:type="dxa"/>
            <w:vMerge/>
          </w:tcPr>
          <w:p w14:paraId="0DE905E0" w14:textId="77777777" w:rsidR="006C730C" w:rsidRPr="00735726" w:rsidRDefault="006C730C" w:rsidP="006C730C">
            <w:pPr>
              <w:spacing w:after="160"/>
              <w:rPr>
                <w:rFonts w:ascii="Arial" w:hAnsi="Arial" w:cs="DINOT-Light"/>
                <w:b/>
                <w:bCs/>
                <w:sz w:val="18"/>
                <w:szCs w:val="18"/>
              </w:rPr>
            </w:pPr>
          </w:p>
        </w:tc>
      </w:tr>
      <w:tr w:rsidR="006C730C" w:rsidRPr="00735726" w14:paraId="3936EC64" w14:textId="77777777" w:rsidTr="00470234">
        <w:tc>
          <w:tcPr>
            <w:tcW w:w="1809" w:type="dxa"/>
          </w:tcPr>
          <w:p w14:paraId="0B71CCF1" w14:textId="5BD9C983" w:rsidR="006C730C" w:rsidRPr="00735726" w:rsidRDefault="006C730C" w:rsidP="006C730C">
            <w:pPr>
              <w:spacing w:after="160"/>
              <w:rPr>
                <w:rFonts w:ascii="Arial" w:hAnsi="Arial" w:cs="DINOT-Light"/>
                <w:sz w:val="18"/>
                <w:szCs w:val="18"/>
              </w:rPr>
            </w:pPr>
            <w:r w:rsidRPr="00735726">
              <w:rPr>
                <w:rFonts w:ascii="Arial" w:hAnsi="Arial" w:cs="DINOT-Light"/>
                <w:sz w:val="18"/>
                <w:szCs w:val="18"/>
              </w:rPr>
              <w:t xml:space="preserve">Products and services: </w:t>
            </w:r>
            <w:r w:rsidRPr="00735726">
              <w:rPr>
                <w:rFonts w:ascii="Arial" w:hAnsi="Arial" w:cs="DINOT-Light"/>
                <w:sz w:val="18"/>
                <w:szCs w:val="18"/>
              </w:rPr>
              <w:lastRenderedPageBreak/>
              <w:t>Enhancing revenue through providing resilient water solutions, bioresources, and expertise to other water companies</w:t>
            </w:r>
          </w:p>
        </w:tc>
        <w:tc>
          <w:tcPr>
            <w:tcW w:w="1388" w:type="dxa"/>
          </w:tcPr>
          <w:p w14:paraId="27CFEFCD" w14:textId="1DF66365" w:rsidR="006C730C" w:rsidRPr="00735726" w:rsidRDefault="006C730C" w:rsidP="006C730C">
            <w:pPr>
              <w:spacing w:after="160"/>
              <w:rPr>
                <w:rFonts w:ascii="Arial" w:hAnsi="Arial" w:cs="DINOT-Light"/>
                <w:b/>
                <w:bCs/>
                <w:sz w:val="18"/>
                <w:szCs w:val="18"/>
              </w:rPr>
            </w:pPr>
            <w:r w:rsidRPr="00735726">
              <w:rPr>
                <w:rFonts w:ascii="Arial" w:hAnsi="Arial" w:cs="DINOT-Light"/>
                <w:sz w:val="18"/>
                <w:szCs w:val="18"/>
              </w:rPr>
              <w:lastRenderedPageBreak/>
              <w:t>Short, medium and long-term</w:t>
            </w:r>
          </w:p>
        </w:tc>
        <w:tc>
          <w:tcPr>
            <w:tcW w:w="1407" w:type="dxa"/>
          </w:tcPr>
          <w:p w14:paraId="6F2F526D" w14:textId="65D9F251" w:rsidR="006C730C" w:rsidRPr="00735726" w:rsidRDefault="006C730C" w:rsidP="006C730C">
            <w:pPr>
              <w:spacing w:after="160"/>
              <w:rPr>
                <w:rFonts w:ascii="Arial" w:hAnsi="Arial" w:cs="DINOT-Light"/>
                <w:sz w:val="18"/>
                <w:szCs w:val="18"/>
              </w:rPr>
            </w:pPr>
            <w:r w:rsidRPr="00735726">
              <w:rPr>
                <w:rFonts w:ascii="Arial" w:hAnsi="Arial" w:cs="DINOT-Light"/>
                <w:sz w:val="18"/>
                <w:szCs w:val="18"/>
              </w:rPr>
              <w:t>MEDIUM, INCREASING</w:t>
            </w:r>
          </w:p>
        </w:tc>
        <w:tc>
          <w:tcPr>
            <w:tcW w:w="4412" w:type="dxa"/>
            <w:vMerge/>
          </w:tcPr>
          <w:p w14:paraId="057A2054" w14:textId="77777777" w:rsidR="006C730C" w:rsidRPr="00735726" w:rsidRDefault="006C730C" w:rsidP="006C730C">
            <w:pPr>
              <w:spacing w:after="160"/>
              <w:rPr>
                <w:rFonts w:ascii="Arial" w:hAnsi="Arial" w:cs="DINOT-Light"/>
                <w:b/>
                <w:bCs/>
                <w:sz w:val="18"/>
                <w:szCs w:val="18"/>
              </w:rPr>
            </w:pPr>
          </w:p>
        </w:tc>
      </w:tr>
    </w:tbl>
    <w:p w14:paraId="5008C26B" w14:textId="77777777" w:rsidR="002902B7" w:rsidRPr="009A2CAE" w:rsidRDefault="002902B7">
      <w:pPr>
        <w:spacing w:after="160" w:line="259" w:lineRule="auto"/>
        <w:rPr>
          <w:rFonts w:ascii="Arial" w:hAnsi="Arial" w:cs="Arial"/>
          <w:sz w:val="18"/>
          <w:szCs w:val="18"/>
        </w:rPr>
      </w:pPr>
    </w:p>
    <w:p w14:paraId="577A3A7E" w14:textId="1E7E6D29" w:rsidR="00792F67" w:rsidRPr="00735726" w:rsidRDefault="000A71F8" w:rsidP="00277639">
      <w:pPr>
        <w:spacing w:after="160" w:line="259" w:lineRule="auto"/>
        <w:rPr>
          <w:rFonts w:ascii="Arial" w:hAnsi="Arial" w:cs="Arial"/>
          <w:sz w:val="18"/>
          <w:szCs w:val="18"/>
        </w:rPr>
      </w:pPr>
      <w:r w:rsidRPr="00735726">
        <w:rPr>
          <w:rFonts w:ascii="Arial" w:hAnsi="Arial" w:cs="Arial"/>
          <w:b/>
          <w:bCs/>
          <w:sz w:val="18"/>
          <w:szCs w:val="18"/>
        </w:rPr>
        <w:t>OUR STRATEGIC RESPONSES TO CLIMATE TRANSITION RISKS AND OPPORTUNITIES</w:t>
      </w:r>
      <w:r w:rsidRPr="00735726">
        <w:rPr>
          <w:rFonts w:ascii="Arial" w:hAnsi="Arial" w:cs="Arial"/>
          <w:b/>
          <w:bCs/>
          <w:sz w:val="18"/>
          <w:szCs w:val="18"/>
        </w:rPr>
        <w:br/>
      </w:r>
      <w:r w:rsidRPr="00735726">
        <w:rPr>
          <w:rFonts w:ascii="Arial" w:hAnsi="Arial" w:cs="Arial"/>
          <w:sz w:val="18"/>
          <w:szCs w:val="18"/>
        </w:rPr>
        <w:t xml:space="preserve">Although there are important differences in the impacts between the different transition scenarios we’ve considered, there are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common elements which will require us to implement a common strategic response. The relative importance of each, and specific elements within the response, will vary across the scenarios, but we have identified six key focus areas which will enhance resilience to transition risks, and better position the </w:t>
      </w:r>
      <w:r w:rsidR="00A176D9" w:rsidRPr="00735726">
        <w:rPr>
          <w:rFonts w:ascii="Arial" w:hAnsi="Arial" w:cs="Arial"/>
          <w:sz w:val="18"/>
          <w:szCs w:val="18"/>
        </w:rPr>
        <w:t>Company</w:t>
      </w:r>
      <w:r w:rsidRPr="00735726">
        <w:rPr>
          <w:rFonts w:ascii="Arial" w:hAnsi="Arial" w:cs="Arial"/>
          <w:sz w:val="18"/>
          <w:szCs w:val="18"/>
        </w:rPr>
        <w:t xml:space="preserve"> to take advantage </w:t>
      </w:r>
      <w:r w:rsidR="00A176D9" w:rsidRPr="00735726">
        <w:rPr>
          <w:rFonts w:ascii="Arial" w:hAnsi="Arial" w:cs="Arial"/>
          <w:sz w:val="18"/>
          <w:szCs w:val="18"/>
        </w:rPr>
        <w:t>of opportunities</w:t>
      </w:r>
      <w:r w:rsidRPr="00735726">
        <w:rPr>
          <w:rFonts w:ascii="Arial" w:hAnsi="Arial" w:cs="Arial"/>
          <w:sz w:val="18"/>
          <w:szCs w:val="18"/>
        </w:rPr>
        <w:t>:</w:t>
      </w:r>
    </w:p>
    <w:p w14:paraId="58F96D16" w14:textId="7978B7BF" w:rsidR="00A176D9" w:rsidRPr="00735726" w:rsidRDefault="00A176D9" w:rsidP="00A176D9">
      <w:pPr>
        <w:rPr>
          <w:rFonts w:ascii="Arial" w:hAnsi="Arial" w:cs="Arial"/>
          <w:sz w:val="18"/>
          <w:szCs w:val="18"/>
        </w:rPr>
      </w:pPr>
      <w:r w:rsidRPr="00735726">
        <w:rPr>
          <w:rFonts w:ascii="Arial" w:hAnsi="Arial" w:cs="Arial"/>
          <w:i/>
          <w:iCs/>
          <w:sz w:val="18"/>
          <w:szCs w:val="18"/>
        </w:rPr>
        <w:t>INVESTING IN EFFICIENCY</w:t>
      </w:r>
      <w:r w:rsidRPr="00735726">
        <w:rPr>
          <w:rFonts w:ascii="Arial" w:hAnsi="Arial" w:cs="Arial"/>
          <w:i/>
          <w:iCs/>
          <w:sz w:val="18"/>
          <w:szCs w:val="18"/>
        </w:rPr>
        <w:br/>
      </w:r>
      <w:r w:rsidRPr="00735726">
        <w:rPr>
          <w:rFonts w:ascii="Arial" w:hAnsi="Arial" w:cs="Arial"/>
          <w:sz w:val="18"/>
          <w:szCs w:val="18"/>
        </w:rPr>
        <w:t>Significant carbon savings and performance improvements can be achieved by driving greater efficiency across our operations. This includes energy efficiency (for example, more efficient pumping to reduce water losses), as well as optimising processes, reducing waste, and deploying smart technologies to improve the performance of our water and wastewater systems and networks. Many of these opportunities will reduce costs. We are investing in programmes to streamline operations, enhance resource efficiency and reduce energy use and carbon across our operations. This will accelerate our progress toward Net Zero and help manage the cost of the transition.</w:t>
      </w:r>
    </w:p>
    <w:p w14:paraId="2FD2D830" w14:textId="4D3A5595" w:rsidR="00A176D9" w:rsidRPr="00735726" w:rsidRDefault="00A176D9" w:rsidP="00A176D9">
      <w:pPr>
        <w:rPr>
          <w:rFonts w:ascii="Arial" w:hAnsi="Arial" w:cs="Arial"/>
          <w:sz w:val="18"/>
          <w:szCs w:val="18"/>
        </w:rPr>
      </w:pPr>
      <w:r w:rsidRPr="00735726">
        <w:rPr>
          <w:rFonts w:ascii="Arial" w:hAnsi="Arial" w:cs="Arial"/>
          <w:i/>
          <w:iCs/>
          <w:sz w:val="18"/>
          <w:szCs w:val="18"/>
        </w:rPr>
        <w:t>ENHANCING OUR RESILIENCE</w:t>
      </w:r>
      <w:r w:rsidRPr="00735726">
        <w:rPr>
          <w:rFonts w:ascii="Arial" w:hAnsi="Arial" w:cs="Arial"/>
          <w:i/>
          <w:iCs/>
          <w:sz w:val="18"/>
          <w:szCs w:val="18"/>
        </w:rPr>
        <w:br/>
      </w:r>
      <w:r w:rsidRPr="00735726">
        <w:rPr>
          <w:rFonts w:ascii="Arial" w:hAnsi="Arial" w:cs="Arial"/>
          <w:sz w:val="18"/>
          <w:szCs w:val="18"/>
        </w:rPr>
        <w:t xml:space="preserve">We will continue to invest in building resilience across our operations to address climate, physical and transition risks. This includes generating more of our own renewable energy to reduce exposure to energy price volatility and to enhance our options for energy supply. We are strengthening our ability to respond to physical climate impacts such as flooding and drought </w:t>
      </w:r>
      <w:r w:rsidR="006C1BA9" w:rsidRPr="00735726">
        <w:rPr>
          <w:rFonts w:ascii="Arial" w:hAnsi="Arial" w:cs="Arial"/>
          <w:sz w:val="18"/>
          <w:szCs w:val="18"/>
        </w:rPr>
        <w:t xml:space="preserve">- </w:t>
      </w:r>
      <w:r w:rsidRPr="00735726">
        <w:rPr>
          <w:rFonts w:ascii="Arial" w:hAnsi="Arial" w:cs="Arial"/>
          <w:sz w:val="18"/>
          <w:szCs w:val="18"/>
        </w:rPr>
        <w:t>by improving the robustness of our infrastructure, increasing water storage and supply flexibility, and integrating adaptive technologies and nature-based solutions.</w:t>
      </w:r>
    </w:p>
    <w:p w14:paraId="3D85E7E6" w14:textId="4799EE84" w:rsidR="00A176D9" w:rsidRPr="00735726" w:rsidRDefault="00A176D9" w:rsidP="00A176D9">
      <w:pPr>
        <w:rPr>
          <w:rFonts w:ascii="Arial" w:hAnsi="Arial" w:cs="Arial"/>
          <w:sz w:val="18"/>
          <w:szCs w:val="18"/>
        </w:rPr>
      </w:pPr>
      <w:r w:rsidRPr="00735726">
        <w:rPr>
          <w:rFonts w:ascii="Arial" w:hAnsi="Arial" w:cs="Arial"/>
          <w:i/>
          <w:iCs/>
          <w:sz w:val="18"/>
          <w:szCs w:val="18"/>
        </w:rPr>
        <w:t>ENHANCING OUR ACCESS TO GREEN ECONOMY RESOURCES</w:t>
      </w:r>
      <w:r w:rsidRPr="00735726">
        <w:rPr>
          <w:rFonts w:ascii="Arial" w:hAnsi="Arial" w:cs="Arial"/>
          <w:i/>
          <w:iCs/>
          <w:sz w:val="18"/>
          <w:szCs w:val="18"/>
        </w:rPr>
        <w:br/>
      </w:r>
      <w:r w:rsidRPr="00735726">
        <w:rPr>
          <w:rFonts w:ascii="Arial" w:hAnsi="Arial" w:cs="Arial"/>
          <w:sz w:val="18"/>
          <w:szCs w:val="18"/>
        </w:rPr>
        <w:t>Skills and resources across key areas of the green</w:t>
      </w:r>
      <w:r w:rsidR="00445D3F" w:rsidRPr="00735726">
        <w:rPr>
          <w:rFonts w:ascii="Arial" w:hAnsi="Arial" w:cs="Arial"/>
          <w:sz w:val="18"/>
          <w:szCs w:val="18"/>
        </w:rPr>
        <w:t xml:space="preserve"> </w:t>
      </w:r>
      <w:r w:rsidRPr="00735726">
        <w:rPr>
          <w:rFonts w:ascii="Arial" w:hAnsi="Arial" w:cs="Arial"/>
          <w:sz w:val="18"/>
          <w:szCs w:val="18"/>
        </w:rPr>
        <w:t>economy will continue to be in high demand. To ensure</w:t>
      </w:r>
      <w:r w:rsidR="00445D3F" w:rsidRPr="00735726">
        <w:rPr>
          <w:rFonts w:ascii="Arial" w:hAnsi="Arial" w:cs="Arial"/>
          <w:sz w:val="18"/>
          <w:szCs w:val="18"/>
        </w:rPr>
        <w:t xml:space="preserve"> </w:t>
      </w:r>
      <w:r w:rsidRPr="00735726">
        <w:rPr>
          <w:rFonts w:ascii="Arial" w:hAnsi="Arial" w:cs="Arial"/>
          <w:sz w:val="18"/>
          <w:szCs w:val="18"/>
        </w:rPr>
        <w:t>our access, we will diversify our supply chain of low</w:t>
      </w:r>
      <w:r w:rsidR="00445D3F" w:rsidRPr="00735726">
        <w:rPr>
          <w:rFonts w:ascii="Arial" w:hAnsi="Arial" w:cs="Arial"/>
          <w:sz w:val="18"/>
          <w:szCs w:val="18"/>
        </w:rPr>
        <w:t>-</w:t>
      </w:r>
      <w:r w:rsidRPr="00735726">
        <w:rPr>
          <w:rFonts w:ascii="Arial" w:hAnsi="Arial" w:cs="Arial"/>
          <w:sz w:val="18"/>
          <w:szCs w:val="18"/>
        </w:rPr>
        <w:t>carbon</w:t>
      </w:r>
      <w:r w:rsidR="00445D3F" w:rsidRPr="00735726">
        <w:rPr>
          <w:rFonts w:ascii="Arial" w:hAnsi="Arial" w:cs="Arial"/>
          <w:sz w:val="18"/>
          <w:szCs w:val="18"/>
        </w:rPr>
        <w:t xml:space="preserve"> suppliers and</w:t>
      </w:r>
      <w:r w:rsidRPr="00735726">
        <w:rPr>
          <w:rFonts w:ascii="Arial" w:hAnsi="Arial" w:cs="Arial"/>
          <w:sz w:val="18"/>
          <w:szCs w:val="18"/>
        </w:rPr>
        <w:t xml:space="preserve"> invest in a programme of internal</w:t>
      </w:r>
      <w:r w:rsidR="00445D3F" w:rsidRPr="00735726">
        <w:rPr>
          <w:rFonts w:ascii="Arial" w:hAnsi="Arial" w:cs="Arial"/>
          <w:sz w:val="18"/>
          <w:szCs w:val="18"/>
        </w:rPr>
        <w:t xml:space="preserve"> </w:t>
      </w:r>
      <w:r w:rsidRPr="00735726">
        <w:rPr>
          <w:rFonts w:ascii="Arial" w:hAnsi="Arial" w:cs="Arial"/>
          <w:sz w:val="18"/>
          <w:szCs w:val="18"/>
        </w:rPr>
        <w:t>capacity-building to ensure access to the skills needed.</w:t>
      </w:r>
      <w:r w:rsidR="00445D3F" w:rsidRPr="00735726">
        <w:rPr>
          <w:rFonts w:ascii="Arial" w:hAnsi="Arial" w:cs="Arial"/>
          <w:sz w:val="18"/>
          <w:szCs w:val="18"/>
        </w:rPr>
        <w:t xml:space="preserve"> </w:t>
      </w:r>
      <w:r w:rsidRPr="00735726">
        <w:rPr>
          <w:rFonts w:ascii="Arial" w:hAnsi="Arial" w:cs="Arial"/>
          <w:sz w:val="18"/>
          <w:szCs w:val="18"/>
        </w:rPr>
        <w:t>We will also work with partners across the industry and</w:t>
      </w:r>
      <w:r w:rsidR="00445D3F" w:rsidRPr="00735726">
        <w:rPr>
          <w:rFonts w:ascii="Arial" w:hAnsi="Arial" w:cs="Arial"/>
          <w:sz w:val="18"/>
          <w:szCs w:val="18"/>
        </w:rPr>
        <w:t xml:space="preserve"> </w:t>
      </w:r>
      <w:r w:rsidRPr="00735726">
        <w:rPr>
          <w:rFonts w:ascii="Arial" w:hAnsi="Arial" w:cs="Arial"/>
          <w:sz w:val="18"/>
          <w:szCs w:val="18"/>
        </w:rPr>
        <w:t>engage with peers, regulators, and Government to enable</w:t>
      </w:r>
      <w:r w:rsidR="00445D3F" w:rsidRPr="00735726">
        <w:rPr>
          <w:rFonts w:ascii="Arial" w:hAnsi="Arial" w:cs="Arial"/>
          <w:sz w:val="18"/>
          <w:szCs w:val="18"/>
        </w:rPr>
        <w:t xml:space="preserve"> </w:t>
      </w:r>
      <w:r w:rsidRPr="00735726">
        <w:rPr>
          <w:rFonts w:ascii="Arial" w:hAnsi="Arial" w:cs="Arial"/>
          <w:sz w:val="18"/>
          <w:szCs w:val="18"/>
        </w:rPr>
        <w:t>rapid investment in the skills and capacity needed to</w:t>
      </w:r>
      <w:r w:rsidR="00445D3F" w:rsidRPr="00735726">
        <w:rPr>
          <w:rFonts w:ascii="Arial" w:hAnsi="Arial" w:cs="Arial"/>
          <w:sz w:val="18"/>
          <w:szCs w:val="18"/>
        </w:rPr>
        <w:t xml:space="preserve"> </w:t>
      </w:r>
      <w:r w:rsidRPr="00735726">
        <w:rPr>
          <w:rFonts w:ascii="Arial" w:hAnsi="Arial" w:cs="Arial"/>
          <w:sz w:val="18"/>
          <w:szCs w:val="18"/>
        </w:rPr>
        <w:t>support Net Zero.</w:t>
      </w:r>
    </w:p>
    <w:p w14:paraId="7C5EFD0E" w14:textId="234D2D4B" w:rsidR="00A176D9" w:rsidRPr="00735726" w:rsidRDefault="00A176D9" w:rsidP="00A176D9">
      <w:pPr>
        <w:rPr>
          <w:rFonts w:ascii="Arial" w:hAnsi="Arial" w:cs="Arial"/>
          <w:sz w:val="18"/>
          <w:szCs w:val="18"/>
        </w:rPr>
      </w:pPr>
      <w:r w:rsidRPr="00735726">
        <w:rPr>
          <w:rFonts w:ascii="Arial" w:hAnsi="Arial" w:cs="Arial"/>
          <w:i/>
          <w:iCs/>
          <w:sz w:val="18"/>
          <w:szCs w:val="18"/>
        </w:rPr>
        <w:t>ENGAGE WITH REGULATORS ON ENVIRONMENTAL TARGETS AND TRADE-OFFS</w:t>
      </w:r>
      <w:r w:rsidRPr="00735726">
        <w:rPr>
          <w:rFonts w:ascii="Arial" w:hAnsi="Arial" w:cs="Arial"/>
          <w:i/>
          <w:iCs/>
          <w:sz w:val="18"/>
          <w:szCs w:val="18"/>
        </w:rPr>
        <w:br/>
      </w:r>
      <w:r w:rsidRPr="00735726">
        <w:rPr>
          <w:rFonts w:ascii="Arial" w:hAnsi="Arial" w:cs="Arial"/>
          <w:sz w:val="18"/>
          <w:szCs w:val="18"/>
        </w:rPr>
        <w:t>New ambitious targets on nutrients and storm overflows</w:t>
      </w:r>
      <w:r w:rsidR="00445D3F" w:rsidRPr="00735726">
        <w:rPr>
          <w:rFonts w:ascii="Arial" w:hAnsi="Arial" w:cs="Arial"/>
          <w:sz w:val="18"/>
          <w:szCs w:val="18"/>
        </w:rPr>
        <w:t xml:space="preserve"> </w:t>
      </w:r>
      <w:r w:rsidRPr="00735726">
        <w:rPr>
          <w:rFonts w:ascii="Arial" w:hAnsi="Arial" w:cs="Arial"/>
          <w:sz w:val="18"/>
          <w:szCs w:val="18"/>
        </w:rPr>
        <w:t>will require increased energy use and new infrastructure,</w:t>
      </w:r>
      <w:r w:rsidR="00445D3F" w:rsidRPr="00735726">
        <w:rPr>
          <w:rFonts w:ascii="Arial" w:hAnsi="Arial" w:cs="Arial"/>
          <w:sz w:val="18"/>
          <w:szCs w:val="18"/>
        </w:rPr>
        <w:t xml:space="preserve"> </w:t>
      </w:r>
      <w:r w:rsidRPr="00735726">
        <w:rPr>
          <w:rFonts w:ascii="Arial" w:hAnsi="Arial" w:cs="Arial"/>
          <w:sz w:val="18"/>
          <w:szCs w:val="18"/>
        </w:rPr>
        <w:t>and subsequently higher operational and capital carbon.</w:t>
      </w:r>
      <w:r w:rsidR="00445D3F" w:rsidRPr="00735726">
        <w:rPr>
          <w:rFonts w:ascii="Arial" w:hAnsi="Arial" w:cs="Arial"/>
          <w:sz w:val="18"/>
          <w:szCs w:val="18"/>
        </w:rPr>
        <w:t xml:space="preserve"> </w:t>
      </w:r>
      <w:r w:rsidRPr="00735726">
        <w:rPr>
          <w:rFonts w:ascii="Arial" w:hAnsi="Arial" w:cs="Arial"/>
          <w:sz w:val="18"/>
          <w:szCs w:val="18"/>
        </w:rPr>
        <w:t>There is a trade-off between action to meet these</w:t>
      </w:r>
      <w:r w:rsidR="00445D3F" w:rsidRPr="00735726">
        <w:rPr>
          <w:rFonts w:ascii="Arial" w:hAnsi="Arial" w:cs="Arial"/>
          <w:sz w:val="18"/>
          <w:szCs w:val="18"/>
        </w:rPr>
        <w:t xml:space="preserve"> </w:t>
      </w:r>
      <w:r w:rsidRPr="00735726">
        <w:rPr>
          <w:rFonts w:ascii="Arial" w:hAnsi="Arial" w:cs="Arial"/>
          <w:sz w:val="18"/>
          <w:szCs w:val="18"/>
        </w:rPr>
        <w:t>targets</w:t>
      </w:r>
      <w:r w:rsidR="00445D3F" w:rsidRPr="00735726">
        <w:rPr>
          <w:rFonts w:ascii="Arial" w:hAnsi="Arial" w:cs="Arial"/>
          <w:sz w:val="18"/>
          <w:szCs w:val="18"/>
        </w:rPr>
        <w:t xml:space="preserve"> </w:t>
      </w:r>
      <w:r w:rsidRPr="00735726">
        <w:rPr>
          <w:rFonts w:ascii="Arial" w:hAnsi="Arial" w:cs="Arial"/>
          <w:sz w:val="18"/>
          <w:szCs w:val="18"/>
        </w:rPr>
        <w:t>and action on decarbonisation, with implications for the</w:t>
      </w:r>
      <w:r w:rsidR="00445D3F" w:rsidRPr="00735726">
        <w:rPr>
          <w:rFonts w:ascii="Arial" w:hAnsi="Arial" w:cs="Arial"/>
          <w:sz w:val="18"/>
          <w:szCs w:val="18"/>
        </w:rPr>
        <w:t xml:space="preserve"> </w:t>
      </w:r>
      <w:r w:rsidRPr="00735726">
        <w:rPr>
          <w:rFonts w:ascii="Arial" w:hAnsi="Arial" w:cs="Arial"/>
          <w:sz w:val="18"/>
          <w:szCs w:val="18"/>
        </w:rPr>
        <w:t>balance between nature-based and engineering solutions.</w:t>
      </w:r>
      <w:r w:rsidR="00445D3F" w:rsidRPr="00735726">
        <w:rPr>
          <w:rFonts w:ascii="Arial" w:hAnsi="Arial" w:cs="Arial"/>
          <w:sz w:val="18"/>
          <w:szCs w:val="18"/>
        </w:rPr>
        <w:t xml:space="preserve"> </w:t>
      </w:r>
      <w:r w:rsidRPr="00735726">
        <w:rPr>
          <w:rFonts w:ascii="Arial" w:hAnsi="Arial" w:cs="Arial"/>
          <w:sz w:val="18"/>
          <w:szCs w:val="18"/>
        </w:rPr>
        <w:t>We will engage in ongoing regulatory consultations</w:t>
      </w:r>
      <w:r w:rsidR="00445D3F" w:rsidRPr="00735726">
        <w:rPr>
          <w:rFonts w:ascii="Arial" w:hAnsi="Arial" w:cs="Arial"/>
          <w:sz w:val="18"/>
          <w:szCs w:val="18"/>
        </w:rPr>
        <w:t xml:space="preserve"> </w:t>
      </w:r>
      <w:r w:rsidRPr="00735726">
        <w:rPr>
          <w:rFonts w:ascii="Arial" w:hAnsi="Arial" w:cs="Arial"/>
          <w:sz w:val="18"/>
          <w:szCs w:val="18"/>
        </w:rPr>
        <w:t>on environmental targets and strategies for meeting</w:t>
      </w:r>
      <w:r w:rsidR="00445D3F" w:rsidRPr="00735726">
        <w:rPr>
          <w:rFonts w:ascii="Arial" w:hAnsi="Arial" w:cs="Arial"/>
          <w:sz w:val="18"/>
          <w:szCs w:val="18"/>
        </w:rPr>
        <w:t xml:space="preserve"> </w:t>
      </w:r>
      <w:proofErr w:type="gramStart"/>
      <w:r w:rsidRPr="00735726">
        <w:rPr>
          <w:rFonts w:ascii="Arial" w:hAnsi="Arial" w:cs="Arial"/>
          <w:sz w:val="18"/>
          <w:szCs w:val="18"/>
        </w:rPr>
        <w:t>them, and</w:t>
      </w:r>
      <w:proofErr w:type="gramEnd"/>
      <w:r w:rsidRPr="00735726">
        <w:rPr>
          <w:rFonts w:ascii="Arial" w:hAnsi="Arial" w:cs="Arial"/>
          <w:sz w:val="18"/>
          <w:szCs w:val="18"/>
        </w:rPr>
        <w:t xml:space="preserve"> seek clear guidance on managing different</w:t>
      </w:r>
      <w:r w:rsidR="00445D3F" w:rsidRPr="00735726">
        <w:rPr>
          <w:rFonts w:ascii="Arial" w:hAnsi="Arial" w:cs="Arial"/>
          <w:sz w:val="18"/>
          <w:szCs w:val="18"/>
        </w:rPr>
        <w:t xml:space="preserve"> </w:t>
      </w:r>
      <w:r w:rsidRPr="00735726">
        <w:rPr>
          <w:rFonts w:ascii="Arial" w:hAnsi="Arial" w:cs="Arial"/>
          <w:sz w:val="18"/>
          <w:szCs w:val="18"/>
        </w:rPr>
        <w:t>trade-offs. We will advocate for policies which enable</w:t>
      </w:r>
      <w:r w:rsidR="00445D3F" w:rsidRPr="00735726">
        <w:rPr>
          <w:rFonts w:ascii="Arial" w:hAnsi="Arial" w:cs="Arial"/>
          <w:sz w:val="18"/>
          <w:szCs w:val="18"/>
        </w:rPr>
        <w:t xml:space="preserve"> </w:t>
      </w:r>
      <w:r w:rsidRPr="00735726">
        <w:rPr>
          <w:rFonts w:ascii="Arial" w:hAnsi="Arial" w:cs="Arial"/>
          <w:sz w:val="18"/>
          <w:szCs w:val="18"/>
        </w:rPr>
        <w:t>flexibility and time to scale up nature-based solutions so</w:t>
      </w:r>
      <w:r w:rsidR="00445D3F" w:rsidRPr="00735726">
        <w:rPr>
          <w:rFonts w:ascii="Arial" w:hAnsi="Arial" w:cs="Arial"/>
          <w:sz w:val="18"/>
          <w:szCs w:val="18"/>
        </w:rPr>
        <w:t xml:space="preserve"> </w:t>
      </w:r>
      <w:r w:rsidRPr="00735726">
        <w:rPr>
          <w:rFonts w:ascii="Arial" w:hAnsi="Arial" w:cs="Arial"/>
          <w:sz w:val="18"/>
          <w:szCs w:val="18"/>
        </w:rPr>
        <w:t>we can maximise co-benefits for our customers and the</w:t>
      </w:r>
      <w:r w:rsidR="00445D3F" w:rsidRPr="00735726">
        <w:rPr>
          <w:rFonts w:ascii="Arial" w:hAnsi="Arial" w:cs="Arial"/>
          <w:sz w:val="18"/>
          <w:szCs w:val="18"/>
        </w:rPr>
        <w:t xml:space="preserve"> </w:t>
      </w:r>
      <w:r w:rsidRPr="00735726">
        <w:rPr>
          <w:rFonts w:ascii="Arial" w:hAnsi="Arial" w:cs="Arial"/>
          <w:sz w:val="18"/>
          <w:szCs w:val="18"/>
        </w:rPr>
        <w:t>environment.</w:t>
      </w:r>
    </w:p>
    <w:p w14:paraId="0F828CBA" w14:textId="556C1103" w:rsidR="00A176D9" w:rsidRPr="00735726" w:rsidRDefault="00A176D9" w:rsidP="00A176D9">
      <w:pPr>
        <w:rPr>
          <w:rFonts w:ascii="Arial" w:hAnsi="Arial" w:cs="Arial"/>
          <w:sz w:val="18"/>
          <w:szCs w:val="18"/>
        </w:rPr>
      </w:pPr>
      <w:r w:rsidRPr="00735726">
        <w:rPr>
          <w:rFonts w:ascii="Arial" w:hAnsi="Arial" w:cs="Arial"/>
          <w:i/>
          <w:iCs/>
          <w:sz w:val="18"/>
          <w:szCs w:val="18"/>
        </w:rPr>
        <w:t>ENHANCE OUR STAKEHOLDER AND CUSTOMER ENGAGEMENT</w:t>
      </w:r>
      <w:r w:rsidRPr="00735726">
        <w:rPr>
          <w:rFonts w:ascii="Arial" w:hAnsi="Arial" w:cs="Arial"/>
          <w:i/>
          <w:iCs/>
          <w:sz w:val="18"/>
          <w:szCs w:val="18"/>
        </w:rPr>
        <w:br/>
      </w:r>
      <w:r w:rsidRPr="00735726">
        <w:rPr>
          <w:rFonts w:ascii="Arial" w:hAnsi="Arial" w:cs="Arial"/>
          <w:sz w:val="18"/>
          <w:szCs w:val="18"/>
        </w:rPr>
        <w:t>There are significant reputational risks associated with</w:t>
      </w:r>
      <w:r w:rsidR="00445D3F" w:rsidRPr="00735726">
        <w:rPr>
          <w:rFonts w:ascii="Arial" w:hAnsi="Arial" w:cs="Arial"/>
          <w:sz w:val="18"/>
          <w:szCs w:val="18"/>
        </w:rPr>
        <w:t xml:space="preserve"> </w:t>
      </w:r>
      <w:r w:rsidRPr="00735726">
        <w:rPr>
          <w:rFonts w:ascii="Arial" w:hAnsi="Arial" w:cs="Arial"/>
          <w:sz w:val="18"/>
          <w:szCs w:val="18"/>
        </w:rPr>
        <w:t>different climate scenarios, although the balance of</w:t>
      </w:r>
      <w:r w:rsidR="00445D3F" w:rsidRPr="00735726">
        <w:rPr>
          <w:rFonts w:ascii="Arial" w:hAnsi="Arial" w:cs="Arial"/>
          <w:sz w:val="18"/>
          <w:szCs w:val="18"/>
        </w:rPr>
        <w:t xml:space="preserve"> </w:t>
      </w:r>
      <w:r w:rsidRPr="00735726">
        <w:rPr>
          <w:rFonts w:ascii="Arial" w:hAnsi="Arial" w:cs="Arial"/>
          <w:sz w:val="18"/>
          <w:szCs w:val="18"/>
        </w:rPr>
        <w:t>concerns will vary. We will develop plans for enhanced</w:t>
      </w:r>
      <w:r w:rsidR="00445D3F" w:rsidRPr="00735726">
        <w:rPr>
          <w:rFonts w:ascii="Arial" w:hAnsi="Arial" w:cs="Arial"/>
          <w:sz w:val="18"/>
          <w:szCs w:val="18"/>
        </w:rPr>
        <w:t xml:space="preserve"> </w:t>
      </w:r>
      <w:r w:rsidRPr="00735726">
        <w:rPr>
          <w:rFonts w:ascii="Arial" w:hAnsi="Arial" w:cs="Arial"/>
          <w:sz w:val="18"/>
          <w:szCs w:val="18"/>
        </w:rPr>
        <w:t>programmes of engagement and communication with</w:t>
      </w:r>
      <w:r w:rsidR="00445D3F" w:rsidRPr="00735726">
        <w:rPr>
          <w:rFonts w:ascii="Arial" w:hAnsi="Arial" w:cs="Arial"/>
          <w:sz w:val="18"/>
          <w:szCs w:val="18"/>
        </w:rPr>
        <w:t xml:space="preserve"> </w:t>
      </w:r>
      <w:r w:rsidRPr="00735726">
        <w:rPr>
          <w:rFonts w:ascii="Arial" w:hAnsi="Arial" w:cs="Arial"/>
          <w:sz w:val="18"/>
          <w:szCs w:val="18"/>
        </w:rPr>
        <w:t xml:space="preserve">our customers and stakeholders, </w:t>
      </w:r>
      <w:proofErr w:type="gramStart"/>
      <w:r w:rsidRPr="00735726">
        <w:rPr>
          <w:rFonts w:ascii="Arial" w:hAnsi="Arial" w:cs="Arial"/>
          <w:sz w:val="18"/>
          <w:szCs w:val="18"/>
        </w:rPr>
        <w:t>in particular focusing</w:t>
      </w:r>
      <w:proofErr w:type="gramEnd"/>
      <w:r w:rsidR="00445D3F" w:rsidRPr="00735726">
        <w:rPr>
          <w:rFonts w:ascii="Arial" w:hAnsi="Arial" w:cs="Arial"/>
          <w:sz w:val="18"/>
          <w:szCs w:val="18"/>
        </w:rPr>
        <w:t xml:space="preserve"> </w:t>
      </w:r>
      <w:r w:rsidRPr="00735726">
        <w:rPr>
          <w:rFonts w:ascii="Arial" w:hAnsi="Arial" w:cs="Arial"/>
          <w:sz w:val="18"/>
          <w:szCs w:val="18"/>
        </w:rPr>
        <w:t>on explaining the costs and benefits of the investments</w:t>
      </w:r>
      <w:r w:rsidR="00445D3F" w:rsidRPr="00735726">
        <w:rPr>
          <w:rFonts w:ascii="Arial" w:hAnsi="Arial" w:cs="Arial"/>
          <w:sz w:val="18"/>
          <w:szCs w:val="18"/>
        </w:rPr>
        <w:t xml:space="preserve"> </w:t>
      </w:r>
      <w:r w:rsidRPr="00735726">
        <w:rPr>
          <w:rFonts w:ascii="Arial" w:hAnsi="Arial" w:cs="Arial"/>
          <w:sz w:val="18"/>
          <w:szCs w:val="18"/>
        </w:rPr>
        <w:t>we are making, potential trade-offs and synergies</w:t>
      </w:r>
      <w:r w:rsidR="00445D3F" w:rsidRPr="00735726">
        <w:rPr>
          <w:rFonts w:ascii="Arial" w:hAnsi="Arial" w:cs="Arial"/>
          <w:sz w:val="18"/>
          <w:szCs w:val="18"/>
        </w:rPr>
        <w:t xml:space="preserve"> </w:t>
      </w:r>
      <w:r w:rsidRPr="00735726">
        <w:rPr>
          <w:rFonts w:ascii="Arial" w:hAnsi="Arial" w:cs="Arial"/>
          <w:sz w:val="18"/>
          <w:szCs w:val="18"/>
        </w:rPr>
        <w:t>between Net Zero and other environmental targets, and</w:t>
      </w:r>
      <w:r w:rsidR="00445D3F" w:rsidRPr="00735726">
        <w:rPr>
          <w:rFonts w:ascii="Arial" w:hAnsi="Arial" w:cs="Arial"/>
          <w:sz w:val="18"/>
          <w:szCs w:val="18"/>
        </w:rPr>
        <w:t xml:space="preserve"> </w:t>
      </w:r>
      <w:r w:rsidRPr="00735726">
        <w:rPr>
          <w:rFonts w:ascii="Arial" w:hAnsi="Arial" w:cs="Arial"/>
          <w:sz w:val="18"/>
          <w:szCs w:val="18"/>
        </w:rPr>
        <w:t>affordability.</w:t>
      </w:r>
    </w:p>
    <w:p w14:paraId="728DE74D" w14:textId="046BC74C" w:rsidR="00445D3F" w:rsidRPr="00735726" w:rsidRDefault="00445D3F" w:rsidP="00445D3F">
      <w:pPr>
        <w:rPr>
          <w:rFonts w:ascii="Arial" w:hAnsi="Arial" w:cs="Arial"/>
          <w:sz w:val="18"/>
          <w:szCs w:val="18"/>
        </w:rPr>
      </w:pPr>
      <w:r w:rsidRPr="00735726">
        <w:rPr>
          <w:rFonts w:ascii="Arial" w:hAnsi="Arial" w:cs="Arial"/>
          <w:i/>
          <w:iCs/>
          <w:sz w:val="18"/>
          <w:szCs w:val="18"/>
        </w:rPr>
        <w:t>PURSUE OPPORTUNITIES TO DELIVER MORE VALUE FOR CUSTOMERS AND STAKEHOLDERS</w:t>
      </w:r>
      <w:r w:rsidRPr="00735726">
        <w:rPr>
          <w:rFonts w:ascii="Arial" w:hAnsi="Arial" w:cs="Arial"/>
          <w:i/>
          <w:iCs/>
          <w:sz w:val="18"/>
          <w:szCs w:val="18"/>
        </w:rPr>
        <w:br/>
      </w:r>
      <w:r w:rsidRPr="00735726">
        <w:rPr>
          <w:rFonts w:ascii="Arial" w:hAnsi="Arial" w:cs="Arial"/>
          <w:sz w:val="18"/>
          <w:szCs w:val="18"/>
        </w:rPr>
        <w:t xml:space="preserve">We will continue to pursue opportunities to reduce costs and enhance sustainability. This includes reducing our financing costs through our </w:t>
      </w:r>
      <w:r w:rsidR="009E1127" w:rsidRPr="00735726">
        <w:rPr>
          <w:rFonts w:ascii="Arial" w:hAnsi="Arial" w:cs="Arial"/>
          <w:sz w:val="18"/>
          <w:szCs w:val="18"/>
        </w:rPr>
        <w:t>S</w:t>
      </w:r>
      <w:r w:rsidRPr="00735726">
        <w:rPr>
          <w:rFonts w:ascii="Arial" w:hAnsi="Arial" w:cs="Arial"/>
          <w:sz w:val="18"/>
          <w:szCs w:val="18"/>
        </w:rPr>
        <w:t xml:space="preserve">ustainable </w:t>
      </w:r>
      <w:r w:rsidR="009E1127" w:rsidRPr="00735726">
        <w:rPr>
          <w:rFonts w:ascii="Arial" w:hAnsi="Arial" w:cs="Arial"/>
          <w:sz w:val="18"/>
          <w:szCs w:val="18"/>
        </w:rPr>
        <w:t>F</w:t>
      </w:r>
      <w:r w:rsidRPr="00735726">
        <w:rPr>
          <w:rFonts w:ascii="Arial" w:hAnsi="Arial" w:cs="Arial"/>
          <w:sz w:val="18"/>
          <w:szCs w:val="18"/>
        </w:rPr>
        <w:t xml:space="preserve">inance </w:t>
      </w:r>
      <w:r w:rsidR="009E1127" w:rsidRPr="00735726">
        <w:rPr>
          <w:rFonts w:ascii="Arial" w:hAnsi="Arial" w:cs="Arial"/>
          <w:sz w:val="18"/>
          <w:szCs w:val="18"/>
        </w:rPr>
        <w:t>F</w:t>
      </w:r>
      <w:r w:rsidRPr="00735726">
        <w:rPr>
          <w:rFonts w:ascii="Arial" w:hAnsi="Arial" w:cs="Arial"/>
          <w:sz w:val="18"/>
          <w:szCs w:val="18"/>
        </w:rPr>
        <w:t xml:space="preserve">ramework, investing in our environmental programme which includes restoring ecosystems to capture carbon, and working with partners and suppliers to enhance our resilience and reduce carbon emissions across our supply chain. We will also continue to explore opportunities to </w:t>
      </w:r>
      <w:r w:rsidRPr="00735726">
        <w:rPr>
          <w:rFonts w:ascii="Arial" w:hAnsi="Arial" w:cs="Arial"/>
          <w:sz w:val="18"/>
          <w:szCs w:val="18"/>
        </w:rPr>
        <w:lastRenderedPageBreak/>
        <w:t>enhance our revenue through water resource options, selling renewable energy, and markets for bioresources and natural capital.</w:t>
      </w:r>
    </w:p>
    <w:p w14:paraId="1512DE6E" w14:textId="5C0319CC" w:rsidR="00445D3F" w:rsidRPr="00735726" w:rsidRDefault="00445D3F" w:rsidP="00445D3F">
      <w:pPr>
        <w:rPr>
          <w:rFonts w:ascii="Arial" w:hAnsi="Arial" w:cs="Arial"/>
          <w:b/>
          <w:bCs/>
          <w:sz w:val="18"/>
          <w:szCs w:val="18"/>
        </w:rPr>
      </w:pPr>
      <w:r w:rsidRPr="00735726">
        <w:rPr>
          <w:rFonts w:ascii="Arial" w:hAnsi="Arial" w:cs="Arial"/>
          <w:b/>
          <w:bCs/>
          <w:sz w:val="18"/>
          <w:szCs w:val="18"/>
        </w:rPr>
        <w:t>IMPACTS ON FINANCIAL PLANNING</w:t>
      </w:r>
    </w:p>
    <w:p w14:paraId="56BB83DC" w14:textId="35C9689B" w:rsidR="00445D3F" w:rsidRPr="00735726" w:rsidRDefault="00445D3F" w:rsidP="00445D3F">
      <w:pPr>
        <w:rPr>
          <w:rFonts w:ascii="Arial" w:hAnsi="Arial" w:cs="Arial"/>
          <w:sz w:val="18"/>
          <w:szCs w:val="18"/>
        </w:rPr>
      </w:pPr>
      <w:r w:rsidRPr="00735726">
        <w:rPr>
          <w:rFonts w:ascii="Arial" w:hAnsi="Arial" w:cs="Arial"/>
          <w:b/>
          <w:bCs/>
          <w:sz w:val="18"/>
          <w:szCs w:val="18"/>
        </w:rPr>
        <w:t>Impacts from not mitigating risks and not delivering opportunities:</w:t>
      </w:r>
      <w:r w:rsidRPr="00735726">
        <w:rPr>
          <w:rFonts w:ascii="Arial" w:hAnsi="Arial" w:cs="Arial"/>
          <w:sz w:val="18"/>
          <w:szCs w:val="18"/>
        </w:rPr>
        <w:t xml:space="preserve"> Our revenue is unlikely to be impacted significantly due to the regulatory Price Review system, but our non-water revenue (</w:t>
      </w:r>
      <w:r w:rsidR="000A7A3C" w:rsidRPr="00735726">
        <w:rPr>
          <w:rFonts w:ascii="Arial" w:hAnsi="Arial" w:cs="Arial"/>
          <w:sz w:val="18"/>
          <w:szCs w:val="18"/>
        </w:rPr>
        <w:t>e.g.</w:t>
      </w:r>
      <w:r w:rsidRPr="00735726">
        <w:rPr>
          <w:rFonts w:ascii="Arial" w:hAnsi="Arial" w:cs="Arial"/>
          <w:sz w:val="18"/>
          <w:szCs w:val="18"/>
        </w:rPr>
        <w:t xml:space="preserve"> sale of bioresources) is less able to grow. We may also miss out on regulatory rewards (ODIs) if we fell behind in our carbon and biodiversity targets. Our Capex and </w:t>
      </w:r>
      <w:proofErr w:type="spellStart"/>
      <w:r w:rsidRPr="00735726">
        <w:rPr>
          <w:rFonts w:ascii="Arial" w:hAnsi="Arial" w:cs="Arial"/>
          <w:sz w:val="18"/>
          <w:szCs w:val="18"/>
        </w:rPr>
        <w:t>Opex</w:t>
      </w:r>
      <w:proofErr w:type="spellEnd"/>
      <w:r w:rsidRPr="00735726">
        <w:rPr>
          <w:rFonts w:ascii="Arial" w:hAnsi="Arial" w:cs="Arial"/>
          <w:sz w:val="18"/>
          <w:szCs w:val="18"/>
        </w:rPr>
        <w:t xml:space="preserve"> to achieve Net Zero would increase relative to our current plans. The value of our assets and our cost of capital would remain relatively unchanged compared to today.</w:t>
      </w:r>
    </w:p>
    <w:p w14:paraId="612AC543" w14:textId="4FFA7606" w:rsidR="00445D3F" w:rsidRPr="00735726" w:rsidRDefault="00445D3F" w:rsidP="00445D3F">
      <w:pPr>
        <w:rPr>
          <w:rFonts w:ascii="Arial" w:hAnsi="Arial" w:cs="Arial"/>
          <w:sz w:val="18"/>
          <w:szCs w:val="18"/>
        </w:rPr>
      </w:pPr>
      <w:r w:rsidRPr="00735726">
        <w:rPr>
          <w:rFonts w:ascii="Arial" w:hAnsi="Arial" w:cs="Arial"/>
          <w:b/>
          <w:bCs/>
          <w:sz w:val="18"/>
          <w:szCs w:val="18"/>
        </w:rPr>
        <w:t>Impacts from mitigating risks and delivering opportunities:</w:t>
      </w:r>
      <w:r w:rsidRPr="00735726">
        <w:rPr>
          <w:rFonts w:ascii="Arial" w:hAnsi="Arial" w:cs="Arial"/>
          <w:sz w:val="18"/>
          <w:szCs w:val="18"/>
        </w:rPr>
        <w:t xml:space="preserve"> Our revenue is unlikely to be impacted significantly due to the regulatory Price Review system, but our non-water revenue has greater potential to grow. We have greater confidence in receiving regulatory rewards (ODIs) related to meeting our carbon and biodiversity targets. Our Capex and </w:t>
      </w:r>
      <w:proofErr w:type="spellStart"/>
      <w:r w:rsidRPr="00735726">
        <w:rPr>
          <w:rFonts w:ascii="Arial" w:hAnsi="Arial" w:cs="Arial"/>
          <w:sz w:val="18"/>
          <w:szCs w:val="18"/>
        </w:rPr>
        <w:t>Opex</w:t>
      </w:r>
      <w:proofErr w:type="spellEnd"/>
      <w:r w:rsidRPr="00735726">
        <w:rPr>
          <w:rFonts w:ascii="Arial" w:hAnsi="Arial" w:cs="Arial"/>
          <w:sz w:val="18"/>
          <w:szCs w:val="18"/>
        </w:rPr>
        <w:t xml:space="preserve"> to achieve Net Zero may remain largely unchanged compared to our current plans, and while Capex investment will be required to reduce risks and deliver opportunities, we expect to recover costs as opportunities reduce our </w:t>
      </w:r>
      <w:proofErr w:type="spellStart"/>
      <w:r w:rsidRPr="00735726">
        <w:rPr>
          <w:rFonts w:ascii="Arial" w:hAnsi="Arial" w:cs="Arial"/>
          <w:sz w:val="18"/>
          <w:szCs w:val="18"/>
        </w:rPr>
        <w:t>Opex</w:t>
      </w:r>
      <w:proofErr w:type="spellEnd"/>
      <w:r w:rsidRPr="00735726">
        <w:rPr>
          <w:rFonts w:ascii="Arial" w:hAnsi="Arial" w:cs="Arial"/>
          <w:sz w:val="18"/>
          <w:szCs w:val="18"/>
        </w:rPr>
        <w:t xml:space="preserve"> and our exposure to risks. The value of our assets may increase as we decarbonise and enhance our natural capital, and our cost of capital may decrease compared to today as financiers recognise us as low-risk and sustainable.</w:t>
      </w:r>
    </w:p>
    <w:p w14:paraId="7C490275" w14:textId="6AFD1FBE" w:rsidR="00445D3F" w:rsidRPr="00735726" w:rsidRDefault="00445D3F" w:rsidP="00445D3F">
      <w:pPr>
        <w:spacing w:after="160" w:line="259" w:lineRule="auto"/>
        <w:rPr>
          <w:rFonts w:ascii="Arial" w:hAnsi="Arial" w:cs="Arial"/>
          <w:b/>
          <w:bCs/>
          <w:sz w:val="18"/>
          <w:szCs w:val="18"/>
        </w:rPr>
      </w:pPr>
      <w:r w:rsidRPr="00735726">
        <w:rPr>
          <w:rFonts w:ascii="Arial" w:hAnsi="Arial" w:cs="Arial"/>
          <w:b/>
          <w:bCs/>
          <w:sz w:val="18"/>
          <w:szCs w:val="18"/>
        </w:rPr>
        <w:t>STATEMENT OF RESILIENCE</w:t>
      </w:r>
    </w:p>
    <w:p w14:paraId="75789FE0" w14:textId="1F0B1971" w:rsidR="00445D3F" w:rsidRPr="00735726" w:rsidRDefault="00445D3F" w:rsidP="00445D3F">
      <w:pPr>
        <w:spacing w:after="160" w:line="259" w:lineRule="auto"/>
        <w:rPr>
          <w:rFonts w:ascii="Arial" w:hAnsi="Arial" w:cs="Arial"/>
          <w:sz w:val="18"/>
          <w:szCs w:val="18"/>
        </w:rPr>
      </w:pPr>
      <w:r w:rsidRPr="00735726">
        <w:rPr>
          <w:rFonts w:ascii="Arial" w:hAnsi="Arial" w:cs="Arial"/>
          <w:sz w:val="18"/>
          <w:szCs w:val="18"/>
        </w:rPr>
        <w:t>There are clear impacts on our business under different climate scenarios, in particular:</w:t>
      </w:r>
    </w:p>
    <w:p w14:paraId="4FEA953B" w14:textId="4FF18138" w:rsidR="00445D3F" w:rsidRPr="00735726" w:rsidRDefault="00445D3F" w:rsidP="00646F4F">
      <w:pPr>
        <w:pStyle w:val="ListParagraph"/>
        <w:numPr>
          <w:ilvl w:val="0"/>
          <w:numId w:val="92"/>
        </w:numPr>
        <w:spacing w:after="160" w:line="259" w:lineRule="auto"/>
        <w:rPr>
          <w:rFonts w:ascii="Arial" w:hAnsi="Arial" w:cs="Arial"/>
          <w:sz w:val="18"/>
          <w:szCs w:val="18"/>
        </w:rPr>
      </w:pPr>
      <w:r w:rsidRPr="00735726">
        <w:rPr>
          <w:rFonts w:ascii="Arial" w:hAnsi="Arial" w:cs="Arial"/>
          <w:sz w:val="18"/>
          <w:szCs w:val="18"/>
        </w:rPr>
        <w:t>Higher costs in the short and medium term to meet our Net Zero targets under the ‘Current Policies’ scenario.</w:t>
      </w:r>
    </w:p>
    <w:p w14:paraId="46E41CC7" w14:textId="45D8900D" w:rsidR="00445D3F" w:rsidRPr="00735726" w:rsidRDefault="00445D3F" w:rsidP="00646F4F">
      <w:pPr>
        <w:pStyle w:val="ListParagraph"/>
        <w:numPr>
          <w:ilvl w:val="0"/>
          <w:numId w:val="92"/>
        </w:numPr>
        <w:spacing w:after="160" w:line="259" w:lineRule="auto"/>
        <w:rPr>
          <w:rFonts w:ascii="Arial" w:hAnsi="Arial" w:cs="Arial"/>
          <w:sz w:val="18"/>
          <w:szCs w:val="18"/>
        </w:rPr>
      </w:pPr>
      <w:r w:rsidRPr="00735726">
        <w:rPr>
          <w:rFonts w:ascii="Arial" w:hAnsi="Arial" w:cs="Arial"/>
          <w:sz w:val="18"/>
          <w:szCs w:val="18"/>
        </w:rPr>
        <w:t>Higher costs in the short, medium, and long term under the RCP8.5 Higher Physical Impacts scenario.</w:t>
      </w:r>
    </w:p>
    <w:p w14:paraId="1980F7F5" w14:textId="6E249357" w:rsidR="00445D3F" w:rsidRPr="00735726" w:rsidRDefault="00445D3F" w:rsidP="00445D3F">
      <w:pPr>
        <w:spacing w:after="160" w:line="259" w:lineRule="auto"/>
        <w:rPr>
          <w:rFonts w:ascii="Arial" w:hAnsi="Arial" w:cs="Arial"/>
          <w:sz w:val="18"/>
          <w:szCs w:val="18"/>
        </w:rPr>
      </w:pPr>
      <w:r w:rsidRPr="00735726">
        <w:rPr>
          <w:rFonts w:ascii="Arial" w:hAnsi="Arial" w:cs="Arial"/>
          <w:sz w:val="18"/>
          <w:szCs w:val="18"/>
        </w:rPr>
        <w:t xml:space="preserve">Several of the strategic responses outlined above are already included in our strategic plans and business plan. We have confidence that our </w:t>
      </w:r>
      <w:r w:rsidR="00C70952" w:rsidRPr="00735726">
        <w:rPr>
          <w:rFonts w:ascii="Arial" w:hAnsi="Arial" w:cs="Arial"/>
          <w:sz w:val="18"/>
          <w:szCs w:val="18"/>
        </w:rPr>
        <w:t>Company</w:t>
      </w:r>
      <w:r w:rsidRPr="00735726">
        <w:rPr>
          <w:rFonts w:ascii="Arial" w:hAnsi="Arial" w:cs="Arial"/>
          <w:sz w:val="18"/>
          <w:szCs w:val="18"/>
        </w:rPr>
        <w:t xml:space="preserve"> has a range of strategic options to manage the impacts and take advantage of opportunities, </w:t>
      </w:r>
      <w:proofErr w:type="gramStart"/>
      <w:r w:rsidRPr="00735726">
        <w:rPr>
          <w:rFonts w:ascii="Arial" w:hAnsi="Arial" w:cs="Arial"/>
          <w:sz w:val="18"/>
          <w:szCs w:val="18"/>
        </w:rPr>
        <w:t>in order for</w:t>
      </w:r>
      <w:proofErr w:type="gramEnd"/>
      <w:r w:rsidRPr="00735726">
        <w:rPr>
          <w:rFonts w:ascii="Arial" w:hAnsi="Arial" w:cs="Arial"/>
          <w:sz w:val="18"/>
          <w:szCs w:val="18"/>
        </w:rPr>
        <w:t xml:space="preserve"> us to remain resilient under the different climate scenarios considered.</w:t>
      </w:r>
    </w:p>
    <w:p w14:paraId="5584F468" w14:textId="0ABECC6B" w:rsidR="00445D3F" w:rsidRPr="00735726" w:rsidRDefault="00445D3F" w:rsidP="00445D3F">
      <w:pPr>
        <w:spacing w:after="160" w:line="259" w:lineRule="auto"/>
        <w:rPr>
          <w:rFonts w:ascii="Arial" w:hAnsi="Arial" w:cs="Arial"/>
          <w:sz w:val="18"/>
          <w:szCs w:val="18"/>
        </w:rPr>
      </w:pPr>
      <w:r w:rsidRPr="00735726">
        <w:rPr>
          <w:rFonts w:ascii="Arial" w:hAnsi="Arial" w:cs="Arial"/>
          <w:sz w:val="18"/>
          <w:szCs w:val="18"/>
        </w:rPr>
        <w:t xml:space="preserve">We will need to invest more to improve our resilience to climate change and deliver Net Zero. Assets are likely to require additional protection, and planning for new assets will require a greater level of embedded climate resilience and sustainability. Significant action and investment will be required by our </w:t>
      </w:r>
      <w:r w:rsidR="00C70952" w:rsidRPr="00735726">
        <w:rPr>
          <w:rFonts w:ascii="Arial" w:hAnsi="Arial" w:cs="Arial"/>
          <w:sz w:val="18"/>
          <w:szCs w:val="18"/>
        </w:rPr>
        <w:t>Company</w:t>
      </w:r>
      <w:r w:rsidRPr="00735726">
        <w:rPr>
          <w:rFonts w:ascii="Arial" w:hAnsi="Arial" w:cs="Arial"/>
          <w:sz w:val="18"/>
          <w:szCs w:val="18"/>
        </w:rPr>
        <w:t>, as well as action by our supply chain partners and wider actors (e</w:t>
      </w:r>
      <w:r w:rsidR="000A7A3C" w:rsidRPr="00735726">
        <w:rPr>
          <w:rFonts w:ascii="Arial" w:hAnsi="Arial" w:cs="Arial"/>
          <w:sz w:val="18"/>
          <w:szCs w:val="18"/>
        </w:rPr>
        <w:t>.</w:t>
      </w:r>
      <w:r w:rsidRPr="00735726">
        <w:rPr>
          <w:rFonts w:ascii="Arial" w:hAnsi="Arial" w:cs="Arial"/>
          <w:sz w:val="18"/>
          <w:szCs w:val="18"/>
        </w:rPr>
        <w:t>g</w:t>
      </w:r>
      <w:r w:rsidR="000A7A3C" w:rsidRPr="00735726">
        <w:rPr>
          <w:rFonts w:ascii="Arial" w:hAnsi="Arial" w:cs="Arial"/>
          <w:sz w:val="18"/>
          <w:szCs w:val="18"/>
        </w:rPr>
        <w:t>.</w:t>
      </w:r>
      <w:r w:rsidRPr="00735726">
        <w:rPr>
          <w:rFonts w:ascii="Arial" w:hAnsi="Arial" w:cs="Arial"/>
          <w:sz w:val="18"/>
          <w:szCs w:val="18"/>
        </w:rPr>
        <w:t xml:space="preserve"> </w:t>
      </w:r>
      <w:r w:rsidR="000A7A3C" w:rsidRPr="00735726">
        <w:rPr>
          <w:rFonts w:ascii="Arial" w:hAnsi="Arial" w:cs="Arial"/>
          <w:sz w:val="18"/>
          <w:szCs w:val="18"/>
        </w:rPr>
        <w:t>G</w:t>
      </w:r>
      <w:r w:rsidRPr="00735726">
        <w:rPr>
          <w:rFonts w:ascii="Arial" w:hAnsi="Arial" w:cs="Arial"/>
          <w:sz w:val="18"/>
          <w:szCs w:val="18"/>
        </w:rPr>
        <w:t>overnment, local authorities, major landowners/users, and other providers of infrastructure and services).</w:t>
      </w:r>
    </w:p>
    <w:p w14:paraId="6FCC401F" w14:textId="77777777" w:rsidR="005F7F46" w:rsidRPr="00735726" w:rsidRDefault="00445D3F" w:rsidP="00445D3F">
      <w:pPr>
        <w:spacing w:after="160" w:line="259" w:lineRule="auto"/>
        <w:rPr>
          <w:rFonts w:ascii="Arial" w:hAnsi="Arial" w:cs="Arial"/>
          <w:sz w:val="18"/>
          <w:szCs w:val="18"/>
        </w:rPr>
      </w:pPr>
      <w:r w:rsidRPr="00735726">
        <w:rPr>
          <w:rFonts w:ascii="Arial" w:hAnsi="Arial" w:cs="Arial"/>
          <w:sz w:val="18"/>
          <w:szCs w:val="18"/>
        </w:rPr>
        <w:t xml:space="preserve">Early investment in decarbonising our business remains more cost-effective in the </w:t>
      </w:r>
      <w:proofErr w:type="gramStart"/>
      <w:r w:rsidRPr="00735726">
        <w:rPr>
          <w:rFonts w:ascii="Arial" w:hAnsi="Arial" w:cs="Arial"/>
          <w:sz w:val="18"/>
          <w:szCs w:val="18"/>
        </w:rPr>
        <w:t>long-term, and</w:t>
      </w:r>
      <w:proofErr w:type="gramEnd"/>
      <w:r w:rsidRPr="00735726">
        <w:rPr>
          <w:rFonts w:ascii="Arial" w:hAnsi="Arial" w:cs="Arial"/>
          <w:sz w:val="18"/>
          <w:szCs w:val="18"/>
        </w:rPr>
        <w:t xml:space="preserve"> reduces the risk to our </w:t>
      </w:r>
      <w:r w:rsidR="00C70952" w:rsidRPr="00735726">
        <w:rPr>
          <w:rFonts w:ascii="Arial" w:hAnsi="Arial" w:cs="Arial"/>
          <w:sz w:val="18"/>
          <w:szCs w:val="18"/>
        </w:rPr>
        <w:t xml:space="preserve">Company </w:t>
      </w:r>
      <w:r w:rsidRPr="00735726">
        <w:rPr>
          <w:rFonts w:ascii="Arial" w:hAnsi="Arial" w:cs="Arial"/>
          <w:sz w:val="18"/>
          <w:szCs w:val="18"/>
        </w:rPr>
        <w:t xml:space="preserve">and our customers from potential future measures such as carbon pricing, as well as safeguarding our reputation on environment and climate change. </w:t>
      </w:r>
    </w:p>
    <w:p w14:paraId="25D84401" w14:textId="77777777" w:rsidR="005F7F46" w:rsidRPr="00735726" w:rsidRDefault="005F7F46" w:rsidP="00445D3F">
      <w:pPr>
        <w:spacing w:after="160" w:line="259" w:lineRule="auto"/>
        <w:rPr>
          <w:rFonts w:ascii="Arial" w:hAnsi="Arial" w:cs="Arial"/>
          <w:b/>
          <w:bCs/>
          <w:sz w:val="18"/>
          <w:szCs w:val="18"/>
        </w:rPr>
      </w:pPr>
      <w:r w:rsidRPr="00735726">
        <w:rPr>
          <w:rFonts w:ascii="Arial" w:hAnsi="Arial" w:cs="Arial"/>
          <w:b/>
          <w:bCs/>
          <w:sz w:val="18"/>
          <w:szCs w:val="18"/>
        </w:rPr>
        <w:t>NATURE-RELATED STRATEGY</w:t>
      </w:r>
    </w:p>
    <w:p w14:paraId="79A0B353" w14:textId="77777777" w:rsidR="005F7F46" w:rsidRPr="00735726" w:rsidRDefault="005F7F46" w:rsidP="005F7F46">
      <w:pPr>
        <w:spacing w:after="160" w:line="259" w:lineRule="auto"/>
        <w:rPr>
          <w:rFonts w:ascii="Arial" w:hAnsi="Arial" w:cs="Arial"/>
          <w:sz w:val="18"/>
          <w:szCs w:val="18"/>
        </w:rPr>
      </w:pPr>
      <w:r w:rsidRPr="00735726">
        <w:rPr>
          <w:rFonts w:ascii="Arial" w:hAnsi="Arial" w:cs="Arial"/>
          <w:i/>
          <w:iCs/>
          <w:sz w:val="18"/>
          <w:szCs w:val="18"/>
        </w:rPr>
        <w:t xml:space="preserve">OUR NATURE-RELATED IMPACTS AND DEPENDENCIES </w:t>
      </w:r>
      <w:r w:rsidRPr="00735726">
        <w:rPr>
          <w:rFonts w:ascii="Arial" w:hAnsi="Arial" w:cs="Arial"/>
          <w:i/>
          <w:iCs/>
          <w:sz w:val="18"/>
          <w:szCs w:val="18"/>
        </w:rPr>
        <w:br/>
      </w:r>
      <w:r w:rsidRPr="00735726">
        <w:rPr>
          <w:rFonts w:ascii="Arial" w:hAnsi="Arial" w:cs="Arial"/>
          <w:sz w:val="18"/>
          <w:szCs w:val="18"/>
        </w:rPr>
        <w:t xml:space="preserve">Our most material nature-related impacts and dependencies for our direct operations are in the freshwater, land, and atmosphere realms. We rely on water supply from the environment, and we recycle water back to the environment from our wastewater treatment facilities. We also discharge treated biosolids to </w:t>
      </w:r>
      <w:proofErr w:type="gramStart"/>
      <w:r w:rsidRPr="00735726">
        <w:rPr>
          <w:rFonts w:ascii="Arial" w:hAnsi="Arial" w:cs="Arial"/>
          <w:sz w:val="18"/>
          <w:szCs w:val="18"/>
        </w:rPr>
        <w:t>land, and</w:t>
      </w:r>
      <w:proofErr w:type="gramEnd"/>
      <w:r w:rsidRPr="00735726">
        <w:rPr>
          <w:rFonts w:ascii="Arial" w:hAnsi="Arial" w:cs="Arial"/>
          <w:sz w:val="18"/>
          <w:szCs w:val="18"/>
        </w:rPr>
        <w:t xml:space="preserve"> emit gases to the atmosphere in our treatment processes. </w:t>
      </w:r>
    </w:p>
    <w:p w14:paraId="76712EA2" w14:textId="24DE1AFF" w:rsidR="005F7F46" w:rsidRPr="00735726" w:rsidRDefault="005F7F46" w:rsidP="005F7F46">
      <w:pPr>
        <w:spacing w:after="160" w:line="259" w:lineRule="auto"/>
        <w:rPr>
          <w:rFonts w:ascii="Arial" w:hAnsi="Arial" w:cs="Arial"/>
          <w:sz w:val="18"/>
          <w:szCs w:val="18"/>
        </w:rPr>
      </w:pPr>
      <w:r w:rsidRPr="00735726">
        <w:rPr>
          <w:rFonts w:ascii="Arial" w:hAnsi="Arial" w:cs="Arial"/>
          <w:sz w:val="18"/>
          <w:szCs w:val="18"/>
        </w:rPr>
        <w:t xml:space="preserve">We are currently developing a roadmap to strengthen our alignment with the TNFD recommendations. As part of this work, we are conducting the Locate (L) and Evaluate (E) stages of a LEAP assessment for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direct operations for water infrastructure, focusing on identifying our interfaces with nature and improving our understanding of our material dependencies and impacts. This is due to be completed in 2026. The LEAP process is advocated by TNFD and will support the development of nature</w:t>
      </w:r>
      <w:r w:rsidRPr="00735726">
        <w:rPr>
          <w:rFonts w:ascii="Cambria Math" w:hAnsi="Cambria Math" w:cs="Cambria Math"/>
          <w:sz w:val="18"/>
          <w:szCs w:val="18"/>
        </w:rPr>
        <w:t>‑</w:t>
      </w:r>
      <w:r w:rsidRPr="00735726">
        <w:rPr>
          <w:rFonts w:ascii="Arial" w:hAnsi="Arial" w:cs="Arial"/>
          <w:sz w:val="18"/>
          <w:szCs w:val="18"/>
        </w:rPr>
        <w:t>related targets and actions while also helping to understand how nature-related risks and opportunities could influence our business model and long-term resilience.</w:t>
      </w:r>
    </w:p>
    <w:p w14:paraId="4F0AE29C" w14:textId="022C641E" w:rsidR="005F7F46" w:rsidRPr="00735726" w:rsidRDefault="005F7F46" w:rsidP="005F7F46">
      <w:pPr>
        <w:spacing w:after="160" w:line="259" w:lineRule="auto"/>
        <w:rPr>
          <w:rFonts w:ascii="Arial" w:hAnsi="Arial" w:cs="Arial"/>
          <w:sz w:val="18"/>
          <w:szCs w:val="18"/>
        </w:rPr>
      </w:pPr>
      <w:r w:rsidRPr="00735726">
        <w:rPr>
          <w:rFonts w:ascii="Arial" w:hAnsi="Arial" w:cs="Arial"/>
          <w:sz w:val="18"/>
          <w:szCs w:val="18"/>
        </w:rPr>
        <w:t>We are building an understanding of ‘priority locations’ (as defined by TNFD) within our operations and value chains. Key examples include:</w:t>
      </w:r>
    </w:p>
    <w:p w14:paraId="4838E18D" w14:textId="650D91AA" w:rsidR="005F7F46" w:rsidRPr="00735726" w:rsidRDefault="005F7F46" w:rsidP="00646F4F">
      <w:pPr>
        <w:pStyle w:val="ListParagraph"/>
        <w:numPr>
          <w:ilvl w:val="0"/>
          <w:numId w:val="93"/>
        </w:numPr>
        <w:spacing w:after="160" w:line="259" w:lineRule="auto"/>
        <w:rPr>
          <w:rFonts w:ascii="Arial" w:hAnsi="Arial" w:cs="Arial"/>
          <w:sz w:val="18"/>
          <w:szCs w:val="18"/>
        </w:rPr>
      </w:pPr>
      <w:r w:rsidRPr="00735726">
        <w:rPr>
          <w:rFonts w:ascii="Arial" w:hAnsi="Arial" w:cs="Arial"/>
          <w:sz w:val="18"/>
          <w:szCs w:val="18"/>
        </w:rPr>
        <w:t xml:space="preserve">In early 2024, our Board approved a pilot programme of bespoke, evidence-based ‘Natural Catchment Management Plans’ (NCMPs) at selected catchments in Devon and Cornwall. These will create a </w:t>
      </w:r>
      <w:r w:rsidRPr="00735726">
        <w:rPr>
          <w:rFonts w:ascii="Arial" w:hAnsi="Arial" w:cs="Arial"/>
          <w:sz w:val="18"/>
          <w:szCs w:val="18"/>
        </w:rPr>
        <w:lastRenderedPageBreak/>
        <w:t>blueprint for some bathing water catchments from this year onwards, primarily in relation to bathing water quality issues.</w:t>
      </w:r>
    </w:p>
    <w:p w14:paraId="4A0A8A47" w14:textId="77777777" w:rsidR="005F7F46" w:rsidRPr="00735726" w:rsidRDefault="005F7F46" w:rsidP="00646F4F">
      <w:pPr>
        <w:pStyle w:val="ListParagraph"/>
        <w:numPr>
          <w:ilvl w:val="0"/>
          <w:numId w:val="93"/>
        </w:numPr>
        <w:spacing w:after="160" w:line="259" w:lineRule="auto"/>
        <w:rPr>
          <w:rFonts w:ascii="Arial" w:hAnsi="Arial" w:cs="Arial"/>
          <w:sz w:val="18"/>
          <w:szCs w:val="18"/>
        </w:rPr>
      </w:pPr>
      <w:r w:rsidRPr="00735726">
        <w:rPr>
          <w:rFonts w:ascii="Arial" w:hAnsi="Arial" w:cs="Arial"/>
          <w:sz w:val="18"/>
          <w:szCs w:val="18"/>
        </w:rPr>
        <w:t xml:space="preserve">We have used remote-sensing technology to determine a baseline condition assessment of habitats on our landholdings. This information will be used to help us target positive biodiversity interventions. </w:t>
      </w:r>
    </w:p>
    <w:p w14:paraId="5100F33A" w14:textId="77777777" w:rsidR="005F7F46" w:rsidRPr="00735726" w:rsidRDefault="005F7F46" w:rsidP="005F7F46">
      <w:pPr>
        <w:spacing w:after="160"/>
        <w:rPr>
          <w:rFonts w:ascii="Arial" w:hAnsi="Arial" w:cs="Arial"/>
          <w:i/>
          <w:iCs/>
          <w:sz w:val="18"/>
          <w:szCs w:val="18"/>
        </w:rPr>
      </w:pPr>
      <w:r w:rsidRPr="00735726">
        <w:rPr>
          <w:rFonts w:ascii="Arial" w:hAnsi="Arial" w:cs="Arial"/>
          <w:i/>
          <w:iCs/>
          <w:sz w:val="18"/>
          <w:szCs w:val="18"/>
        </w:rPr>
        <w:t>OUR NATURE-RELATED STRATEGIES</w:t>
      </w:r>
      <w:r w:rsidRPr="00735726">
        <w:rPr>
          <w:rFonts w:ascii="Arial" w:hAnsi="Arial" w:cs="Arial"/>
          <w:i/>
          <w:iCs/>
          <w:sz w:val="18"/>
          <w:szCs w:val="18"/>
        </w:rPr>
        <w:br/>
      </w:r>
      <w:r w:rsidRPr="00735726">
        <w:rPr>
          <w:rFonts w:ascii="Arial" w:hAnsi="Arial" w:cs="Arial"/>
          <w:sz w:val="18"/>
          <w:szCs w:val="18"/>
        </w:rPr>
        <w:t>Our business planning and financial planning are underpinned by a series of nature-related strategies, plans and commitments that interlink up to 2050.</w:t>
      </w:r>
      <w:r w:rsidRPr="00735726">
        <w:rPr>
          <w:rFonts w:ascii="Arial" w:hAnsi="Arial" w:cs="Arial"/>
          <w:i/>
          <w:iCs/>
          <w:sz w:val="18"/>
          <w:szCs w:val="18"/>
        </w:rPr>
        <w:t xml:space="preserve"> </w:t>
      </w:r>
    </w:p>
    <w:p w14:paraId="0AE24F56" w14:textId="5749D1D3" w:rsidR="005F7F46" w:rsidRPr="00735726" w:rsidRDefault="005F7F46" w:rsidP="00646F4F">
      <w:pPr>
        <w:pStyle w:val="ListParagraph"/>
        <w:numPr>
          <w:ilvl w:val="0"/>
          <w:numId w:val="94"/>
        </w:numPr>
        <w:spacing w:after="160"/>
        <w:rPr>
          <w:rFonts w:ascii="Arial" w:hAnsi="Arial" w:cs="Arial"/>
          <w:sz w:val="18"/>
          <w:szCs w:val="18"/>
        </w:rPr>
      </w:pPr>
      <w:r w:rsidRPr="00735726">
        <w:rPr>
          <w:rFonts w:ascii="Arial" w:hAnsi="Arial" w:cs="Arial"/>
          <w:b/>
          <w:bCs/>
          <w:sz w:val="18"/>
          <w:szCs w:val="18"/>
        </w:rPr>
        <w:t xml:space="preserve">Key examples </w:t>
      </w:r>
      <w:proofErr w:type="gramStart"/>
      <w:r w:rsidRPr="00735726">
        <w:rPr>
          <w:rFonts w:ascii="Arial" w:hAnsi="Arial" w:cs="Arial"/>
          <w:b/>
          <w:bCs/>
          <w:sz w:val="18"/>
          <w:szCs w:val="18"/>
        </w:rPr>
        <w:t>include:</w:t>
      </w:r>
      <w:proofErr w:type="gramEnd"/>
      <w:r w:rsidRPr="00735726">
        <w:rPr>
          <w:rFonts w:ascii="Arial" w:hAnsi="Arial" w:cs="Arial"/>
          <w:b/>
          <w:bCs/>
          <w:sz w:val="18"/>
          <w:szCs w:val="18"/>
        </w:rPr>
        <w:t xml:space="preserve"> Growing nature to 2035:</w:t>
      </w:r>
      <w:r w:rsidRPr="00735726">
        <w:rPr>
          <w:rFonts w:ascii="Arial" w:hAnsi="Arial" w:cs="Arial"/>
          <w:sz w:val="18"/>
          <w:szCs w:val="18"/>
        </w:rPr>
        <w:t xml:space="preserve"> Our strategy for nature recovery, sets out the key activities that we will take to support nature recovery and biodiversity on our land, in our everyday operations and beyond. There are three principles in the strategy: 1) Protect the best </w:t>
      </w:r>
      <w:r w:rsidR="006C1BA9" w:rsidRPr="00735726">
        <w:rPr>
          <w:rFonts w:ascii="Arial" w:hAnsi="Arial" w:cs="Arial"/>
          <w:sz w:val="18"/>
          <w:szCs w:val="18"/>
        </w:rPr>
        <w:t xml:space="preserve">- </w:t>
      </w:r>
      <w:r w:rsidRPr="00735726">
        <w:rPr>
          <w:rFonts w:ascii="Arial" w:hAnsi="Arial" w:cs="Arial"/>
          <w:sz w:val="18"/>
          <w:szCs w:val="18"/>
        </w:rPr>
        <w:t xml:space="preserve">take action to protect the valuable biodiversity that we have on our landholdings, 2) Restore and enhance the rest </w:t>
      </w:r>
      <w:r w:rsidR="006C1BA9" w:rsidRPr="00735726">
        <w:rPr>
          <w:rFonts w:ascii="Arial" w:hAnsi="Arial" w:cs="Arial"/>
          <w:sz w:val="18"/>
          <w:szCs w:val="18"/>
        </w:rPr>
        <w:t xml:space="preserve">- </w:t>
      </w:r>
      <w:r w:rsidRPr="00735726">
        <w:rPr>
          <w:rFonts w:ascii="Arial" w:hAnsi="Arial" w:cs="Arial"/>
          <w:sz w:val="18"/>
          <w:szCs w:val="18"/>
        </w:rPr>
        <w:t xml:space="preserve">take action across our landholdings and assets to enhance biodiversity in the everyday management of our sites, and 3) Beyond our landholdings </w:t>
      </w:r>
      <w:r w:rsidR="006C1BA9" w:rsidRPr="00735726">
        <w:rPr>
          <w:rFonts w:ascii="Arial" w:hAnsi="Arial" w:cs="Arial"/>
          <w:sz w:val="18"/>
          <w:szCs w:val="18"/>
        </w:rPr>
        <w:t xml:space="preserve">- </w:t>
      </w:r>
      <w:r w:rsidRPr="00735726">
        <w:rPr>
          <w:rFonts w:ascii="Arial" w:hAnsi="Arial" w:cs="Arial"/>
          <w:sz w:val="18"/>
          <w:szCs w:val="18"/>
        </w:rPr>
        <w:t>work in partnership with others across the region, taking a catchment approach to deliver biodiversity enhancement and nature recovery. These principles align with the LEAP process advocated by the TNFD, by taking a site approach (Locate),  formulating plans to monitor those sites via undertaking biodiversity baselines and natural capital assessments (Evaluate), and creating management plans (Assess) with actions to work across the estate with our own staff (e.g. Nature Safe) and external partners, to improve the biodiversity condition. The outputs of these plans will enable us to prepare to respond to and report on material nature-related issues.</w:t>
      </w:r>
    </w:p>
    <w:p w14:paraId="58E5AA1C" w14:textId="203B9BBB" w:rsidR="005F7F46" w:rsidRPr="00735726" w:rsidRDefault="005F7F46" w:rsidP="00646F4F">
      <w:pPr>
        <w:pStyle w:val="ListParagraph"/>
        <w:numPr>
          <w:ilvl w:val="0"/>
          <w:numId w:val="94"/>
        </w:numPr>
        <w:spacing w:after="160" w:line="259" w:lineRule="auto"/>
        <w:rPr>
          <w:rFonts w:ascii="Arial" w:hAnsi="Arial" w:cs="Arial"/>
          <w:sz w:val="18"/>
          <w:szCs w:val="18"/>
        </w:rPr>
      </w:pPr>
      <w:r w:rsidRPr="00735726">
        <w:rPr>
          <w:rFonts w:ascii="Arial" w:hAnsi="Arial" w:cs="Arial"/>
          <w:b/>
          <w:bCs/>
          <w:sz w:val="18"/>
          <w:szCs w:val="18"/>
        </w:rPr>
        <w:t xml:space="preserve">‘Green First’ Framework: </w:t>
      </w:r>
      <w:r w:rsidRPr="00735726">
        <w:rPr>
          <w:rFonts w:ascii="Arial" w:hAnsi="Arial" w:cs="Arial"/>
          <w:sz w:val="18"/>
          <w:szCs w:val="18"/>
        </w:rPr>
        <w:t>Published in 2023, the framework sets out our approach to using NBS and natural flood management wherever possible and practicable to do so. As such, our planning assumptions are based on achieving 50% reduction in surface water flow entering sewers, through nature-based solutions and a minimum removal of 10% of impermeable surfaces.</w:t>
      </w:r>
    </w:p>
    <w:p w14:paraId="250BF01B" w14:textId="77777777" w:rsidR="005F7F46" w:rsidRPr="00735726" w:rsidRDefault="005F7F46" w:rsidP="00646F4F">
      <w:pPr>
        <w:pStyle w:val="ListParagraph"/>
        <w:numPr>
          <w:ilvl w:val="0"/>
          <w:numId w:val="94"/>
        </w:numPr>
        <w:spacing w:after="160" w:line="259" w:lineRule="auto"/>
        <w:rPr>
          <w:rFonts w:ascii="Arial" w:hAnsi="Arial" w:cs="Arial"/>
          <w:sz w:val="18"/>
          <w:szCs w:val="18"/>
        </w:rPr>
      </w:pPr>
      <w:r w:rsidRPr="00735726">
        <w:rPr>
          <w:rFonts w:ascii="Arial" w:hAnsi="Arial" w:cs="Arial"/>
          <w:b/>
          <w:bCs/>
          <w:sz w:val="18"/>
          <w:szCs w:val="18"/>
        </w:rPr>
        <w:t>WRMP and DWMP:</w:t>
      </w:r>
      <w:r w:rsidRPr="00735726">
        <w:rPr>
          <w:rFonts w:ascii="Arial" w:hAnsi="Arial" w:cs="Arial"/>
          <w:sz w:val="18"/>
          <w:szCs w:val="18"/>
        </w:rPr>
        <w:t xml:space="preserve"> These 25-year strategic plans identify key nature-related dependencies and impacts across Water Resource Zones, particularly those linked to leakage, water use, and water supply, and set out actions being implemented to address them.</w:t>
      </w:r>
    </w:p>
    <w:p w14:paraId="0310101C" w14:textId="77777777" w:rsidR="0053295C" w:rsidRPr="00735726" w:rsidRDefault="005F7F46" w:rsidP="00646F4F">
      <w:pPr>
        <w:pStyle w:val="ListParagraph"/>
        <w:numPr>
          <w:ilvl w:val="0"/>
          <w:numId w:val="94"/>
        </w:numPr>
        <w:spacing w:after="160" w:line="259" w:lineRule="auto"/>
        <w:rPr>
          <w:rFonts w:ascii="Arial" w:hAnsi="Arial" w:cs="Arial"/>
          <w:sz w:val="18"/>
          <w:szCs w:val="18"/>
        </w:rPr>
      </w:pPr>
      <w:r w:rsidRPr="00735726">
        <w:rPr>
          <w:rFonts w:ascii="Arial" w:hAnsi="Arial" w:cs="Arial"/>
          <w:b/>
          <w:bCs/>
          <w:sz w:val="18"/>
          <w:szCs w:val="18"/>
        </w:rPr>
        <w:t>Habitat Management Plans</w:t>
      </w:r>
      <w:r w:rsidRPr="00735726">
        <w:rPr>
          <w:rFonts w:ascii="Arial" w:hAnsi="Arial" w:cs="Arial"/>
          <w:sz w:val="18"/>
          <w:szCs w:val="18"/>
        </w:rPr>
        <w:t xml:space="preserve">: These have been developed for several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sites, including species records and biodiversity enhancement recommendations which are available to operators. </w:t>
      </w:r>
    </w:p>
    <w:p w14:paraId="35A7C9E7" w14:textId="77777777" w:rsidR="0053295C" w:rsidRPr="00735726" w:rsidRDefault="0053295C" w:rsidP="0053295C">
      <w:pPr>
        <w:spacing w:after="160" w:line="259" w:lineRule="auto"/>
        <w:rPr>
          <w:rFonts w:ascii="Arial" w:hAnsi="Arial" w:cs="Arial"/>
          <w:sz w:val="18"/>
          <w:szCs w:val="18"/>
        </w:rPr>
      </w:pPr>
      <w:r w:rsidRPr="00735726">
        <w:rPr>
          <w:rFonts w:ascii="Arial" w:hAnsi="Arial" w:cs="Arial"/>
          <w:i/>
          <w:iCs/>
          <w:sz w:val="18"/>
          <w:szCs w:val="18"/>
        </w:rPr>
        <w:t>KEY ACTIONS TO MANAGE NATURE IMPACTS AND RISKS</w:t>
      </w:r>
      <w:r w:rsidRPr="00735726">
        <w:rPr>
          <w:rFonts w:ascii="Arial" w:hAnsi="Arial" w:cs="Arial"/>
          <w:i/>
          <w:iCs/>
          <w:sz w:val="18"/>
          <w:szCs w:val="18"/>
        </w:rPr>
        <w:br/>
      </w:r>
      <w:r w:rsidRPr="00735726">
        <w:rPr>
          <w:rFonts w:ascii="Arial" w:hAnsi="Arial" w:cs="Arial"/>
          <w:sz w:val="18"/>
          <w:szCs w:val="18"/>
        </w:rPr>
        <w:t xml:space="preserve">We are carrying out many actions to enhance nature recovery, manage our dependencies on nature sustainably, and limit our negative impacts. Key examples include: </w:t>
      </w:r>
    </w:p>
    <w:p w14:paraId="375AAB20" w14:textId="34B92B78" w:rsidR="0053295C" w:rsidRPr="00735726" w:rsidRDefault="0053295C" w:rsidP="00646F4F">
      <w:pPr>
        <w:pStyle w:val="ListParagraph"/>
        <w:numPr>
          <w:ilvl w:val="0"/>
          <w:numId w:val="95"/>
        </w:numPr>
        <w:spacing w:after="160" w:line="259" w:lineRule="auto"/>
        <w:rPr>
          <w:rFonts w:ascii="Arial" w:hAnsi="Arial" w:cs="Arial"/>
          <w:sz w:val="18"/>
          <w:szCs w:val="18"/>
        </w:rPr>
      </w:pPr>
      <w:r w:rsidRPr="00735726">
        <w:rPr>
          <w:rFonts w:ascii="Arial" w:hAnsi="Arial" w:cs="Arial"/>
          <w:sz w:val="18"/>
          <w:szCs w:val="18"/>
        </w:rPr>
        <w:t>We are investing in research on new and emerging risks such as microplastics, invasive freshwater mussel species, and on the sustainable management of sludge applied to land.</w:t>
      </w:r>
    </w:p>
    <w:p w14:paraId="581585D0" w14:textId="46036AE3" w:rsidR="0053295C" w:rsidRPr="00735726" w:rsidRDefault="0053295C" w:rsidP="00646F4F">
      <w:pPr>
        <w:pStyle w:val="ListParagraph"/>
        <w:numPr>
          <w:ilvl w:val="0"/>
          <w:numId w:val="95"/>
        </w:numPr>
        <w:spacing w:after="160" w:line="259" w:lineRule="auto"/>
        <w:rPr>
          <w:rFonts w:ascii="Arial" w:hAnsi="Arial" w:cs="Arial"/>
          <w:sz w:val="18"/>
          <w:szCs w:val="18"/>
        </w:rPr>
      </w:pPr>
      <w:proofErr w:type="spellStart"/>
      <w:r w:rsidRPr="00735726">
        <w:rPr>
          <w:rFonts w:ascii="Arial" w:hAnsi="Arial" w:cs="Arial"/>
          <w:sz w:val="18"/>
          <w:szCs w:val="18"/>
        </w:rPr>
        <w:t>NatureSafe</w:t>
      </w:r>
      <w:proofErr w:type="spellEnd"/>
      <w:r w:rsidRPr="00735726">
        <w:rPr>
          <w:rFonts w:ascii="Arial" w:hAnsi="Arial" w:cs="Arial"/>
          <w:sz w:val="18"/>
          <w:szCs w:val="18"/>
        </w:rPr>
        <w:t xml:space="preserve"> launched in 2024, is a cultural change initiative supporting our employees and contractors across operational sites to understand and protect nature </w:t>
      </w:r>
      <w:r w:rsidR="006C1BA9" w:rsidRPr="00735726">
        <w:rPr>
          <w:rFonts w:ascii="Arial" w:hAnsi="Arial" w:cs="Arial"/>
          <w:sz w:val="18"/>
          <w:szCs w:val="18"/>
        </w:rPr>
        <w:t xml:space="preserve">- </w:t>
      </w:r>
      <w:r w:rsidRPr="00735726">
        <w:rPr>
          <w:rFonts w:ascii="Arial" w:hAnsi="Arial" w:cs="Arial"/>
          <w:sz w:val="18"/>
          <w:szCs w:val="18"/>
        </w:rPr>
        <w:t>in alignment with our Biodiversity Strategy.</w:t>
      </w:r>
    </w:p>
    <w:p w14:paraId="3A6C46D1" w14:textId="070AC66A" w:rsidR="0053295C" w:rsidRPr="00735726" w:rsidRDefault="0053295C" w:rsidP="00646F4F">
      <w:pPr>
        <w:pStyle w:val="ListParagraph"/>
        <w:numPr>
          <w:ilvl w:val="0"/>
          <w:numId w:val="95"/>
        </w:numPr>
        <w:spacing w:after="160" w:line="259" w:lineRule="auto"/>
        <w:rPr>
          <w:rFonts w:ascii="Arial" w:hAnsi="Arial" w:cs="Arial"/>
          <w:sz w:val="18"/>
          <w:szCs w:val="18"/>
        </w:rPr>
      </w:pPr>
      <w:r w:rsidRPr="00735726">
        <w:rPr>
          <w:rFonts w:ascii="Arial" w:hAnsi="Arial" w:cs="Arial"/>
          <w:sz w:val="18"/>
          <w:szCs w:val="18"/>
        </w:rPr>
        <w:t>In preparation for Asset Management Period AMP8, our Tier 1 suppliers were tested for their ability to deliver NBS for wastewater and drinking water. In March 2025, we became a partner of the Supply Chain Sustainability School (SCSS), reinforcing our commitment to upskilling our supply chain and colleagues across key sustainability topics, including climate and nature. This partnership provides access to industry-leading training and resources, enabling our teams and suppliers to deepen their understanding of key topics, and drive positive change across our operations. By working collaboratively with SCSS, we are empowering our supply chain to meet higher sustainability standards as we move into AMP8.</w:t>
      </w:r>
    </w:p>
    <w:p w14:paraId="66329A50" w14:textId="59C03776" w:rsidR="0053295C" w:rsidRPr="00735726" w:rsidRDefault="0053295C" w:rsidP="00646F4F">
      <w:pPr>
        <w:pStyle w:val="ListParagraph"/>
        <w:numPr>
          <w:ilvl w:val="0"/>
          <w:numId w:val="95"/>
        </w:numPr>
        <w:spacing w:after="160" w:line="259" w:lineRule="auto"/>
        <w:rPr>
          <w:rFonts w:ascii="Arial" w:hAnsi="Arial" w:cs="Arial"/>
          <w:sz w:val="18"/>
          <w:szCs w:val="18"/>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has renewed its commitment to improving the management of natural assets and resources by re-signing the Catchment Management Declaration. The declaration promotes collaborative, cross- sector working </w:t>
      </w:r>
      <w:proofErr w:type="gramStart"/>
      <w:r w:rsidRPr="00735726">
        <w:rPr>
          <w:rFonts w:ascii="Arial" w:hAnsi="Arial" w:cs="Arial"/>
          <w:sz w:val="18"/>
          <w:szCs w:val="18"/>
        </w:rPr>
        <w:t>in order to</w:t>
      </w:r>
      <w:proofErr w:type="gramEnd"/>
      <w:r w:rsidRPr="00735726">
        <w:rPr>
          <w:rFonts w:ascii="Arial" w:hAnsi="Arial" w:cs="Arial"/>
          <w:sz w:val="18"/>
          <w:szCs w:val="18"/>
        </w:rPr>
        <w:t xml:space="preserve"> better manage water resources.</w:t>
      </w:r>
    </w:p>
    <w:p w14:paraId="5D85A3E3" w14:textId="7577C68E" w:rsidR="0053295C" w:rsidRPr="00735726" w:rsidRDefault="0053295C" w:rsidP="00646F4F">
      <w:pPr>
        <w:pStyle w:val="ListParagraph"/>
        <w:numPr>
          <w:ilvl w:val="0"/>
          <w:numId w:val="95"/>
        </w:numPr>
        <w:spacing w:after="160" w:line="259" w:lineRule="auto"/>
        <w:rPr>
          <w:rFonts w:ascii="Arial" w:hAnsi="Arial" w:cs="Arial"/>
          <w:sz w:val="18"/>
          <w:szCs w:val="18"/>
        </w:rPr>
      </w:pPr>
      <w:r w:rsidRPr="00735726">
        <w:rPr>
          <w:rFonts w:ascii="Arial" w:hAnsi="Arial" w:cs="Arial"/>
          <w:sz w:val="18"/>
          <w:szCs w:val="18"/>
        </w:rPr>
        <w:t xml:space="preserve">We have published our Biodiversity Enhancement Case, a portfolio programme of investigations and actions to deliver environmental gains and biodiversity benefit across the </w:t>
      </w:r>
      <w:proofErr w:type="gramStart"/>
      <w:r w:rsidRPr="00735726">
        <w:rPr>
          <w:rFonts w:ascii="Arial" w:hAnsi="Arial" w:cs="Arial"/>
          <w:sz w:val="18"/>
          <w:szCs w:val="18"/>
        </w:rPr>
        <w:t>South West</w:t>
      </w:r>
      <w:proofErr w:type="gramEnd"/>
      <w:r w:rsidRPr="00735726">
        <w:rPr>
          <w:rFonts w:ascii="Arial" w:hAnsi="Arial" w:cs="Arial"/>
          <w:sz w:val="18"/>
          <w:szCs w:val="18"/>
        </w:rPr>
        <w:t>. It aligns statutory WINEP requirements with our Biodiversity Strategy, Local Nature Recovery Strategies, and our commitments toward the Ofwat Biodiversity Performance Commitment to inform ongoing investment and planning.</w:t>
      </w:r>
    </w:p>
    <w:p w14:paraId="5961001D" w14:textId="77777777" w:rsidR="002A696A" w:rsidRPr="00735726" w:rsidRDefault="0053295C" w:rsidP="00646F4F">
      <w:pPr>
        <w:pStyle w:val="ListParagraph"/>
        <w:numPr>
          <w:ilvl w:val="0"/>
          <w:numId w:val="95"/>
        </w:numPr>
        <w:spacing w:after="160" w:line="259" w:lineRule="auto"/>
        <w:rPr>
          <w:rFonts w:ascii="Arial" w:hAnsi="Arial" w:cs="Arial"/>
          <w:sz w:val="18"/>
          <w:szCs w:val="18"/>
        </w:rPr>
      </w:pPr>
      <w:r w:rsidRPr="00735726">
        <w:rPr>
          <w:rFonts w:ascii="Arial" w:hAnsi="Arial" w:cs="Arial"/>
          <w:sz w:val="18"/>
          <w:szCs w:val="18"/>
        </w:rPr>
        <w:t xml:space="preserve">Our Biosecurity and Invasive Non-Native Species (INNS) Plan sets out how employees and contractors understand impacts linked to INNS, identify priority species, and implement controls on-site, embedding INNS risk management into operational decision-making. </w:t>
      </w:r>
    </w:p>
    <w:p w14:paraId="234E4E6F" w14:textId="4FD0C995" w:rsidR="002A696A" w:rsidRPr="00735726" w:rsidRDefault="002A696A" w:rsidP="00646F4F">
      <w:pPr>
        <w:pStyle w:val="ListParagraph"/>
        <w:numPr>
          <w:ilvl w:val="0"/>
          <w:numId w:val="95"/>
        </w:numPr>
        <w:spacing w:after="160" w:line="259" w:lineRule="auto"/>
        <w:rPr>
          <w:rFonts w:ascii="Arial" w:hAnsi="Arial" w:cs="Arial"/>
          <w:sz w:val="18"/>
          <w:szCs w:val="18"/>
        </w:rPr>
      </w:pPr>
      <w:r w:rsidRPr="00735726">
        <w:rPr>
          <w:rFonts w:ascii="Arial" w:hAnsi="Arial" w:cs="Arial"/>
          <w:sz w:val="18"/>
          <w:szCs w:val="18"/>
        </w:rPr>
        <w:t>Our Natural Resources team provides internal advice on nature-related issues, helping teams resolve challenges and ensure alignment with our Biodiversity Strategy.</w:t>
      </w:r>
    </w:p>
    <w:p w14:paraId="72F111B7" w14:textId="77777777" w:rsidR="009114CF" w:rsidRPr="00735726" w:rsidRDefault="002A696A" w:rsidP="00646F4F">
      <w:pPr>
        <w:pStyle w:val="ListParagraph"/>
        <w:numPr>
          <w:ilvl w:val="0"/>
          <w:numId w:val="95"/>
        </w:numPr>
        <w:spacing w:after="160" w:line="259" w:lineRule="auto"/>
        <w:rPr>
          <w:rFonts w:ascii="Arial" w:hAnsi="Arial" w:cs="Arial"/>
          <w:sz w:val="18"/>
          <w:szCs w:val="18"/>
        </w:rPr>
      </w:pPr>
      <w:r w:rsidRPr="00735726">
        <w:rPr>
          <w:rFonts w:ascii="Arial" w:hAnsi="Arial" w:cs="Arial"/>
          <w:sz w:val="18"/>
          <w:szCs w:val="18"/>
        </w:rPr>
        <w:lastRenderedPageBreak/>
        <w:t xml:space="preserve">Our catchment management initiative, Upstream Thinking, applies natural solutions to reduce agricultural impact on biodiversity and water quality. It does so whilst supporting farmers and the rural economy, </w:t>
      </w:r>
      <w:proofErr w:type="gramStart"/>
      <w:r w:rsidRPr="00735726">
        <w:rPr>
          <w:rFonts w:ascii="Arial" w:hAnsi="Arial" w:cs="Arial"/>
          <w:sz w:val="18"/>
          <w:szCs w:val="18"/>
        </w:rPr>
        <w:t>by:</w:t>
      </w:r>
      <w:proofErr w:type="gramEnd"/>
      <w:r w:rsidRPr="00735726">
        <w:rPr>
          <w:rFonts w:ascii="Arial" w:hAnsi="Arial" w:cs="Arial"/>
          <w:sz w:val="18"/>
          <w:szCs w:val="18"/>
        </w:rPr>
        <w:t xml:space="preserve"> installing waterside fencing, building ponds, improving farm tracks, increasing slurry storage and planting trees and buffer strips to catch and filter water. </w:t>
      </w:r>
    </w:p>
    <w:p w14:paraId="3B3C0487" w14:textId="54B4CAA2" w:rsidR="009114CF" w:rsidRPr="00735726" w:rsidRDefault="009114CF" w:rsidP="009114CF">
      <w:pPr>
        <w:spacing w:after="160" w:line="259" w:lineRule="auto"/>
        <w:rPr>
          <w:rFonts w:ascii="Arial" w:hAnsi="Arial" w:cs="Arial"/>
          <w:b/>
          <w:bCs/>
          <w:sz w:val="18"/>
          <w:szCs w:val="18"/>
        </w:rPr>
      </w:pPr>
      <w:r w:rsidRPr="00735726">
        <w:rPr>
          <w:rFonts w:ascii="Arial" w:hAnsi="Arial" w:cs="Arial"/>
          <w:b/>
          <w:bCs/>
          <w:sz w:val="18"/>
          <w:szCs w:val="18"/>
        </w:rPr>
        <w:t>GOING FORWARD</w:t>
      </w:r>
      <w:r w:rsidR="00D62E2B" w:rsidRPr="00735726">
        <w:rPr>
          <w:rFonts w:ascii="Arial" w:hAnsi="Arial" w:cs="Arial"/>
          <w:sz w:val="18"/>
          <w:szCs w:val="18"/>
        </w:rPr>
        <w:br/>
      </w:r>
      <w:r w:rsidRPr="00735726">
        <w:rPr>
          <w:rFonts w:ascii="Arial" w:hAnsi="Arial" w:cs="Arial"/>
          <w:sz w:val="18"/>
          <w:szCs w:val="18"/>
        </w:rPr>
        <w:t xml:space="preserve">Over the coming years, we will continue to develop our approach to embedding nature-related risks, dependencies and opportunities across the Company. As a first step, we will integrate the findings from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LEAP assessment into our ongoing nature strategy development. Building on this pilot, we will progressively expand the scope of our LEAP assessments covering more of our operational footprint, additional value chain stages, and a wider set of ecosystems and interfaces with nature. This phased expansion will support more comprehensive, decision-useful disclosures and ensure our reporting keeps pace with the ambition of the TNFD framework.</w:t>
      </w:r>
      <w:r w:rsidRPr="00735726">
        <w:rPr>
          <w:rFonts w:ascii="Arial" w:hAnsi="Arial" w:cs="Arial"/>
          <w:b/>
          <w:bCs/>
          <w:sz w:val="18"/>
          <w:szCs w:val="18"/>
        </w:rPr>
        <w:t xml:space="preserve"> </w:t>
      </w:r>
    </w:p>
    <w:p w14:paraId="5C2428CB" w14:textId="3C0D0DD8" w:rsidR="009114CF" w:rsidRPr="00735726" w:rsidRDefault="009114CF" w:rsidP="009114CF">
      <w:pPr>
        <w:spacing w:after="160" w:line="259" w:lineRule="auto"/>
        <w:rPr>
          <w:rFonts w:ascii="Arial" w:hAnsi="Arial" w:cs="Arial"/>
          <w:b/>
          <w:bCs/>
          <w:sz w:val="18"/>
          <w:szCs w:val="18"/>
        </w:rPr>
      </w:pPr>
      <w:r w:rsidRPr="00735726">
        <w:rPr>
          <w:rFonts w:ascii="Arial" w:hAnsi="Arial" w:cs="Arial"/>
          <w:b/>
          <w:bCs/>
          <w:sz w:val="18"/>
          <w:szCs w:val="18"/>
        </w:rPr>
        <w:t xml:space="preserve">CLIMATE AND NATURE-RELATED RISK MANAGEMENT </w:t>
      </w:r>
      <w:r w:rsidRPr="00735726">
        <w:rPr>
          <w:rFonts w:ascii="Arial" w:hAnsi="Arial" w:cs="Arial"/>
          <w:b/>
          <w:bCs/>
          <w:sz w:val="18"/>
          <w:szCs w:val="18"/>
        </w:rPr>
        <w:br/>
      </w:r>
      <w:r w:rsidR="002902B7" w:rsidRPr="00735726">
        <w:rPr>
          <w:rFonts w:ascii="Arial" w:hAnsi="Arial" w:cs="Arial"/>
          <w:b/>
          <w:bCs/>
          <w:sz w:val="18"/>
          <w:szCs w:val="18"/>
        </w:rPr>
        <w:br/>
      </w:r>
      <w:r w:rsidRPr="00735726">
        <w:rPr>
          <w:rFonts w:ascii="Arial" w:hAnsi="Arial" w:cs="Arial"/>
          <w:b/>
          <w:bCs/>
          <w:sz w:val="18"/>
          <w:szCs w:val="18"/>
        </w:rPr>
        <w:t xml:space="preserve">TCFD/TNFD Recommendation: Disclose how the organisation identifies, assesses, and manages climate-related and nature-related risks. </w:t>
      </w:r>
    </w:p>
    <w:p w14:paraId="330A90B0" w14:textId="61847304" w:rsidR="009114CF" w:rsidRPr="009A2CAE" w:rsidRDefault="009114CF" w:rsidP="009114CF">
      <w:pPr>
        <w:spacing w:after="160" w:line="259" w:lineRule="auto"/>
        <w:rPr>
          <w:rFonts w:ascii="Arial" w:hAnsi="Arial" w:cs="Arial"/>
          <w:sz w:val="18"/>
          <w:szCs w:val="18"/>
        </w:rPr>
      </w:pPr>
      <w:r w:rsidRPr="00735726">
        <w:rPr>
          <w:rFonts w:ascii="Arial" w:hAnsi="Arial" w:cs="Arial"/>
          <w:sz w:val="18"/>
          <w:szCs w:val="18"/>
        </w:rPr>
        <w:t xml:space="preserve">The Company’s risk management framework is explained in detail on pages </w:t>
      </w:r>
      <w:r w:rsidR="00A9056A" w:rsidRPr="009A2CAE">
        <w:rPr>
          <w:rFonts w:ascii="Arial" w:hAnsi="Arial" w:cs="Arial"/>
          <w:sz w:val="18"/>
          <w:szCs w:val="18"/>
        </w:rPr>
        <w:t xml:space="preserve">62 </w:t>
      </w:r>
      <w:r w:rsidRPr="009A2CAE">
        <w:rPr>
          <w:rFonts w:ascii="Arial" w:hAnsi="Arial" w:cs="Arial"/>
          <w:sz w:val="18"/>
          <w:szCs w:val="18"/>
        </w:rPr>
        <w:t xml:space="preserve">to </w:t>
      </w:r>
      <w:r w:rsidR="00A9056A" w:rsidRPr="009A2CAE">
        <w:rPr>
          <w:rFonts w:ascii="Arial" w:hAnsi="Arial" w:cs="Arial"/>
          <w:sz w:val="18"/>
          <w:szCs w:val="18"/>
        </w:rPr>
        <w:t>65</w:t>
      </w:r>
      <w:r w:rsidRPr="009A2CAE">
        <w:rPr>
          <w:rFonts w:ascii="Arial" w:hAnsi="Arial" w:cs="Arial"/>
          <w:sz w:val="18"/>
          <w:szCs w:val="18"/>
        </w:rPr>
        <w:t xml:space="preserve">, </w:t>
      </w:r>
      <w:r w:rsidRPr="00735726">
        <w:rPr>
          <w:rFonts w:ascii="Arial" w:hAnsi="Arial" w:cs="Arial"/>
          <w:sz w:val="18"/>
          <w:szCs w:val="18"/>
        </w:rPr>
        <w:t>including the methodology for assessing risks.</w:t>
      </w:r>
    </w:p>
    <w:p w14:paraId="765975A5" w14:textId="06DC591A" w:rsidR="009114CF" w:rsidRPr="00735726" w:rsidRDefault="009114CF" w:rsidP="00B13615">
      <w:pPr>
        <w:spacing w:after="160"/>
        <w:rPr>
          <w:rFonts w:ascii="Arial" w:hAnsi="Arial" w:cs="Arial"/>
          <w:sz w:val="18"/>
          <w:szCs w:val="18"/>
        </w:rPr>
      </w:pPr>
      <w:r w:rsidRPr="00735726">
        <w:rPr>
          <w:rFonts w:ascii="Arial" w:hAnsi="Arial" w:cs="Arial"/>
          <w:sz w:val="18"/>
          <w:szCs w:val="18"/>
        </w:rPr>
        <w:t xml:space="preserve">We are continuing to integrate climate-related and nature-related risk management within the Company’s overall risk management process. Climate-related and nature-related risks and opportunities are assessed using the same methodology and materiality ratings as other business risks. In the past few </w:t>
      </w:r>
      <w:r w:rsidR="00EC1368" w:rsidRPr="00735726">
        <w:rPr>
          <w:rFonts w:ascii="Arial" w:hAnsi="Arial" w:cs="Arial"/>
          <w:sz w:val="18"/>
          <w:szCs w:val="18"/>
        </w:rPr>
        <w:t>years,</w:t>
      </w:r>
      <w:r w:rsidRPr="00735726">
        <w:rPr>
          <w:rFonts w:ascii="Arial" w:hAnsi="Arial" w:cs="Arial"/>
          <w:sz w:val="18"/>
          <w:szCs w:val="18"/>
        </w:rPr>
        <w:t xml:space="preserve"> we have undertaken specific work to identify and assess climate-related risks and opportunities, and we are moving towards this risk identification and assessment being integrated within business subsidiaries/functions. We have the processes in place to enable this integration, and a key area we are continuing to work on is raising awareness and competency so that the key people across our subsidiaries/business functions can effectively identify climate-related and nature-related risks, like they do with other risks (in many cases, climate and nature risks are an amplifier or additional driver to risks we have already identified, rather than presenting novel risks). For the past four years we have convened workshops with senior management from across business functions to re-visit and re-assess climate-related risks and actions, and management will take forward the responsibility to integrate climate risks into risk registers owned by each business subsidiary/function.</w:t>
      </w:r>
    </w:p>
    <w:p w14:paraId="7A08657E" w14:textId="18369B49" w:rsidR="00B13615" w:rsidRPr="009A2CAE" w:rsidRDefault="009114CF" w:rsidP="009114CF">
      <w:pPr>
        <w:spacing w:after="160" w:line="259" w:lineRule="auto"/>
        <w:rPr>
          <w:rFonts w:ascii="Arial" w:hAnsi="Arial" w:cs="Arial"/>
          <w:sz w:val="18"/>
          <w:szCs w:val="18"/>
        </w:rPr>
      </w:pPr>
      <w:r w:rsidRPr="00735726">
        <w:rPr>
          <w:rFonts w:ascii="Arial" w:hAnsi="Arial" w:cs="Arial"/>
          <w:sz w:val="18"/>
          <w:szCs w:val="18"/>
        </w:rPr>
        <w:t xml:space="preserve">Furthering our progress, the </w:t>
      </w:r>
      <w:r w:rsidR="00B13615" w:rsidRPr="00735726">
        <w:rPr>
          <w:rFonts w:ascii="Arial" w:hAnsi="Arial" w:cs="Arial"/>
          <w:sz w:val="18"/>
          <w:szCs w:val="18"/>
        </w:rPr>
        <w:t>Company</w:t>
      </w:r>
      <w:r w:rsidRPr="00735726">
        <w:rPr>
          <w:rFonts w:ascii="Arial" w:hAnsi="Arial" w:cs="Arial"/>
          <w:sz w:val="18"/>
          <w:szCs w:val="18"/>
        </w:rPr>
        <w:t xml:space="preserve"> has identified several</w:t>
      </w:r>
      <w:r w:rsidR="00B13615" w:rsidRPr="00735726">
        <w:rPr>
          <w:rFonts w:ascii="Arial" w:hAnsi="Arial" w:cs="Arial"/>
          <w:sz w:val="18"/>
          <w:szCs w:val="18"/>
        </w:rPr>
        <w:t xml:space="preserve"> </w:t>
      </w:r>
      <w:r w:rsidRPr="00735726">
        <w:rPr>
          <w:rFonts w:ascii="Arial" w:hAnsi="Arial" w:cs="Arial"/>
          <w:sz w:val="18"/>
          <w:szCs w:val="18"/>
        </w:rPr>
        <w:t>principal risks which are impacted or influenced by physical</w:t>
      </w:r>
      <w:r w:rsidR="00B13615" w:rsidRPr="00735726">
        <w:rPr>
          <w:rFonts w:ascii="Arial" w:hAnsi="Arial" w:cs="Arial"/>
          <w:sz w:val="18"/>
          <w:szCs w:val="18"/>
        </w:rPr>
        <w:t xml:space="preserve"> </w:t>
      </w:r>
      <w:r w:rsidRPr="00735726">
        <w:rPr>
          <w:rFonts w:ascii="Arial" w:hAnsi="Arial" w:cs="Arial"/>
          <w:sz w:val="18"/>
          <w:szCs w:val="18"/>
        </w:rPr>
        <w:t>and transitional climate and nature risks and opportunities,</w:t>
      </w:r>
      <w:r w:rsidR="00B13615" w:rsidRPr="00735726">
        <w:rPr>
          <w:rFonts w:ascii="Arial" w:hAnsi="Arial" w:cs="Arial"/>
          <w:sz w:val="18"/>
          <w:szCs w:val="18"/>
        </w:rPr>
        <w:t xml:space="preserve"> </w:t>
      </w:r>
      <w:r w:rsidRPr="00735726">
        <w:rPr>
          <w:rFonts w:ascii="Arial" w:hAnsi="Arial" w:cs="Arial"/>
          <w:sz w:val="18"/>
          <w:szCs w:val="18"/>
        </w:rPr>
        <w:t>and as such we are increasingly cognisant that climate and</w:t>
      </w:r>
      <w:r w:rsidR="00B13615" w:rsidRPr="00735726">
        <w:rPr>
          <w:rFonts w:ascii="Arial" w:hAnsi="Arial" w:cs="Arial"/>
          <w:sz w:val="18"/>
          <w:szCs w:val="18"/>
        </w:rPr>
        <w:t xml:space="preserve"> </w:t>
      </w:r>
      <w:r w:rsidRPr="00735726">
        <w:rPr>
          <w:rFonts w:ascii="Arial" w:hAnsi="Arial" w:cs="Arial"/>
          <w:sz w:val="18"/>
          <w:szCs w:val="18"/>
        </w:rPr>
        <w:t>nature risk management is integral to the performance and</w:t>
      </w:r>
      <w:r w:rsidR="00B13615" w:rsidRPr="00735726">
        <w:rPr>
          <w:rFonts w:ascii="Arial" w:hAnsi="Arial" w:cs="Arial"/>
          <w:sz w:val="18"/>
          <w:szCs w:val="18"/>
        </w:rPr>
        <w:t xml:space="preserve"> </w:t>
      </w:r>
      <w:r w:rsidRPr="00735726">
        <w:rPr>
          <w:rFonts w:ascii="Arial" w:hAnsi="Arial" w:cs="Arial"/>
          <w:sz w:val="18"/>
          <w:szCs w:val="18"/>
        </w:rPr>
        <w:t>resilience of our business and strategy. The link between</w:t>
      </w:r>
      <w:r w:rsidR="00B13615" w:rsidRPr="00735726">
        <w:rPr>
          <w:rFonts w:ascii="Arial" w:hAnsi="Arial" w:cs="Arial"/>
          <w:sz w:val="18"/>
          <w:szCs w:val="18"/>
        </w:rPr>
        <w:t xml:space="preserve"> </w:t>
      </w:r>
      <w:r w:rsidRPr="00735726">
        <w:rPr>
          <w:rFonts w:ascii="Arial" w:hAnsi="Arial" w:cs="Arial"/>
          <w:sz w:val="18"/>
          <w:szCs w:val="18"/>
        </w:rPr>
        <w:t>climate-related and nature-related risks and opportunities</w:t>
      </w:r>
      <w:r w:rsidR="00B13615" w:rsidRPr="00735726">
        <w:rPr>
          <w:rFonts w:ascii="Arial" w:hAnsi="Arial" w:cs="Arial"/>
          <w:sz w:val="18"/>
          <w:szCs w:val="18"/>
        </w:rPr>
        <w:t xml:space="preserve"> </w:t>
      </w:r>
      <w:r w:rsidRPr="00735726">
        <w:rPr>
          <w:rFonts w:ascii="Arial" w:hAnsi="Arial" w:cs="Arial"/>
          <w:sz w:val="18"/>
          <w:szCs w:val="18"/>
        </w:rPr>
        <w:t>on our principal risks is shown on page</w:t>
      </w:r>
      <w:r w:rsidR="00A9056A" w:rsidRPr="00735726">
        <w:rPr>
          <w:rFonts w:ascii="Arial" w:hAnsi="Arial" w:cs="Arial"/>
          <w:sz w:val="18"/>
          <w:szCs w:val="18"/>
        </w:rPr>
        <w:t>s</w:t>
      </w:r>
      <w:r w:rsidRPr="00735726">
        <w:rPr>
          <w:rFonts w:ascii="Arial" w:hAnsi="Arial" w:cs="Arial"/>
          <w:sz w:val="18"/>
          <w:szCs w:val="18"/>
        </w:rPr>
        <w:t xml:space="preserve"> </w:t>
      </w:r>
      <w:r w:rsidR="00A9056A" w:rsidRPr="009A2CAE">
        <w:rPr>
          <w:rFonts w:ascii="Arial" w:hAnsi="Arial" w:cs="Arial"/>
          <w:sz w:val="18"/>
          <w:szCs w:val="18"/>
        </w:rPr>
        <w:t>67 to 74</w:t>
      </w:r>
      <w:r w:rsidRPr="009A2CAE">
        <w:rPr>
          <w:rFonts w:ascii="Arial" w:hAnsi="Arial" w:cs="Arial"/>
          <w:sz w:val="18"/>
          <w:szCs w:val="18"/>
        </w:rPr>
        <w:t>.</w:t>
      </w:r>
      <w:r w:rsidR="00B13615" w:rsidRPr="009A2CAE">
        <w:rPr>
          <w:rFonts w:ascii="Arial" w:hAnsi="Arial" w:cs="Arial"/>
          <w:sz w:val="18"/>
          <w:szCs w:val="18"/>
        </w:rPr>
        <w:t xml:space="preserve"> </w:t>
      </w:r>
    </w:p>
    <w:p w14:paraId="619BF749" w14:textId="717A2211" w:rsidR="00B13615" w:rsidRPr="00735726" w:rsidRDefault="009114CF" w:rsidP="009114CF">
      <w:pPr>
        <w:spacing w:after="160" w:line="259" w:lineRule="auto"/>
        <w:rPr>
          <w:rFonts w:ascii="Arial" w:hAnsi="Arial" w:cs="Arial"/>
          <w:b/>
          <w:bCs/>
          <w:sz w:val="18"/>
          <w:szCs w:val="18"/>
        </w:rPr>
      </w:pPr>
      <w:r w:rsidRPr="00735726">
        <w:rPr>
          <w:rFonts w:ascii="Arial" w:hAnsi="Arial" w:cs="Arial"/>
          <w:sz w:val="18"/>
          <w:szCs w:val="18"/>
        </w:rPr>
        <w:t>Risks have been assessed by senior managers across</w:t>
      </w:r>
      <w:r w:rsidR="00B13615" w:rsidRPr="00735726">
        <w:rPr>
          <w:rFonts w:ascii="Arial" w:hAnsi="Arial" w:cs="Arial"/>
          <w:sz w:val="18"/>
          <w:szCs w:val="18"/>
        </w:rPr>
        <w:t xml:space="preserve"> the Company</w:t>
      </w:r>
      <w:r w:rsidRPr="00735726">
        <w:rPr>
          <w:rFonts w:ascii="Arial" w:hAnsi="Arial" w:cs="Arial"/>
          <w:sz w:val="18"/>
          <w:szCs w:val="18"/>
        </w:rPr>
        <w:t xml:space="preserve"> using </w:t>
      </w:r>
      <w:proofErr w:type="gramStart"/>
      <w:r w:rsidR="00B13615" w:rsidRPr="00735726">
        <w:rPr>
          <w:rFonts w:ascii="Arial" w:hAnsi="Arial" w:cs="Arial"/>
          <w:sz w:val="18"/>
          <w:szCs w:val="18"/>
        </w:rPr>
        <w:t>South West</w:t>
      </w:r>
      <w:proofErr w:type="gramEnd"/>
      <w:r w:rsidR="00B13615" w:rsidRPr="00735726">
        <w:rPr>
          <w:rFonts w:ascii="Arial" w:hAnsi="Arial" w:cs="Arial"/>
          <w:sz w:val="18"/>
          <w:szCs w:val="18"/>
        </w:rPr>
        <w:t xml:space="preserve"> Water’s</w:t>
      </w:r>
      <w:r w:rsidRPr="00735726">
        <w:rPr>
          <w:rFonts w:ascii="Arial" w:hAnsi="Arial" w:cs="Arial"/>
          <w:sz w:val="18"/>
          <w:szCs w:val="18"/>
        </w:rPr>
        <w:t xml:space="preserve"> risk assessment</w:t>
      </w:r>
      <w:r w:rsidR="00B13615" w:rsidRPr="00735726">
        <w:rPr>
          <w:rFonts w:ascii="Arial" w:hAnsi="Arial" w:cs="Arial"/>
          <w:sz w:val="18"/>
          <w:szCs w:val="18"/>
        </w:rPr>
        <w:t xml:space="preserve"> </w:t>
      </w:r>
      <w:r w:rsidRPr="00735726">
        <w:rPr>
          <w:rFonts w:ascii="Arial" w:hAnsi="Arial" w:cs="Arial"/>
          <w:sz w:val="18"/>
          <w:szCs w:val="18"/>
        </w:rPr>
        <w:t>methodology (see risk management framework is</w:t>
      </w:r>
      <w:r w:rsidR="00B13615" w:rsidRPr="00735726">
        <w:rPr>
          <w:rFonts w:ascii="Arial" w:hAnsi="Arial" w:cs="Arial"/>
          <w:sz w:val="18"/>
          <w:szCs w:val="18"/>
        </w:rPr>
        <w:t xml:space="preserve"> </w:t>
      </w:r>
      <w:r w:rsidRPr="00735726">
        <w:rPr>
          <w:rFonts w:ascii="Arial" w:hAnsi="Arial" w:cs="Arial"/>
          <w:sz w:val="18"/>
          <w:szCs w:val="18"/>
        </w:rPr>
        <w:t xml:space="preserve">explained in detail on pages </w:t>
      </w:r>
      <w:r w:rsidR="00A9056A" w:rsidRPr="009A2CAE">
        <w:rPr>
          <w:rFonts w:ascii="Arial" w:hAnsi="Arial" w:cs="Arial"/>
          <w:sz w:val="18"/>
          <w:szCs w:val="18"/>
        </w:rPr>
        <w:t xml:space="preserve">62 </w:t>
      </w:r>
      <w:r w:rsidRPr="009A2CAE">
        <w:rPr>
          <w:rFonts w:ascii="Arial" w:hAnsi="Arial" w:cs="Arial"/>
          <w:sz w:val="18"/>
          <w:szCs w:val="18"/>
        </w:rPr>
        <w:t xml:space="preserve">to </w:t>
      </w:r>
      <w:r w:rsidR="00A9056A" w:rsidRPr="009A2CAE">
        <w:rPr>
          <w:rFonts w:ascii="Arial" w:hAnsi="Arial" w:cs="Arial"/>
          <w:sz w:val="18"/>
          <w:szCs w:val="18"/>
        </w:rPr>
        <w:t>65</w:t>
      </w:r>
      <w:r w:rsidRPr="009A2CAE">
        <w:rPr>
          <w:rFonts w:ascii="Arial" w:hAnsi="Arial" w:cs="Arial"/>
          <w:sz w:val="18"/>
          <w:szCs w:val="18"/>
        </w:rPr>
        <w:t>).</w:t>
      </w:r>
      <w:r w:rsidRPr="00735726">
        <w:rPr>
          <w:rFonts w:ascii="Arial" w:hAnsi="Arial" w:cs="Arial"/>
          <w:b/>
          <w:bCs/>
          <w:sz w:val="18"/>
          <w:szCs w:val="18"/>
        </w:rPr>
        <w:t xml:space="preserve"> </w:t>
      </w:r>
    </w:p>
    <w:p w14:paraId="793A93D5" w14:textId="04141364" w:rsidR="00B13615" w:rsidRPr="00735726" w:rsidRDefault="00B13615" w:rsidP="00B13615">
      <w:pPr>
        <w:spacing w:after="160"/>
        <w:rPr>
          <w:rFonts w:ascii="Arial" w:hAnsi="Arial" w:cs="Arial"/>
          <w:sz w:val="18"/>
          <w:szCs w:val="18"/>
        </w:rPr>
      </w:pPr>
      <w:r w:rsidRPr="00735726">
        <w:rPr>
          <w:rFonts w:ascii="Arial" w:hAnsi="Arial" w:cs="Arial"/>
          <w:sz w:val="18"/>
          <w:szCs w:val="18"/>
        </w:rPr>
        <w:t>Risk ratings are based on assessing likelihood and consequence on a 4 x 4 risk matrix. Materiality is determined based on the impact of risks across a range of criteria: financial, safety, environmental, stakeholders and customers, reputation, management effort, quality.</w:t>
      </w:r>
    </w:p>
    <w:p w14:paraId="77278EFF" w14:textId="36703C9A" w:rsidR="00B13615" w:rsidRPr="00735726" w:rsidRDefault="00B13615" w:rsidP="00B13615">
      <w:pPr>
        <w:spacing w:after="160"/>
        <w:rPr>
          <w:rFonts w:ascii="Arial" w:hAnsi="Arial" w:cs="Arial"/>
          <w:sz w:val="18"/>
          <w:szCs w:val="18"/>
        </w:rPr>
      </w:pPr>
      <w:r w:rsidRPr="00735726">
        <w:rPr>
          <w:rFonts w:ascii="Arial" w:hAnsi="Arial" w:cs="Arial"/>
          <w:sz w:val="18"/>
          <w:szCs w:val="18"/>
        </w:rPr>
        <w:t xml:space="preserve">For the climate-related risks that have been identified, a desired ‘target’ net risk level is documented within the Company’s risk framework. This target risk level or tolerance level reflects the acceptable level of risk by the Company </w:t>
      </w:r>
      <w:proofErr w:type="gramStart"/>
      <w:r w:rsidRPr="00735726">
        <w:rPr>
          <w:rFonts w:ascii="Arial" w:hAnsi="Arial" w:cs="Arial"/>
          <w:sz w:val="18"/>
          <w:szCs w:val="18"/>
        </w:rPr>
        <w:t>and also</w:t>
      </w:r>
      <w:proofErr w:type="gramEnd"/>
      <w:r w:rsidRPr="00735726">
        <w:rPr>
          <w:rFonts w:ascii="Arial" w:hAnsi="Arial" w:cs="Arial"/>
          <w:sz w:val="18"/>
          <w:szCs w:val="18"/>
        </w:rPr>
        <w:t xml:space="preserve"> stands as a target and equitable measure for alleviatory measures to approach the risk going forward. We seek to minimise risks on operational activities within the regulatory environment. Climate-related risks are approached with a minimal level of appetite, and this is subject to Board approval where all appetite levels are established. Environmental compliance requirements are high, so our risk appetite for environmental impacts is low. Where there is no risk to regulatory compliance, we are willing to take more risks to innovate (</w:t>
      </w:r>
      <w:proofErr w:type="spellStart"/>
      <w:r w:rsidRPr="00735726">
        <w:rPr>
          <w:rFonts w:ascii="Arial" w:hAnsi="Arial" w:cs="Arial"/>
          <w:sz w:val="18"/>
          <w:szCs w:val="18"/>
        </w:rPr>
        <w:t>eg</w:t>
      </w:r>
      <w:proofErr w:type="spellEnd"/>
      <w:r w:rsidRPr="00735726">
        <w:rPr>
          <w:rFonts w:ascii="Arial" w:hAnsi="Arial" w:cs="Arial"/>
          <w:sz w:val="18"/>
          <w:szCs w:val="18"/>
        </w:rPr>
        <w:t xml:space="preserve"> Nature Based Solutions).</w:t>
      </w:r>
    </w:p>
    <w:p w14:paraId="3D6B2982" w14:textId="0517ED0B" w:rsidR="00B13615" w:rsidRPr="00735726" w:rsidRDefault="00B13615" w:rsidP="00B13615">
      <w:pPr>
        <w:spacing w:after="160" w:line="259" w:lineRule="auto"/>
        <w:rPr>
          <w:rFonts w:ascii="Arial" w:hAnsi="Arial" w:cs="Arial"/>
          <w:sz w:val="18"/>
          <w:szCs w:val="18"/>
        </w:rPr>
      </w:pPr>
      <w:r w:rsidRPr="00735726">
        <w:rPr>
          <w:rFonts w:ascii="Arial" w:hAnsi="Arial" w:cs="Arial"/>
          <w:sz w:val="18"/>
          <w:szCs w:val="18"/>
        </w:rPr>
        <w:t>The appropriate action then follows from the level of difference between the net risk and the desired risk appetite. Actions to manage risks cover four response types:</w:t>
      </w:r>
    </w:p>
    <w:p w14:paraId="643074A7" w14:textId="54C722B3" w:rsidR="00B13615" w:rsidRPr="00735726" w:rsidRDefault="00B13615" w:rsidP="00646F4F">
      <w:pPr>
        <w:pStyle w:val="ListParagraph"/>
        <w:numPr>
          <w:ilvl w:val="0"/>
          <w:numId w:val="96"/>
        </w:numPr>
        <w:spacing w:after="160" w:line="259" w:lineRule="auto"/>
        <w:rPr>
          <w:rFonts w:ascii="Arial" w:hAnsi="Arial" w:cs="Arial"/>
          <w:sz w:val="18"/>
          <w:szCs w:val="18"/>
        </w:rPr>
      </w:pPr>
      <w:r w:rsidRPr="00735726">
        <w:rPr>
          <w:rFonts w:ascii="Arial" w:hAnsi="Arial" w:cs="Arial"/>
          <w:b/>
          <w:bCs/>
          <w:sz w:val="18"/>
          <w:szCs w:val="18"/>
        </w:rPr>
        <w:t>Tolerate</w:t>
      </w:r>
      <w:r w:rsidRPr="00735726">
        <w:rPr>
          <w:rFonts w:ascii="Arial" w:hAnsi="Arial" w:cs="Arial"/>
          <w:sz w:val="18"/>
          <w:szCs w:val="18"/>
        </w:rPr>
        <w:t xml:space="preserve">: Where decisions are taken to tolerate a risk, subject to ongoing monitoring. An example is climate-related risks where uncertainty is high and </w:t>
      </w:r>
      <w:proofErr w:type="gramStart"/>
      <w:r w:rsidRPr="00735726">
        <w:rPr>
          <w:rFonts w:ascii="Arial" w:hAnsi="Arial" w:cs="Arial"/>
          <w:sz w:val="18"/>
          <w:szCs w:val="18"/>
        </w:rPr>
        <w:t>therefore</w:t>
      </w:r>
      <w:proofErr w:type="gramEnd"/>
      <w:r w:rsidRPr="00735726">
        <w:rPr>
          <w:rFonts w:ascii="Arial" w:hAnsi="Arial" w:cs="Arial"/>
          <w:sz w:val="18"/>
          <w:szCs w:val="18"/>
        </w:rPr>
        <w:t xml:space="preserve"> we might decide to monitor risks until such time as it may be necessary to take further action.</w:t>
      </w:r>
    </w:p>
    <w:p w14:paraId="65A6C103" w14:textId="5D204E37" w:rsidR="00B13615" w:rsidRPr="00735726" w:rsidRDefault="00B13615" w:rsidP="00646F4F">
      <w:pPr>
        <w:pStyle w:val="ListParagraph"/>
        <w:numPr>
          <w:ilvl w:val="0"/>
          <w:numId w:val="96"/>
        </w:numPr>
        <w:spacing w:after="160" w:line="259" w:lineRule="auto"/>
        <w:rPr>
          <w:rFonts w:ascii="Arial" w:hAnsi="Arial" w:cs="Arial"/>
          <w:sz w:val="18"/>
          <w:szCs w:val="18"/>
        </w:rPr>
      </w:pPr>
      <w:r w:rsidRPr="00735726">
        <w:rPr>
          <w:rFonts w:ascii="Arial" w:hAnsi="Arial" w:cs="Arial"/>
          <w:b/>
          <w:bCs/>
          <w:sz w:val="18"/>
          <w:szCs w:val="18"/>
        </w:rPr>
        <w:lastRenderedPageBreak/>
        <w:t>Treat</w:t>
      </w:r>
      <w:r w:rsidRPr="00735726">
        <w:rPr>
          <w:rFonts w:ascii="Arial" w:hAnsi="Arial" w:cs="Arial"/>
          <w:sz w:val="18"/>
          <w:szCs w:val="18"/>
        </w:rPr>
        <w:t>: Where actions are taken to manage and reduce risks, such as implementing operational measures in our drought plan or capital investments to enhance our resilience to droughts.</w:t>
      </w:r>
    </w:p>
    <w:p w14:paraId="2B75B06E" w14:textId="0C285B23" w:rsidR="00B13615" w:rsidRPr="00735726" w:rsidRDefault="00B13615" w:rsidP="00646F4F">
      <w:pPr>
        <w:pStyle w:val="ListParagraph"/>
        <w:numPr>
          <w:ilvl w:val="0"/>
          <w:numId w:val="96"/>
        </w:numPr>
        <w:spacing w:after="160" w:line="259" w:lineRule="auto"/>
        <w:rPr>
          <w:rFonts w:ascii="Arial" w:hAnsi="Arial" w:cs="Arial"/>
          <w:sz w:val="18"/>
          <w:szCs w:val="18"/>
        </w:rPr>
      </w:pPr>
      <w:r w:rsidRPr="00735726">
        <w:rPr>
          <w:rFonts w:ascii="Arial" w:hAnsi="Arial" w:cs="Arial"/>
          <w:b/>
          <w:bCs/>
          <w:sz w:val="18"/>
          <w:szCs w:val="18"/>
        </w:rPr>
        <w:t>Transfer</w:t>
      </w:r>
      <w:r w:rsidRPr="00735726">
        <w:rPr>
          <w:rFonts w:ascii="Arial" w:hAnsi="Arial" w:cs="Arial"/>
          <w:sz w:val="18"/>
          <w:szCs w:val="18"/>
        </w:rPr>
        <w:t xml:space="preserve">: Used where possible to transfer risks to other organisations </w:t>
      </w:r>
      <w:r w:rsidR="006C1BA9" w:rsidRPr="00735726">
        <w:rPr>
          <w:rFonts w:ascii="Arial" w:hAnsi="Arial" w:cs="Arial"/>
          <w:sz w:val="18"/>
          <w:szCs w:val="18"/>
        </w:rPr>
        <w:t xml:space="preserve">- </w:t>
      </w:r>
      <w:r w:rsidRPr="00735726">
        <w:rPr>
          <w:rFonts w:ascii="Arial" w:hAnsi="Arial" w:cs="Arial"/>
          <w:sz w:val="18"/>
          <w:szCs w:val="18"/>
        </w:rPr>
        <w:t>such as through insurance or through contracting out responsibilities. We recognise it is not possible to fully transfer risks, rather this approach helps to reduce our exposure. For example, reducing our exposure to the impacts of flooding through flood insurance.</w:t>
      </w:r>
    </w:p>
    <w:p w14:paraId="29184394" w14:textId="033D0AEF" w:rsidR="00B13615" w:rsidRPr="00735726" w:rsidRDefault="00B13615" w:rsidP="00646F4F">
      <w:pPr>
        <w:pStyle w:val="ListParagraph"/>
        <w:numPr>
          <w:ilvl w:val="0"/>
          <w:numId w:val="96"/>
        </w:numPr>
        <w:spacing w:after="160" w:line="259" w:lineRule="auto"/>
        <w:rPr>
          <w:rFonts w:ascii="Arial" w:hAnsi="Arial" w:cs="Arial"/>
          <w:sz w:val="18"/>
          <w:szCs w:val="18"/>
        </w:rPr>
      </w:pPr>
      <w:r w:rsidRPr="00735726">
        <w:rPr>
          <w:rFonts w:ascii="Arial" w:hAnsi="Arial" w:cs="Arial"/>
          <w:b/>
          <w:bCs/>
          <w:sz w:val="18"/>
          <w:szCs w:val="18"/>
        </w:rPr>
        <w:t>Terminate</w:t>
      </w:r>
      <w:r w:rsidRPr="00735726">
        <w:rPr>
          <w:rFonts w:ascii="Arial" w:hAnsi="Arial" w:cs="Arial"/>
          <w:sz w:val="18"/>
          <w:szCs w:val="18"/>
        </w:rPr>
        <w:t xml:space="preserve">: Where decisions are taken to stop activities so that we are not exposed to </w:t>
      </w:r>
      <w:proofErr w:type="gramStart"/>
      <w:r w:rsidRPr="00735726">
        <w:rPr>
          <w:rFonts w:ascii="Arial" w:hAnsi="Arial" w:cs="Arial"/>
          <w:sz w:val="18"/>
          <w:szCs w:val="18"/>
        </w:rPr>
        <w:t>particular risks</w:t>
      </w:r>
      <w:proofErr w:type="gramEnd"/>
      <w:r w:rsidRPr="00735726">
        <w:rPr>
          <w:rFonts w:ascii="Arial" w:hAnsi="Arial" w:cs="Arial"/>
          <w:sz w:val="18"/>
          <w:szCs w:val="18"/>
        </w:rPr>
        <w:t xml:space="preserve">. For example, we may decide not to undertake a capital project if risks cannot be effectively mitigated </w:t>
      </w:r>
      <w:r w:rsidR="006C1BA9" w:rsidRPr="00735726">
        <w:rPr>
          <w:rFonts w:ascii="Arial" w:hAnsi="Arial" w:cs="Arial"/>
          <w:sz w:val="18"/>
          <w:szCs w:val="18"/>
        </w:rPr>
        <w:t xml:space="preserve">- </w:t>
      </w:r>
      <w:r w:rsidRPr="00735726">
        <w:rPr>
          <w:rFonts w:ascii="Arial" w:hAnsi="Arial" w:cs="Arial"/>
          <w:sz w:val="18"/>
          <w:szCs w:val="18"/>
        </w:rPr>
        <w:t>for example, due to high costs for energy, materials, and specialist resources related to Net Zero or climate adaptation.</w:t>
      </w:r>
    </w:p>
    <w:p w14:paraId="01DCFCC0" w14:textId="77777777" w:rsidR="008B2819" w:rsidRPr="00735726" w:rsidRDefault="00B13615" w:rsidP="00B13615">
      <w:pPr>
        <w:spacing w:after="160" w:line="259" w:lineRule="auto"/>
        <w:rPr>
          <w:rFonts w:ascii="Arial" w:hAnsi="Arial" w:cs="Arial"/>
          <w:sz w:val="18"/>
          <w:szCs w:val="18"/>
        </w:rPr>
      </w:pPr>
      <w:r w:rsidRPr="00735726">
        <w:rPr>
          <w:rFonts w:ascii="Arial" w:hAnsi="Arial" w:cs="Arial"/>
          <w:sz w:val="18"/>
          <w:szCs w:val="18"/>
        </w:rPr>
        <w:t xml:space="preserve">Actions to mitigate risks are allocated to action owners and progress is monitored through the risk review process. </w:t>
      </w:r>
    </w:p>
    <w:p w14:paraId="51DEAFFB" w14:textId="386AD14D" w:rsidR="008B2819" w:rsidRPr="00735726" w:rsidRDefault="008B2819" w:rsidP="003C3FCC">
      <w:pPr>
        <w:spacing w:after="160" w:line="259" w:lineRule="auto"/>
        <w:rPr>
          <w:rFonts w:ascii="Arial" w:hAnsi="Arial" w:cs="Arial"/>
          <w:b/>
          <w:bCs/>
          <w:sz w:val="18"/>
          <w:szCs w:val="18"/>
        </w:rPr>
      </w:pPr>
      <w:r w:rsidRPr="00735726">
        <w:rPr>
          <w:rFonts w:ascii="Arial" w:hAnsi="Arial" w:cs="Arial"/>
          <w:b/>
          <w:bCs/>
          <w:sz w:val="18"/>
          <w:szCs w:val="18"/>
        </w:rPr>
        <w:t xml:space="preserve">CLIMATE AND NATURE-RELATED METRICS AND TARGETS </w:t>
      </w:r>
      <w:r w:rsidRPr="00735726">
        <w:rPr>
          <w:rFonts w:ascii="Arial" w:hAnsi="Arial" w:cs="Arial"/>
          <w:b/>
          <w:bCs/>
          <w:sz w:val="18"/>
          <w:szCs w:val="18"/>
        </w:rPr>
        <w:br/>
      </w:r>
      <w:r w:rsidR="002902B7" w:rsidRPr="00735726">
        <w:rPr>
          <w:rFonts w:ascii="Arial" w:hAnsi="Arial" w:cs="Arial"/>
          <w:b/>
          <w:bCs/>
          <w:sz w:val="18"/>
          <w:szCs w:val="18"/>
        </w:rPr>
        <w:br/>
      </w:r>
      <w:r w:rsidRPr="00735726">
        <w:rPr>
          <w:rFonts w:ascii="Arial" w:hAnsi="Arial" w:cs="Arial"/>
          <w:b/>
          <w:bCs/>
          <w:sz w:val="18"/>
          <w:szCs w:val="18"/>
        </w:rPr>
        <w:t xml:space="preserve">TCFD/TNFD Recommendation: </w:t>
      </w:r>
      <w:r w:rsidR="003C3FCC" w:rsidRPr="00735726">
        <w:rPr>
          <w:rFonts w:ascii="Arial" w:hAnsi="Arial" w:cs="Arial"/>
          <w:b/>
          <w:bCs/>
          <w:sz w:val="18"/>
          <w:szCs w:val="18"/>
        </w:rPr>
        <w:t>Disclose the metrics and targets used to assess and manage relevant climate-related and nature-related risks and opportunities where such information is material.</w:t>
      </w:r>
    </w:p>
    <w:p w14:paraId="5BD7E6ED" w14:textId="77777777" w:rsidR="00EC1368" w:rsidRPr="00735726" w:rsidRDefault="003C3FCC" w:rsidP="003C3FCC">
      <w:pPr>
        <w:spacing w:after="160" w:line="259" w:lineRule="auto"/>
        <w:rPr>
          <w:rFonts w:ascii="Arial" w:hAnsi="Arial" w:cs="Arial"/>
          <w:sz w:val="18"/>
          <w:szCs w:val="18"/>
        </w:rPr>
      </w:pPr>
      <w:r w:rsidRPr="00735726">
        <w:rPr>
          <w:rFonts w:ascii="Arial" w:hAnsi="Arial" w:cs="Arial"/>
          <w:sz w:val="18"/>
          <w:szCs w:val="18"/>
        </w:rPr>
        <w:t xml:space="preserve">We use a range of metrics to quantify key climate and nature risks, and to monitor progress towards managing risks and achieving our targeted objectives. </w:t>
      </w:r>
    </w:p>
    <w:p w14:paraId="4A8D16A8" w14:textId="6012254A" w:rsidR="003C3FCC" w:rsidRPr="00735726" w:rsidRDefault="003C3FCC" w:rsidP="003C3FCC">
      <w:pPr>
        <w:spacing w:after="160" w:line="259" w:lineRule="auto"/>
        <w:rPr>
          <w:rFonts w:ascii="Arial" w:hAnsi="Arial" w:cs="Arial"/>
          <w:sz w:val="18"/>
          <w:szCs w:val="18"/>
        </w:rPr>
      </w:pPr>
      <w:r w:rsidRPr="00735726">
        <w:rPr>
          <w:rFonts w:ascii="Arial" w:eastAsia="Times New Roman" w:hAnsi="Arial" w:cs="DINOT-Light"/>
          <w:color w:val="000000"/>
          <w:sz w:val="18"/>
          <w:szCs w:val="18"/>
        </w:rPr>
        <w:t>We continue to disclose comprehensive data relating to our GHG emissions and energy consumption which can be found in the Pennon Group</w:t>
      </w:r>
      <w:r w:rsidR="0078265F" w:rsidRPr="00735726">
        <w:rPr>
          <w:rFonts w:ascii="Arial" w:eastAsia="Times New Roman" w:hAnsi="Arial" w:cs="DINOT-Light"/>
          <w:color w:val="000000"/>
          <w:sz w:val="18"/>
          <w:szCs w:val="18"/>
        </w:rPr>
        <w:t xml:space="preserve"> plc</w:t>
      </w:r>
      <w:r w:rsidRPr="00735726">
        <w:rPr>
          <w:rFonts w:ascii="Arial" w:eastAsia="Times New Roman" w:hAnsi="Arial" w:cs="DINOT-Light"/>
          <w:color w:val="000000"/>
          <w:sz w:val="18"/>
          <w:szCs w:val="18"/>
        </w:rPr>
        <w:t xml:space="preserve"> annual report (SECR report on page</w:t>
      </w:r>
      <w:r w:rsidRPr="009A2CAE">
        <w:rPr>
          <w:rFonts w:ascii="Arial" w:eastAsia="Times New Roman" w:hAnsi="Arial" w:cs="DINOT-Light"/>
          <w:color w:val="000000"/>
          <w:sz w:val="18"/>
          <w:szCs w:val="18"/>
        </w:rPr>
        <w:t xml:space="preserve"> </w:t>
      </w:r>
      <w:r w:rsidR="00A9056A" w:rsidRPr="009A2CAE">
        <w:rPr>
          <w:rFonts w:ascii="Arial" w:eastAsia="Times New Roman" w:hAnsi="Arial" w:cs="DINOT-Light"/>
          <w:color w:val="000000"/>
          <w:sz w:val="18"/>
          <w:szCs w:val="18"/>
        </w:rPr>
        <w:t>81</w:t>
      </w:r>
      <w:r w:rsidRPr="009A2CAE">
        <w:rPr>
          <w:rFonts w:ascii="Arial" w:eastAsia="Times New Roman" w:hAnsi="Arial" w:cs="DINOT-Light"/>
          <w:color w:val="000000"/>
          <w:sz w:val="18"/>
          <w:szCs w:val="18"/>
        </w:rPr>
        <w:t xml:space="preserve">). </w:t>
      </w:r>
      <w:r w:rsidRPr="00735726">
        <w:rPr>
          <w:rFonts w:ascii="Arial" w:hAnsi="Arial" w:cs="Arial"/>
          <w:sz w:val="18"/>
          <w:szCs w:val="18"/>
        </w:rPr>
        <w:t>We report on all Scope 3 categories which are relevant and material to our business (ESG Databook). Our TNFD-aligned metrics and SASB disclosures are reported in the ESG Databook. We report on progress against our ODIs, performance commitments and WINEP delivery in our Annual Performance Report. All material data for TCFD compliance is in this TCFD report.</w:t>
      </w:r>
    </w:p>
    <w:p w14:paraId="31DE7F69" w14:textId="77777777" w:rsidR="003C3FCC" w:rsidRPr="00735726" w:rsidRDefault="003C3FCC" w:rsidP="003C3FCC">
      <w:pPr>
        <w:spacing w:after="160" w:line="259" w:lineRule="auto"/>
        <w:rPr>
          <w:rFonts w:ascii="Arial" w:hAnsi="Arial" w:cs="Arial"/>
          <w:sz w:val="18"/>
          <w:szCs w:val="18"/>
        </w:rPr>
      </w:pPr>
      <w:r w:rsidRPr="00735726">
        <w:rPr>
          <w:rFonts w:ascii="Arial" w:hAnsi="Arial" w:cs="Arial"/>
          <w:sz w:val="18"/>
          <w:szCs w:val="18"/>
        </w:rPr>
        <w:t>Across GHG metrics, performance continues to improve year-on-year, with reductions in scopes 1 and 2 and work ongoing to progress scope 3 reduction, which remains a key challenge for our Net Zero transition. Climate-related physical risk metrics are also trending positively, with improvements in storm overflow and pollution indicators reflecting the impact of targeted interventions, while further work is needed to meet long-term resilience goals.</w:t>
      </w:r>
    </w:p>
    <w:p w14:paraId="1F78C8D3" w14:textId="77777777" w:rsidR="002F7B93" w:rsidRPr="00735726" w:rsidRDefault="003C3FCC" w:rsidP="003C3FCC">
      <w:pPr>
        <w:spacing w:after="160" w:line="259" w:lineRule="auto"/>
        <w:rPr>
          <w:rFonts w:ascii="Arial" w:hAnsi="Arial" w:cs="Arial"/>
          <w:sz w:val="18"/>
          <w:szCs w:val="18"/>
        </w:rPr>
      </w:pPr>
      <w:r w:rsidRPr="00735726">
        <w:rPr>
          <w:rFonts w:ascii="Arial" w:hAnsi="Arial" w:cs="Arial"/>
          <w:sz w:val="18"/>
          <w:szCs w:val="18"/>
        </w:rPr>
        <w:t>For capital deployment, remuneration and internal carbon value, progress is being made in embedding climate considerations into business decision-making, including directing investment towards Net Zero and environmental outcomes, linking incentives to ESG performance, and applying an internal carbon price aligned with Ofwat performance commitments.</w:t>
      </w:r>
    </w:p>
    <w:tbl>
      <w:tblPr>
        <w:tblStyle w:val="TableGrid"/>
        <w:tblW w:w="0" w:type="auto"/>
        <w:tblLook w:val="04A0" w:firstRow="1" w:lastRow="0" w:firstColumn="1" w:lastColumn="0" w:noHBand="0" w:noVBand="1"/>
      </w:tblPr>
      <w:tblGrid>
        <w:gridCol w:w="2254"/>
        <w:gridCol w:w="2254"/>
        <w:gridCol w:w="2254"/>
        <w:gridCol w:w="2254"/>
      </w:tblGrid>
      <w:tr w:rsidR="00CA7F11" w:rsidRPr="00735726" w14:paraId="7622A5B4" w14:textId="77777777" w:rsidTr="00CA7F11">
        <w:tc>
          <w:tcPr>
            <w:tcW w:w="2254" w:type="dxa"/>
            <w:shd w:val="clear" w:color="auto" w:fill="002060"/>
          </w:tcPr>
          <w:p w14:paraId="0D78C36D" w14:textId="77777777" w:rsidR="00CA7F11" w:rsidRPr="00735726" w:rsidRDefault="00CA7F11" w:rsidP="003C3FCC">
            <w:pPr>
              <w:spacing w:after="160" w:line="259" w:lineRule="auto"/>
              <w:rPr>
                <w:rFonts w:ascii="Arial" w:hAnsi="Arial" w:cs="Arial"/>
                <w:b/>
                <w:bCs/>
                <w:sz w:val="18"/>
                <w:szCs w:val="18"/>
              </w:rPr>
            </w:pPr>
          </w:p>
        </w:tc>
        <w:tc>
          <w:tcPr>
            <w:tcW w:w="2254" w:type="dxa"/>
            <w:shd w:val="clear" w:color="auto" w:fill="002060"/>
          </w:tcPr>
          <w:p w14:paraId="6CEDD4E8" w14:textId="77777777" w:rsidR="00CA7F11" w:rsidRPr="00735726" w:rsidRDefault="00CA7F11" w:rsidP="003C3FCC">
            <w:pPr>
              <w:spacing w:after="160" w:line="259" w:lineRule="auto"/>
              <w:rPr>
                <w:rFonts w:ascii="Arial" w:hAnsi="Arial" w:cs="Arial"/>
                <w:b/>
                <w:bCs/>
                <w:sz w:val="18"/>
                <w:szCs w:val="18"/>
              </w:rPr>
            </w:pPr>
          </w:p>
        </w:tc>
        <w:tc>
          <w:tcPr>
            <w:tcW w:w="2254" w:type="dxa"/>
            <w:shd w:val="clear" w:color="auto" w:fill="002060"/>
          </w:tcPr>
          <w:p w14:paraId="7B0DBDD7" w14:textId="52B8BADB" w:rsidR="00CA7F11" w:rsidRPr="00735726" w:rsidRDefault="00CA7F11" w:rsidP="00CA7F11">
            <w:pPr>
              <w:spacing w:after="160" w:line="259" w:lineRule="auto"/>
              <w:jc w:val="center"/>
              <w:rPr>
                <w:rFonts w:ascii="Arial" w:hAnsi="Arial" w:cs="Arial"/>
                <w:b/>
                <w:bCs/>
                <w:sz w:val="18"/>
                <w:szCs w:val="18"/>
              </w:rPr>
            </w:pPr>
            <w:r w:rsidRPr="00735726">
              <w:rPr>
                <w:rFonts w:ascii="Arial" w:hAnsi="Arial" w:cs="Arial"/>
                <w:b/>
                <w:bCs/>
                <w:sz w:val="18"/>
                <w:szCs w:val="18"/>
              </w:rPr>
              <w:t>2025/26</w:t>
            </w:r>
          </w:p>
        </w:tc>
        <w:tc>
          <w:tcPr>
            <w:tcW w:w="2254" w:type="dxa"/>
            <w:shd w:val="clear" w:color="auto" w:fill="002060"/>
          </w:tcPr>
          <w:p w14:paraId="5938E128" w14:textId="47F0C8D6" w:rsidR="00CA7F11" w:rsidRPr="00735726" w:rsidRDefault="00CA7F11" w:rsidP="00CA7F11">
            <w:pPr>
              <w:spacing w:after="160" w:line="259" w:lineRule="auto"/>
              <w:jc w:val="center"/>
              <w:rPr>
                <w:rFonts w:ascii="Arial" w:hAnsi="Arial" w:cs="Arial"/>
                <w:b/>
                <w:bCs/>
                <w:sz w:val="18"/>
                <w:szCs w:val="18"/>
              </w:rPr>
            </w:pPr>
            <w:r w:rsidRPr="00735726">
              <w:rPr>
                <w:rFonts w:ascii="Arial" w:hAnsi="Arial" w:cs="Arial"/>
                <w:b/>
                <w:bCs/>
                <w:sz w:val="18"/>
                <w:szCs w:val="18"/>
              </w:rPr>
              <w:t>2024/25</w:t>
            </w:r>
          </w:p>
        </w:tc>
      </w:tr>
      <w:tr w:rsidR="00CA7F11" w:rsidRPr="00735726" w14:paraId="6D6A2D7A" w14:textId="77777777" w:rsidTr="00CA7F11">
        <w:tc>
          <w:tcPr>
            <w:tcW w:w="2254" w:type="dxa"/>
            <w:vMerge w:val="restart"/>
          </w:tcPr>
          <w:p w14:paraId="256D1E54" w14:textId="62B2FE58" w:rsidR="00CA7F11" w:rsidRPr="00735726" w:rsidRDefault="00CA7F11" w:rsidP="00CA7F11">
            <w:pPr>
              <w:spacing w:after="160" w:line="259" w:lineRule="auto"/>
              <w:rPr>
                <w:rFonts w:ascii="Arial" w:hAnsi="Arial" w:cs="Arial"/>
                <w:sz w:val="18"/>
                <w:szCs w:val="18"/>
              </w:rPr>
            </w:pPr>
            <w:r w:rsidRPr="00735726">
              <w:rPr>
                <w:rFonts w:ascii="Arial" w:hAnsi="Arial" w:cs="Arial"/>
                <w:sz w:val="18"/>
                <w:szCs w:val="18"/>
              </w:rPr>
              <w:t>Climate-related physical risks metrics</w:t>
            </w:r>
          </w:p>
        </w:tc>
        <w:tc>
          <w:tcPr>
            <w:tcW w:w="2254" w:type="dxa"/>
          </w:tcPr>
          <w:p w14:paraId="66314E43" w14:textId="386101E4" w:rsidR="00CA7F11" w:rsidRPr="00735726" w:rsidRDefault="00CA7F11" w:rsidP="00CA7F11">
            <w:pPr>
              <w:spacing w:after="160" w:line="259" w:lineRule="auto"/>
              <w:rPr>
                <w:rFonts w:ascii="Arial" w:hAnsi="Arial" w:cs="Arial"/>
                <w:sz w:val="18"/>
                <w:szCs w:val="18"/>
              </w:rPr>
            </w:pPr>
            <w:r w:rsidRPr="00735726">
              <w:rPr>
                <w:rFonts w:ascii="Arial" w:hAnsi="Arial" w:cs="Arial"/>
                <w:sz w:val="18"/>
                <w:szCs w:val="18"/>
              </w:rPr>
              <w:t>Number of major sites/assets at high-risk of coastal flooding and erosion.</w:t>
            </w:r>
          </w:p>
        </w:tc>
        <w:tc>
          <w:tcPr>
            <w:tcW w:w="2254" w:type="dxa"/>
          </w:tcPr>
          <w:p w14:paraId="0C9440B3" w14:textId="36CE97AC" w:rsidR="00CA7F11" w:rsidRPr="00735726" w:rsidRDefault="00D2747F" w:rsidP="00CA7F11">
            <w:pPr>
              <w:spacing w:after="160" w:line="259" w:lineRule="auto"/>
              <w:rPr>
                <w:rFonts w:ascii="Arial" w:hAnsi="Arial" w:cs="Arial"/>
                <w:sz w:val="18"/>
                <w:szCs w:val="18"/>
              </w:rPr>
            </w:pPr>
            <w:r w:rsidRPr="00735726">
              <w:rPr>
                <w:rFonts w:ascii="Arial" w:hAnsi="Arial" w:cs="Arial"/>
                <w:sz w:val="18"/>
                <w:szCs w:val="18"/>
              </w:rPr>
              <w:t>36</w:t>
            </w:r>
          </w:p>
        </w:tc>
        <w:tc>
          <w:tcPr>
            <w:tcW w:w="2254" w:type="dxa"/>
          </w:tcPr>
          <w:p w14:paraId="2E82DD22" w14:textId="2E9D6DC3" w:rsidR="00CA7F11" w:rsidRPr="00735726" w:rsidRDefault="00D2747F" w:rsidP="00CA7F11">
            <w:pPr>
              <w:spacing w:after="160" w:line="259" w:lineRule="auto"/>
              <w:rPr>
                <w:rFonts w:ascii="Arial" w:hAnsi="Arial" w:cs="Arial"/>
                <w:sz w:val="18"/>
                <w:szCs w:val="18"/>
              </w:rPr>
            </w:pPr>
            <w:r w:rsidRPr="00735726">
              <w:rPr>
                <w:rFonts w:ascii="Arial" w:hAnsi="Arial" w:cs="Arial"/>
                <w:sz w:val="18"/>
                <w:szCs w:val="18"/>
              </w:rPr>
              <w:t>36</w:t>
            </w:r>
          </w:p>
        </w:tc>
      </w:tr>
      <w:tr w:rsidR="00CA7F11" w:rsidRPr="00735726" w14:paraId="1AB2F970" w14:textId="77777777" w:rsidTr="00CA7F11">
        <w:tc>
          <w:tcPr>
            <w:tcW w:w="2254" w:type="dxa"/>
            <w:vMerge/>
          </w:tcPr>
          <w:p w14:paraId="1D5F9024" w14:textId="77777777" w:rsidR="00CA7F11" w:rsidRPr="00735726" w:rsidRDefault="00CA7F11" w:rsidP="00CA7F11">
            <w:pPr>
              <w:spacing w:after="160" w:line="259" w:lineRule="auto"/>
              <w:rPr>
                <w:rFonts w:ascii="Arial" w:hAnsi="Arial" w:cs="Arial"/>
                <w:sz w:val="18"/>
                <w:szCs w:val="18"/>
              </w:rPr>
            </w:pPr>
          </w:p>
        </w:tc>
        <w:tc>
          <w:tcPr>
            <w:tcW w:w="2254" w:type="dxa"/>
          </w:tcPr>
          <w:p w14:paraId="7629816D" w14:textId="18D5165A" w:rsidR="00CA7F11" w:rsidRPr="00735726" w:rsidRDefault="00CA7F11" w:rsidP="00CA7F11">
            <w:pPr>
              <w:spacing w:after="160" w:line="259" w:lineRule="auto"/>
              <w:rPr>
                <w:rFonts w:ascii="Arial" w:hAnsi="Arial" w:cs="Arial"/>
                <w:sz w:val="18"/>
                <w:szCs w:val="18"/>
              </w:rPr>
            </w:pPr>
            <w:r w:rsidRPr="00735726">
              <w:rPr>
                <w:rFonts w:ascii="Arial" w:hAnsi="Arial" w:cs="Arial"/>
                <w:sz w:val="18"/>
                <w:szCs w:val="18"/>
              </w:rPr>
              <w:t>Pollution incidents (Number of wastewater incidents, calendar year).</w:t>
            </w:r>
          </w:p>
        </w:tc>
        <w:tc>
          <w:tcPr>
            <w:tcW w:w="2254" w:type="dxa"/>
          </w:tcPr>
          <w:p w14:paraId="31573653" w14:textId="6888A83B" w:rsidR="00CA7F11" w:rsidRPr="00735726" w:rsidRDefault="00D2747F" w:rsidP="00CA7F11">
            <w:pPr>
              <w:spacing w:after="160" w:line="259" w:lineRule="auto"/>
              <w:rPr>
                <w:rFonts w:ascii="Arial" w:hAnsi="Arial" w:cs="Arial"/>
                <w:sz w:val="18"/>
                <w:szCs w:val="18"/>
              </w:rPr>
            </w:pPr>
            <w:r w:rsidRPr="00735726">
              <w:rPr>
                <w:rFonts w:ascii="Arial" w:hAnsi="Arial" w:cs="Arial"/>
                <w:sz w:val="18"/>
                <w:szCs w:val="18"/>
              </w:rPr>
              <w:t>124</w:t>
            </w:r>
          </w:p>
        </w:tc>
        <w:tc>
          <w:tcPr>
            <w:tcW w:w="2254" w:type="dxa"/>
          </w:tcPr>
          <w:p w14:paraId="79CBCE36" w14:textId="5DAAC9D5" w:rsidR="00CA7F11" w:rsidRPr="00735726" w:rsidRDefault="00D2747F" w:rsidP="00CA7F11">
            <w:pPr>
              <w:spacing w:after="160" w:line="259" w:lineRule="auto"/>
              <w:rPr>
                <w:rFonts w:ascii="Arial" w:hAnsi="Arial" w:cs="Arial"/>
                <w:sz w:val="18"/>
                <w:szCs w:val="18"/>
              </w:rPr>
            </w:pPr>
            <w:r w:rsidRPr="00735726">
              <w:rPr>
                <w:rFonts w:ascii="Arial" w:hAnsi="Arial" w:cs="Arial"/>
                <w:sz w:val="18"/>
                <w:szCs w:val="18"/>
              </w:rPr>
              <w:t>189</w:t>
            </w:r>
          </w:p>
        </w:tc>
      </w:tr>
      <w:tr w:rsidR="00CA7F11" w:rsidRPr="00735726" w14:paraId="052EF72A" w14:textId="77777777" w:rsidTr="00CA7F11">
        <w:tc>
          <w:tcPr>
            <w:tcW w:w="2254" w:type="dxa"/>
            <w:vMerge/>
          </w:tcPr>
          <w:p w14:paraId="305F4B2A" w14:textId="77777777" w:rsidR="00CA7F11" w:rsidRPr="00735726" w:rsidRDefault="00CA7F11" w:rsidP="00CA7F11">
            <w:pPr>
              <w:spacing w:after="160" w:line="259" w:lineRule="auto"/>
              <w:rPr>
                <w:rFonts w:ascii="Arial" w:hAnsi="Arial" w:cs="Arial"/>
                <w:sz w:val="18"/>
                <w:szCs w:val="18"/>
              </w:rPr>
            </w:pPr>
          </w:p>
        </w:tc>
        <w:tc>
          <w:tcPr>
            <w:tcW w:w="2254" w:type="dxa"/>
          </w:tcPr>
          <w:p w14:paraId="52D34F7E" w14:textId="2F0E6E4B" w:rsidR="00CA7F11" w:rsidRPr="00735726" w:rsidRDefault="00CA7F11" w:rsidP="004E18F5">
            <w:pPr>
              <w:spacing w:after="160" w:line="259" w:lineRule="auto"/>
              <w:rPr>
                <w:rFonts w:ascii="Arial" w:hAnsi="Arial" w:cs="Arial"/>
                <w:sz w:val="18"/>
                <w:szCs w:val="18"/>
              </w:rPr>
            </w:pPr>
            <w:r w:rsidRPr="00735726">
              <w:rPr>
                <w:rFonts w:ascii="Arial" w:hAnsi="Arial" w:cs="Arial"/>
                <w:sz w:val="18"/>
                <w:szCs w:val="18"/>
              </w:rPr>
              <w:t>Annual average number of spills from each storm overflow (number per</w:t>
            </w:r>
            <w:r w:rsidR="004E18F5" w:rsidRPr="00735726">
              <w:rPr>
                <w:rFonts w:ascii="Arial" w:hAnsi="Arial" w:cs="Arial"/>
                <w:sz w:val="18"/>
                <w:szCs w:val="18"/>
              </w:rPr>
              <w:t xml:space="preserve"> </w:t>
            </w:r>
            <w:r w:rsidRPr="00735726">
              <w:rPr>
                <w:rFonts w:ascii="Arial" w:hAnsi="Arial" w:cs="Arial"/>
                <w:sz w:val="18"/>
                <w:szCs w:val="18"/>
              </w:rPr>
              <w:t>calendar year).</w:t>
            </w:r>
          </w:p>
        </w:tc>
        <w:tc>
          <w:tcPr>
            <w:tcW w:w="2254" w:type="dxa"/>
          </w:tcPr>
          <w:p w14:paraId="0F9D6852" w14:textId="7C0DC784" w:rsidR="00CA7F11" w:rsidRPr="00735726" w:rsidRDefault="00D2747F" w:rsidP="00CA7F11">
            <w:pPr>
              <w:spacing w:after="160" w:line="259" w:lineRule="auto"/>
              <w:rPr>
                <w:rFonts w:ascii="Arial" w:hAnsi="Arial" w:cs="Arial"/>
                <w:sz w:val="18"/>
                <w:szCs w:val="18"/>
              </w:rPr>
            </w:pPr>
            <w:r w:rsidRPr="00735726">
              <w:rPr>
                <w:rFonts w:ascii="Arial" w:hAnsi="Arial" w:cs="Arial"/>
                <w:sz w:val="18"/>
                <w:szCs w:val="18"/>
              </w:rPr>
              <w:t>34.0</w:t>
            </w:r>
          </w:p>
        </w:tc>
        <w:tc>
          <w:tcPr>
            <w:tcW w:w="2254" w:type="dxa"/>
          </w:tcPr>
          <w:p w14:paraId="24B7D993" w14:textId="37AC1CAC" w:rsidR="00CA7F11" w:rsidRPr="00735726" w:rsidRDefault="00D2747F" w:rsidP="00CA7F11">
            <w:pPr>
              <w:spacing w:after="160" w:line="259" w:lineRule="auto"/>
              <w:rPr>
                <w:rFonts w:ascii="Arial" w:hAnsi="Arial" w:cs="Arial"/>
                <w:sz w:val="18"/>
                <w:szCs w:val="18"/>
              </w:rPr>
            </w:pPr>
            <w:r w:rsidRPr="00735726">
              <w:rPr>
                <w:rFonts w:ascii="Arial" w:hAnsi="Arial" w:cs="Arial"/>
                <w:sz w:val="18"/>
                <w:szCs w:val="18"/>
              </w:rPr>
              <w:t>41.3</w:t>
            </w:r>
          </w:p>
        </w:tc>
      </w:tr>
      <w:tr w:rsidR="00AB41C8" w:rsidRPr="00735726" w14:paraId="18ED91EA" w14:textId="77777777" w:rsidTr="00CA7F11">
        <w:tc>
          <w:tcPr>
            <w:tcW w:w="2254" w:type="dxa"/>
            <w:vMerge w:val="restart"/>
          </w:tcPr>
          <w:p w14:paraId="31CB6DC7" w14:textId="04A73480" w:rsidR="00AB41C8" w:rsidRPr="00735726" w:rsidRDefault="00AB41C8" w:rsidP="00D2747F">
            <w:pPr>
              <w:spacing w:after="160" w:line="259" w:lineRule="auto"/>
              <w:rPr>
                <w:rFonts w:ascii="Arial" w:hAnsi="Arial" w:cs="Arial"/>
                <w:sz w:val="18"/>
                <w:szCs w:val="18"/>
              </w:rPr>
            </w:pPr>
            <w:r w:rsidRPr="00735726">
              <w:rPr>
                <w:rFonts w:ascii="Arial" w:hAnsi="Arial" w:cs="Arial"/>
                <w:sz w:val="18"/>
                <w:szCs w:val="18"/>
              </w:rPr>
              <w:t>Climate-related transition risks metrics</w:t>
            </w:r>
          </w:p>
        </w:tc>
        <w:tc>
          <w:tcPr>
            <w:tcW w:w="2254" w:type="dxa"/>
          </w:tcPr>
          <w:p w14:paraId="643F49C7" w14:textId="04E178EB" w:rsidR="00AB41C8" w:rsidRPr="00735726" w:rsidRDefault="00AB41C8" w:rsidP="00D2747F">
            <w:pPr>
              <w:spacing w:after="160" w:line="259" w:lineRule="auto"/>
              <w:rPr>
                <w:rFonts w:ascii="Arial" w:hAnsi="Arial" w:cs="Arial"/>
                <w:sz w:val="18"/>
                <w:szCs w:val="18"/>
              </w:rPr>
            </w:pPr>
            <w:r w:rsidRPr="00735726">
              <w:rPr>
                <w:rFonts w:ascii="Arial" w:hAnsi="Arial" w:cs="Arial"/>
                <w:sz w:val="18"/>
                <w:szCs w:val="18"/>
              </w:rPr>
              <w:t>Risk of customer affordability in achieving Net Zero and adapting to climate change: our customer affordability measure.</w:t>
            </w:r>
          </w:p>
        </w:tc>
        <w:tc>
          <w:tcPr>
            <w:tcW w:w="2254" w:type="dxa"/>
          </w:tcPr>
          <w:p w14:paraId="5BE8BBFD" w14:textId="77777777" w:rsidR="00AB41C8" w:rsidRPr="00735726" w:rsidRDefault="00AB41C8" w:rsidP="00D2747F">
            <w:pPr>
              <w:spacing w:after="160" w:line="259" w:lineRule="auto"/>
              <w:rPr>
                <w:rFonts w:ascii="Arial" w:hAnsi="Arial" w:cs="Arial"/>
                <w:sz w:val="18"/>
                <w:szCs w:val="18"/>
              </w:rPr>
            </w:pPr>
            <w:r w:rsidRPr="00735726">
              <w:rPr>
                <w:rFonts w:ascii="Arial" w:hAnsi="Arial" w:cs="Arial"/>
                <w:sz w:val="18"/>
                <w:szCs w:val="18"/>
              </w:rPr>
              <w:t>99% SWB</w:t>
            </w:r>
          </w:p>
          <w:p w14:paraId="0A80B873" w14:textId="77777777" w:rsidR="00AB41C8" w:rsidRPr="00735726" w:rsidRDefault="00AB41C8" w:rsidP="00D2747F">
            <w:pPr>
              <w:spacing w:after="160" w:line="259" w:lineRule="auto"/>
              <w:rPr>
                <w:rFonts w:ascii="Arial" w:hAnsi="Arial" w:cs="Arial"/>
                <w:sz w:val="18"/>
                <w:szCs w:val="18"/>
              </w:rPr>
            </w:pPr>
            <w:r w:rsidRPr="00735726">
              <w:rPr>
                <w:rFonts w:ascii="Arial" w:hAnsi="Arial" w:cs="Arial"/>
                <w:sz w:val="18"/>
                <w:szCs w:val="18"/>
              </w:rPr>
              <w:t>100% BW</w:t>
            </w:r>
          </w:p>
          <w:p w14:paraId="6AFE3301" w14:textId="58E8829F" w:rsidR="00AB41C8" w:rsidRPr="009A2CAE" w:rsidRDefault="00AB41C8" w:rsidP="00D2747F">
            <w:pPr>
              <w:spacing w:after="160" w:line="259" w:lineRule="auto"/>
              <w:rPr>
                <w:rFonts w:ascii="Arial" w:hAnsi="Arial" w:cs="Arial"/>
                <w:sz w:val="18"/>
                <w:szCs w:val="18"/>
              </w:rPr>
            </w:pPr>
          </w:p>
        </w:tc>
        <w:tc>
          <w:tcPr>
            <w:tcW w:w="2254" w:type="dxa"/>
          </w:tcPr>
          <w:p w14:paraId="0730B799" w14:textId="77777777" w:rsidR="00AB41C8" w:rsidRPr="00735726" w:rsidRDefault="00AB41C8" w:rsidP="00D2747F">
            <w:pPr>
              <w:spacing w:after="160" w:line="259" w:lineRule="auto"/>
              <w:rPr>
                <w:rFonts w:ascii="Arial" w:hAnsi="Arial" w:cs="Arial"/>
                <w:sz w:val="18"/>
                <w:szCs w:val="18"/>
              </w:rPr>
            </w:pPr>
            <w:r w:rsidRPr="00735726">
              <w:rPr>
                <w:rFonts w:ascii="Arial" w:hAnsi="Arial" w:cs="Arial"/>
                <w:sz w:val="18"/>
                <w:szCs w:val="18"/>
              </w:rPr>
              <w:t>100% SWB</w:t>
            </w:r>
          </w:p>
          <w:p w14:paraId="73001550" w14:textId="77777777" w:rsidR="00AB41C8" w:rsidRPr="00735726" w:rsidRDefault="00AB41C8" w:rsidP="00D2747F">
            <w:pPr>
              <w:spacing w:after="160" w:line="259" w:lineRule="auto"/>
              <w:rPr>
                <w:rFonts w:ascii="Arial" w:hAnsi="Arial" w:cs="Arial"/>
                <w:sz w:val="18"/>
                <w:szCs w:val="18"/>
              </w:rPr>
            </w:pPr>
            <w:r w:rsidRPr="00735726">
              <w:rPr>
                <w:rFonts w:ascii="Arial" w:hAnsi="Arial" w:cs="Arial"/>
                <w:sz w:val="18"/>
                <w:szCs w:val="18"/>
              </w:rPr>
              <w:t>100% BW</w:t>
            </w:r>
          </w:p>
          <w:p w14:paraId="34F793CB" w14:textId="6AE7F0E4" w:rsidR="00AB41C8" w:rsidRPr="009A2CAE" w:rsidRDefault="00AB41C8" w:rsidP="00D2747F">
            <w:pPr>
              <w:spacing w:after="160" w:line="259" w:lineRule="auto"/>
              <w:rPr>
                <w:rFonts w:ascii="Arial" w:hAnsi="Arial" w:cs="Arial"/>
                <w:sz w:val="18"/>
                <w:szCs w:val="18"/>
              </w:rPr>
            </w:pPr>
          </w:p>
        </w:tc>
      </w:tr>
      <w:tr w:rsidR="00AB41C8" w14:paraId="024E0718" w14:textId="77777777" w:rsidTr="00CA7F11">
        <w:tc>
          <w:tcPr>
            <w:tcW w:w="2254" w:type="dxa"/>
            <w:vMerge/>
          </w:tcPr>
          <w:p w14:paraId="3F07478C" w14:textId="77777777" w:rsidR="00AB41C8" w:rsidRPr="00735726" w:rsidRDefault="00AB41C8" w:rsidP="00AB41C8">
            <w:pPr>
              <w:spacing w:after="160" w:line="259" w:lineRule="auto"/>
              <w:rPr>
                <w:rFonts w:ascii="Arial" w:hAnsi="Arial" w:cs="Arial"/>
                <w:sz w:val="18"/>
                <w:szCs w:val="18"/>
              </w:rPr>
            </w:pPr>
          </w:p>
        </w:tc>
        <w:tc>
          <w:tcPr>
            <w:tcW w:w="2254" w:type="dxa"/>
          </w:tcPr>
          <w:p w14:paraId="155089E6" w14:textId="1C1F0DAB" w:rsidR="00AB41C8" w:rsidRPr="00735726" w:rsidRDefault="00AB41C8" w:rsidP="00AB41C8">
            <w:pPr>
              <w:spacing w:after="160" w:line="259" w:lineRule="auto"/>
              <w:rPr>
                <w:rFonts w:ascii="Arial" w:hAnsi="Arial" w:cs="Arial"/>
                <w:sz w:val="18"/>
                <w:szCs w:val="18"/>
              </w:rPr>
            </w:pPr>
            <w:r w:rsidRPr="00735726">
              <w:rPr>
                <w:rFonts w:ascii="Arial" w:hAnsi="Arial" w:cs="Arial"/>
                <w:sz w:val="18"/>
                <w:szCs w:val="18"/>
              </w:rPr>
              <w:t xml:space="preserve">Value (£) of finance raised through our </w:t>
            </w:r>
            <w:r w:rsidRPr="00735726">
              <w:rPr>
                <w:rFonts w:ascii="Arial" w:hAnsi="Arial" w:cs="Arial"/>
                <w:sz w:val="18"/>
                <w:szCs w:val="18"/>
              </w:rPr>
              <w:lastRenderedPageBreak/>
              <w:t>sustainable financing framework</w:t>
            </w:r>
            <w:r w:rsidRPr="00735726" w:rsidDel="00047307">
              <w:rPr>
                <w:rFonts w:ascii="Arial" w:hAnsi="Arial" w:cs="Arial"/>
                <w:sz w:val="18"/>
                <w:szCs w:val="18"/>
              </w:rPr>
              <w:t xml:space="preserve"> </w:t>
            </w:r>
          </w:p>
        </w:tc>
        <w:tc>
          <w:tcPr>
            <w:tcW w:w="2254" w:type="dxa"/>
          </w:tcPr>
          <w:p w14:paraId="4DC6ED55" w14:textId="6A796137" w:rsidR="00AB41C8" w:rsidRPr="00735726" w:rsidRDefault="00810713" w:rsidP="00AB41C8">
            <w:pPr>
              <w:spacing w:after="160" w:line="259" w:lineRule="auto"/>
              <w:rPr>
                <w:rFonts w:ascii="Arial" w:hAnsi="Arial" w:cs="Arial"/>
                <w:sz w:val="18"/>
                <w:szCs w:val="18"/>
              </w:rPr>
            </w:pPr>
            <w:r w:rsidRPr="00735726">
              <w:rPr>
                <w:rFonts w:ascii="Arial" w:hAnsi="Arial" w:cs="Arial"/>
                <w:sz w:val="18"/>
                <w:szCs w:val="18"/>
              </w:rPr>
              <w:lastRenderedPageBreak/>
              <w:t>£</w:t>
            </w:r>
            <w:r w:rsidR="00113F40" w:rsidRPr="00735726">
              <w:rPr>
                <w:rFonts w:ascii="Arial" w:hAnsi="Arial" w:cs="Arial"/>
                <w:sz w:val="18"/>
                <w:szCs w:val="18"/>
              </w:rPr>
              <w:t>490</w:t>
            </w:r>
            <w:r w:rsidRPr="00735726">
              <w:rPr>
                <w:rFonts w:ascii="Arial" w:hAnsi="Arial" w:cs="Arial"/>
                <w:sz w:val="18"/>
                <w:szCs w:val="18"/>
              </w:rPr>
              <w:t>m</w:t>
            </w:r>
          </w:p>
        </w:tc>
        <w:tc>
          <w:tcPr>
            <w:tcW w:w="2254" w:type="dxa"/>
          </w:tcPr>
          <w:p w14:paraId="638BB93B" w14:textId="4D935917" w:rsidR="00AB41C8" w:rsidRPr="00810713" w:rsidRDefault="00810713" w:rsidP="00AB41C8">
            <w:pPr>
              <w:spacing w:after="160" w:line="259" w:lineRule="auto"/>
              <w:rPr>
                <w:rFonts w:ascii="Arial" w:hAnsi="Arial" w:cs="Arial"/>
                <w:sz w:val="18"/>
                <w:szCs w:val="18"/>
              </w:rPr>
            </w:pPr>
            <w:r w:rsidRPr="00735726">
              <w:rPr>
                <w:rFonts w:ascii="Arial" w:hAnsi="Arial" w:cs="Arial"/>
                <w:sz w:val="18"/>
                <w:szCs w:val="18"/>
              </w:rPr>
              <w:t>£800m</w:t>
            </w:r>
          </w:p>
        </w:tc>
      </w:tr>
      <w:tr w:rsidR="000A0A42" w14:paraId="5A448611" w14:textId="77777777" w:rsidTr="00CA7F11">
        <w:tc>
          <w:tcPr>
            <w:tcW w:w="2254" w:type="dxa"/>
          </w:tcPr>
          <w:p w14:paraId="1F3A8A0B" w14:textId="55D621E4" w:rsidR="000A0A42" w:rsidRDefault="000A0A42" w:rsidP="000A0A42">
            <w:pPr>
              <w:spacing w:after="160" w:line="259" w:lineRule="auto"/>
              <w:rPr>
                <w:rFonts w:ascii="Arial" w:hAnsi="Arial" w:cs="Arial"/>
                <w:sz w:val="18"/>
                <w:szCs w:val="18"/>
              </w:rPr>
            </w:pPr>
            <w:r w:rsidRPr="00CA7F11">
              <w:rPr>
                <w:rFonts w:ascii="Arial" w:hAnsi="Arial" w:cs="Arial"/>
                <w:sz w:val="18"/>
                <w:szCs w:val="18"/>
              </w:rPr>
              <w:t>Remuneration</w:t>
            </w:r>
          </w:p>
        </w:tc>
        <w:tc>
          <w:tcPr>
            <w:tcW w:w="2254" w:type="dxa"/>
          </w:tcPr>
          <w:p w14:paraId="23CE78ED" w14:textId="3EF6882D" w:rsidR="000A0A42" w:rsidRPr="00CA7F11" w:rsidRDefault="000A0A42" w:rsidP="000A0A42">
            <w:pPr>
              <w:spacing w:after="160" w:line="259" w:lineRule="auto"/>
              <w:rPr>
                <w:rFonts w:ascii="Arial" w:hAnsi="Arial" w:cs="Arial"/>
                <w:sz w:val="18"/>
                <w:szCs w:val="18"/>
              </w:rPr>
            </w:pPr>
            <w:r w:rsidRPr="00CA7F11">
              <w:rPr>
                <w:rFonts w:ascii="Arial" w:hAnsi="Arial" w:cs="Arial"/>
                <w:sz w:val="18"/>
                <w:szCs w:val="18"/>
              </w:rPr>
              <w:t>Proportion of our management incentive schemes linked to ESG outcomes,</w:t>
            </w:r>
            <w:r>
              <w:rPr>
                <w:rFonts w:ascii="Arial" w:hAnsi="Arial" w:cs="Arial"/>
                <w:sz w:val="18"/>
                <w:szCs w:val="18"/>
              </w:rPr>
              <w:t xml:space="preserve"> </w:t>
            </w:r>
            <w:r w:rsidRPr="00CA7F11">
              <w:rPr>
                <w:rFonts w:ascii="Arial" w:hAnsi="Arial" w:cs="Arial"/>
                <w:sz w:val="18"/>
                <w:szCs w:val="18"/>
              </w:rPr>
              <w:t>including climate change</w:t>
            </w:r>
          </w:p>
        </w:tc>
        <w:tc>
          <w:tcPr>
            <w:tcW w:w="2254" w:type="dxa"/>
          </w:tcPr>
          <w:p w14:paraId="4301E707" w14:textId="12D2FB52" w:rsidR="000A0A42" w:rsidRPr="00277639" w:rsidRDefault="000A0A42" w:rsidP="000A0A42">
            <w:pPr>
              <w:spacing w:after="160" w:line="259" w:lineRule="auto"/>
              <w:rPr>
                <w:rFonts w:ascii="Arial" w:hAnsi="Arial" w:cs="Arial"/>
                <w:sz w:val="18"/>
                <w:szCs w:val="18"/>
              </w:rPr>
            </w:pPr>
            <w:r w:rsidRPr="00277639">
              <w:rPr>
                <w:rFonts w:ascii="Arial" w:hAnsi="Arial" w:cs="Arial"/>
                <w:sz w:val="18"/>
                <w:szCs w:val="18"/>
              </w:rPr>
              <w:t>28.6%</w:t>
            </w:r>
          </w:p>
        </w:tc>
        <w:tc>
          <w:tcPr>
            <w:tcW w:w="2254" w:type="dxa"/>
          </w:tcPr>
          <w:p w14:paraId="3B08C399" w14:textId="43002B84" w:rsidR="000A0A42" w:rsidRPr="00277639" w:rsidRDefault="000A0A42" w:rsidP="000A0A42">
            <w:pPr>
              <w:spacing w:after="160" w:line="259" w:lineRule="auto"/>
              <w:rPr>
                <w:rFonts w:ascii="Arial" w:hAnsi="Arial" w:cs="Arial"/>
                <w:sz w:val="18"/>
                <w:szCs w:val="18"/>
              </w:rPr>
            </w:pPr>
            <w:r w:rsidRPr="00277639">
              <w:rPr>
                <w:rFonts w:ascii="Arial" w:hAnsi="Arial" w:cs="Arial"/>
                <w:sz w:val="18"/>
                <w:szCs w:val="18"/>
              </w:rPr>
              <w:t>27.4%</w:t>
            </w:r>
          </w:p>
        </w:tc>
      </w:tr>
      <w:tr w:rsidR="000A0A42" w14:paraId="570310D3" w14:textId="77777777" w:rsidTr="00CA7F11">
        <w:tc>
          <w:tcPr>
            <w:tcW w:w="2254" w:type="dxa"/>
          </w:tcPr>
          <w:p w14:paraId="20284312" w14:textId="6FC4C68F" w:rsidR="000A0A42" w:rsidRDefault="000A0A42" w:rsidP="000A0A42">
            <w:pPr>
              <w:spacing w:after="160" w:line="259" w:lineRule="auto"/>
              <w:rPr>
                <w:rFonts w:ascii="Arial" w:hAnsi="Arial" w:cs="Arial"/>
                <w:sz w:val="18"/>
                <w:szCs w:val="18"/>
              </w:rPr>
            </w:pPr>
            <w:r w:rsidRPr="00CA7F11">
              <w:rPr>
                <w:rFonts w:ascii="Arial" w:hAnsi="Arial" w:cs="Arial"/>
                <w:sz w:val="18"/>
                <w:szCs w:val="18"/>
              </w:rPr>
              <w:t>Internal carbon value</w:t>
            </w:r>
          </w:p>
        </w:tc>
        <w:tc>
          <w:tcPr>
            <w:tcW w:w="2254" w:type="dxa"/>
          </w:tcPr>
          <w:p w14:paraId="43A1DC1C" w14:textId="7986ACC8" w:rsidR="000A0A42" w:rsidRPr="00CA7F11" w:rsidRDefault="000A0A42" w:rsidP="000A0A42">
            <w:pPr>
              <w:spacing w:after="160" w:line="259" w:lineRule="auto"/>
              <w:rPr>
                <w:rFonts w:ascii="Arial" w:hAnsi="Arial" w:cs="Arial"/>
                <w:sz w:val="18"/>
                <w:szCs w:val="18"/>
              </w:rPr>
            </w:pPr>
            <w:r w:rsidRPr="00CA7F11">
              <w:rPr>
                <w:rFonts w:ascii="Arial" w:hAnsi="Arial" w:cs="Arial"/>
                <w:sz w:val="18"/>
                <w:szCs w:val="18"/>
              </w:rPr>
              <w:t>Value of carbon used in business cases and whole life carbon assessments</w:t>
            </w:r>
            <w:r>
              <w:rPr>
                <w:rFonts w:ascii="Arial" w:hAnsi="Arial" w:cs="Arial"/>
                <w:sz w:val="18"/>
                <w:szCs w:val="18"/>
              </w:rPr>
              <w:t xml:space="preserve"> </w:t>
            </w:r>
            <w:r w:rsidRPr="00CA7F11">
              <w:rPr>
                <w:rFonts w:ascii="Arial" w:hAnsi="Arial" w:cs="Arial"/>
                <w:sz w:val="18"/>
                <w:szCs w:val="18"/>
              </w:rPr>
              <w:t>(£/tCO</w:t>
            </w:r>
            <w:r w:rsidRPr="00CA7F11">
              <w:rPr>
                <w:rFonts w:ascii="Arial" w:hAnsi="Arial" w:cs="Arial"/>
                <w:sz w:val="18"/>
                <w:szCs w:val="18"/>
                <w:vertAlign w:val="subscript"/>
              </w:rPr>
              <w:t>2</w:t>
            </w:r>
            <w:r w:rsidRPr="00CA7F11">
              <w:rPr>
                <w:rFonts w:ascii="Arial" w:hAnsi="Arial" w:cs="Arial"/>
                <w:sz w:val="18"/>
                <w:szCs w:val="18"/>
              </w:rPr>
              <w:t>e)</w:t>
            </w:r>
          </w:p>
        </w:tc>
        <w:tc>
          <w:tcPr>
            <w:tcW w:w="2254" w:type="dxa"/>
          </w:tcPr>
          <w:p w14:paraId="3385FE75" w14:textId="2AE9441F" w:rsidR="000A0A42" w:rsidRPr="004E18F5" w:rsidRDefault="000A0A42" w:rsidP="000A0A42">
            <w:pPr>
              <w:spacing w:after="160" w:line="259" w:lineRule="auto"/>
              <w:rPr>
                <w:rFonts w:ascii="Arial" w:hAnsi="Arial" w:cs="Arial"/>
                <w:sz w:val="18"/>
                <w:szCs w:val="18"/>
              </w:rPr>
            </w:pPr>
            <w:r w:rsidRPr="004E18F5">
              <w:rPr>
                <w:rFonts w:ascii="Arial" w:hAnsi="Arial" w:cs="Arial"/>
                <w:sz w:val="18"/>
                <w:szCs w:val="18"/>
              </w:rPr>
              <w:t>Ofwat Performance Commitment Price £188/ tCO</w:t>
            </w:r>
            <w:r w:rsidRPr="004E18F5">
              <w:rPr>
                <w:rFonts w:ascii="Arial" w:hAnsi="Arial" w:cs="Arial"/>
                <w:sz w:val="18"/>
                <w:szCs w:val="18"/>
                <w:vertAlign w:val="subscript"/>
              </w:rPr>
              <w:t>2</w:t>
            </w:r>
            <w:r w:rsidRPr="004E18F5">
              <w:rPr>
                <w:rFonts w:ascii="Arial" w:hAnsi="Arial" w:cs="Arial"/>
                <w:sz w:val="18"/>
                <w:szCs w:val="18"/>
              </w:rPr>
              <w:t>e</w:t>
            </w:r>
          </w:p>
        </w:tc>
        <w:tc>
          <w:tcPr>
            <w:tcW w:w="2254" w:type="dxa"/>
          </w:tcPr>
          <w:p w14:paraId="367F91A4" w14:textId="06033DCF" w:rsidR="000A0A42" w:rsidRPr="004E18F5" w:rsidRDefault="000A0A42" w:rsidP="000A0A42">
            <w:pPr>
              <w:spacing w:after="160" w:line="259" w:lineRule="auto"/>
              <w:rPr>
                <w:rFonts w:ascii="Arial" w:hAnsi="Arial" w:cs="Arial"/>
                <w:sz w:val="18"/>
                <w:szCs w:val="18"/>
              </w:rPr>
            </w:pPr>
            <w:r w:rsidRPr="004E18F5">
              <w:rPr>
                <w:rFonts w:ascii="Arial" w:hAnsi="Arial" w:cs="Arial"/>
                <w:sz w:val="18"/>
                <w:szCs w:val="18"/>
              </w:rPr>
              <w:t>£294/tCO</w:t>
            </w:r>
            <w:r w:rsidRPr="004E18F5">
              <w:rPr>
                <w:rFonts w:ascii="Arial" w:hAnsi="Arial" w:cs="Arial"/>
                <w:sz w:val="18"/>
                <w:szCs w:val="18"/>
                <w:vertAlign w:val="subscript"/>
              </w:rPr>
              <w:t>2</w:t>
            </w:r>
            <w:r w:rsidRPr="004E18F5">
              <w:rPr>
                <w:rFonts w:ascii="Arial" w:hAnsi="Arial" w:cs="Arial"/>
                <w:sz w:val="18"/>
                <w:szCs w:val="18"/>
              </w:rPr>
              <w:t>e (Sensitivity testing: Low: £147/High: £442)</w:t>
            </w:r>
          </w:p>
        </w:tc>
      </w:tr>
    </w:tbl>
    <w:p w14:paraId="1C32F2BF" w14:textId="0C407297" w:rsidR="00445D3F" w:rsidRPr="00B13615" w:rsidRDefault="009114CF" w:rsidP="003C3FCC">
      <w:pPr>
        <w:spacing w:after="160" w:line="259" w:lineRule="auto"/>
        <w:rPr>
          <w:rFonts w:ascii="Arial" w:hAnsi="Arial" w:cs="Arial"/>
          <w:sz w:val="18"/>
          <w:szCs w:val="18"/>
        </w:rPr>
      </w:pPr>
      <w:r w:rsidRPr="00B13615">
        <w:rPr>
          <w:rFonts w:ascii="Arial" w:hAnsi="Arial" w:cs="Arial"/>
          <w:sz w:val="18"/>
          <w:szCs w:val="18"/>
        </w:rPr>
        <w:br w:type="page"/>
      </w:r>
    </w:p>
    <w:p w14:paraId="5C131D40" w14:textId="77777777" w:rsidR="009567BB" w:rsidRDefault="009567BB" w:rsidP="009567BB">
      <w:pPr>
        <w:spacing w:after="160" w:line="259" w:lineRule="auto"/>
        <w:rPr>
          <w:rFonts w:ascii="Arial" w:eastAsia="Times New Roman" w:hAnsi="Arial" w:cs="DINOT"/>
          <w:caps/>
          <w:color w:val="000000"/>
          <w:sz w:val="32"/>
          <w:szCs w:val="32"/>
        </w:rPr>
      </w:pPr>
      <w:r w:rsidRPr="009567BB">
        <w:rPr>
          <w:rFonts w:ascii="Arial" w:eastAsia="Times New Roman" w:hAnsi="Arial" w:cs="DINOT"/>
          <w:caps/>
          <w:color w:val="000000"/>
          <w:sz w:val="32"/>
          <w:szCs w:val="32"/>
        </w:rPr>
        <w:lastRenderedPageBreak/>
        <w:t xml:space="preserve">NON-FINANCIAL and sustainability INFORMATION STATEMENT </w:t>
      </w:r>
    </w:p>
    <w:tbl>
      <w:tblPr>
        <w:tblStyle w:val="TableGrid"/>
        <w:tblW w:w="9351" w:type="dxa"/>
        <w:tblLook w:val="04A0" w:firstRow="1" w:lastRow="0" w:firstColumn="1" w:lastColumn="0" w:noHBand="0" w:noVBand="1"/>
      </w:tblPr>
      <w:tblGrid>
        <w:gridCol w:w="1117"/>
        <w:gridCol w:w="12"/>
        <w:gridCol w:w="2977"/>
        <w:gridCol w:w="851"/>
        <w:gridCol w:w="1804"/>
        <w:gridCol w:w="2590"/>
      </w:tblGrid>
      <w:tr w:rsidR="009567BB" w:rsidRPr="00B318D0" w14:paraId="788249F4" w14:textId="77777777" w:rsidTr="00470234">
        <w:tc>
          <w:tcPr>
            <w:tcW w:w="1117" w:type="dxa"/>
            <w:shd w:val="clear" w:color="auto" w:fill="002060"/>
          </w:tcPr>
          <w:p w14:paraId="64560D45" w14:textId="77777777" w:rsidR="009567BB" w:rsidRPr="00B318D0" w:rsidRDefault="009567BB" w:rsidP="00470234">
            <w:pPr>
              <w:rPr>
                <w:rFonts w:ascii="Arial" w:hAnsi="Arial" w:cs="Arial"/>
                <w:color w:val="FFFFFF" w:themeColor="background1"/>
                <w:sz w:val="18"/>
                <w:szCs w:val="18"/>
                <w:highlight w:val="yellow"/>
              </w:rPr>
            </w:pPr>
          </w:p>
        </w:tc>
        <w:tc>
          <w:tcPr>
            <w:tcW w:w="3840" w:type="dxa"/>
            <w:gridSpan w:val="3"/>
            <w:shd w:val="clear" w:color="auto" w:fill="002060"/>
          </w:tcPr>
          <w:p w14:paraId="5447F4EB" w14:textId="77777777" w:rsidR="009567BB" w:rsidRPr="001C3F2E" w:rsidRDefault="009567BB" w:rsidP="00470234">
            <w:pPr>
              <w:rPr>
                <w:rFonts w:ascii="Arial" w:hAnsi="Arial" w:cs="Arial"/>
                <w:b/>
                <w:bCs/>
                <w:color w:val="FFFFFF" w:themeColor="background1"/>
                <w:sz w:val="18"/>
                <w:szCs w:val="18"/>
                <w:highlight w:val="yellow"/>
              </w:rPr>
            </w:pPr>
            <w:r w:rsidRPr="008A06FE">
              <w:rPr>
                <w:rFonts w:ascii="Arial" w:hAnsi="Arial" w:cs="Arial"/>
                <w:b/>
                <w:bCs/>
                <w:color w:val="FFFFFF" w:themeColor="background1"/>
                <w:sz w:val="18"/>
                <w:szCs w:val="18"/>
              </w:rPr>
              <w:t>Climate and environment</w:t>
            </w:r>
          </w:p>
        </w:tc>
        <w:tc>
          <w:tcPr>
            <w:tcW w:w="4394" w:type="dxa"/>
            <w:gridSpan w:val="2"/>
            <w:shd w:val="clear" w:color="auto" w:fill="002060"/>
          </w:tcPr>
          <w:p w14:paraId="678BC7F1" w14:textId="77777777" w:rsidR="009567BB" w:rsidRPr="001C3F2E" w:rsidRDefault="009567BB" w:rsidP="00470234">
            <w:pPr>
              <w:rPr>
                <w:rFonts w:ascii="Arial" w:hAnsi="Arial" w:cs="Arial"/>
                <w:b/>
                <w:bCs/>
                <w:color w:val="FFFFFF" w:themeColor="background1"/>
                <w:sz w:val="18"/>
                <w:szCs w:val="18"/>
                <w:highlight w:val="yellow"/>
              </w:rPr>
            </w:pPr>
            <w:r w:rsidRPr="008A06FE">
              <w:rPr>
                <w:rFonts w:ascii="Arial" w:hAnsi="Arial" w:cs="Arial"/>
                <w:b/>
                <w:bCs/>
                <w:color w:val="FFFFFF" w:themeColor="background1"/>
                <w:sz w:val="18"/>
                <w:szCs w:val="18"/>
              </w:rPr>
              <w:t>People</w:t>
            </w:r>
          </w:p>
        </w:tc>
      </w:tr>
      <w:tr w:rsidR="009567BB" w:rsidRPr="00B318D0" w14:paraId="559E207F" w14:textId="77777777" w:rsidTr="00470234">
        <w:tc>
          <w:tcPr>
            <w:tcW w:w="1117" w:type="dxa"/>
          </w:tcPr>
          <w:p w14:paraId="395C1AF0" w14:textId="0B3EAF76" w:rsidR="009567BB" w:rsidRPr="00735726" w:rsidRDefault="008306FA" w:rsidP="00470234">
            <w:pPr>
              <w:spacing w:after="120" w:line="240" w:lineRule="auto"/>
              <w:rPr>
                <w:rFonts w:ascii="Arial" w:hAnsi="Arial" w:cs="Arial"/>
                <w:sz w:val="18"/>
                <w:szCs w:val="18"/>
              </w:rPr>
            </w:pPr>
            <w:r w:rsidRPr="00735726">
              <w:rPr>
                <w:rFonts w:ascii="Arial" w:hAnsi="Arial" w:cs="Arial"/>
                <w:sz w:val="18"/>
                <w:szCs w:val="18"/>
              </w:rPr>
              <w:t>Time horizon</w:t>
            </w:r>
          </w:p>
        </w:tc>
        <w:tc>
          <w:tcPr>
            <w:tcW w:w="3840" w:type="dxa"/>
            <w:gridSpan w:val="3"/>
          </w:tcPr>
          <w:p w14:paraId="7F183FA3" w14:textId="50297F48" w:rsidR="009567BB" w:rsidRPr="00735726" w:rsidRDefault="008306FA" w:rsidP="008306FA">
            <w:pPr>
              <w:spacing w:after="120"/>
              <w:rPr>
                <w:rFonts w:ascii="Arial" w:eastAsiaTheme="minorHAnsi" w:hAnsi="Arial" w:cs="Arial"/>
                <w:sz w:val="18"/>
                <w:szCs w:val="18"/>
              </w:rPr>
            </w:pPr>
            <w:r w:rsidRPr="00735726">
              <w:rPr>
                <w:rFonts w:ascii="Arial" w:hAnsi="Arial" w:cs="Arial"/>
                <w:sz w:val="18"/>
                <w:szCs w:val="18"/>
              </w:rPr>
              <w:t xml:space="preserve">Our ambition is to achieve Net Zero across the </w:t>
            </w:r>
            <w:r w:rsidR="008A06FE" w:rsidRPr="00735726">
              <w:rPr>
                <w:rFonts w:ascii="Arial" w:hAnsi="Arial" w:cs="Arial"/>
                <w:sz w:val="18"/>
                <w:szCs w:val="18"/>
              </w:rPr>
              <w:t>Company</w:t>
            </w:r>
            <w:r w:rsidRPr="00735726">
              <w:rPr>
                <w:rFonts w:ascii="Arial" w:hAnsi="Arial" w:cs="Arial"/>
                <w:sz w:val="18"/>
                <w:szCs w:val="18"/>
              </w:rPr>
              <w:t>,</w:t>
            </w:r>
            <w:r w:rsidR="008A06FE" w:rsidRPr="00735726">
              <w:rPr>
                <w:rFonts w:ascii="Arial" w:hAnsi="Arial" w:cs="Arial"/>
                <w:sz w:val="18"/>
                <w:szCs w:val="18"/>
              </w:rPr>
              <w:t xml:space="preserve"> </w:t>
            </w:r>
            <w:r w:rsidRPr="00735726">
              <w:rPr>
                <w:rFonts w:ascii="Arial" w:hAnsi="Arial" w:cs="Arial"/>
                <w:sz w:val="18"/>
                <w:szCs w:val="18"/>
              </w:rPr>
              <w:t xml:space="preserve">supported by the development of our </w:t>
            </w:r>
            <w:r w:rsidR="008A06FE" w:rsidRPr="00735726">
              <w:rPr>
                <w:rFonts w:ascii="Arial" w:hAnsi="Arial" w:cs="Arial"/>
                <w:sz w:val="18"/>
                <w:szCs w:val="18"/>
              </w:rPr>
              <w:t>Company’s</w:t>
            </w:r>
            <w:r w:rsidRPr="00735726">
              <w:rPr>
                <w:rFonts w:ascii="Arial" w:hAnsi="Arial" w:cs="Arial"/>
                <w:sz w:val="18"/>
                <w:szCs w:val="18"/>
              </w:rPr>
              <w:t xml:space="preserve"> Climate</w:t>
            </w:r>
            <w:r w:rsidR="008A06FE" w:rsidRPr="00735726">
              <w:rPr>
                <w:rFonts w:ascii="Arial" w:hAnsi="Arial" w:cs="Arial"/>
                <w:sz w:val="18"/>
                <w:szCs w:val="18"/>
              </w:rPr>
              <w:t xml:space="preserve"> </w:t>
            </w:r>
            <w:r w:rsidRPr="00735726">
              <w:rPr>
                <w:rFonts w:ascii="Arial" w:hAnsi="Arial" w:cs="Arial"/>
                <w:sz w:val="18"/>
                <w:szCs w:val="18"/>
              </w:rPr>
              <w:t>Transition Plan that sets out a clear, credible pathway to</w:t>
            </w:r>
            <w:r w:rsidR="008A06FE" w:rsidRPr="00735726">
              <w:rPr>
                <w:rFonts w:ascii="Arial" w:hAnsi="Arial" w:cs="Arial"/>
                <w:sz w:val="18"/>
                <w:szCs w:val="18"/>
              </w:rPr>
              <w:t xml:space="preserve"> </w:t>
            </w:r>
            <w:r w:rsidRPr="00735726">
              <w:rPr>
                <w:rFonts w:ascii="Arial" w:hAnsi="Arial" w:cs="Arial"/>
                <w:sz w:val="18"/>
                <w:szCs w:val="18"/>
              </w:rPr>
              <w:t>decarbonisation. We are strengthening how we identify</w:t>
            </w:r>
            <w:r w:rsidR="008A06FE" w:rsidRPr="00735726">
              <w:rPr>
                <w:rFonts w:ascii="Arial" w:hAnsi="Arial" w:cs="Arial"/>
                <w:sz w:val="18"/>
                <w:szCs w:val="18"/>
              </w:rPr>
              <w:t xml:space="preserve"> </w:t>
            </w:r>
            <w:r w:rsidRPr="00735726">
              <w:rPr>
                <w:rFonts w:ascii="Arial" w:hAnsi="Arial" w:cs="Arial"/>
                <w:sz w:val="18"/>
                <w:szCs w:val="18"/>
              </w:rPr>
              <w:t>and manage climate-related risks and opportunities and</w:t>
            </w:r>
            <w:r w:rsidR="008A06FE" w:rsidRPr="00735726">
              <w:rPr>
                <w:rFonts w:ascii="Arial" w:hAnsi="Arial" w:cs="Arial"/>
                <w:sz w:val="18"/>
                <w:szCs w:val="18"/>
              </w:rPr>
              <w:t xml:space="preserve"> </w:t>
            </w:r>
            <w:r w:rsidRPr="00735726">
              <w:rPr>
                <w:rFonts w:ascii="Arial" w:hAnsi="Arial" w:cs="Arial"/>
                <w:sz w:val="18"/>
                <w:szCs w:val="18"/>
              </w:rPr>
              <w:t>are embedding a more structured approach to reducing</w:t>
            </w:r>
            <w:r w:rsidR="008A06FE" w:rsidRPr="00735726">
              <w:rPr>
                <w:rFonts w:ascii="Arial" w:hAnsi="Arial" w:cs="Arial"/>
                <w:sz w:val="18"/>
                <w:szCs w:val="18"/>
              </w:rPr>
              <w:t xml:space="preserve"> </w:t>
            </w:r>
            <w:r w:rsidRPr="00735726">
              <w:rPr>
                <w:rFonts w:ascii="Arial" w:eastAsiaTheme="minorHAnsi" w:hAnsi="Arial" w:cs="Arial"/>
                <w:sz w:val="18"/>
                <w:szCs w:val="18"/>
              </w:rPr>
              <w:t>emissions across our operations.</w:t>
            </w:r>
          </w:p>
          <w:p w14:paraId="1D82486C" w14:textId="209FF896" w:rsidR="008306FA" w:rsidRPr="009A2CAE" w:rsidRDefault="008306FA" w:rsidP="008A06FE">
            <w:pPr>
              <w:spacing w:after="120"/>
              <w:rPr>
                <w:rFonts w:ascii="Arial" w:eastAsiaTheme="minorHAnsi" w:hAnsi="Arial" w:cs="Arial"/>
                <w:sz w:val="18"/>
                <w:szCs w:val="18"/>
              </w:rPr>
            </w:pPr>
            <w:r w:rsidRPr="00735726">
              <w:rPr>
                <w:rFonts w:ascii="Arial" w:hAnsi="Arial" w:cs="Arial"/>
                <w:sz w:val="18"/>
                <w:szCs w:val="18"/>
              </w:rPr>
              <w:t>This includes continued focus on innovation and the</w:t>
            </w:r>
            <w:r w:rsidR="008A06FE" w:rsidRPr="00735726">
              <w:rPr>
                <w:rFonts w:ascii="Arial" w:hAnsi="Arial" w:cs="Arial"/>
                <w:sz w:val="18"/>
                <w:szCs w:val="18"/>
              </w:rPr>
              <w:t xml:space="preserve"> </w:t>
            </w:r>
            <w:r w:rsidRPr="00735726">
              <w:rPr>
                <w:rFonts w:ascii="Arial" w:hAnsi="Arial" w:cs="Arial"/>
                <w:sz w:val="18"/>
                <w:szCs w:val="18"/>
              </w:rPr>
              <w:t>actions needed to decarbonise our activities, working</w:t>
            </w:r>
            <w:r w:rsidR="008A06FE" w:rsidRPr="00735726">
              <w:rPr>
                <w:rFonts w:ascii="Arial" w:hAnsi="Arial" w:cs="Arial"/>
                <w:sz w:val="18"/>
                <w:szCs w:val="18"/>
              </w:rPr>
              <w:t xml:space="preserve"> </w:t>
            </w:r>
            <w:r w:rsidRPr="00735726">
              <w:rPr>
                <w:rFonts w:ascii="Arial" w:eastAsiaTheme="minorHAnsi" w:hAnsi="Arial" w:cs="Arial"/>
                <w:sz w:val="18"/>
                <w:szCs w:val="18"/>
              </w:rPr>
              <w:t>collaboratively with partners and our supply chain.</w:t>
            </w:r>
          </w:p>
        </w:tc>
        <w:tc>
          <w:tcPr>
            <w:tcW w:w="4394" w:type="dxa"/>
            <w:gridSpan w:val="2"/>
          </w:tcPr>
          <w:p w14:paraId="12E7C771" w14:textId="020139D8" w:rsidR="009567BB" w:rsidRPr="00735726" w:rsidRDefault="00D43291" w:rsidP="00D43291">
            <w:pPr>
              <w:spacing w:after="120"/>
              <w:rPr>
                <w:rFonts w:ascii="Arial" w:eastAsiaTheme="minorHAnsi" w:hAnsi="Arial" w:cs="Arial"/>
                <w:sz w:val="18"/>
                <w:szCs w:val="18"/>
              </w:rPr>
            </w:pPr>
            <w:r w:rsidRPr="00735726">
              <w:rPr>
                <w:rFonts w:ascii="Arial" w:hAnsi="Arial" w:cs="Arial"/>
                <w:sz w:val="18"/>
                <w:szCs w:val="18"/>
              </w:rPr>
              <w:t xml:space="preserve">As a purpose-led business, we recognise that the best way to deliver for customers is to focus on our people to enable them to deliver their best. We continue to foster a culture built on our purpose and one that reflects our </w:t>
            </w:r>
            <w:r w:rsidRPr="00735726">
              <w:rPr>
                <w:rFonts w:ascii="Arial" w:eastAsiaTheme="minorHAnsi" w:hAnsi="Arial" w:cs="Arial"/>
                <w:sz w:val="18"/>
                <w:szCs w:val="18"/>
              </w:rPr>
              <w:t>values and business plans.</w:t>
            </w:r>
          </w:p>
          <w:p w14:paraId="2A212BE8" w14:textId="3C2E5FEE" w:rsidR="00D43291" w:rsidRPr="009A2CAE" w:rsidRDefault="00D43291" w:rsidP="00D43291">
            <w:pPr>
              <w:spacing w:after="120"/>
              <w:rPr>
                <w:rFonts w:ascii="Arial" w:eastAsiaTheme="minorHAnsi" w:hAnsi="Arial" w:cs="Arial"/>
                <w:sz w:val="18"/>
                <w:szCs w:val="18"/>
              </w:rPr>
            </w:pPr>
            <w:r w:rsidRPr="00735726">
              <w:rPr>
                <w:rFonts w:ascii="Arial" w:hAnsi="Arial" w:cs="Arial"/>
                <w:sz w:val="18"/>
                <w:szCs w:val="18"/>
              </w:rPr>
              <w:t xml:space="preserve">We operate a safety-first mindset to working across the business with our </w:t>
            </w:r>
            <w:proofErr w:type="spellStart"/>
            <w:r w:rsidRPr="00735726">
              <w:rPr>
                <w:rFonts w:ascii="Arial" w:hAnsi="Arial" w:cs="Arial"/>
                <w:sz w:val="18"/>
                <w:szCs w:val="18"/>
              </w:rPr>
              <w:t>HomeSafe</w:t>
            </w:r>
            <w:proofErr w:type="spellEnd"/>
            <w:r w:rsidRPr="00735726">
              <w:rPr>
                <w:rFonts w:ascii="Arial" w:hAnsi="Arial" w:cs="Arial"/>
                <w:sz w:val="18"/>
                <w:szCs w:val="18"/>
              </w:rPr>
              <w:t xml:space="preserve"> health and safety approach which is embedded in the day-to-day working culture of our business. We encourage continuous learning and development, providing opportunities for all employees. We </w:t>
            </w:r>
            <w:r w:rsidRPr="00735726">
              <w:rPr>
                <w:rFonts w:ascii="Arial" w:eastAsiaTheme="minorHAnsi" w:hAnsi="Arial" w:cs="Arial"/>
                <w:sz w:val="18"/>
                <w:szCs w:val="18"/>
              </w:rPr>
              <w:t>are building a diverse and inclusive workforce.</w:t>
            </w:r>
          </w:p>
        </w:tc>
      </w:tr>
      <w:tr w:rsidR="009567BB" w:rsidRPr="00B318D0" w14:paraId="66147545" w14:textId="77777777" w:rsidTr="00470234">
        <w:tc>
          <w:tcPr>
            <w:tcW w:w="1117" w:type="dxa"/>
          </w:tcPr>
          <w:p w14:paraId="2E519156" w14:textId="77777777" w:rsidR="009567BB" w:rsidRPr="00735726" w:rsidRDefault="009567BB" w:rsidP="00470234">
            <w:pPr>
              <w:spacing w:after="120" w:line="240" w:lineRule="auto"/>
              <w:rPr>
                <w:rFonts w:ascii="Arial" w:hAnsi="Arial" w:cs="Arial"/>
                <w:sz w:val="18"/>
                <w:szCs w:val="18"/>
              </w:rPr>
            </w:pPr>
            <w:r w:rsidRPr="00735726">
              <w:rPr>
                <w:rFonts w:ascii="Arial" w:hAnsi="Arial" w:cs="Arial"/>
                <w:sz w:val="18"/>
                <w:szCs w:val="18"/>
              </w:rPr>
              <w:t>Read more</w:t>
            </w:r>
          </w:p>
        </w:tc>
        <w:tc>
          <w:tcPr>
            <w:tcW w:w="3840" w:type="dxa"/>
            <w:gridSpan w:val="3"/>
          </w:tcPr>
          <w:p w14:paraId="0A416AFC" w14:textId="70FEF160" w:rsidR="009567BB" w:rsidRPr="009A2CAE" w:rsidRDefault="009567BB" w:rsidP="00646F4F">
            <w:pPr>
              <w:pStyle w:val="ListParagraph"/>
              <w:numPr>
                <w:ilvl w:val="0"/>
                <w:numId w:val="35"/>
              </w:numPr>
              <w:spacing w:after="120"/>
              <w:ind w:left="331"/>
              <w:rPr>
                <w:rFonts w:ascii="Arial" w:eastAsiaTheme="minorHAnsi" w:hAnsi="Arial" w:cs="Arial"/>
                <w:sz w:val="18"/>
                <w:szCs w:val="18"/>
              </w:rPr>
            </w:pPr>
            <w:r w:rsidRPr="00735726">
              <w:rPr>
                <w:rFonts w:ascii="Arial" w:eastAsiaTheme="minorHAnsi" w:hAnsi="Arial" w:cs="Arial"/>
                <w:sz w:val="18"/>
                <w:szCs w:val="18"/>
              </w:rPr>
              <w:t xml:space="preserve">Approach to ESG </w:t>
            </w:r>
            <w:r w:rsidR="006C1BA9" w:rsidRPr="00735726">
              <w:rPr>
                <w:rFonts w:ascii="Arial" w:hAnsi="Arial" w:cs="Arial"/>
                <w:sz w:val="18"/>
                <w:szCs w:val="18"/>
              </w:rPr>
              <w:t xml:space="preserve">- </w:t>
            </w:r>
            <w:r w:rsidRPr="00735726">
              <w:rPr>
                <w:rFonts w:ascii="Arial" w:hAnsi="Arial" w:cs="Arial"/>
                <w:sz w:val="18"/>
                <w:szCs w:val="18"/>
              </w:rPr>
              <w:t xml:space="preserve">page </w:t>
            </w:r>
            <w:r w:rsidR="00A9056A" w:rsidRPr="009A2CAE">
              <w:rPr>
                <w:rFonts w:ascii="Arial" w:hAnsi="Arial" w:cs="Arial"/>
                <w:sz w:val="18"/>
                <w:szCs w:val="18"/>
              </w:rPr>
              <w:t>78</w:t>
            </w:r>
          </w:p>
          <w:p w14:paraId="0AB1F7C1" w14:textId="3FC22F92" w:rsidR="009567BB" w:rsidRPr="009A2CAE" w:rsidRDefault="009567BB" w:rsidP="00646F4F">
            <w:pPr>
              <w:pStyle w:val="ListParagraph"/>
              <w:numPr>
                <w:ilvl w:val="0"/>
                <w:numId w:val="35"/>
              </w:numPr>
              <w:spacing w:after="120"/>
              <w:ind w:left="331"/>
              <w:rPr>
                <w:rFonts w:ascii="Arial" w:eastAsiaTheme="minorHAnsi" w:hAnsi="Arial" w:cs="Arial"/>
                <w:sz w:val="18"/>
                <w:szCs w:val="18"/>
              </w:rPr>
            </w:pPr>
            <w:r w:rsidRPr="00735726">
              <w:rPr>
                <w:rFonts w:ascii="Arial" w:eastAsiaTheme="minorHAnsi" w:hAnsi="Arial" w:cs="Arial"/>
                <w:sz w:val="18"/>
                <w:szCs w:val="18"/>
              </w:rPr>
              <w:t xml:space="preserve">Our Task Force on Climate-related Financial Disclosures </w:t>
            </w:r>
            <w:r w:rsidR="006C1BA9" w:rsidRPr="00735726">
              <w:rPr>
                <w:rFonts w:ascii="Arial" w:hAnsi="Arial" w:cs="Arial"/>
                <w:sz w:val="18"/>
                <w:szCs w:val="18"/>
              </w:rPr>
              <w:t xml:space="preserve">- </w:t>
            </w:r>
            <w:r w:rsidRPr="00735726">
              <w:rPr>
                <w:rFonts w:ascii="Arial" w:hAnsi="Arial" w:cs="Arial"/>
                <w:sz w:val="18"/>
                <w:szCs w:val="18"/>
              </w:rPr>
              <w:t xml:space="preserve">pages </w:t>
            </w:r>
            <w:r w:rsidR="00A9056A" w:rsidRPr="009A2CAE">
              <w:rPr>
                <w:rFonts w:ascii="Arial" w:hAnsi="Arial" w:cs="Arial"/>
                <w:sz w:val="18"/>
                <w:szCs w:val="18"/>
              </w:rPr>
              <w:t xml:space="preserve">79 </w:t>
            </w:r>
            <w:r w:rsidR="008A06FE" w:rsidRPr="009A2CAE">
              <w:rPr>
                <w:rFonts w:ascii="Arial" w:hAnsi="Arial" w:cs="Arial"/>
                <w:sz w:val="18"/>
                <w:szCs w:val="18"/>
              </w:rPr>
              <w:t xml:space="preserve">to </w:t>
            </w:r>
            <w:r w:rsidR="00A9056A" w:rsidRPr="009A2CAE">
              <w:rPr>
                <w:rFonts w:ascii="Arial" w:hAnsi="Arial" w:cs="Arial"/>
                <w:sz w:val="18"/>
                <w:szCs w:val="18"/>
              </w:rPr>
              <w:t>92</w:t>
            </w:r>
          </w:p>
          <w:p w14:paraId="687A4F0C" w14:textId="1AAC0CC2" w:rsidR="009567BB" w:rsidRPr="009A2CAE" w:rsidRDefault="009567BB" w:rsidP="00646F4F">
            <w:pPr>
              <w:pStyle w:val="ListParagraph"/>
              <w:numPr>
                <w:ilvl w:val="0"/>
                <w:numId w:val="35"/>
              </w:numPr>
              <w:spacing w:after="120"/>
              <w:ind w:left="331"/>
              <w:rPr>
                <w:rFonts w:ascii="Arial" w:eastAsiaTheme="minorHAnsi" w:hAnsi="Arial" w:cs="Arial"/>
                <w:sz w:val="18"/>
                <w:szCs w:val="18"/>
              </w:rPr>
            </w:pPr>
            <w:r w:rsidRPr="00735726">
              <w:rPr>
                <w:rFonts w:ascii="Arial" w:eastAsiaTheme="minorHAnsi" w:hAnsi="Arial" w:cs="Arial"/>
                <w:sz w:val="18"/>
                <w:szCs w:val="18"/>
              </w:rPr>
              <w:t xml:space="preserve">Net Zero </w:t>
            </w:r>
            <w:r w:rsidR="006C1BA9" w:rsidRPr="00735726">
              <w:rPr>
                <w:rFonts w:ascii="Arial" w:hAnsi="Arial" w:cs="Arial"/>
                <w:sz w:val="18"/>
                <w:szCs w:val="18"/>
              </w:rPr>
              <w:t xml:space="preserve">- </w:t>
            </w:r>
            <w:r w:rsidR="00A9056A" w:rsidRPr="00735726">
              <w:rPr>
                <w:rFonts w:ascii="Arial" w:hAnsi="Arial" w:cs="Arial"/>
                <w:sz w:val="18"/>
                <w:szCs w:val="18"/>
              </w:rPr>
              <w:t xml:space="preserve">see Pennon Group plc Annual report and Accounts </w:t>
            </w:r>
            <w:r w:rsidRPr="00735726">
              <w:rPr>
                <w:rFonts w:ascii="Arial" w:hAnsi="Arial" w:cs="Arial"/>
                <w:sz w:val="18"/>
                <w:szCs w:val="18"/>
              </w:rPr>
              <w:t>page</w:t>
            </w:r>
            <w:r w:rsidR="00A9056A" w:rsidRPr="00735726">
              <w:rPr>
                <w:rFonts w:ascii="Arial" w:hAnsi="Arial" w:cs="Arial"/>
                <w:sz w:val="18"/>
                <w:szCs w:val="18"/>
              </w:rPr>
              <w:t>s</w:t>
            </w:r>
            <w:r w:rsidRPr="00735726">
              <w:rPr>
                <w:rFonts w:ascii="Arial" w:hAnsi="Arial" w:cs="Arial"/>
                <w:sz w:val="18"/>
                <w:szCs w:val="18"/>
              </w:rPr>
              <w:t xml:space="preserve"> </w:t>
            </w:r>
            <w:r w:rsidR="00A9056A" w:rsidRPr="009A2CAE">
              <w:rPr>
                <w:rFonts w:ascii="Arial" w:hAnsi="Arial" w:cs="Arial"/>
                <w:sz w:val="18"/>
                <w:szCs w:val="18"/>
              </w:rPr>
              <w:t xml:space="preserve">78 </w:t>
            </w:r>
            <w:r w:rsidR="008A06FE" w:rsidRPr="009A2CAE">
              <w:rPr>
                <w:rFonts w:ascii="Arial" w:hAnsi="Arial" w:cs="Arial"/>
                <w:sz w:val="18"/>
                <w:szCs w:val="18"/>
              </w:rPr>
              <w:t xml:space="preserve">to </w:t>
            </w:r>
            <w:r w:rsidR="00A9056A" w:rsidRPr="009A2CAE">
              <w:rPr>
                <w:rFonts w:ascii="Arial" w:hAnsi="Arial" w:cs="Arial"/>
                <w:sz w:val="18"/>
                <w:szCs w:val="18"/>
              </w:rPr>
              <w:t>82</w:t>
            </w:r>
          </w:p>
        </w:tc>
        <w:tc>
          <w:tcPr>
            <w:tcW w:w="4394" w:type="dxa"/>
            <w:gridSpan w:val="2"/>
          </w:tcPr>
          <w:p w14:paraId="46D6515B" w14:textId="19B224C1" w:rsidR="009567BB" w:rsidRPr="009A2CAE" w:rsidRDefault="009567BB" w:rsidP="00646F4F">
            <w:pPr>
              <w:pStyle w:val="ListParagraph"/>
              <w:numPr>
                <w:ilvl w:val="0"/>
                <w:numId w:val="35"/>
              </w:numPr>
              <w:spacing w:after="120"/>
              <w:ind w:left="331"/>
              <w:rPr>
                <w:rFonts w:ascii="Arial" w:eastAsiaTheme="minorHAnsi" w:hAnsi="Arial" w:cs="Arial"/>
                <w:sz w:val="18"/>
                <w:szCs w:val="18"/>
              </w:rPr>
            </w:pPr>
            <w:r w:rsidRPr="00735726">
              <w:rPr>
                <w:rFonts w:ascii="Arial" w:eastAsiaTheme="minorHAnsi" w:hAnsi="Arial" w:cs="Arial"/>
                <w:sz w:val="18"/>
                <w:szCs w:val="18"/>
              </w:rPr>
              <w:t xml:space="preserve">Our people and culture </w:t>
            </w:r>
            <w:r w:rsidR="006C1BA9" w:rsidRPr="00735726">
              <w:rPr>
                <w:rFonts w:ascii="Arial" w:hAnsi="Arial" w:cs="Arial"/>
                <w:sz w:val="18"/>
                <w:szCs w:val="18"/>
              </w:rPr>
              <w:t xml:space="preserve">- </w:t>
            </w:r>
            <w:r w:rsidRPr="00735726">
              <w:rPr>
                <w:rFonts w:ascii="Arial" w:hAnsi="Arial" w:cs="Arial"/>
                <w:sz w:val="18"/>
                <w:szCs w:val="18"/>
              </w:rPr>
              <w:t xml:space="preserve">pages </w:t>
            </w:r>
            <w:r w:rsidR="00A9056A" w:rsidRPr="009A2CAE">
              <w:rPr>
                <w:rFonts w:ascii="Arial" w:hAnsi="Arial" w:cs="Arial"/>
                <w:sz w:val="18"/>
                <w:szCs w:val="18"/>
              </w:rPr>
              <w:t xml:space="preserve">19 </w:t>
            </w:r>
            <w:r w:rsidR="00D43291" w:rsidRPr="009A2CAE">
              <w:rPr>
                <w:rFonts w:ascii="Arial" w:hAnsi="Arial" w:cs="Arial"/>
                <w:sz w:val="18"/>
                <w:szCs w:val="18"/>
              </w:rPr>
              <w:t xml:space="preserve">to </w:t>
            </w:r>
            <w:r w:rsidR="00A9056A" w:rsidRPr="009A2CAE">
              <w:rPr>
                <w:rFonts w:ascii="Arial" w:hAnsi="Arial" w:cs="Arial"/>
                <w:sz w:val="18"/>
                <w:szCs w:val="18"/>
              </w:rPr>
              <w:t>25</w:t>
            </w:r>
          </w:p>
          <w:p w14:paraId="37377872" w14:textId="6EDFE1CA" w:rsidR="00EC1368" w:rsidRPr="009A2CAE" w:rsidRDefault="00EC1368" w:rsidP="00646F4F">
            <w:pPr>
              <w:pStyle w:val="ListParagraph"/>
              <w:numPr>
                <w:ilvl w:val="0"/>
                <w:numId w:val="35"/>
              </w:numPr>
              <w:spacing w:after="120"/>
              <w:ind w:left="331"/>
              <w:rPr>
                <w:rFonts w:ascii="Arial" w:eastAsiaTheme="minorHAnsi" w:hAnsi="Arial" w:cs="Arial"/>
                <w:sz w:val="18"/>
                <w:szCs w:val="18"/>
              </w:rPr>
            </w:pPr>
            <w:r w:rsidRPr="00735726">
              <w:rPr>
                <w:rFonts w:ascii="Arial" w:hAnsi="Arial" w:cs="Arial"/>
                <w:sz w:val="18"/>
                <w:szCs w:val="18"/>
              </w:rPr>
              <w:t xml:space="preserve">Stakeholder engagement </w:t>
            </w:r>
            <w:r w:rsidR="006C1BA9" w:rsidRPr="00735726">
              <w:rPr>
                <w:rFonts w:ascii="Arial" w:hAnsi="Arial" w:cs="Arial"/>
                <w:sz w:val="18"/>
                <w:szCs w:val="18"/>
              </w:rPr>
              <w:t xml:space="preserve">- </w:t>
            </w:r>
            <w:r w:rsidRPr="00735726">
              <w:rPr>
                <w:rFonts w:ascii="Arial" w:hAnsi="Arial" w:cs="Arial"/>
                <w:sz w:val="18"/>
                <w:szCs w:val="18"/>
              </w:rPr>
              <w:t xml:space="preserve">People pages </w:t>
            </w:r>
            <w:r w:rsidR="00A9056A" w:rsidRPr="009A2CAE">
              <w:rPr>
                <w:rFonts w:ascii="Arial" w:hAnsi="Arial" w:cs="Arial"/>
                <w:sz w:val="18"/>
                <w:szCs w:val="18"/>
              </w:rPr>
              <w:t xml:space="preserve">28 </w:t>
            </w:r>
            <w:r w:rsidRPr="009A2CAE">
              <w:rPr>
                <w:rFonts w:ascii="Arial" w:hAnsi="Arial" w:cs="Arial"/>
                <w:sz w:val="18"/>
                <w:szCs w:val="18"/>
              </w:rPr>
              <w:t xml:space="preserve">to </w:t>
            </w:r>
            <w:r w:rsidR="00A9056A" w:rsidRPr="009A2CAE">
              <w:rPr>
                <w:rFonts w:ascii="Arial" w:hAnsi="Arial" w:cs="Arial"/>
                <w:sz w:val="18"/>
                <w:szCs w:val="18"/>
              </w:rPr>
              <w:t>31</w:t>
            </w:r>
          </w:p>
        </w:tc>
      </w:tr>
      <w:tr w:rsidR="009567BB" w:rsidRPr="00B318D0" w14:paraId="1341B930" w14:textId="77777777" w:rsidTr="00470234">
        <w:tc>
          <w:tcPr>
            <w:tcW w:w="1117" w:type="dxa"/>
          </w:tcPr>
          <w:p w14:paraId="39E3B953" w14:textId="77777777" w:rsidR="009567BB" w:rsidRPr="00C5762E" w:rsidRDefault="009567BB" w:rsidP="00470234">
            <w:pPr>
              <w:spacing w:after="120" w:line="240" w:lineRule="auto"/>
              <w:rPr>
                <w:rFonts w:ascii="Arial" w:hAnsi="Arial" w:cs="Arial"/>
                <w:sz w:val="18"/>
                <w:szCs w:val="18"/>
              </w:rPr>
            </w:pPr>
            <w:r w:rsidRPr="00C5762E">
              <w:rPr>
                <w:rFonts w:ascii="Arial" w:hAnsi="Arial" w:cs="Arial"/>
                <w:sz w:val="18"/>
                <w:szCs w:val="18"/>
              </w:rPr>
              <w:t>Related policies</w:t>
            </w:r>
          </w:p>
        </w:tc>
        <w:tc>
          <w:tcPr>
            <w:tcW w:w="3840" w:type="dxa"/>
            <w:gridSpan w:val="3"/>
          </w:tcPr>
          <w:p w14:paraId="70497626"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Biodiversity policy</w:t>
            </w:r>
          </w:p>
          <w:p w14:paraId="4D467735"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Water management policy</w:t>
            </w:r>
          </w:p>
          <w:p w14:paraId="2357F935"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Environmental policy</w:t>
            </w:r>
          </w:p>
        </w:tc>
        <w:tc>
          <w:tcPr>
            <w:tcW w:w="4394" w:type="dxa"/>
            <w:gridSpan w:val="2"/>
          </w:tcPr>
          <w:p w14:paraId="01002EA4" w14:textId="52C36999"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xml:space="preserve">Health, </w:t>
            </w:r>
            <w:r w:rsidR="00D43291" w:rsidRPr="00C5762E">
              <w:rPr>
                <w:rFonts w:ascii="Arial" w:eastAsiaTheme="minorHAnsi" w:hAnsi="Arial" w:cs="Arial"/>
                <w:sz w:val="18"/>
                <w:szCs w:val="18"/>
              </w:rPr>
              <w:t>S</w:t>
            </w:r>
            <w:r w:rsidRPr="00C5762E">
              <w:rPr>
                <w:rFonts w:ascii="Arial" w:eastAsiaTheme="minorHAnsi" w:hAnsi="Arial" w:cs="Arial"/>
                <w:sz w:val="18"/>
                <w:szCs w:val="18"/>
              </w:rPr>
              <w:t xml:space="preserve">afety and </w:t>
            </w:r>
            <w:r w:rsidR="00D43291" w:rsidRPr="00C5762E">
              <w:rPr>
                <w:rFonts w:ascii="Arial" w:eastAsiaTheme="minorHAnsi" w:hAnsi="Arial" w:cs="Arial"/>
                <w:sz w:val="18"/>
                <w:szCs w:val="18"/>
              </w:rPr>
              <w:t>S</w:t>
            </w:r>
            <w:r w:rsidRPr="00C5762E">
              <w:rPr>
                <w:rFonts w:ascii="Arial" w:eastAsiaTheme="minorHAnsi" w:hAnsi="Arial" w:cs="Arial"/>
                <w:sz w:val="18"/>
                <w:szCs w:val="18"/>
              </w:rPr>
              <w:t>ecurity policy</w:t>
            </w:r>
          </w:p>
          <w:p w14:paraId="7F09E885"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Code of Conduct</w:t>
            </w:r>
          </w:p>
          <w:p w14:paraId="3A2A3732" w14:textId="60225FAD"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xml:space="preserve">Workplace </w:t>
            </w:r>
            <w:r w:rsidR="00D43291" w:rsidRPr="00C5762E">
              <w:rPr>
                <w:rFonts w:ascii="Arial" w:eastAsiaTheme="minorHAnsi" w:hAnsi="Arial" w:cs="Arial"/>
                <w:sz w:val="18"/>
                <w:szCs w:val="18"/>
              </w:rPr>
              <w:t>p</w:t>
            </w:r>
            <w:r w:rsidRPr="00C5762E">
              <w:rPr>
                <w:rFonts w:ascii="Arial" w:eastAsiaTheme="minorHAnsi" w:hAnsi="Arial" w:cs="Arial"/>
                <w:sz w:val="18"/>
                <w:szCs w:val="18"/>
              </w:rPr>
              <w:t>olicy</w:t>
            </w:r>
          </w:p>
          <w:p w14:paraId="0094485E" w14:textId="4103F8C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xml:space="preserve">Diversity, </w:t>
            </w:r>
            <w:r w:rsidR="00D43291" w:rsidRPr="00C5762E">
              <w:rPr>
                <w:rFonts w:ascii="Arial" w:eastAsiaTheme="minorHAnsi" w:hAnsi="Arial" w:cs="Arial"/>
                <w:sz w:val="18"/>
                <w:szCs w:val="18"/>
              </w:rPr>
              <w:t>R</w:t>
            </w:r>
            <w:r w:rsidRPr="00C5762E">
              <w:rPr>
                <w:rFonts w:ascii="Arial" w:eastAsiaTheme="minorHAnsi" w:hAnsi="Arial" w:cs="Arial"/>
                <w:sz w:val="18"/>
                <w:szCs w:val="18"/>
              </w:rPr>
              <w:t xml:space="preserve">espect and </w:t>
            </w:r>
            <w:r w:rsidR="00D43291" w:rsidRPr="00C5762E">
              <w:rPr>
                <w:rFonts w:ascii="Arial" w:eastAsiaTheme="minorHAnsi" w:hAnsi="Arial" w:cs="Arial"/>
                <w:sz w:val="18"/>
                <w:szCs w:val="18"/>
              </w:rPr>
              <w:t>I</w:t>
            </w:r>
            <w:r w:rsidRPr="00C5762E">
              <w:rPr>
                <w:rFonts w:ascii="Arial" w:eastAsiaTheme="minorHAnsi" w:hAnsi="Arial" w:cs="Arial"/>
                <w:sz w:val="18"/>
                <w:szCs w:val="18"/>
              </w:rPr>
              <w:t>nclusion policy</w:t>
            </w:r>
          </w:p>
          <w:p w14:paraId="53A8F166" w14:textId="21774CD2"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xml:space="preserve">Board </w:t>
            </w:r>
            <w:r w:rsidR="00D43291" w:rsidRPr="00C5762E">
              <w:rPr>
                <w:rFonts w:ascii="Arial" w:eastAsiaTheme="minorHAnsi" w:hAnsi="Arial" w:cs="Arial"/>
                <w:sz w:val="18"/>
                <w:szCs w:val="18"/>
              </w:rPr>
              <w:t>D</w:t>
            </w:r>
            <w:r w:rsidRPr="00C5762E">
              <w:rPr>
                <w:rFonts w:ascii="Arial" w:eastAsiaTheme="minorHAnsi" w:hAnsi="Arial" w:cs="Arial"/>
                <w:sz w:val="18"/>
                <w:szCs w:val="18"/>
              </w:rPr>
              <w:t xml:space="preserve">iversity </w:t>
            </w:r>
            <w:r w:rsidR="00D43291" w:rsidRPr="00C5762E">
              <w:rPr>
                <w:rFonts w:ascii="Arial" w:eastAsiaTheme="minorHAnsi" w:hAnsi="Arial" w:cs="Arial"/>
                <w:sz w:val="18"/>
                <w:szCs w:val="18"/>
              </w:rPr>
              <w:t>P</w:t>
            </w:r>
            <w:r w:rsidRPr="00C5762E">
              <w:rPr>
                <w:rFonts w:ascii="Arial" w:eastAsiaTheme="minorHAnsi" w:hAnsi="Arial" w:cs="Arial"/>
                <w:sz w:val="18"/>
                <w:szCs w:val="18"/>
              </w:rPr>
              <w:t>olicy</w:t>
            </w:r>
          </w:p>
        </w:tc>
      </w:tr>
      <w:tr w:rsidR="009567BB" w:rsidRPr="00B318D0" w14:paraId="7B349182" w14:textId="77777777" w:rsidTr="00470234">
        <w:tc>
          <w:tcPr>
            <w:tcW w:w="1117" w:type="dxa"/>
          </w:tcPr>
          <w:p w14:paraId="5B6A314A" w14:textId="77777777" w:rsidR="009567BB" w:rsidRPr="003B00EF" w:rsidRDefault="009567BB" w:rsidP="00470234">
            <w:pPr>
              <w:spacing w:after="120" w:line="240" w:lineRule="auto"/>
              <w:rPr>
                <w:rFonts w:ascii="Arial" w:hAnsi="Arial" w:cs="Arial"/>
                <w:sz w:val="18"/>
                <w:szCs w:val="18"/>
              </w:rPr>
            </w:pPr>
            <w:r w:rsidRPr="003B00EF">
              <w:rPr>
                <w:rFonts w:ascii="Arial" w:hAnsi="Arial" w:cs="Arial"/>
                <w:sz w:val="18"/>
                <w:szCs w:val="18"/>
              </w:rPr>
              <w:t>Due diligence processes</w:t>
            </w:r>
          </w:p>
        </w:tc>
        <w:tc>
          <w:tcPr>
            <w:tcW w:w="3840" w:type="dxa"/>
            <w:gridSpan w:val="3"/>
          </w:tcPr>
          <w:p w14:paraId="13F1CF55"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Governance framework in place led by the Board and its Committees</w:t>
            </w:r>
          </w:p>
          <w:p w14:paraId="3EABB57D"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External assurance</w:t>
            </w:r>
          </w:p>
          <w:p w14:paraId="5C5E4C6F"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External ESG benchmarking</w:t>
            </w:r>
          </w:p>
        </w:tc>
        <w:tc>
          <w:tcPr>
            <w:tcW w:w="4394" w:type="dxa"/>
            <w:gridSpan w:val="2"/>
          </w:tcPr>
          <w:p w14:paraId="28A717DE" w14:textId="1C179FFA"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Regular all</w:t>
            </w:r>
            <w:r w:rsidR="003B00EF" w:rsidRPr="00C5762E">
              <w:rPr>
                <w:rFonts w:ascii="Arial" w:eastAsiaTheme="minorHAnsi" w:hAnsi="Arial" w:cs="Arial"/>
                <w:sz w:val="18"/>
                <w:szCs w:val="18"/>
              </w:rPr>
              <w:t>-</w:t>
            </w:r>
            <w:r w:rsidRPr="00C5762E">
              <w:rPr>
                <w:rFonts w:ascii="Arial" w:eastAsiaTheme="minorHAnsi" w:hAnsi="Arial" w:cs="Arial"/>
                <w:sz w:val="18"/>
                <w:szCs w:val="18"/>
              </w:rPr>
              <w:t xml:space="preserve">colleague </w:t>
            </w:r>
            <w:r w:rsidR="003B00EF" w:rsidRPr="00C5762E">
              <w:rPr>
                <w:rFonts w:ascii="Arial" w:eastAsiaTheme="minorHAnsi" w:hAnsi="Arial" w:cs="Arial"/>
                <w:sz w:val="18"/>
                <w:szCs w:val="18"/>
              </w:rPr>
              <w:t xml:space="preserve">Culture Amp </w:t>
            </w:r>
            <w:r w:rsidRPr="00C5762E">
              <w:rPr>
                <w:rFonts w:ascii="Arial" w:eastAsiaTheme="minorHAnsi" w:hAnsi="Arial" w:cs="Arial"/>
                <w:sz w:val="18"/>
                <w:szCs w:val="18"/>
              </w:rPr>
              <w:t>surveys</w:t>
            </w:r>
          </w:p>
          <w:p w14:paraId="2D4B5573" w14:textId="13B17950"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xml:space="preserve">Health </w:t>
            </w:r>
            <w:r w:rsidR="003B00EF" w:rsidRPr="00C5762E">
              <w:rPr>
                <w:rFonts w:ascii="Arial" w:eastAsiaTheme="minorHAnsi" w:hAnsi="Arial" w:cs="Arial"/>
                <w:sz w:val="18"/>
                <w:szCs w:val="18"/>
              </w:rPr>
              <w:t>and</w:t>
            </w:r>
            <w:r w:rsidRPr="00C5762E">
              <w:rPr>
                <w:rFonts w:ascii="Arial" w:eastAsiaTheme="minorHAnsi" w:hAnsi="Arial" w:cs="Arial"/>
                <w:sz w:val="18"/>
                <w:szCs w:val="18"/>
              </w:rPr>
              <w:t xml:space="preserve"> Safety Steering Group overseeing targets, performance monitoring and interventions</w:t>
            </w:r>
          </w:p>
          <w:p w14:paraId="3E19E04A" w14:textId="3C9C67AC"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xml:space="preserve">Employee representative groups, including </w:t>
            </w:r>
            <w:r w:rsidR="003B00EF" w:rsidRPr="00C5762E">
              <w:rPr>
                <w:rFonts w:ascii="Arial" w:eastAsiaTheme="minorHAnsi" w:hAnsi="Arial" w:cs="Arial"/>
                <w:sz w:val="18"/>
                <w:szCs w:val="18"/>
              </w:rPr>
              <w:t>Employee Network Groups and trade unions relations</w:t>
            </w:r>
          </w:p>
          <w:p w14:paraId="01BE439D"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Change the Race Ratio</w:t>
            </w:r>
          </w:p>
        </w:tc>
      </w:tr>
      <w:tr w:rsidR="009567BB" w:rsidRPr="00B318D0" w14:paraId="600CED69" w14:textId="77777777" w:rsidTr="00470234">
        <w:tc>
          <w:tcPr>
            <w:tcW w:w="1117" w:type="dxa"/>
          </w:tcPr>
          <w:p w14:paraId="2ABF2044" w14:textId="77777777" w:rsidR="009567BB" w:rsidRPr="003B00EF" w:rsidRDefault="009567BB" w:rsidP="00470234">
            <w:pPr>
              <w:spacing w:after="120" w:line="240" w:lineRule="auto"/>
              <w:rPr>
                <w:rFonts w:ascii="Arial" w:hAnsi="Arial" w:cs="Arial"/>
                <w:sz w:val="18"/>
                <w:szCs w:val="18"/>
              </w:rPr>
            </w:pPr>
            <w:r w:rsidRPr="003B00EF">
              <w:rPr>
                <w:rFonts w:ascii="Arial" w:hAnsi="Arial" w:cs="Arial"/>
                <w:sz w:val="18"/>
                <w:szCs w:val="18"/>
              </w:rPr>
              <w:t>Policy outcomes</w:t>
            </w:r>
          </w:p>
        </w:tc>
        <w:tc>
          <w:tcPr>
            <w:tcW w:w="3840" w:type="dxa"/>
            <w:gridSpan w:val="3"/>
          </w:tcPr>
          <w:p w14:paraId="01459AD0"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Minimising our impact on the environment</w:t>
            </w:r>
          </w:p>
          <w:p w14:paraId="6650C353"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Meeting our regulatory commitments</w:t>
            </w:r>
          </w:p>
          <w:p w14:paraId="436235F9" w14:textId="3D855A4B"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xml:space="preserve">Net Zero </w:t>
            </w:r>
          </w:p>
        </w:tc>
        <w:tc>
          <w:tcPr>
            <w:tcW w:w="4394" w:type="dxa"/>
            <w:gridSpan w:val="2"/>
          </w:tcPr>
          <w:p w14:paraId="29BD6933" w14:textId="516AB878"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Reduced workspace accidents and improved employee well</w:t>
            </w:r>
            <w:r w:rsidR="00C5762E" w:rsidRPr="00C5762E">
              <w:rPr>
                <w:rFonts w:ascii="Arial" w:eastAsiaTheme="minorHAnsi" w:hAnsi="Arial" w:cs="Arial"/>
                <w:sz w:val="18"/>
                <w:szCs w:val="18"/>
              </w:rPr>
              <w:t>being</w:t>
            </w:r>
          </w:p>
          <w:p w14:paraId="627997E7"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Board diversity target achievements</w:t>
            </w:r>
          </w:p>
          <w:p w14:paraId="6DC5529B"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Sustainability target</w:t>
            </w:r>
          </w:p>
          <w:p w14:paraId="45FEEE68"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Code of Conduct compliance</w:t>
            </w:r>
          </w:p>
        </w:tc>
      </w:tr>
      <w:tr w:rsidR="009567BB" w:rsidRPr="00B318D0" w14:paraId="04A67C07" w14:textId="77777777" w:rsidTr="006151DB">
        <w:tc>
          <w:tcPr>
            <w:tcW w:w="1117" w:type="dxa"/>
            <w:tcBorders>
              <w:bottom w:val="single" w:sz="4" w:space="0" w:color="auto"/>
            </w:tcBorders>
          </w:tcPr>
          <w:p w14:paraId="6AFCC8FB" w14:textId="77777777" w:rsidR="009567BB" w:rsidRPr="003B00EF" w:rsidRDefault="009567BB" w:rsidP="00470234">
            <w:pPr>
              <w:spacing w:after="120" w:line="240" w:lineRule="auto"/>
              <w:rPr>
                <w:rFonts w:ascii="Arial" w:hAnsi="Arial" w:cs="Arial"/>
                <w:sz w:val="18"/>
                <w:szCs w:val="18"/>
              </w:rPr>
            </w:pPr>
            <w:r w:rsidRPr="003B00EF">
              <w:rPr>
                <w:rFonts w:ascii="Arial" w:hAnsi="Arial" w:cs="Arial"/>
                <w:sz w:val="18"/>
                <w:szCs w:val="18"/>
              </w:rPr>
              <w:t>Principal risks</w:t>
            </w:r>
          </w:p>
        </w:tc>
        <w:tc>
          <w:tcPr>
            <w:tcW w:w="3840" w:type="dxa"/>
            <w:gridSpan w:val="3"/>
            <w:tcBorders>
              <w:bottom w:val="single" w:sz="4" w:space="0" w:color="auto"/>
            </w:tcBorders>
          </w:tcPr>
          <w:p w14:paraId="7EB73E57"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Failure to secure, treat and supply clean drinking water</w:t>
            </w:r>
          </w:p>
          <w:p w14:paraId="56DF84DE"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Failure to improve wastewater performance, resulting in environmental commitments not being delivered</w:t>
            </w:r>
          </w:p>
          <w:p w14:paraId="57F91CD4" w14:textId="6D417F72"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xml:space="preserve">Insufficient capacity and resilience of the supply chain to deliver the Company’s operational and capital programmes in </w:t>
            </w:r>
            <w:r w:rsidR="008A06FE" w:rsidRPr="00C5762E">
              <w:rPr>
                <w:rFonts w:ascii="Arial" w:eastAsiaTheme="minorHAnsi" w:hAnsi="Arial" w:cs="Arial"/>
                <w:sz w:val="18"/>
                <w:szCs w:val="18"/>
              </w:rPr>
              <w:t>AMP</w:t>
            </w:r>
            <w:r w:rsidRPr="00C5762E">
              <w:rPr>
                <w:rFonts w:ascii="Arial" w:eastAsiaTheme="minorHAnsi" w:hAnsi="Arial" w:cs="Arial"/>
                <w:sz w:val="18"/>
                <w:szCs w:val="18"/>
              </w:rPr>
              <w:t>8</w:t>
            </w:r>
          </w:p>
        </w:tc>
        <w:tc>
          <w:tcPr>
            <w:tcW w:w="4394" w:type="dxa"/>
            <w:gridSpan w:val="2"/>
            <w:tcBorders>
              <w:bottom w:val="single" w:sz="4" w:space="0" w:color="auto"/>
            </w:tcBorders>
          </w:tcPr>
          <w:p w14:paraId="0AD3C53D"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Non-compliance or occurrence of an avoidable health and safety incident</w:t>
            </w:r>
          </w:p>
          <w:p w14:paraId="79426EED"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Difficulty in recruiting and retaining staff with the skills required to deliver the Company’s strategy</w:t>
            </w:r>
          </w:p>
        </w:tc>
      </w:tr>
      <w:tr w:rsidR="009567BB" w:rsidRPr="00B318D0" w14:paraId="009E8730" w14:textId="77777777" w:rsidTr="006151DB">
        <w:tc>
          <w:tcPr>
            <w:tcW w:w="1117" w:type="dxa"/>
            <w:tcBorders>
              <w:bottom w:val="single" w:sz="4" w:space="0" w:color="auto"/>
            </w:tcBorders>
          </w:tcPr>
          <w:p w14:paraId="01F0CAD3" w14:textId="77777777" w:rsidR="009567BB" w:rsidRPr="00B318D0" w:rsidRDefault="009567BB" w:rsidP="00470234">
            <w:pPr>
              <w:spacing w:after="120" w:line="240" w:lineRule="auto"/>
              <w:rPr>
                <w:highlight w:val="yellow"/>
              </w:rPr>
            </w:pPr>
            <w:r w:rsidRPr="003B00EF">
              <w:rPr>
                <w:rFonts w:ascii="Arial" w:hAnsi="Arial" w:cs="Arial"/>
                <w:sz w:val="18"/>
                <w:szCs w:val="18"/>
              </w:rPr>
              <w:t>KPIs</w:t>
            </w:r>
          </w:p>
        </w:tc>
        <w:tc>
          <w:tcPr>
            <w:tcW w:w="3840" w:type="dxa"/>
            <w:gridSpan w:val="3"/>
            <w:tcBorders>
              <w:bottom w:val="single" w:sz="4" w:space="0" w:color="auto"/>
            </w:tcBorders>
          </w:tcPr>
          <w:p w14:paraId="526B773C" w14:textId="77777777" w:rsidR="008B6CEF" w:rsidRPr="008B6CEF" w:rsidRDefault="008A06FE" w:rsidP="00F148C7">
            <w:pPr>
              <w:pStyle w:val="ListParagraph"/>
              <w:numPr>
                <w:ilvl w:val="0"/>
                <w:numId w:val="35"/>
              </w:numPr>
              <w:spacing w:after="120"/>
              <w:ind w:left="331"/>
              <w:rPr>
                <w:rFonts w:ascii="Arial" w:hAnsi="Arial" w:cs="Arial"/>
                <w:sz w:val="18"/>
                <w:szCs w:val="18"/>
              </w:rPr>
            </w:pPr>
            <w:r w:rsidRPr="008B6CEF">
              <w:rPr>
                <w:rFonts w:ascii="Arial" w:eastAsiaTheme="minorHAnsi" w:hAnsi="Arial" w:cs="Arial"/>
                <w:sz w:val="18"/>
                <w:szCs w:val="18"/>
              </w:rPr>
              <w:t xml:space="preserve">Renewable Electricity Generation (GWh/year) </w:t>
            </w:r>
          </w:p>
          <w:p w14:paraId="68B74C17" w14:textId="2DEF5A64" w:rsidR="008A06FE" w:rsidRPr="008B6CEF" w:rsidRDefault="009567BB" w:rsidP="00F148C7">
            <w:pPr>
              <w:pStyle w:val="ListParagraph"/>
              <w:numPr>
                <w:ilvl w:val="0"/>
                <w:numId w:val="35"/>
              </w:numPr>
              <w:spacing w:after="120"/>
              <w:ind w:left="331"/>
              <w:rPr>
                <w:rFonts w:ascii="Arial" w:hAnsi="Arial" w:cs="Arial"/>
                <w:sz w:val="18"/>
                <w:szCs w:val="18"/>
              </w:rPr>
            </w:pPr>
            <w:r w:rsidRPr="008B6CEF">
              <w:rPr>
                <w:rFonts w:ascii="Arial" w:eastAsiaTheme="minorHAnsi" w:hAnsi="Arial" w:cs="Arial"/>
                <w:sz w:val="18"/>
                <w:szCs w:val="18"/>
              </w:rPr>
              <w:lastRenderedPageBreak/>
              <w:t xml:space="preserve">% reduction </w:t>
            </w:r>
            <w:r w:rsidR="008A06FE" w:rsidRPr="008B6CEF">
              <w:rPr>
                <w:rFonts w:ascii="Arial" w:hAnsi="Arial" w:cs="Arial"/>
                <w:sz w:val="18"/>
                <w:szCs w:val="18"/>
              </w:rPr>
              <w:t xml:space="preserve">in Scope 1 and 2 GHG emissions from a 2021/22 baseline </w:t>
            </w:r>
            <w:r w:rsidR="008A06FE" w:rsidRPr="008B6CEF">
              <w:rPr>
                <w:rFonts w:ascii="Arial" w:eastAsiaTheme="minorHAnsi" w:hAnsi="Arial" w:cs="Arial"/>
                <w:sz w:val="18"/>
                <w:szCs w:val="18"/>
              </w:rPr>
              <w:t xml:space="preserve">(science-based target) </w:t>
            </w:r>
          </w:p>
          <w:p w14:paraId="2E9F3375" w14:textId="6D6577F1" w:rsidR="009567BB" w:rsidRPr="00C5762E" w:rsidRDefault="009567BB" w:rsidP="00646F4F">
            <w:pPr>
              <w:pStyle w:val="ListParagraph"/>
              <w:numPr>
                <w:ilvl w:val="0"/>
                <w:numId w:val="35"/>
              </w:numPr>
              <w:spacing w:after="120"/>
              <w:ind w:left="331"/>
              <w:rPr>
                <w:rFonts w:ascii="Arial" w:hAnsi="Arial" w:cs="Arial"/>
                <w:sz w:val="18"/>
                <w:szCs w:val="18"/>
              </w:rPr>
            </w:pPr>
            <w:r w:rsidRPr="00C5762E">
              <w:rPr>
                <w:rFonts w:ascii="Arial" w:eastAsiaTheme="minorHAnsi" w:hAnsi="Arial" w:cs="Arial"/>
                <w:sz w:val="18"/>
                <w:szCs w:val="18"/>
              </w:rPr>
              <w:t>Tree planting</w:t>
            </w:r>
          </w:p>
          <w:p w14:paraId="2C85E42D" w14:textId="2B22CB20" w:rsidR="009567BB" w:rsidRPr="00C5762E" w:rsidRDefault="008A06FE"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Catchment management</w:t>
            </w:r>
            <w:r w:rsidR="009567BB" w:rsidRPr="00C5762E">
              <w:rPr>
                <w:rFonts w:ascii="Arial" w:eastAsiaTheme="minorHAnsi" w:hAnsi="Arial" w:cs="Arial"/>
                <w:sz w:val="18"/>
                <w:szCs w:val="18"/>
              </w:rPr>
              <w:t xml:space="preserve"> (hectares)</w:t>
            </w:r>
          </w:p>
        </w:tc>
        <w:tc>
          <w:tcPr>
            <w:tcW w:w="4394" w:type="dxa"/>
            <w:gridSpan w:val="2"/>
            <w:tcBorders>
              <w:bottom w:val="single" w:sz="4" w:space="0" w:color="auto"/>
            </w:tcBorders>
          </w:tcPr>
          <w:p w14:paraId="278F4F91"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lastRenderedPageBreak/>
              <w:t>LTI number</w:t>
            </w:r>
          </w:p>
          <w:p w14:paraId="630DEC54"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REACH recruitment</w:t>
            </w:r>
          </w:p>
          <w:p w14:paraId="28302B15"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t>% female employees</w:t>
            </w:r>
          </w:p>
          <w:p w14:paraId="5AF192ED" w14:textId="77777777" w:rsidR="009567BB" w:rsidRPr="00C5762E" w:rsidRDefault="009567BB" w:rsidP="00646F4F">
            <w:pPr>
              <w:pStyle w:val="ListParagraph"/>
              <w:numPr>
                <w:ilvl w:val="0"/>
                <w:numId w:val="35"/>
              </w:numPr>
              <w:spacing w:after="120"/>
              <w:ind w:left="331"/>
              <w:rPr>
                <w:rFonts w:ascii="Arial" w:eastAsiaTheme="minorHAnsi" w:hAnsi="Arial" w:cs="Arial"/>
                <w:sz w:val="18"/>
                <w:szCs w:val="18"/>
              </w:rPr>
            </w:pPr>
            <w:r w:rsidRPr="00C5762E">
              <w:rPr>
                <w:rFonts w:ascii="Arial" w:eastAsiaTheme="minorHAnsi" w:hAnsi="Arial" w:cs="Arial"/>
                <w:sz w:val="18"/>
                <w:szCs w:val="18"/>
              </w:rPr>
              <w:lastRenderedPageBreak/>
              <w:t>5% club achievement</w:t>
            </w:r>
          </w:p>
        </w:tc>
      </w:tr>
      <w:tr w:rsidR="006151DB" w:rsidRPr="00B318D0" w14:paraId="56FC024A" w14:textId="77777777" w:rsidTr="006151DB">
        <w:tc>
          <w:tcPr>
            <w:tcW w:w="1117" w:type="dxa"/>
            <w:tcBorders>
              <w:top w:val="single" w:sz="4" w:space="0" w:color="auto"/>
              <w:left w:val="nil"/>
              <w:bottom w:val="nil"/>
              <w:right w:val="nil"/>
            </w:tcBorders>
          </w:tcPr>
          <w:p w14:paraId="0ADB3D17" w14:textId="77777777" w:rsidR="006151DB" w:rsidRPr="003B00EF" w:rsidRDefault="006151DB" w:rsidP="00470234">
            <w:pPr>
              <w:spacing w:after="120" w:line="240" w:lineRule="auto"/>
              <w:rPr>
                <w:rFonts w:ascii="Arial" w:hAnsi="Arial" w:cs="Arial"/>
                <w:sz w:val="18"/>
                <w:szCs w:val="18"/>
              </w:rPr>
            </w:pPr>
          </w:p>
        </w:tc>
        <w:tc>
          <w:tcPr>
            <w:tcW w:w="3840" w:type="dxa"/>
            <w:gridSpan w:val="3"/>
            <w:tcBorders>
              <w:top w:val="single" w:sz="4" w:space="0" w:color="auto"/>
              <w:left w:val="nil"/>
              <w:bottom w:val="nil"/>
              <w:right w:val="nil"/>
            </w:tcBorders>
          </w:tcPr>
          <w:p w14:paraId="17C33EF3" w14:textId="77777777" w:rsidR="006151DB" w:rsidRPr="00C5762E" w:rsidRDefault="006151DB" w:rsidP="006151DB">
            <w:pPr>
              <w:pStyle w:val="ListParagraph"/>
              <w:spacing w:after="120"/>
              <w:ind w:left="331"/>
              <w:rPr>
                <w:rFonts w:ascii="Arial" w:hAnsi="Arial" w:cs="Arial"/>
                <w:sz w:val="18"/>
                <w:szCs w:val="18"/>
              </w:rPr>
            </w:pPr>
          </w:p>
        </w:tc>
        <w:tc>
          <w:tcPr>
            <w:tcW w:w="4394" w:type="dxa"/>
            <w:gridSpan w:val="2"/>
            <w:tcBorders>
              <w:top w:val="single" w:sz="4" w:space="0" w:color="auto"/>
              <w:left w:val="nil"/>
              <w:bottom w:val="nil"/>
              <w:right w:val="nil"/>
            </w:tcBorders>
          </w:tcPr>
          <w:p w14:paraId="3852AE78" w14:textId="77777777" w:rsidR="006151DB" w:rsidRPr="00C5762E" w:rsidRDefault="006151DB" w:rsidP="006151DB">
            <w:pPr>
              <w:pStyle w:val="ListParagraph"/>
              <w:spacing w:after="120"/>
              <w:ind w:left="331"/>
              <w:rPr>
                <w:rFonts w:ascii="Arial" w:hAnsi="Arial" w:cs="Arial"/>
                <w:sz w:val="18"/>
                <w:szCs w:val="18"/>
              </w:rPr>
            </w:pPr>
          </w:p>
        </w:tc>
      </w:tr>
      <w:tr w:rsidR="009567BB" w:rsidRPr="00B318D0" w14:paraId="301EB373" w14:textId="77777777" w:rsidTr="0091058C">
        <w:tc>
          <w:tcPr>
            <w:tcW w:w="1129" w:type="dxa"/>
            <w:gridSpan w:val="2"/>
            <w:tcBorders>
              <w:top w:val="nil"/>
            </w:tcBorders>
            <w:shd w:val="clear" w:color="auto" w:fill="002060"/>
          </w:tcPr>
          <w:p w14:paraId="5CB4DDEE" w14:textId="77777777" w:rsidR="009567BB" w:rsidRPr="00B318D0" w:rsidRDefault="009567BB" w:rsidP="00470234">
            <w:pPr>
              <w:rPr>
                <w:rFonts w:ascii="Arial" w:hAnsi="Arial" w:cs="Arial"/>
                <w:color w:val="FFFFFF" w:themeColor="background1"/>
                <w:sz w:val="18"/>
                <w:szCs w:val="18"/>
                <w:highlight w:val="yellow"/>
              </w:rPr>
            </w:pPr>
          </w:p>
        </w:tc>
        <w:tc>
          <w:tcPr>
            <w:tcW w:w="2977" w:type="dxa"/>
            <w:tcBorders>
              <w:top w:val="nil"/>
            </w:tcBorders>
            <w:shd w:val="clear" w:color="auto" w:fill="002060"/>
          </w:tcPr>
          <w:p w14:paraId="21B2D4B9" w14:textId="77777777" w:rsidR="009567BB" w:rsidRPr="00B318D0" w:rsidRDefault="009567BB" w:rsidP="00470234">
            <w:pPr>
              <w:rPr>
                <w:rFonts w:ascii="Arial" w:hAnsi="Arial" w:cs="Arial"/>
                <w:b/>
                <w:bCs/>
                <w:color w:val="FFFFFF" w:themeColor="background1"/>
                <w:sz w:val="18"/>
                <w:szCs w:val="18"/>
                <w:highlight w:val="yellow"/>
              </w:rPr>
            </w:pPr>
            <w:r w:rsidRPr="006151DB">
              <w:rPr>
                <w:rFonts w:ascii="Arial" w:hAnsi="Arial" w:cs="Arial"/>
                <w:b/>
                <w:bCs/>
                <w:color w:val="FFFFFF" w:themeColor="background1"/>
                <w:sz w:val="18"/>
                <w:szCs w:val="18"/>
              </w:rPr>
              <w:t>Social matters</w:t>
            </w:r>
          </w:p>
        </w:tc>
        <w:tc>
          <w:tcPr>
            <w:tcW w:w="2655" w:type="dxa"/>
            <w:gridSpan w:val="2"/>
            <w:tcBorders>
              <w:top w:val="nil"/>
            </w:tcBorders>
            <w:shd w:val="clear" w:color="auto" w:fill="002060"/>
          </w:tcPr>
          <w:p w14:paraId="6497734E" w14:textId="77777777" w:rsidR="009567BB" w:rsidRPr="00B318D0" w:rsidRDefault="009567BB" w:rsidP="00470234">
            <w:pPr>
              <w:rPr>
                <w:rFonts w:ascii="Arial" w:hAnsi="Arial" w:cs="Arial"/>
                <w:b/>
                <w:bCs/>
                <w:color w:val="FFFFFF" w:themeColor="background1"/>
                <w:sz w:val="18"/>
                <w:szCs w:val="18"/>
                <w:highlight w:val="yellow"/>
              </w:rPr>
            </w:pPr>
            <w:r w:rsidRPr="0091058C">
              <w:rPr>
                <w:rFonts w:ascii="Arial" w:hAnsi="Arial" w:cs="Arial"/>
                <w:b/>
                <w:bCs/>
                <w:color w:val="FFFFFF" w:themeColor="background1"/>
                <w:sz w:val="18"/>
                <w:szCs w:val="18"/>
              </w:rPr>
              <w:t>Human rights</w:t>
            </w:r>
          </w:p>
        </w:tc>
        <w:tc>
          <w:tcPr>
            <w:tcW w:w="2590" w:type="dxa"/>
            <w:tcBorders>
              <w:top w:val="nil"/>
            </w:tcBorders>
            <w:shd w:val="clear" w:color="auto" w:fill="002060"/>
          </w:tcPr>
          <w:p w14:paraId="212F56B9" w14:textId="77777777" w:rsidR="009567BB" w:rsidRPr="00B318D0" w:rsidRDefault="009567BB" w:rsidP="00470234">
            <w:pPr>
              <w:rPr>
                <w:rFonts w:ascii="Arial" w:hAnsi="Arial" w:cs="Arial"/>
                <w:b/>
                <w:bCs/>
                <w:color w:val="FFFFFF" w:themeColor="background1"/>
                <w:sz w:val="18"/>
                <w:szCs w:val="18"/>
                <w:highlight w:val="yellow"/>
              </w:rPr>
            </w:pPr>
            <w:r w:rsidRPr="003506FC">
              <w:rPr>
                <w:rFonts w:ascii="Arial" w:hAnsi="Arial" w:cs="Arial"/>
                <w:b/>
                <w:bCs/>
                <w:color w:val="FFFFFF" w:themeColor="background1"/>
                <w:sz w:val="18"/>
                <w:szCs w:val="18"/>
              </w:rPr>
              <w:t>Anti-corruption</w:t>
            </w:r>
          </w:p>
        </w:tc>
      </w:tr>
      <w:tr w:rsidR="009567BB" w:rsidRPr="00B318D0" w14:paraId="42478212" w14:textId="77777777" w:rsidTr="0091058C">
        <w:tc>
          <w:tcPr>
            <w:tcW w:w="1129" w:type="dxa"/>
            <w:gridSpan w:val="2"/>
          </w:tcPr>
          <w:p w14:paraId="24D71E1E" w14:textId="44182407" w:rsidR="009567BB" w:rsidRPr="009A2CAE" w:rsidRDefault="006151DB" w:rsidP="00470234">
            <w:pPr>
              <w:rPr>
                <w:rFonts w:ascii="Arial" w:eastAsiaTheme="minorHAnsi" w:hAnsi="Arial" w:cs="Arial"/>
                <w:sz w:val="18"/>
                <w:szCs w:val="18"/>
              </w:rPr>
            </w:pPr>
            <w:r w:rsidRPr="00735726">
              <w:rPr>
                <w:rFonts w:ascii="Arial" w:hAnsi="Arial" w:cs="Arial"/>
                <w:sz w:val="18"/>
                <w:szCs w:val="18"/>
              </w:rPr>
              <w:t>Time horizon</w:t>
            </w:r>
          </w:p>
        </w:tc>
        <w:tc>
          <w:tcPr>
            <w:tcW w:w="2977" w:type="dxa"/>
          </w:tcPr>
          <w:p w14:paraId="59AA405F" w14:textId="4ABAAEB0" w:rsidR="009567BB" w:rsidRPr="009A2CAE" w:rsidRDefault="006151DB" w:rsidP="006151DB">
            <w:pPr>
              <w:rPr>
                <w:rFonts w:ascii="Arial" w:hAnsi="Arial" w:cs="Arial"/>
                <w:sz w:val="18"/>
                <w:szCs w:val="18"/>
              </w:rPr>
            </w:pPr>
            <w:r w:rsidRPr="00735726">
              <w:rPr>
                <w:rFonts w:ascii="Arial" w:hAnsi="Arial" w:cs="Arial"/>
                <w:sz w:val="18"/>
                <w:szCs w:val="18"/>
              </w:rPr>
              <w:t>We work closely with our customers, communities and partners on the things that matter most to them and have regular engagement with them. Supporting our customers is a priority. Not only providing safe, clean</w:t>
            </w:r>
            <w:r w:rsidR="003E6BA8" w:rsidRPr="00735726">
              <w:rPr>
                <w:rFonts w:ascii="Arial" w:hAnsi="Arial" w:cs="Arial"/>
                <w:sz w:val="18"/>
                <w:szCs w:val="18"/>
              </w:rPr>
              <w:t xml:space="preserve"> </w:t>
            </w:r>
            <w:r w:rsidRPr="00735726">
              <w:rPr>
                <w:rFonts w:ascii="Arial" w:hAnsi="Arial" w:cs="Arial"/>
                <w:sz w:val="18"/>
                <w:szCs w:val="18"/>
              </w:rPr>
              <w:t>drinking water, but supporting them financially when it</w:t>
            </w:r>
            <w:r w:rsidR="003E6BA8" w:rsidRPr="00735726">
              <w:rPr>
                <w:rFonts w:ascii="Arial" w:hAnsi="Arial" w:cs="Arial"/>
                <w:sz w:val="18"/>
                <w:szCs w:val="18"/>
              </w:rPr>
              <w:t xml:space="preserve"> </w:t>
            </w:r>
            <w:r w:rsidRPr="00735726">
              <w:rPr>
                <w:rFonts w:ascii="Arial" w:hAnsi="Arial" w:cs="Arial"/>
                <w:sz w:val="18"/>
                <w:szCs w:val="18"/>
              </w:rPr>
              <w:t>matters most. We are committed to keeping bills as low</w:t>
            </w:r>
            <w:r w:rsidR="003E6BA8" w:rsidRPr="00735726">
              <w:rPr>
                <w:rFonts w:ascii="Arial" w:hAnsi="Arial" w:cs="Arial"/>
                <w:sz w:val="18"/>
                <w:szCs w:val="18"/>
              </w:rPr>
              <w:t xml:space="preserve"> </w:t>
            </w:r>
            <w:r w:rsidRPr="00735726">
              <w:rPr>
                <w:rFonts w:ascii="Arial" w:hAnsi="Arial" w:cs="Arial"/>
                <w:sz w:val="18"/>
                <w:szCs w:val="18"/>
              </w:rPr>
              <w:t>as possible</w:t>
            </w:r>
            <w:r w:rsidR="008B6CEF" w:rsidRPr="00735726">
              <w:rPr>
                <w:rFonts w:ascii="Arial" w:hAnsi="Arial" w:cs="Arial"/>
                <w:sz w:val="18"/>
                <w:szCs w:val="18"/>
              </w:rPr>
              <w:t>.</w:t>
            </w:r>
          </w:p>
          <w:p w14:paraId="203CF0BE" w14:textId="59AE1A83" w:rsidR="006151DB" w:rsidRPr="009A2CAE" w:rsidRDefault="006151DB" w:rsidP="003506FC">
            <w:r w:rsidRPr="00735726">
              <w:rPr>
                <w:rFonts w:ascii="Arial" w:hAnsi="Arial" w:cs="Arial"/>
                <w:sz w:val="18"/>
                <w:szCs w:val="18"/>
              </w:rPr>
              <w:t>Our approach to community relations and investment</w:t>
            </w:r>
            <w:r w:rsidR="003E6BA8" w:rsidRPr="00735726">
              <w:rPr>
                <w:rFonts w:ascii="Arial" w:hAnsi="Arial" w:cs="Arial"/>
                <w:sz w:val="18"/>
                <w:szCs w:val="18"/>
              </w:rPr>
              <w:t xml:space="preserve"> </w:t>
            </w:r>
            <w:r w:rsidRPr="00735726">
              <w:rPr>
                <w:rFonts w:ascii="Arial" w:hAnsi="Arial" w:cs="Arial"/>
                <w:sz w:val="18"/>
                <w:szCs w:val="18"/>
              </w:rPr>
              <w:t>enables strong and clear governance, making positive</w:t>
            </w:r>
            <w:r w:rsidR="003E6BA8" w:rsidRPr="00735726">
              <w:rPr>
                <w:rFonts w:ascii="Arial" w:hAnsi="Arial" w:cs="Arial"/>
                <w:sz w:val="18"/>
                <w:szCs w:val="18"/>
              </w:rPr>
              <w:t xml:space="preserve"> </w:t>
            </w:r>
            <w:r w:rsidRPr="00735726">
              <w:rPr>
                <w:rFonts w:ascii="Arial" w:hAnsi="Arial" w:cs="Arial"/>
                <w:sz w:val="18"/>
                <w:szCs w:val="18"/>
              </w:rPr>
              <w:t>community investments which create value, and benefits</w:t>
            </w:r>
            <w:r w:rsidR="003E6BA8" w:rsidRPr="00735726">
              <w:rPr>
                <w:rFonts w:ascii="Arial" w:hAnsi="Arial" w:cs="Arial"/>
                <w:sz w:val="18"/>
                <w:szCs w:val="18"/>
              </w:rPr>
              <w:t xml:space="preserve"> </w:t>
            </w:r>
            <w:r w:rsidRPr="00735726">
              <w:rPr>
                <w:rFonts w:ascii="Arial" w:hAnsi="Arial" w:cs="Arial"/>
                <w:sz w:val="18"/>
                <w:szCs w:val="18"/>
              </w:rPr>
              <w:t>both the community and the business. Through our</w:t>
            </w:r>
            <w:r w:rsidR="003E6BA8" w:rsidRPr="00735726">
              <w:rPr>
                <w:rFonts w:ascii="Arial" w:hAnsi="Arial" w:cs="Arial"/>
                <w:sz w:val="18"/>
                <w:szCs w:val="18"/>
              </w:rPr>
              <w:t xml:space="preserve"> B</w:t>
            </w:r>
            <w:r w:rsidRPr="00735726">
              <w:rPr>
                <w:rFonts w:ascii="Arial" w:hAnsi="Arial" w:cs="Arial"/>
                <w:sz w:val="18"/>
                <w:szCs w:val="18"/>
              </w:rPr>
              <w:t>etter Futures Fund, we are supporting local projects</w:t>
            </w:r>
            <w:r w:rsidR="003E6BA8" w:rsidRPr="00735726">
              <w:rPr>
                <w:rFonts w:ascii="Arial" w:hAnsi="Arial" w:cs="Arial"/>
                <w:sz w:val="18"/>
                <w:szCs w:val="18"/>
              </w:rPr>
              <w:t xml:space="preserve"> </w:t>
            </w:r>
            <w:r w:rsidRPr="00735726">
              <w:rPr>
                <w:rFonts w:ascii="Arial" w:hAnsi="Arial" w:cs="Arial"/>
                <w:sz w:val="18"/>
                <w:szCs w:val="18"/>
              </w:rPr>
              <w:t>that enhance wellbeing, protect the environment,</w:t>
            </w:r>
            <w:r w:rsidR="003E6BA8" w:rsidRPr="00735726">
              <w:rPr>
                <w:rFonts w:ascii="Arial" w:hAnsi="Arial" w:cs="Arial"/>
                <w:sz w:val="18"/>
                <w:szCs w:val="18"/>
              </w:rPr>
              <w:t xml:space="preserve"> </w:t>
            </w:r>
            <w:r w:rsidRPr="00735726">
              <w:rPr>
                <w:rFonts w:ascii="Arial" w:hAnsi="Arial" w:cs="Arial"/>
                <w:sz w:val="18"/>
                <w:szCs w:val="18"/>
              </w:rPr>
              <w:t xml:space="preserve">and strengthen communities across the </w:t>
            </w:r>
            <w:proofErr w:type="gramStart"/>
            <w:r w:rsidRPr="00735726">
              <w:rPr>
                <w:rFonts w:ascii="Arial" w:hAnsi="Arial" w:cs="Arial"/>
                <w:sz w:val="18"/>
                <w:szCs w:val="18"/>
              </w:rPr>
              <w:t>South West</w:t>
            </w:r>
            <w:proofErr w:type="gramEnd"/>
            <w:r w:rsidRPr="00735726">
              <w:rPr>
                <w:rFonts w:ascii="Arial" w:hAnsi="Arial" w:cs="Arial"/>
                <w:sz w:val="18"/>
                <w:szCs w:val="18"/>
              </w:rPr>
              <w:t>,</w:t>
            </w:r>
            <w:r w:rsidR="003E6BA8" w:rsidRPr="00735726">
              <w:rPr>
                <w:rFonts w:ascii="Arial" w:hAnsi="Arial" w:cs="Arial"/>
                <w:sz w:val="18"/>
                <w:szCs w:val="18"/>
              </w:rPr>
              <w:t xml:space="preserve"> </w:t>
            </w:r>
            <w:r w:rsidRPr="00735726">
              <w:rPr>
                <w:rFonts w:ascii="Arial" w:hAnsi="Arial" w:cs="Arial"/>
                <w:sz w:val="18"/>
                <w:szCs w:val="18"/>
              </w:rPr>
              <w:t>Bournemouth</w:t>
            </w:r>
            <w:r w:rsidR="003E6BA8" w:rsidRPr="00735726">
              <w:rPr>
                <w:rFonts w:ascii="Arial" w:hAnsi="Arial" w:cs="Arial"/>
                <w:sz w:val="18"/>
                <w:szCs w:val="18"/>
              </w:rPr>
              <w:t xml:space="preserve"> and </w:t>
            </w:r>
            <w:r w:rsidRPr="00735726">
              <w:rPr>
                <w:rFonts w:ascii="Arial" w:hAnsi="Arial" w:cs="Arial"/>
                <w:sz w:val="18"/>
                <w:szCs w:val="18"/>
              </w:rPr>
              <w:t>Bristol, regions.</w:t>
            </w:r>
          </w:p>
        </w:tc>
        <w:tc>
          <w:tcPr>
            <w:tcW w:w="2655" w:type="dxa"/>
            <w:gridSpan w:val="2"/>
          </w:tcPr>
          <w:p w14:paraId="731D18BE" w14:textId="4F6EAE47" w:rsidR="0091058C" w:rsidRPr="00735726" w:rsidRDefault="0091058C" w:rsidP="0091058C">
            <w:pPr>
              <w:spacing w:after="0"/>
              <w:rPr>
                <w:rFonts w:ascii="Arial" w:hAnsi="Arial" w:cs="Arial"/>
                <w:sz w:val="18"/>
                <w:szCs w:val="18"/>
              </w:rPr>
            </w:pPr>
            <w:r w:rsidRPr="00735726">
              <w:rPr>
                <w:rFonts w:ascii="Arial" w:hAnsi="Arial" w:cs="Arial"/>
                <w:sz w:val="18"/>
                <w:szCs w:val="18"/>
              </w:rPr>
              <w:t>We are committed to promoting and maintaining the highest level of ethical standards in relation to how we do business. We uphold internationally recognised</w:t>
            </w:r>
          </w:p>
          <w:p w14:paraId="61FA9A70" w14:textId="0FB6489A" w:rsidR="0091058C" w:rsidRPr="00735726" w:rsidRDefault="0091058C" w:rsidP="0091058C">
            <w:pPr>
              <w:spacing w:after="0"/>
              <w:rPr>
                <w:rFonts w:ascii="Arial" w:hAnsi="Arial" w:cs="Arial"/>
                <w:sz w:val="18"/>
                <w:szCs w:val="18"/>
              </w:rPr>
            </w:pPr>
            <w:r w:rsidRPr="00735726">
              <w:rPr>
                <w:rFonts w:ascii="Arial" w:hAnsi="Arial" w:cs="Arial"/>
                <w:sz w:val="18"/>
                <w:szCs w:val="18"/>
              </w:rPr>
              <w:t>human rights standards in all our operations consistently throughout the Company. Our policies help prevent and</w:t>
            </w:r>
          </w:p>
          <w:p w14:paraId="6603AF20" w14:textId="77777777" w:rsidR="0091058C" w:rsidRPr="00735726" w:rsidRDefault="0091058C" w:rsidP="0091058C">
            <w:pPr>
              <w:spacing w:after="0"/>
              <w:rPr>
                <w:rFonts w:ascii="Arial" w:hAnsi="Arial" w:cs="Arial"/>
                <w:sz w:val="18"/>
                <w:szCs w:val="18"/>
              </w:rPr>
            </w:pPr>
            <w:r w:rsidRPr="00735726">
              <w:rPr>
                <w:rFonts w:ascii="Arial" w:hAnsi="Arial" w:cs="Arial"/>
                <w:sz w:val="18"/>
                <w:szCs w:val="18"/>
              </w:rPr>
              <w:t>address any human rights impacts on our business</w:t>
            </w:r>
          </w:p>
          <w:p w14:paraId="4E9DFEA0" w14:textId="77777777" w:rsidR="009567BB" w:rsidRPr="00735726" w:rsidRDefault="0091058C" w:rsidP="0091058C">
            <w:pPr>
              <w:spacing w:after="0"/>
              <w:rPr>
                <w:rFonts w:ascii="Arial" w:eastAsiaTheme="minorHAnsi" w:hAnsi="Arial" w:cs="Arial"/>
                <w:sz w:val="18"/>
                <w:szCs w:val="18"/>
              </w:rPr>
            </w:pPr>
            <w:r w:rsidRPr="00735726">
              <w:rPr>
                <w:rFonts w:ascii="Arial" w:eastAsiaTheme="minorHAnsi" w:hAnsi="Arial" w:cs="Arial"/>
                <w:sz w:val="18"/>
                <w:szCs w:val="18"/>
              </w:rPr>
              <w:t>activities and relationships.</w:t>
            </w:r>
          </w:p>
          <w:p w14:paraId="50FAF8F1" w14:textId="77777777" w:rsidR="0091058C" w:rsidRPr="00735726" w:rsidRDefault="0091058C" w:rsidP="0091058C">
            <w:pPr>
              <w:spacing w:after="0"/>
              <w:rPr>
                <w:rFonts w:ascii="Arial" w:eastAsiaTheme="minorHAnsi" w:hAnsi="Arial" w:cs="Arial"/>
                <w:sz w:val="18"/>
                <w:szCs w:val="18"/>
              </w:rPr>
            </w:pPr>
          </w:p>
          <w:p w14:paraId="5F8000EE" w14:textId="1C775A25" w:rsidR="0091058C" w:rsidRPr="00735726" w:rsidRDefault="0091058C" w:rsidP="0091058C">
            <w:pPr>
              <w:spacing w:after="0"/>
              <w:rPr>
                <w:rFonts w:ascii="Arial" w:hAnsi="Arial" w:cs="Arial"/>
                <w:sz w:val="18"/>
                <w:szCs w:val="18"/>
              </w:rPr>
            </w:pPr>
            <w:r w:rsidRPr="00735726">
              <w:rPr>
                <w:rFonts w:ascii="Arial" w:hAnsi="Arial" w:cs="Arial"/>
                <w:sz w:val="18"/>
                <w:szCs w:val="18"/>
              </w:rPr>
              <w:t xml:space="preserve">We obligate </w:t>
            </w:r>
            <w:proofErr w:type="gramStart"/>
            <w:r w:rsidRPr="00735726">
              <w:rPr>
                <w:rFonts w:ascii="Arial" w:hAnsi="Arial" w:cs="Arial"/>
                <w:sz w:val="18"/>
                <w:szCs w:val="18"/>
              </w:rPr>
              <w:t>all of</w:t>
            </w:r>
            <w:proofErr w:type="gramEnd"/>
            <w:r w:rsidRPr="00735726">
              <w:rPr>
                <w:rFonts w:ascii="Arial" w:hAnsi="Arial" w:cs="Arial"/>
                <w:sz w:val="18"/>
                <w:szCs w:val="18"/>
              </w:rPr>
              <w:t xml:space="preserve"> our partners and suppliers to comply with our policies, which include our Code of Conduct and Anti-Modern Slavery and Human Rights Policy through our supplier terms and conditions. Our Modern Slavery Statement identifies the activities we conduct annually</w:t>
            </w:r>
          </w:p>
          <w:p w14:paraId="4CB09B61" w14:textId="77777777" w:rsidR="0091058C" w:rsidRPr="00735726" w:rsidRDefault="0091058C" w:rsidP="0091058C">
            <w:pPr>
              <w:spacing w:after="0"/>
              <w:rPr>
                <w:rFonts w:ascii="Arial" w:hAnsi="Arial" w:cs="Arial"/>
                <w:sz w:val="18"/>
                <w:szCs w:val="18"/>
              </w:rPr>
            </w:pPr>
            <w:r w:rsidRPr="00735726">
              <w:rPr>
                <w:rFonts w:ascii="Arial" w:hAnsi="Arial" w:cs="Arial"/>
                <w:sz w:val="18"/>
                <w:szCs w:val="18"/>
              </w:rPr>
              <w:t>and our Code of Conduct for Supply Chain Partners further</w:t>
            </w:r>
          </w:p>
          <w:p w14:paraId="2E45BED1" w14:textId="77777777" w:rsidR="0091058C" w:rsidRPr="00735726" w:rsidRDefault="0091058C" w:rsidP="0091058C">
            <w:pPr>
              <w:spacing w:after="0"/>
              <w:rPr>
                <w:rFonts w:ascii="Arial" w:hAnsi="Arial" w:cs="Arial"/>
                <w:sz w:val="18"/>
                <w:szCs w:val="18"/>
              </w:rPr>
            </w:pPr>
            <w:r w:rsidRPr="00735726">
              <w:rPr>
                <w:rFonts w:ascii="Arial" w:hAnsi="Arial" w:cs="Arial"/>
                <w:sz w:val="18"/>
                <w:szCs w:val="18"/>
              </w:rPr>
              <w:t>aligns our supply chain to the standards we expect of</w:t>
            </w:r>
          </w:p>
          <w:p w14:paraId="5CEC7ED1" w14:textId="44B624F4" w:rsidR="0091058C" w:rsidRPr="009A2CAE" w:rsidRDefault="0091058C" w:rsidP="0091058C">
            <w:pPr>
              <w:spacing w:after="0"/>
              <w:rPr>
                <w:rFonts w:ascii="Arial" w:eastAsiaTheme="minorHAnsi" w:hAnsi="Arial" w:cs="Arial"/>
                <w:sz w:val="18"/>
                <w:szCs w:val="18"/>
              </w:rPr>
            </w:pPr>
            <w:r w:rsidRPr="00735726">
              <w:rPr>
                <w:rFonts w:ascii="Arial" w:eastAsiaTheme="minorHAnsi" w:hAnsi="Arial" w:cs="Arial"/>
                <w:sz w:val="18"/>
                <w:szCs w:val="18"/>
              </w:rPr>
              <w:t>ourselves and others.</w:t>
            </w:r>
          </w:p>
        </w:tc>
        <w:tc>
          <w:tcPr>
            <w:tcW w:w="2590" w:type="dxa"/>
          </w:tcPr>
          <w:p w14:paraId="3EE3FD1A" w14:textId="413998F7" w:rsidR="009567BB" w:rsidRPr="00735726" w:rsidRDefault="003506FC" w:rsidP="003506FC">
            <w:pPr>
              <w:rPr>
                <w:rFonts w:ascii="Arial" w:eastAsiaTheme="minorHAnsi" w:hAnsi="Arial" w:cs="Arial"/>
                <w:sz w:val="18"/>
                <w:szCs w:val="18"/>
              </w:rPr>
            </w:pPr>
            <w:r w:rsidRPr="00735726">
              <w:rPr>
                <w:rFonts w:ascii="Arial" w:hAnsi="Arial" w:cs="Arial"/>
                <w:sz w:val="18"/>
                <w:szCs w:val="18"/>
              </w:rPr>
              <w:t xml:space="preserve">We have a </w:t>
            </w:r>
            <w:proofErr w:type="gramStart"/>
            <w:r w:rsidRPr="00735726">
              <w:rPr>
                <w:rFonts w:ascii="Arial" w:hAnsi="Arial" w:cs="Arial"/>
                <w:sz w:val="18"/>
                <w:szCs w:val="18"/>
              </w:rPr>
              <w:t>zero tolerance</w:t>
            </w:r>
            <w:proofErr w:type="gramEnd"/>
            <w:r w:rsidRPr="00735726">
              <w:rPr>
                <w:rFonts w:ascii="Arial" w:hAnsi="Arial" w:cs="Arial"/>
                <w:sz w:val="18"/>
                <w:szCs w:val="18"/>
              </w:rPr>
              <w:t xml:space="preserve"> policy towards financial crime and we’re committed to implementing and enforcing effective systems to counter them. We require everyone who works for us, to </w:t>
            </w:r>
            <w:proofErr w:type="gramStart"/>
            <w:r w:rsidRPr="00735726">
              <w:rPr>
                <w:rFonts w:ascii="Arial" w:hAnsi="Arial" w:cs="Arial"/>
                <w:sz w:val="18"/>
                <w:szCs w:val="18"/>
              </w:rPr>
              <w:t>act honestly and with integrity at all times</w:t>
            </w:r>
            <w:proofErr w:type="gramEnd"/>
            <w:r w:rsidRPr="00735726">
              <w:rPr>
                <w:rFonts w:ascii="Arial" w:hAnsi="Arial" w:cs="Arial"/>
                <w:sz w:val="18"/>
                <w:szCs w:val="18"/>
              </w:rPr>
              <w:t xml:space="preserve">. We will not tolerate anyone employed by us, or associated with us, regardless of location or position to be </w:t>
            </w:r>
            <w:r w:rsidRPr="00735726">
              <w:rPr>
                <w:rFonts w:ascii="Arial" w:eastAsiaTheme="minorHAnsi" w:hAnsi="Arial" w:cs="Arial"/>
                <w:sz w:val="18"/>
                <w:szCs w:val="18"/>
              </w:rPr>
              <w:t xml:space="preserve">involved in any level of financial crime. </w:t>
            </w:r>
          </w:p>
          <w:p w14:paraId="7316870A" w14:textId="4566DA68" w:rsidR="003506FC" w:rsidRPr="009A2CAE" w:rsidRDefault="003506FC" w:rsidP="003506FC">
            <w:pPr>
              <w:rPr>
                <w:rFonts w:ascii="Arial" w:eastAsiaTheme="minorHAnsi" w:hAnsi="Arial" w:cs="Arial"/>
                <w:sz w:val="18"/>
                <w:szCs w:val="18"/>
              </w:rPr>
            </w:pPr>
            <w:r w:rsidRPr="00735726">
              <w:rPr>
                <w:rFonts w:ascii="Arial" w:hAnsi="Arial" w:cs="Arial"/>
                <w:sz w:val="18"/>
                <w:szCs w:val="18"/>
              </w:rPr>
              <w:t xml:space="preserve">Anyone who works with or for the Company must comply with our consolidated Anti-Financial Crime Policy and is encouraged to report any breaches to Legal Compliance or through the </w:t>
            </w:r>
            <w:proofErr w:type="gramStart"/>
            <w:r w:rsidR="00C9669D" w:rsidRPr="00735726">
              <w:rPr>
                <w:rFonts w:ascii="Arial" w:hAnsi="Arial" w:cs="Arial"/>
                <w:sz w:val="18"/>
                <w:szCs w:val="18"/>
              </w:rPr>
              <w:t>South West</w:t>
            </w:r>
            <w:proofErr w:type="gramEnd"/>
            <w:r w:rsidR="00C9669D" w:rsidRPr="00735726">
              <w:rPr>
                <w:rFonts w:ascii="Arial" w:hAnsi="Arial" w:cs="Arial"/>
                <w:sz w:val="18"/>
                <w:szCs w:val="18"/>
              </w:rPr>
              <w:t xml:space="preserve"> Water </w:t>
            </w:r>
            <w:r w:rsidRPr="00735726">
              <w:rPr>
                <w:rFonts w:ascii="Arial" w:hAnsi="Arial" w:cs="Arial"/>
                <w:sz w:val="18"/>
                <w:szCs w:val="18"/>
              </w:rPr>
              <w:t xml:space="preserve">whistleblowing reporting Speak Up portal which is provided by a third party to enable completely anonymous reporting of </w:t>
            </w:r>
            <w:r w:rsidRPr="00735726">
              <w:rPr>
                <w:rFonts w:ascii="Arial" w:eastAsiaTheme="minorHAnsi" w:hAnsi="Arial" w:cs="Arial"/>
                <w:sz w:val="18"/>
                <w:szCs w:val="18"/>
              </w:rPr>
              <w:t>concerns.</w:t>
            </w:r>
          </w:p>
        </w:tc>
      </w:tr>
      <w:tr w:rsidR="006151DB" w:rsidRPr="00B318D0" w14:paraId="1C43B841" w14:textId="77777777" w:rsidTr="0091058C">
        <w:tc>
          <w:tcPr>
            <w:tcW w:w="1129" w:type="dxa"/>
            <w:gridSpan w:val="2"/>
          </w:tcPr>
          <w:p w14:paraId="4C55B4B2" w14:textId="6447E071" w:rsidR="006151DB" w:rsidRPr="009A2CAE" w:rsidRDefault="006151DB" w:rsidP="006151DB">
            <w:pPr>
              <w:rPr>
                <w:rFonts w:ascii="Arial" w:eastAsiaTheme="minorHAnsi" w:hAnsi="Arial" w:cs="Arial"/>
                <w:sz w:val="18"/>
                <w:szCs w:val="18"/>
              </w:rPr>
            </w:pPr>
            <w:r w:rsidRPr="00735726">
              <w:rPr>
                <w:rFonts w:ascii="Arial" w:hAnsi="Arial" w:cs="Arial"/>
                <w:sz w:val="18"/>
                <w:szCs w:val="18"/>
              </w:rPr>
              <w:t>Read more</w:t>
            </w:r>
          </w:p>
        </w:tc>
        <w:tc>
          <w:tcPr>
            <w:tcW w:w="2977" w:type="dxa"/>
          </w:tcPr>
          <w:p w14:paraId="0F01E76F" w14:textId="714CF765" w:rsidR="006151DB" w:rsidRPr="009A2CAE"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 xml:space="preserve">Stakeholder engagement </w:t>
            </w:r>
            <w:r w:rsidR="006C1BA9" w:rsidRPr="00735726">
              <w:rPr>
                <w:rFonts w:ascii="Arial" w:eastAsiaTheme="minorHAnsi" w:hAnsi="Arial" w:cs="Arial"/>
                <w:sz w:val="18"/>
                <w:szCs w:val="18"/>
              </w:rPr>
              <w:t xml:space="preserve">- </w:t>
            </w:r>
            <w:r w:rsidR="003E6BA8" w:rsidRPr="00735726">
              <w:rPr>
                <w:rFonts w:ascii="Arial" w:eastAsiaTheme="minorHAnsi" w:hAnsi="Arial" w:cs="Arial"/>
                <w:sz w:val="18"/>
                <w:szCs w:val="18"/>
              </w:rPr>
              <w:t>C</w:t>
            </w:r>
            <w:r w:rsidRPr="00735726">
              <w:rPr>
                <w:rFonts w:ascii="Arial" w:eastAsiaTheme="minorHAnsi" w:hAnsi="Arial" w:cs="Arial"/>
                <w:sz w:val="18"/>
                <w:szCs w:val="18"/>
              </w:rPr>
              <w:t>ustomers</w:t>
            </w:r>
            <w:r w:rsidR="003E6BA8" w:rsidRPr="00735726">
              <w:rPr>
                <w:rFonts w:ascii="Arial" w:eastAsiaTheme="minorHAnsi" w:hAnsi="Arial" w:cs="Arial"/>
                <w:sz w:val="18"/>
                <w:szCs w:val="18"/>
              </w:rPr>
              <w:t xml:space="preserve"> </w:t>
            </w:r>
            <w:r w:rsidR="003E6BA8" w:rsidRPr="009A2CAE">
              <w:rPr>
                <w:rFonts w:ascii="Arial" w:hAnsi="Arial" w:cs="Arial"/>
                <w:sz w:val="18"/>
                <w:szCs w:val="18"/>
              </w:rPr>
              <w:t>page</w:t>
            </w:r>
            <w:r w:rsidR="00A9056A" w:rsidRPr="009A2CAE">
              <w:rPr>
                <w:rFonts w:ascii="Arial" w:hAnsi="Arial" w:cs="Arial"/>
                <w:sz w:val="18"/>
                <w:szCs w:val="18"/>
              </w:rPr>
              <w:t>s</w:t>
            </w:r>
            <w:r w:rsidR="003E6BA8" w:rsidRPr="009A2CAE">
              <w:rPr>
                <w:rFonts w:ascii="Arial" w:hAnsi="Arial" w:cs="Arial"/>
                <w:sz w:val="18"/>
                <w:szCs w:val="18"/>
              </w:rPr>
              <w:t xml:space="preserve"> </w:t>
            </w:r>
            <w:r w:rsidR="00A9056A" w:rsidRPr="009A2CAE">
              <w:rPr>
                <w:rFonts w:ascii="Arial" w:hAnsi="Arial" w:cs="Arial"/>
                <w:sz w:val="18"/>
                <w:szCs w:val="18"/>
              </w:rPr>
              <w:t>26 to 27</w:t>
            </w:r>
            <w:r w:rsidRPr="009A2CAE">
              <w:rPr>
                <w:rFonts w:ascii="Arial" w:hAnsi="Arial" w:cs="Arial"/>
                <w:sz w:val="18"/>
                <w:szCs w:val="18"/>
              </w:rPr>
              <w:t xml:space="preserve"> </w:t>
            </w:r>
            <w:r w:rsidRPr="00735726">
              <w:rPr>
                <w:rFonts w:ascii="Arial" w:eastAsiaTheme="minorHAnsi" w:hAnsi="Arial" w:cs="Arial"/>
                <w:sz w:val="18"/>
                <w:szCs w:val="18"/>
              </w:rPr>
              <w:t xml:space="preserve">and </w:t>
            </w:r>
            <w:r w:rsidR="003E6BA8" w:rsidRPr="00735726">
              <w:rPr>
                <w:rFonts w:ascii="Arial" w:eastAsiaTheme="minorHAnsi" w:hAnsi="Arial" w:cs="Arial"/>
                <w:sz w:val="18"/>
                <w:szCs w:val="18"/>
              </w:rPr>
              <w:t>C</w:t>
            </w:r>
            <w:r w:rsidRPr="00735726">
              <w:rPr>
                <w:rFonts w:ascii="Arial" w:eastAsiaTheme="minorHAnsi" w:hAnsi="Arial" w:cs="Arial"/>
                <w:sz w:val="18"/>
                <w:szCs w:val="18"/>
              </w:rPr>
              <w:t xml:space="preserve">ommunities </w:t>
            </w:r>
            <w:r w:rsidRPr="009A2CAE">
              <w:rPr>
                <w:rFonts w:ascii="Arial" w:hAnsi="Arial" w:cs="Arial"/>
                <w:sz w:val="18"/>
                <w:szCs w:val="18"/>
              </w:rPr>
              <w:t>page</w:t>
            </w:r>
            <w:r w:rsidR="00A9056A" w:rsidRPr="009A2CAE">
              <w:rPr>
                <w:rFonts w:ascii="Arial" w:hAnsi="Arial" w:cs="Arial"/>
                <w:sz w:val="18"/>
                <w:szCs w:val="18"/>
              </w:rPr>
              <w:t>s</w:t>
            </w:r>
            <w:r w:rsidRPr="009A2CAE">
              <w:rPr>
                <w:rFonts w:ascii="Arial" w:hAnsi="Arial" w:cs="Arial"/>
                <w:sz w:val="18"/>
                <w:szCs w:val="18"/>
              </w:rPr>
              <w:t xml:space="preserve"> </w:t>
            </w:r>
            <w:r w:rsidR="00A9056A" w:rsidRPr="009A2CAE">
              <w:rPr>
                <w:rFonts w:ascii="Arial" w:hAnsi="Arial" w:cs="Arial"/>
                <w:sz w:val="18"/>
                <w:szCs w:val="18"/>
              </w:rPr>
              <w:t>27 to 28</w:t>
            </w:r>
          </w:p>
          <w:p w14:paraId="57184DD6" w14:textId="2FFAA602" w:rsidR="006151DB" w:rsidRPr="009A2CAE"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 xml:space="preserve">Supporting affordability, delivering for customers </w:t>
            </w:r>
            <w:r w:rsidR="006C1BA9" w:rsidRPr="00735726">
              <w:rPr>
                <w:rFonts w:ascii="Arial" w:eastAsiaTheme="minorHAnsi" w:hAnsi="Arial" w:cs="Arial"/>
                <w:sz w:val="18"/>
                <w:szCs w:val="18"/>
              </w:rPr>
              <w:t xml:space="preserve">- </w:t>
            </w:r>
            <w:r w:rsidRPr="009A2CAE">
              <w:rPr>
                <w:rFonts w:ascii="Arial" w:hAnsi="Arial" w:cs="Arial"/>
                <w:sz w:val="18"/>
                <w:szCs w:val="18"/>
              </w:rPr>
              <w:t>pages</w:t>
            </w:r>
            <w:r w:rsidR="003E6BA8" w:rsidRPr="009A2CAE">
              <w:rPr>
                <w:rFonts w:ascii="Arial" w:hAnsi="Arial" w:cs="Arial"/>
                <w:sz w:val="18"/>
                <w:szCs w:val="18"/>
              </w:rPr>
              <w:t xml:space="preserve"> </w:t>
            </w:r>
            <w:r w:rsidR="00A9056A" w:rsidRPr="009A2CAE">
              <w:rPr>
                <w:rFonts w:ascii="Arial" w:hAnsi="Arial" w:cs="Arial"/>
                <w:sz w:val="18"/>
                <w:szCs w:val="18"/>
              </w:rPr>
              <w:t xml:space="preserve">51 </w:t>
            </w:r>
            <w:r w:rsidR="003E6BA8" w:rsidRPr="009A2CAE">
              <w:rPr>
                <w:rFonts w:ascii="Arial" w:hAnsi="Arial" w:cs="Arial"/>
                <w:sz w:val="18"/>
                <w:szCs w:val="18"/>
              </w:rPr>
              <w:t xml:space="preserve">to </w:t>
            </w:r>
            <w:r w:rsidR="00A9056A" w:rsidRPr="009A2CAE">
              <w:rPr>
                <w:rFonts w:ascii="Arial" w:hAnsi="Arial" w:cs="Arial"/>
                <w:sz w:val="18"/>
                <w:szCs w:val="18"/>
              </w:rPr>
              <w:t>54</w:t>
            </w:r>
          </w:p>
          <w:p w14:paraId="5A6EF3A4" w14:textId="796B20E4" w:rsidR="006151DB" w:rsidRPr="009A2CAE" w:rsidRDefault="0055086E"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s.</w:t>
            </w:r>
            <w:r w:rsidR="006151DB" w:rsidRPr="00735726">
              <w:rPr>
                <w:rFonts w:ascii="Arial" w:eastAsiaTheme="minorHAnsi" w:hAnsi="Arial" w:cs="Arial"/>
                <w:sz w:val="18"/>
                <w:szCs w:val="18"/>
              </w:rPr>
              <w:t xml:space="preserve">172(1) </w:t>
            </w:r>
            <w:r w:rsidR="006C1BA9" w:rsidRPr="00735726">
              <w:rPr>
                <w:rFonts w:ascii="Arial" w:hAnsi="Arial" w:cs="Arial"/>
                <w:sz w:val="18"/>
                <w:szCs w:val="18"/>
              </w:rPr>
              <w:t xml:space="preserve">- </w:t>
            </w:r>
            <w:r w:rsidR="006151DB" w:rsidRPr="00735726">
              <w:rPr>
                <w:rFonts w:ascii="Arial" w:hAnsi="Arial" w:cs="Arial"/>
                <w:sz w:val="18"/>
                <w:szCs w:val="18"/>
              </w:rPr>
              <w:t xml:space="preserve">pages </w:t>
            </w:r>
            <w:r w:rsidR="00A9056A" w:rsidRPr="009A2CAE">
              <w:rPr>
                <w:rFonts w:ascii="Arial" w:hAnsi="Arial" w:cs="Arial"/>
                <w:sz w:val="18"/>
                <w:szCs w:val="18"/>
              </w:rPr>
              <w:t xml:space="preserve">122 </w:t>
            </w:r>
            <w:r w:rsidR="003E6BA8" w:rsidRPr="009A2CAE">
              <w:rPr>
                <w:rFonts w:ascii="Arial" w:hAnsi="Arial" w:cs="Arial"/>
                <w:sz w:val="18"/>
                <w:szCs w:val="18"/>
              </w:rPr>
              <w:t xml:space="preserve">to </w:t>
            </w:r>
            <w:r w:rsidR="00A9056A" w:rsidRPr="009A2CAE">
              <w:rPr>
                <w:rFonts w:ascii="Arial" w:hAnsi="Arial" w:cs="Arial"/>
                <w:sz w:val="18"/>
                <w:szCs w:val="18"/>
              </w:rPr>
              <w:t>124</w:t>
            </w:r>
          </w:p>
        </w:tc>
        <w:tc>
          <w:tcPr>
            <w:tcW w:w="2655" w:type="dxa"/>
            <w:gridSpan w:val="2"/>
          </w:tcPr>
          <w:p w14:paraId="6D85BFCE" w14:textId="02851AC2" w:rsidR="006151DB" w:rsidRPr="009A2CAE"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 xml:space="preserve">Modern Slavery Statement </w:t>
            </w:r>
            <w:r w:rsidR="006C1BA9" w:rsidRPr="00735726">
              <w:rPr>
                <w:rFonts w:ascii="Arial" w:eastAsiaTheme="minorHAnsi" w:hAnsi="Arial" w:cs="Arial"/>
                <w:sz w:val="18"/>
                <w:szCs w:val="18"/>
              </w:rPr>
              <w:t xml:space="preserve">- </w:t>
            </w:r>
            <w:r w:rsidRPr="00735726">
              <w:rPr>
                <w:rFonts w:ascii="Arial" w:eastAsiaTheme="minorHAnsi" w:hAnsi="Arial" w:cs="Arial"/>
                <w:sz w:val="18"/>
                <w:szCs w:val="18"/>
              </w:rPr>
              <w:t>foot of homepage at</w:t>
            </w:r>
            <w:r w:rsidRPr="00735726">
              <w:rPr>
                <w:rFonts w:ascii="Arial" w:eastAsiaTheme="minorHAnsi" w:hAnsi="Arial" w:cs="Arial"/>
                <w:sz w:val="18"/>
                <w:szCs w:val="18"/>
              </w:rPr>
              <w:br/>
              <w:t>www.pennon-group.co.uk</w:t>
            </w:r>
          </w:p>
        </w:tc>
        <w:tc>
          <w:tcPr>
            <w:tcW w:w="2590" w:type="dxa"/>
          </w:tcPr>
          <w:p w14:paraId="3F1C2AE3" w14:textId="43F06A73" w:rsidR="006151DB" w:rsidRPr="009A2CAE"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 xml:space="preserve">Code of Conduct </w:t>
            </w:r>
            <w:r w:rsidR="006C1BA9" w:rsidRPr="00735726">
              <w:rPr>
                <w:rFonts w:ascii="Arial" w:eastAsiaTheme="minorHAnsi" w:hAnsi="Arial" w:cs="Arial"/>
                <w:sz w:val="18"/>
                <w:szCs w:val="18"/>
              </w:rPr>
              <w:t xml:space="preserve">- </w:t>
            </w:r>
            <w:r w:rsidRPr="00735726">
              <w:rPr>
                <w:rFonts w:ascii="Arial" w:hAnsi="Arial" w:cs="Arial"/>
                <w:sz w:val="18"/>
                <w:szCs w:val="18"/>
              </w:rPr>
              <w:t>page</w:t>
            </w:r>
            <w:r w:rsidR="003506FC" w:rsidRPr="00735726">
              <w:rPr>
                <w:rFonts w:ascii="Arial" w:hAnsi="Arial" w:cs="Arial"/>
                <w:sz w:val="18"/>
                <w:szCs w:val="18"/>
              </w:rPr>
              <w:t xml:space="preserve"> </w:t>
            </w:r>
            <w:r w:rsidR="00A9056A" w:rsidRPr="009A2CAE">
              <w:rPr>
                <w:rFonts w:ascii="Arial" w:hAnsi="Arial" w:cs="Arial"/>
                <w:sz w:val="18"/>
                <w:szCs w:val="18"/>
              </w:rPr>
              <w:t>137</w:t>
            </w:r>
          </w:p>
          <w:p w14:paraId="36A6136B" w14:textId="03A335D0" w:rsidR="006151DB" w:rsidRPr="009A2CAE"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Anti-financial crime and corruption</w:t>
            </w:r>
            <w:r w:rsidR="006C1BA9" w:rsidRPr="00735726">
              <w:rPr>
                <w:rFonts w:ascii="Arial" w:eastAsiaTheme="minorHAnsi"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 xml:space="preserve">page </w:t>
            </w:r>
            <w:r w:rsidR="00A9056A" w:rsidRPr="009A2CAE">
              <w:rPr>
                <w:rFonts w:ascii="Arial" w:hAnsi="Arial" w:cs="Arial"/>
                <w:sz w:val="18"/>
                <w:szCs w:val="18"/>
              </w:rPr>
              <w:t>138</w:t>
            </w:r>
          </w:p>
        </w:tc>
      </w:tr>
      <w:tr w:rsidR="006151DB" w:rsidRPr="00B318D0" w14:paraId="7D3CC60D" w14:textId="77777777" w:rsidTr="0091058C">
        <w:tc>
          <w:tcPr>
            <w:tcW w:w="1129" w:type="dxa"/>
            <w:gridSpan w:val="2"/>
          </w:tcPr>
          <w:p w14:paraId="6D005AEB" w14:textId="508D6153" w:rsidR="006151DB" w:rsidRPr="009A2CAE" w:rsidRDefault="006151DB" w:rsidP="006151DB">
            <w:pPr>
              <w:rPr>
                <w:rFonts w:ascii="Arial" w:eastAsiaTheme="minorHAnsi" w:hAnsi="Arial" w:cs="Arial"/>
                <w:sz w:val="18"/>
                <w:szCs w:val="18"/>
              </w:rPr>
            </w:pPr>
            <w:r w:rsidRPr="00735726">
              <w:rPr>
                <w:rFonts w:ascii="Arial" w:hAnsi="Arial" w:cs="Arial"/>
                <w:sz w:val="18"/>
                <w:szCs w:val="18"/>
              </w:rPr>
              <w:t>Related policies</w:t>
            </w:r>
          </w:p>
        </w:tc>
        <w:tc>
          <w:tcPr>
            <w:tcW w:w="2977" w:type="dxa"/>
          </w:tcPr>
          <w:p w14:paraId="41ACEA3F" w14:textId="4DA7FAC6"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 xml:space="preserve">Community </w:t>
            </w:r>
            <w:r w:rsidR="003E6BA8" w:rsidRPr="00735726">
              <w:rPr>
                <w:rFonts w:ascii="Arial" w:eastAsiaTheme="minorHAnsi" w:hAnsi="Arial" w:cs="Arial"/>
                <w:sz w:val="18"/>
                <w:szCs w:val="18"/>
              </w:rPr>
              <w:t>R</w:t>
            </w:r>
            <w:r w:rsidRPr="00735726">
              <w:rPr>
                <w:rFonts w:ascii="Arial" w:eastAsiaTheme="minorHAnsi" w:hAnsi="Arial" w:cs="Arial"/>
                <w:sz w:val="18"/>
                <w:szCs w:val="18"/>
              </w:rPr>
              <w:t xml:space="preserve">elations and </w:t>
            </w:r>
            <w:r w:rsidR="003E6BA8" w:rsidRPr="00735726">
              <w:rPr>
                <w:rFonts w:ascii="Arial" w:eastAsiaTheme="minorHAnsi" w:hAnsi="Arial" w:cs="Arial"/>
                <w:sz w:val="18"/>
                <w:szCs w:val="18"/>
              </w:rPr>
              <w:t>I</w:t>
            </w:r>
            <w:r w:rsidRPr="00735726">
              <w:rPr>
                <w:rFonts w:ascii="Arial" w:eastAsiaTheme="minorHAnsi" w:hAnsi="Arial" w:cs="Arial"/>
                <w:sz w:val="18"/>
                <w:szCs w:val="18"/>
              </w:rPr>
              <w:t xml:space="preserve">nvestment </w:t>
            </w:r>
            <w:r w:rsidR="003E6BA8" w:rsidRPr="00735726">
              <w:rPr>
                <w:rFonts w:ascii="Arial" w:eastAsiaTheme="minorHAnsi" w:hAnsi="Arial" w:cs="Arial"/>
                <w:sz w:val="18"/>
                <w:szCs w:val="18"/>
              </w:rPr>
              <w:t>P</w:t>
            </w:r>
            <w:r w:rsidRPr="00735726">
              <w:rPr>
                <w:rFonts w:ascii="Arial" w:eastAsiaTheme="minorHAnsi" w:hAnsi="Arial" w:cs="Arial"/>
                <w:sz w:val="18"/>
                <w:szCs w:val="18"/>
              </w:rPr>
              <w:t>olicy</w:t>
            </w:r>
          </w:p>
        </w:tc>
        <w:tc>
          <w:tcPr>
            <w:tcW w:w="2655" w:type="dxa"/>
            <w:gridSpan w:val="2"/>
          </w:tcPr>
          <w:p w14:paraId="21A35CEA" w14:textId="3444D7C1"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Anti-Modern Slavery and Human Rights</w:t>
            </w:r>
            <w:r w:rsidR="0091058C" w:rsidRPr="00735726">
              <w:rPr>
                <w:rFonts w:ascii="Arial" w:eastAsiaTheme="minorHAnsi" w:hAnsi="Arial" w:cs="Arial"/>
                <w:sz w:val="18"/>
                <w:szCs w:val="18"/>
              </w:rPr>
              <w:t xml:space="preserve"> Policy</w:t>
            </w:r>
          </w:p>
          <w:p w14:paraId="13303150" w14:textId="5015DC75"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Code of Conduct</w:t>
            </w:r>
          </w:p>
          <w:p w14:paraId="3AE0754C" w14:textId="77777777"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Code of Conduct for Supply Chain Partners</w:t>
            </w:r>
          </w:p>
        </w:tc>
        <w:tc>
          <w:tcPr>
            <w:tcW w:w="2590" w:type="dxa"/>
          </w:tcPr>
          <w:p w14:paraId="5000B708" w14:textId="77777777"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Whistleblowing Policy</w:t>
            </w:r>
          </w:p>
          <w:p w14:paraId="467A8041" w14:textId="46794631"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Anti-</w:t>
            </w:r>
            <w:r w:rsidR="003506FC" w:rsidRPr="00735726">
              <w:rPr>
                <w:rFonts w:ascii="Arial" w:eastAsiaTheme="minorHAnsi" w:hAnsi="Arial" w:cs="Arial"/>
                <w:sz w:val="18"/>
                <w:szCs w:val="18"/>
              </w:rPr>
              <w:t>F</w:t>
            </w:r>
            <w:r w:rsidRPr="00735726">
              <w:rPr>
                <w:rFonts w:ascii="Arial" w:eastAsiaTheme="minorHAnsi" w:hAnsi="Arial" w:cs="Arial"/>
                <w:sz w:val="18"/>
                <w:szCs w:val="18"/>
              </w:rPr>
              <w:t xml:space="preserve">inancial </w:t>
            </w:r>
            <w:r w:rsidR="003506FC" w:rsidRPr="00735726">
              <w:rPr>
                <w:rFonts w:ascii="Arial" w:eastAsiaTheme="minorHAnsi" w:hAnsi="Arial" w:cs="Arial"/>
                <w:sz w:val="18"/>
                <w:szCs w:val="18"/>
              </w:rPr>
              <w:t>C</w:t>
            </w:r>
            <w:r w:rsidRPr="00735726">
              <w:rPr>
                <w:rFonts w:ascii="Arial" w:eastAsiaTheme="minorHAnsi" w:hAnsi="Arial" w:cs="Arial"/>
                <w:sz w:val="18"/>
                <w:szCs w:val="18"/>
              </w:rPr>
              <w:t xml:space="preserve">rime </w:t>
            </w:r>
            <w:r w:rsidR="003506FC" w:rsidRPr="00735726">
              <w:rPr>
                <w:rFonts w:ascii="Arial" w:eastAsiaTheme="minorHAnsi" w:hAnsi="Arial" w:cs="Arial"/>
                <w:sz w:val="18"/>
                <w:szCs w:val="18"/>
              </w:rPr>
              <w:t>P</w:t>
            </w:r>
            <w:r w:rsidRPr="00735726">
              <w:rPr>
                <w:rFonts w:ascii="Arial" w:eastAsiaTheme="minorHAnsi" w:hAnsi="Arial" w:cs="Arial"/>
                <w:sz w:val="18"/>
                <w:szCs w:val="18"/>
              </w:rPr>
              <w:t>olicy</w:t>
            </w:r>
          </w:p>
          <w:p w14:paraId="649708FD" w14:textId="35869680"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Code of Conduct</w:t>
            </w:r>
          </w:p>
          <w:p w14:paraId="1140C7C7" w14:textId="77777777" w:rsidR="006151DB" w:rsidRPr="00735726" w:rsidRDefault="006151DB" w:rsidP="00646F4F">
            <w:pPr>
              <w:pStyle w:val="ListParagraph"/>
              <w:numPr>
                <w:ilvl w:val="0"/>
                <w:numId w:val="36"/>
              </w:numPr>
              <w:spacing w:after="0"/>
              <w:ind w:left="312" w:hanging="357"/>
              <w:rPr>
                <w:rFonts w:ascii="Arial" w:eastAsiaTheme="minorHAnsi" w:hAnsi="Arial" w:cs="Arial"/>
                <w:sz w:val="18"/>
                <w:szCs w:val="18"/>
              </w:rPr>
            </w:pPr>
            <w:r w:rsidRPr="00735726">
              <w:rPr>
                <w:rFonts w:ascii="Arial" w:eastAsiaTheme="minorHAnsi" w:hAnsi="Arial" w:cs="Arial"/>
                <w:sz w:val="18"/>
                <w:szCs w:val="18"/>
              </w:rPr>
              <w:t>Gifts and Hospitality Policy</w:t>
            </w:r>
          </w:p>
        </w:tc>
      </w:tr>
      <w:tr w:rsidR="006151DB" w:rsidRPr="00B318D0" w14:paraId="0B8B1BB3" w14:textId="77777777" w:rsidTr="0091058C">
        <w:tc>
          <w:tcPr>
            <w:tcW w:w="1129" w:type="dxa"/>
            <w:gridSpan w:val="2"/>
          </w:tcPr>
          <w:p w14:paraId="1F86D9BC" w14:textId="4D3FECDD" w:rsidR="006151DB" w:rsidRPr="009A2CAE" w:rsidRDefault="006151DB" w:rsidP="006151DB">
            <w:pPr>
              <w:rPr>
                <w:rFonts w:ascii="Arial" w:eastAsiaTheme="minorHAnsi" w:hAnsi="Arial" w:cs="Arial"/>
                <w:sz w:val="18"/>
                <w:szCs w:val="18"/>
              </w:rPr>
            </w:pPr>
            <w:r w:rsidRPr="00735726">
              <w:rPr>
                <w:rFonts w:ascii="Arial" w:hAnsi="Arial" w:cs="Arial"/>
                <w:sz w:val="18"/>
                <w:szCs w:val="18"/>
              </w:rPr>
              <w:t>Due diligence processes</w:t>
            </w:r>
          </w:p>
        </w:tc>
        <w:tc>
          <w:tcPr>
            <w:tcW w:w="2977" w:type="dxa"/>
          </w:tcPr>
          <w:p w14:paraId="135BC243" w14:textId="77777777" w:rsidR="006151DB" w:rsidRPr="00735726" w:rsidRDefault="006151DB" w:rsidP="00646F4F">
            <w:pPr>
              <w:pStyle w:val="ListParagraph"/>
              <w:numPr>
                <w:ilvl w:val="0"/>
                <w:numId w:val="43"/>
              </w:numPr>
              <w:ind w:left="316"/>
              <w:rPr>
                <w:rFonts w:ascii="Arial" w:eastAsiaTheme="minorHAnsi" w:hAnsi="Arial" w:cs="Arial"/>
                <w:sz w:val="18"/>
                <w:szCs w:val="18"/>
              </w:rPr>
            </w:pPr>
            <w:r w:rsidRPr="00735726">
              <w:rPr>
                <w:rFonts w:ascii="Arial" w:eastAsiaTheme="minorHAnsi" w:hAnsi="Arial" w:cs="Arial"/>
                <w:sz w:val="18"/>
                <w:szCs w:val="18"/>
              </w:rPr>
              <w:t>Community engagement plan in place led by the Regulatory and Customer teams</w:t>
            </w:r>
          </w:p>
        </w:tc>
        <w:tc>
          <w:tcPr>
            <w:tcW w:w="2655" w:type="dxa"/>
            <w:gridSpan w:val="2"/>
          </w:tcPr>
          <w:p w14:paraId="42384A53" w14:textId="77777777"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 xml:space="preserve">Modern Slavery Statement </w:t>
            </w:r>
            <w:r w:rsidRPr="00735726">
              <w:rPr>
                <w:rFonts w:ascii="Arial" w:eastAsiaTheme="minorHAnsi" w:hAnsi="Arial" w:cs="Arial"/>
                <w:sz w:val="18"/>
                <w:szCs w:val="18"/>
              </w:rPr>
              <w:br/>
              <w:t>www.pennon-group.co.uk</w:t>
            </w:r>
          </w:p>
        </w:tc>
        <w:tc>
          <w:tcPr>
            <w:tcW w:w="2590" w:type="dxa"/>
          </w:tcPr>
          <w:p w14:paraId="04881EA8" w14:textId="77777777"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Ethics Management Committee</w:t>
            </w:r>
          </w:p>
          <w:p w14:paraId="08C5FCC5" w14:textId="77777777" w:rsidR="006151DB" w:rsidRPr="00735726" w:rsidRDefault="006151DB"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Gifts, Hospitality and Conflicts of Interest procedures</w:t>
            </w:r>
          </w:p>
          <w:p w14:paraId="6D5C3B36" w14:textId="77777777" w:rsidR="003506FC" w:rsidRPr="00735726" w:rsidRDefault="003506FC"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lastRenderedPageBreak/>
              <w:t>Bribery and Fraud Risk Assessment Workshops</w:t>
            </w:r>
          </w:p>
          <w:p w14:paraId="6ACA4436" w14:textId="6EE69A6D" w:rsidR="003506FC" w:rsidRPr="00735726" w:rsidRDefault="003506FC"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Company-wide anti-financial crime mandatory training contained in new interactive Code of Conduct module</w:t>
            </w:r>
          </w:p>
          <w:p w14:paraId="07E79896" w14:textId="23D64000" w:rsidR="003506FC" w:rsidRPr="00735726" w:rsidRDefault="003506FC"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Supplier due diligence process</w:t>
            </w:r>
          </w:p>
          <w:p w14:paraId="6718E3B1" w14:textId="1F2AB57E" w:rsidR="003506FC" w:rsidRPr="00735726" w:rsidRDefault="003506FC" w:rsidP="00646F4F">
            <w:pPr>
              <w:pStyle w:val="ListParagraph"/>
              <w:numPr>
                <w:ilvl w:val="0"/>
                <w:numId w:val="36"/>
              </w:numPr>
              <w:ind w:left="316"/>
              <w:rPr>
                <w:rFonts w:ascii="Arial" w:eastAsiaTheme="minorHAnsi" w:hAnsi="Arial" w:cs="Arial"/>
                <w:sz w:val="18"/>
                <w:szCs w:val="18"/>
              </w:rPr>
            </w:pPr>
            <w:r w:rsidRPr="00735726">
              <w:rPr>
                <w:rFonts w:ascii="Arial" w:eastAsiaTheme="minorHAnsi" w:hAnsi="Arial" w:cs="Arial"/>
                <w:sz w:val="18"/>
                <w:szCs w:val="18"/>
              </w:rPr>
              <w:t>Speak Up portal</w:t>
            </w:r>
          </w:p>
          <w:p w14:paraId="50208B41" w14:textId="06587AC3" w:rsidR="006151DB" w:rsidRPr="00735726" w:rsidRDefault="006151DB" w:rsidP="003506FC">
            <w:pPr>
              <w:pStyle w:val="ListParagraph"/>
              <w:spacing w:after="0"/>
              <w:ind w:left="312"/>
              <w:rPr>
                <w:rFonts w:ascii="Arial" w:eastAsiaTheme="minorHAnsi" w:hAnsi="Arial" w:cs="Arial"/>
                <w:sz w:val="18"/>
                <w:szCs w:val="18"/>
              </w:rPr>
            </w:pPr>
          </w:p>
        </w:tc>
      </w:tr>
      <w:tr w:rsidR="006151DB" w:rsidRPr="00B318D0" w14:paraId="1330F0E9" w14:textId="77777777" w:rsidTr="0091058C">
        <w:tc>
          <w:tcPr>
            <w:tcW w:w="1129" w:type="dxa"/>
            <w:gridSpan w:val="2"/>
          </w:tcPr>
          <w:p w14:paraId="72B268C2" w14:textId="38D32EE0" w:rsidR="006151DB" w:rsidRPr="00B318D0" w:rsidRDefault="006151DB" w:rsidP="006151DB">
            <w:pPr>
              <w:rPr>
                <w:rFonts w:ascii="Arial" w:eastAsiaTheme="minorHAnsi" w:hAnsi="Arial" w:cs="Arial"/>
                <w:sz w:val="18"/>
                <w:szCs w:val="18"/>
                <w:highlight w:val="yellow"/>
              </w:rPr>
            </w:pPr>
            <w:r w:rsidRPr="003B00EF">
              <w:rPr>
                <w:rFonts w:ascii="Arial" w:hAnsi="Arial" w:cs="Arial"/>
                <w:sz w:val="18"/>
                <w:szCs w:val="18"/>
              </w:rPr>
              <w:lastRenderedPageBreak/>
              <w:t>Policy outcomes</w:t>
            </w:r>
          </w:p>
        </w:tc>
        <w:tc>
          <w:tcPr>
            <w:tcW w:w="2977" w:type="dxa"/>
          </w:tcPr>
          <w:p w14:paraId="4169C64C" w14:textId="77777777" w:rsidR="006151DB" w:rsidRPr="00BC3579" w:rsidRDefault="006151D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Having a positive impact on our local communities through our business activities and investments</w:t>
            </w:r>
          </w:p>
          <w:p w14:paraId="11E93A23" w14:textId="77777777" w:rsidR="006151DB" w:rsidRPr="00BC3579" w:rsidRDefault="006151D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Foster an environment that encourages employee engagement with communities and provides opportunities for volunteering and establishing community partnerships</w:t>
            </w:r>
          </w:p>
        </w:tc>
        <w:tc>
          <w:tcPr>
            <w:tcW w:w="2655" w:type="dxa"/>
            <w:gridSpan w:val="2"/>
          </w:tcPr>
          <w:p w14:paraId="3B68131A" w14:textId="77777777" w:rsidR="006151DB" w:rsidRPr="00BC3579" w:rsidRDefault="006151D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 xml:space="preserve">An open dialogue with our stakeholders on human rights issues </w:t>
            </w:r>
          </w:p>
        </w:tc>
        <w:tc>
          <w:tcPr>
            <w:tcW w:w="2590" w:type="dxa"/>
          </w:tcPr>
          <w:p w14:paraId="22B1A3BD" w14:textId="46B6CEEC" w:rsidR="006151DB" w:rsidRPr="00BC3579" w:rsidRDefault="006151D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Seeking to prevent</w:t>
            </w:r>
            <w:r w:rsidR="00BC3579" w:rsidRPr="00BC3579">
              <w:rPr>
                <w:rFonts w:ascii="Arial" w:eastAsiaTheme="minorHAnsi" w:hAnsi="Arial" w:cs="Arial"/>
                <w:sz w:val="18"/>
                <w:szCs w:val="18"/>
              </w:rPr>
              <w:t xml:space="preserve">, </w:t>
            </w:r>
            <w:r w:rsidRPr="00BC3579">
              <w:rPr>
                <w:rFonts w:ascii="Arial" w:eastAsiaTheme="minorHAnsi" w:hAnsi="Arial" w:cs="Arial"/>
                <w:sz w:val="18"/>
                <w:szCs w:val="18"/>
              </w:rPr>
              <w:t>detect and report financial crime, including instances of bribery and corruption</w:t>
            </w:r>
          </w:p>
          <w:p w14:paraId="13E35497" w14:textId="52750080" w:rsidR="006151DB" w:rsidRPr="00BC3579" w:rsidRDefault="006151DB" w:rsidP="00646F4F">
            <w:pPr>
              <w:pStyle w:val="ListParagraph"/>
              <w:numPr>
                <w:ilvl w:val="0"/>
                <w:numId w:val="36"/>
              </w:numPr>
              <w:spacing w:after="0"/>
              <w:ind w:left="312" w:hanging="357"/>
              <w:rPr>
                <w:rFonts w:ascii="Arial" w:eastAsiaTheme="minorHAnsi" w:hAnsi="Arial" w:cs="Arial"/>
                <w:sz w:val="18"/>
                <w:szCs w:val="18"/>
              </w:rPr>
            </w:pPr>
            <w:r w:rsidRPr="00BC3579">
              <w:rPr>
                <w:rFonts w:ascii="Arial" w:eastAsiaTheme="minorHAnsi" w:hAnsi="Arial" w:cs="Arial"/>
                <w:sz w:val="18"/>
                <w:szCs w:val="18"/>
              </w:rPr>
              <w:t xml:space="preserve">Maintaining and ethical approach to business and adhering to our </w:t>
            </w:r>
            <w:r w:rsidR="00BC3579" w:rsidRPr="00BC3579">
              <w:rPr>
                <w:rFonts w:ascii="Arial" w:eastAsiaTheme="minorHAnsi" w:hAnsi="Arial" w:cs="Arial"/>
                <w:sz w:val="18"/>
                <w:szCs w:val="18"/>
              </w:rPr>
              <w:t>C</w:t>
            </w:r>
            <w:r w:rsidRPr="00BC3579">
              <w:rPr>
                <w:rFonts w:ascii="Arial" w:eastAsiaTheme="minorHAnsi" w:hAnsi="Arial" w:cs="Arial"/>
                <w:sz w:val="18"/>
                <w:szCs w:val="18"/>
              </w:rPr>
              <w:t xml:space="preserve">ode of </w:t>
            </w:r>
            <w:r w:rsidR="00BC3579" w:rsidRPr="00BC3579">
              <w:rPr>
                <w:rFonts w:ascii="Arial" w:eastAsiaTheme="minorHAnsi" w:hAnsi="Arial" w:cs="Arial"/>
                <w:sz w:val="18"/>
                <w:szCs w:val="18"/>
              </w:rPr>
              <w:t>C</w:t>
            </w:r>
            <w:r w:rsidRPr="00BC3579">
              <w:rPr>
                <w:rFonts w:ascii="Arial" w:eastAsiaTheme="minorHAnsi" w:hAnsi="Arial" w:cs="Arial"/>
                <w:sz w:val="18"/>
                <w:szCs w:val="18"/>
              </w:rPr>
              <w:t>onduct</w:t>
            </w:r>
          </w:p>
        </w:tc>
      </w:tr>
      <w:tr w:rsidR="006151DB" w:rsidRPr="00B318D0" w14:paraId="0E1C6B36" w14:textId="77777777" w:rsidTr="0091058C">
        <w:tc>
          <w:tcPr>
            <w:tcW w:w="1129" w:type="dxa"/>
            <w:gridSpan w:val="2"/>
          </w:tcPr>
          <w:p w14:paraId="5796DC21" w14:textId="3922DAEF" w:rsidR="006151DB" w:rsidRPr="00B318D0" w:rsidRDefault="006151DB" w:rsidP="006151DB">
            <w:pPr>
              <w:rPr>
                <w:rFonts w:ascii="Arial" w:eastAsiaTheme="minorHAnsi" w:hAnsi="Arial" w:cs="Arial"/>
                <w:sz w:val="18"/>
                <w:szCs w:val="18"/>
                <w:highlight w:val="yellow"/>
              </w:rPr>
            </w:pPr>
            <w:r w:rsidRPr="003B00EF">
              <w:rPr>
                <w:rFonts w:ascii="Arial" w:hAnsi="Arial" w:cs="Arial"/>
                <w:sz w:val="18"/>
                <w:szCs w:val="18"/>
              </w:rPr>
              <w:t>Principal risks</w:t>
            </w:r>
          </w:p>
        </w:tc>
        <w:tc>
          <w:tcPr>
            <w:tcW w:w="2977" w:type="dxa"/>
          </w:tcPr>
          <w:p w14:paraId="5187D4C0" w14:textId="77777777" w:rsidR="006151DB" w:rsidRPr="00BC3579" w:rsidRDefault="006151D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 xml:space="preserve">Failure to provide an excellent service or meet the needs and expectations of our customers and communities </w:t>
            </w:r>
          </w:p>
        </w:tc>
        <w:tc>
          <w:tcPr>
            <w:tcW w:w="2655" w:type="dxa"/>
            <w:gridSpan w:val="2"/>
          </w:tcPr>
          <w:p w14:paraId="62F99FC4" w14:textId="77777777" w:rsidR="006151DB" w:rsidRPr="00BC3579" w:rsidRDefault="006151D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Non-compliance with laws and regulations</w:t>
            </w:r>
          </w:p>
        </w:tc>
        <w:tc>
          <w:tcPr>
            <w:tcW w:w="2590" w:type="dxa"/>
          </w:tcPr>
          <w:p w14:paraId="1D731020" w14:textId="77777777" w:rsidR="006151DB" w:rsidRPr="00BC3579" w:rsidRDefault="006151D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Non-compliance with laws and regulations</w:t>
            </w:r>
          </w:p>
          <w:p w14:paraId="623E6102" w14:textId="77777777" w:rsidR="006151DB" w:rsidRPr="00BC3579" w:rsidRDefault="006151DB" w:rsidP="006151DB">
            <w:pPr>
              <w:pStyle w:val="ListParagraph"/>
              <w:ind w:left="316"/>
              <w:rPr>
                <w:rFonts w:ascii="Arial" w:eastAsiaTheme="minorHAnsi" w:hAnsi="Arial" w:cs="Arial"/>
                <w:sz w:val="18"/>
                <w:szCs w:val="18"/>
              </w:rPr>
            </w:pPr>
          </w:p>
        </w:tc>
      </w:tr>
      <w:tr w:rsidR="009567BB" w:rsidRPr="00B318D0" w14:paraId="75A7B478" w14:textId="77777777" w:rsidTr="0091058C">
        <w:tc>
          <w:tcPr>
            <w:tcW w:w="1129" w:type="dxa"/>
            <w:gridSpan w:val="2"/>
          </w:tcPr>
          <w:p w14:paraId="7349B627" w14:textId="77777777" w:rsidR="009567BB" w:rsidRPr="00B318D0" w:rsidRDefault="009567BB" w:rsidP="00470234">
            <w:pPr>
              <w:rPr>
                <w:rFonts w:ascii="Arial" w:eastAsiaTheme="minorHAnsi" w:hAnsi="Arial" w:cs="Arial"/>
                <w:sz w:val="18"/>
                <w:szCs w:val="18"/>
                <w:highlight w:val="yellow"/>
              </w:rPr>
            </w:pPr>
            <w:r w:rsidRPr="006151DB">
              <w:rPr>
                <w:rFonts w:ascii="Arial" w:eastAsiaTheme="minorHAnsi" w:hAnsi="Arial" w:cs="Arial"/>
                <w:sz w:val="18"/>
                <w:szCs w:val="18"/>
              </w:rPr>
              <w:t>KPIs</w:t>
            </w:r>
          </w:p>
        </w:tc>
        <w:tc>
          <w:tcPr>
            <w:tcW w:w="2977" w:type="dxa"/>
          </w:tcPr>
          <w:p w14:paraId="6DDDF791" w14:textId="77777777" w:rsidR="009567BB" w:rsidRPr="00BC3579" w:rsidRDefault="009567B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 community investment</w:t>
            </w:r>
          </w:p>
          <w:p w14:paraId="6BE268A9" w14:textId="70897E94" w:rsidR="003E6BA8" w:rsidRPr="00BC3579" w:rsidRDefault="003E6BA8"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 xml:space="preserve">% priority services register (PSR) </w:t>
            </w:r>
            <w:r w:rsidR="006C1BA9">
              <w:rPr>
                <w:rFonts w:ascii="Arial" w:eastAsiaTheme="minorHAnsi" w:hAnsi="Arial" w:cs="Arial"/>
                <w:sz w:val="18"/>
                <w:szCs w:val="18"/>
              </w:rPr>
              <w:t>-</w:t>
            </w:r>
            <w:r w:rsidR="006C1BA9" w:rsidRPr="00BC3579">
              <w:rPr>
                <w:rFonts w:ascii="Arial" w:eastAsiaTheme="minorHAnsi" w:hAnsi="Arial" w:cs="Arial"/>
                <w:sz w:val="18"/>
                <w:szCs w:val="18"/>
              </w:rPr>
              <w:t xml:space="preserve"> </w:t>
            </w:r>
            <w:r w:rsidRPr="00BC3579">
              <w:rPr>
                <w:rFonts w:ascii="Arial" w:eastAsiaTheme="minorHAnsi" w:hAnsi="Arial" w:cs="Arial"/>
                <w:sz w:val="18"/>
                <w:szCs w:val="18"/>
              </w:rPr>
              <w:t xml:space="preserve">customer satisfaction </w:t>
            </w:r>
          </w:p>
          <w:p w14:paraId="776F6A30" w14:textId="27C5D754" w:rsidR="009567BB" w:rsidRPr="00BC3579" w:rsidRDefault="009567B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C-</w:t>
            </w:r>
            <w:proofErr w:type="spellStart"/>
            <w:r w:rsidRPr="00BC3579">
              <w:rPr>
                <w:rFonts w:ascii="Arial" w:eastAsiaTheme="minorHAnsi" w:hAnsi="Arial" w:cs="Arial"/>
                <w:sz w:val="18"/>
                <w:szCs w:val="18"/>
              </w:rPr>
              <w:t>MeX</w:t>
            </w:r>
            <w:proofErr w:type="spellEnd"/>
          </w:p>
          <w:p w14:paraId="08499EAA" w14:textId="7DE0557B" w:rsidR="003E6BA8" w:rsidRPr="008B6CEF" w:rsidRDefault="003E6BA8" w:rsidP="008B6CE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D-</w:t>
            </w:r>
            <w:proofErr w:type="spellStart"/>
            <w:r w:rsidRPr="00BC3579">
              <w:rPr>
                <w:rFonts w:ascii="Arial" w:eastAsiaTheme="minorHAnsi" w:hAnsi="Arial" w:cs="Arial"/>
                <w:sz w:val="18"/>
                <w:szCs w:val="18"/>
              </w:rPr>
              <w:t>MeX</w:t>
            </w:r>
            <w:proofErr w:type="spellEnd"/>
          </w:p>
        </w:tc>
        <w:tc>
          <w:tcPr>
            <w:tcW w:w="2655" w:type="dxa"/>
            <w:gridSpan w:val="2"/>
          </w:tcPr>
          <w:p w14:paraId="0B58908A" w14:textId="15D5A811" w:rsidR="009567BB" w:rsidRPr="00BC3579" w:rsidRDefault="009567BB" w:rsidP="00646F4F">
            <w:pPr>
              <w:pStyle w:val="ListParagraph"/>
              <w:numPr>
                <w:ilvl w:val="0"/>
                <w:numId w:val="36"/>
              </w:numPr>
              <w:spacing w:after="0"/>
              <w:ind w:left="312" w:hanging="357"/>
              <w:rPr>
                <w:rFonts w:ascii="Arial" w:eastAsiaTheme="minorHAnsi" w:hAnsi="Arial" w:cs="Arial"/>
                <w:sz w:val="18"/>
                <w:szCs w:val="18"/>
              </w:rPr>
            </w:pPr>
            <w:r w:rsidRPr="00BC3579">
              <w:rPr>
                <w:rFonts w:ascii="Arial" w:eastAsiaTheme="minorHAnsi" w:hAnsi="Arial" w:cs="Arial"/>
                <w:sz w:val="18"/>
                <w:szCs w:val="18"/>
              </w:rPr>
              <w:t xml:space="preserve">% of instances of modern slavery detected in </w:t>
            </w:r>
            <w:proofErr w:type="gramStart"/>
            <w:r w:rsidRPr="00BC3579">
              <w:rPr>
                <w:rFonts w:ascii="Arial" w:eastAsiaTheme="minorHAnsi" w:hAnsi="Arial" w:cs="Arial"/>
                <w:sz w:val="18"/>
                <w:szCs w:val="18"/>
              </w:rPr>
              <w:t>South West</w:t>
            </w:r>
            <w:proofErr w:type="gramEnd"/>
            <w:r w:rsidRPr="00BC3579">
              <w:rPr>
                <w:rFonts w:ascii="Arial" w:eastAsiaTheme="minorHAnsi" w:hAnsi="Arial" w:cs="Arial"/>
                <w:sz w:val="18"/>
                <w:szCs w:val="18"/>
              </w:rPr>
              <w:t xml:space="preserve"> Water supply chain.</w:t>
            </w:r>
          </w:p>
        </w:tc>
        <w:tc>
          <w:tcPr>
            <w:tcW w:w="2590" w:type="dxa"/>
          </w:tcPr>
          <w:p w14:paraId="5FADBB1F" w14:textId="77777777" w:rsidR="009567BB" w:rsidRPr="00BC3579" w:rsidRDefault="009567BB" w:rsidP="00646F4F">
            <w:pPr>
              <w:pStyle w:val="ListParagraph"/>
              <w:numPr>
                <w:ilvl w:val="0"/>
                <w:numId w:val="36"/>
              </w:numPr>
              <w:ind w:left="316"/>
              <w:rPr>
                <w:rFonts w:ascii="Arial" w:eastAsiaTheme="minorHAnsi" w:hAnsi="Arial" w:cs="Arial"/>
                <w:sz w:val="18"/>
                <w:szCs w:val="18"/>
              </w:rPr>
            </w:pPr>
            <w:r w:rsidRPr="00BC3579">
              <w:rPr>
                <w:rFonts w:ascii="Arial" w:eastAsiaTheme="minorHAnsi" w:hAnsi="Arial" w:cs="Arial"/>
                <w:sz w:val="18"/>
                <w:szCs w:val="18"/>
              </w:rPr>
              <w:t>Number of cases reported through Speak Up portal</w:t>
            </w:r>
          </w:p>
          <w:p w14:paraId="26F08EEC" w14:textId="77777777" w:rsidR="009567BB" w:rsidRPr="00BC3579" w:rsidRDefault="009567BB" w:rsidP="00470234">
            <w:pPr>
              <w:pStyle w:val="ListParagraph"/>
              <w:ind w:left="316"/>
              <w:rPr>
                <w:rFonts w:ascii="Arial" w:eastAsiaTheme="minorHAnsi" w:hAnsi="Arial" w:cs="Arial"/>
                <w:sz w:val="18"/>
                <w:szCs w:val="18"/>
              </w:rPr>
            </w:pPr>
          </w:p>
        </w:tc>
      </w:tr>
    </w:tbl>
    <w:p w14:paraId="3DC35D66" w14:textId="6091DA7C" w:rsidR="009567BB" w:rsidRPr="009A2CAE" w:rsidRDefault="009567BB" w:rsidP="009567BB">
      <w:pPr>
        <w:rPr>
          <w:rFonts w:ascii="Arial" w:hAnsi="Arial" w:cs="Arial"/>
          <w:sz w:val="18"/>
          <w:szCs w:val="18"/>
        </w:rPr>
      </w:pPr>
      <w:r w:rsidRPr="00B318D0">
        <w:rPr>
          <w:rFonts w:ascii="Arial" w:hAnsi="Arial" w:cs="Arial"/>
          <w:b/>
          <w:sz w:val="18"/>
          <w:szCs w:val="18"/>
          <w:highlight w:val="yellow"/>
        </w:rPr>
        <w:br/>
      </w:r>
      <w:r w:rsidRPr="009A2CAE">
        <w:rPr>
          <w:rFonts w:ascii="Arial" w:hAnsi="Arial" w:cs="Arial"/>
          <w:b/>
          <w:sz w:val="18"/>
          <w:szCs w:val="18"/>
        </w:rPr>
        <w:br/>
      </w:r>
      <w:r w:rsidRPr="00735726">
        <w:rPr>
          <w:rFonts w:ascii="Arial" w:hAnsi="Arial" w:cs="Arial"/>
          <w:b/>
          <w:sz w:val="18"/>
          <w:szCs w:val="18"/>
        </w:rPr>
        <w:t>APPROVAL OF THE STRATEGIC REPORT</w:t>
      </w:r>
      <w:r w:rsidRPr="00735726">
        <w:rPr>
          <w:rFonts w:ascii="Arial" w:hAnsi="Arial" w:cs="Arial"/>
          <w:b/>
          <w:sz w:val="18"/>
          <w:szCs w:val="18"/>
        </w:rPr>
        <w:br/>
      </w:r>
      <w:r w:rsidRPr="00735726">
        <w:rPr>
          <w:rFonts w:ascii="Arial" w:hAnsi="Arial" w:cs="Arial"/>
          <w:sz w:val="18"/>
          <w:szCs w:val="18"/>
        </w:rPr>
        <w:t xml:space="preserve">Our Strategic Report consisting of pages </w:t>
      </w:r>
      <w:r w:rsidR="00A9056A" w:rsidRPr="009A2CAE">
        <w:rPr>
          <w:rFonts w:ascii="Arial" w:hAnsi="Arial" w:cs="Arial"/>
          <w:sz w:val="18"/>
          <w:szCs w:val="18"/>
        </w:rPr>
        <w:t xml:space="preserve">1 </w:t>
      </w:r>
      <w:r w:rsidR="00BC3579" w:rsidRPr="009A2CAE">
        <w:rPr>
          <w:rFonts w:ascii="Arial" w:hAnsi="Arial" w:cs="Arial"/>
          <w:sz w:val="18"/>
          <w:szCs w:val="18"/>
        </w:rPr>
        <w:t xml:space="preserve">to </w:t>
      </w:r>
      <w:r w:rsidR="00A9056A" w:rsidRPr="009A2CAE">
        <w:rPr>
          <w:rFonts w:ascii="Arial" w:hAnsi="Arial" w:cs="Arial"/>
          <w:sz w:val="18"/>
          <w:szCs w:val="18"/>
        </w:rPr>
        <w:t>95</w:t>
      </w:r>
      <w:r w:rsidRPr="009A2CAE">
        <w:rPr>
          <w:rFonts w:ascii="Arial" w:hAnsi="Arial" w:cs="Arial"/>
          <w:sz w:val="18"/>
          <w:szCs w:val="18"/>
        </w:rPr>
        <w:t xml:space="preserve"> </w:t>
      </w:r>
      <w:r w:rsidRPr="00735726">
        <w:rPr>
          <w:rFonts w:ascii="Arial" w:hAnsi="Arial" w:cs="Arial"/>
          <w:sz w:val="18"/>
          <w:szCs w:val="18"/>
        </w:rPr>
        <w:t>has been reviewed and approved by the Board.</w:t>
      </w:r>
    </w:p>
    <w:p w14:paraId="0AE2EB00" w14:textId="77777777" w:rsidR="009567BB" w:rsidRPr="009A2CAE" w:rsidRDefault="009567BB" w:rsidP="009567BB">
      <w:pPr>
        <w:rPr>
          <w:rFonts w:ascii="Arial" w:hAnsi="Arial" w:cs="Arial"/>
          <w:sz w:val="18"/>
          <w:szCs w:val="18"/>
        </w:rPr>
      </w:pPr>
    </w:p>
    <w:p w14:paraId="3E5E036A" w14:textId="77777777" w:rsidR="009567BB" w:rsidRPr="009A2CAE" w:rsidRDefault="009567BB" w:rsidP="009567BB">
      <w:pPr>
        <w:rPr>
          <w:rFonts w:ascii="Arial" w:hAnsi="Arial" w:cs="Arial"/>
          <w:sz w:val="18"/>
          <w:szCs w:val="18"/>
        </w:rPr>
      </w:pPr>
    </w:p>
    <w:p w14:paraId="37B5DDFD" w14:textId="6238B409" w:rsidR="009567BB" w:rsidRPr="009A2CAE" w:rsidRDefault="009567BB" w:rsidP="009567BB">
      <w:r w:rsidRPr="00735726">
        <w:rPr>
          <w:rFonts w:ascii="Arial" w:hAnsi="Arial" w:cs="Arial"/>
          <w:sz w:val="18"/>
          <w:szCs w:val="18"/>
        </w:rPr>
        <w:t xml:space="preserve">Laura Flowerdew </w:t>
      </w:r>
      <w:r w:rsidRPr="00735726">
        <w:rPr>
          <w:rFonts w:ascii="Arial" w:hAnsi="Arial" w:cs="Arial"/>
          <w:sz w:val="18"/>
          <w:szCs w:val="18"/>
        </w:rPr>
        <w:br/>
        <w:t>Chief Financial Officer</w:t>
      </w:r>
      <w:r w:rsidRPr="009A2CAE">
        <w:rPr>
          <w:rFonts w:ascii="Arial" w:hAnsi="Arial" w:cs="Arial"/>
          <w:sz w:val="18"/>
          <w:szCs w:val="18"/>
        </w:rPr>
        <w:br/>
      </w:r>
      <w:r w:rsidR="00C956AD">
        <w:rPr>
          <w:rFonts w:ascii="Arial" w:hAnsi="Arial" w:cs="Arial"/>
          <w:sz w:val="18"/>
          <w:szCs w:val="18"/>
        </w:rPr>
        <w:t>15</w:t>
      </w:r>
      <w:r w:rsidRPr="009A2CAE">
        <w:rPr>
          <w:rFonts w:ascii="Arial" w:hAnsi="Arial" w:cs="Arial"/>
          <w:sz w:val="18"/>
          <w:szCs w:val="18"/>
        </w:rPr>
        <w:t xml:space="preserve"> July 202</w:t>
      </w:r>
      <w:r w:rsidR="00BC3579" w:rsidRPr="009A2CAE">
        <w:rPr>
          <w:rFonts w:ascii="Arial" w:hAnsi="Arial" w:cs="Arial"/>
          <w:sz w:val="18"/>
          <w:szCs w:val="18"/>
        </w:rPr>
        <w:t>6</w:t>
      </w:r>
    </w:p>
    <w:p w14:paraId="5711FCA3" w14:textId="77777777" w:rsidR="009567BB" w:rsidRPr="00B318D0" w:rsidRDefault="009567BB" w:rsidP="009567BB">
      <w:pPr>
        <w:rPr>
          <w:rFonts w:ascii="Arial" w:hAnsi="Arial" w:cs="Arial"/>
          <w:b/>
          <w:sz w:val="18"/>
          <w:szCs w:val="18"/>
          <w:highlight w:val="yellow"/>
        </w:rPr>
      </w:pPr>
      <w:r w:rsidRPr="009A2CAE">
        <w:rPr>
          <w:rFonts w:ascii="Arial" w:hAnsi="Arial" w:cs="Arial"/>
          <w:b/>
          <w:sz w:val="18"/>
          <w:szCs w:val="18"/>
        </w:rPr>
        <w:br w:type="page"/>
      </w:r>
    </w:p>
    <w:p w14:paraId="466BB5FD" w14:textId="57B0722D" w:rsidR="004F030D" w:rsidRPr="00735726" w:rsidRDefault="004F030D" w:rsidP="00FD779A">
      <w:pPr>
        <w:spacing w:after="160" w:line="259" w:lineRule="auto"/>
        <w:rPr>
          <w:rFonts w:ascii="Arial" w:eastAsia="Times New Roman" w:hAnsi="Arial" w:cs="DINOT"/>
          <w:caps/>
          <w:color w:val="000000"/>
          <w:sz w:val="32"/>
          <w:szCs w:val="32"/>
        </w:rPr>
      </w:pPr>
      <w:bookmarkStart w:id="23" w:name="_Hlk201063123"/>
      <w:bookmarkStart w:id="24" w:name="_Hlk165987466"/>
      <w:bookmarkEnd w:id="21"/>
      <w:bookmarkEnd w:id="22"/>
      <w:r w:rsidRPr="00735726">
        <w:rPr>
          <w:rFonts w:ascii="Arial" w:eastAsia="Times New Roman" w:hAnsi="Arial" w:cs="DINOT"/>
          <w:caps/>
          <w:color w:val="000000"/>
          <w:sz w:val="32"/>
          <w:szCs w:val="32"/>
        </w:rPr>
        <w:lastRenderedPageBreak/>
        <w:t>governance and remuneration</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9B239A" w:rsidRPr="00735726" w14:paraId="3D206CB0" w14:textId="77777777" w:rsidTr="00DC7FC3">
        <w:trPr>
          <w:trHeight w:val="113"/>
        </w:trPr>
        <w:tc>
          <w:tcPr>
            <w:tcW w:w="7650" w:type="dxa"/>
          </w:tcPr>
          <w:p w14:paraId="3D176D7D" w14:textId="56780DF2" w:rsidR="009B239A" w:rsidRPr="00735726" w:rsidRDefault="009B239A" w:rsidP="009B239A">
            <w:pPr>
              <w:pStyle w:val="HeadingLevel2"/>
              <w:tabs>
                <w:tab w:val="right" w:pos="4544"/>
              </w:tabs>
              <w:spacing w:line="240" w:lineRule="auto"/>
              <w:rPr>
                <w:b/>
              </w:rPr>
            </w:pPr>
            <w:r w:rsidRPr="00735726">
              <w:rPr>
                <w:b/>
              </w:rPr>
              <w:t>GOVERNANCE</w:t>
            </w:r>
          </w:p>
        </w:tc>
        <w:tc>
          <w:tcPr>
            <w:tcW w:w="1366" w:type="dxa"/>
          </w:tcPr>
          <w:p w14:paraId="46D038D0" w14:textId="77777777" w:rsidR="009B239A" w:rsidRPr="009A2CAE" w:rsidRDefault="009B239A" w:rsidP="009B239A">
            <w:pPr>
              <w:spacing w:line="240" w:lineRule="auto"/>
              <w:jc w:val="center"/>
              <w:rPr>
                <w:rFonts w:ascii="Arial" w:hAnsi="Arial" w:cs="DINOT-Light"/>
                <w:b/>
                <w:caps/>
                <w:color w:val="000000"/>
                <w:sz w:val="18"/>
                <w:szCs w:val="18"/>
              </w:rPr>
            </w:pPr>
          </w:p>
        </w:tc>
      </w:tr>
      <w:tr w:rsidR="009B239A" w:rsidRPr="00735726" w14:paraId="417C6FFA" w14:textId="77777777" w:rsidTr="00DC7FC3">
        <w:trPr>
          <w:trHeight w:val="227"/>
        </w:trPr>
        <w:tc>
          <w:tcPr>
            <w:tcW w:w="7650" w:type="dxa"/>
          </w:tcPr>
          <w:p w14:paraId="1FF66FB6" w14:textId="7F8C3762"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 xml:space="preserve">Governance </w:t>
            </w:r>
            <w:proofErr w:type="gramStart"/>
            <w:r w:rsidRPr="00735726">
              <w:rPr>
                <w:rFonts w:ascii="Arial" w:hAnsi="Arial" w:cs="Arial"/>
                <w:sz w:val="18"/>
                <w:szCs w:val="18"/>
              </w:rPr>
              <w:t>at a glance</w:t>
            </w:r>
            <w:proofErr w:type="gramEnd"/>
          </w:p>
        </w:tc>
        <w:tc>
          <w:tcPr>
            <w:tcW w:w="1366" w:type="dxa"/>
          </w:tcPr>
          <w:p w14:paraId="4C284F71" w14:textId="4A3467E8" w:rsidR="009B239A" w:rsidRPr="009A2CAE" w:rsidRDefault="00A9056A" w:rsidP="009B239A">
            <w:pPr>
              <w:pStyle w:val="03body"/>
              <w:tabs>
                <w:tab w:val="right" w:pos="4544"/>
              </w:tabs>
              <w:spacing w:line="240" w:lineRule="auto"/>
              <w:jc w:val="center"/>
            </w:pPr>
            <w:r w:rsidRPr="009A2CAE">
              <w:t>97</w:t>
            </w:r>
          </w:p>
        </w:tc>
      </w:tr>
      <w:tr w:rsidR="009B239A" w:rsidRPr="00735726" w14:paraId="1EEBF6D1" w14:textId="77777777" w:rsidTr="00DC7FC3">
        <w:trPr>
          <w:trHeight w:val="227"/>
        </w:trPr>
        <w:tc>
          <w:tcPr>
            <w:tcW w:w="7650" w:type="dxa"/>
          </w:tcPr>
          <w:p w14:paraId="5DE0A010" w14:textId="409D5750"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Chair’s introduction</w:t>
            </w:r>
          </w:p>
        </w:tc>
        <w:tc>
          <w:tcPr>
            <w:tcW w:w="1366" w:type="dxa"/>
          </w:tcPr>
          <w:p w14:paraId="0D696247" w14:textId="5760EEAF" w:rsidR="009B239A" w:rsidRPr="009A2CAE" w:rsidRDefault="00A9056A" w:rsidP="009B239A">
            <w:pPr>
              <w:pStyle w:val="03body"/>
              <w:tabs>
                <w:tab w:val="right" w:pos="4544"/>
              </w:tabs>
              <w:spacing w:line="240" w:lineRule="auto"/>
              <w:jc w:val="center"/>
            </w:pPr>
            <w:r w:rsidRPr="009A2CAE">
              <w:t>100</w:t>
            </w:r>
          </w:p>
        </w:tc>
      </w:tr>
      <w:tr w:rsidR="009B239A" w:rsidRPr="00735726" w14:paraId="513508F4" w14:textId="77777777" w:rsidTr="00DC7FC3">
        <w:trPr>
          <w:trHeight w:val="227"/>
        </w:trPr>
        <w:tc>
          <w:tcPr>
            <w:tcW w:w="7650" w:type="dxa"/>
          </w:tcPr>
          <w:p w14:paraId="5D686C2B" w14:textId="11AC911B"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Our Board and Executive Team</w:t>
            </w:r>
          </w:p>
        </w:tc>
        <w:tc>
          <w:tcPr>
            <w:tcW w:w="1366" w:type="dxa"/>
          </w:tcPr>
          <w:p w14:paraId="0A0A88F6" w14:textId="053033CF" w:rsidR="009B239A" w:rsidRPr="009A2CAE" w:rsidRDefault="00A9056A" w:rsidP="009B239A">
            <w:pPr>
              <w:pStyle w:val="03body"/>
              <w:tabs>
                <w:tab w:val="right" w:pos="4544"/>
              </w:tabs>
              <w:spacing w:line="240" w:lineRule="auto"/>
              <w:jc w:val="center"/>
            </w:pPr>
            <w:r w:rsidRPr="009A2CAE">
              <w:t>102</w:t>
            </w:r>
          </w:p>
        </w:tc>
      </w:tr>
      <w:tr w:rsidR="009B239A" w:rsidRPr="00735726" w14:paraId="4DBE336A" w14:textId="77777777" w:rsidTr="00DC7FC3">
        <w:trPr>
          <w:trHeight w:val="227"/>
        </w:trPr>
        <w:tc>
          <w:tcPr>
            <w:tcW w:w="7650" w:type="dxa"/>
          </w:tcPr>
          <w:p w14:paraId="7AA54C55" w14:textId="38F02B9C"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Monitoring purpose and culture</w:t>
            </w:r>
          </w:p>
        </w:tc>
        <w:tc>
          <w:tcPr>
            <w:tcW w:w="1366" w:type="dxa"/>
          </w:tcPr>
          <w:p w14:paraId="326E54F6" w14:textId="2C844545" w:rsidR="009B239A" w:rsidRPr="009A2CAE" w:rsidRDefault="00A9056A" w:rsidP="009B239A">
            <w:pPr>
              <w:pStyle w:val="03body"/>
              <w:tabs>
                <w:tab w:val="right" w:pos="4544"/>
              </w:tabs>
              <w:spacing w:line="240" w:lineRule="auto"/>
              <w:jc w:val="center"/>
            </w:pPr>
            <w:r w:rsidRPr="009A2CAE">
              <w:t>107</w:t>
            </w:r>
          </w:p>
        </w:tc>
      </w:tr>
      <w:tr w:rsidR="009B239A" w:rsidRPr="00735726" w14:paraId="6AD4368C" w14:textId="77777777" w:rsidTr="00DC7FC3">
        <w:trPr>
          <w:trHeight w:val="227"/>
        </w:trPr>
        <w:tc>
          <w:tcPr>
            <w:tcW w:w="7650" w:type="dxa"/>
          </w:tcPr>
          <w:p w14:paraId="14C73F61" w14:textId="46927052"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 xml:space="preserve">Board leadership </w:t>
            </w:r>
          </w:p>
        </w:tc>
        <w:tc>
          <w:tcPr>
            <w:tcW w:w="1366" w:type="dxa"/>
          </w:tcPr>
          <w:p w14:paraId="3AD725DC" w14:textId="7A1F8C18" w:rsidR="009B239A" w:rsidRPr="009A2CAE" w:rsidRDefault="00A9056A" w:rsidP="009B239A">
            <w:pPr>
              <w:pStyle w:val="03body"/>
              <w:tabs>
                <w:tab w:val="right" w:pos="4544"/>
              </w:tabs>
              <w:spacing w:line="240" w:lineRule="auto"/>
              <w:jc w:val="center"/>
            </w:pPr>
            <w:r w:rsidRPr="009A2CAE">
              <w:t>109</w:t>
            </w:r>
          </w:p>
        </w:tc>
      </w:tr>
      <w:tr w:rsidR="009B239A" w:rsidRPr="00735726" w14:paraId="519FB03A" w14:textId="77777777" w:rsidTr="00DC7FC3">
        <w:trPr>
          <w:trHeight w:val="227"/>
        </w:trPr>
        <w:tc>
          <w:tcPr>
            <w:tcW w:w="7650" w:type="dxa"/>
          </w:tcPr>
          <w:p w14:paraId="6A3D7997" w14:textId="293940C5"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Division of responsibilities</w:t>
            </w:r>
          </w:p>
        </w:tc>
        <w:tc>
          <w:tcPr>
            <w:tcW w:w="1366" w:type="dxa"/>
          </w:tcPr>
          <w:p w14:paraId="536E82E0" w14:textId="099A6008" w:rsidR="009B239A" w:rsidRPr="009A2CAE" w:rsidRDefault="00A9056A" w:rsidP="009B239A">
            <w:pPr>
              <w:pStyle w:val="03body"/>
              <w:tabs>
                <w:tab w:val="right" w:pos="4544"/>
              </w:tabs>
              <w:spacing w:line="240" w:lineRule="auto"/>
              <w:jc w:val="center"/>
            </w:pPr>
            <w:r w:rsidRPr="009A2CAE">
              <w:t>110</w:t>
            </w:r>
          </w:p>
        </w:tc>
      </w:tr>
      <w:tr w:rsidR="009B239A" w:rsidRPr="00735726" w14:paraId="4C857B7B" w14:textId="77777777" w:rsidTr="00DC7FC3">
        <w:trPr>
          <w:trHeight w:val="227"/>
        </w:trPr>
        <w:tc>
          <w:tcPr>
            <w:tcW w:w="7650" w:type="dxa"/>
          </w:tcPr>
          <w:p w14:paraId="76388DA3" w14:textId="37DBA24A"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An effective Board</w:t>
            </w:r>
          </w:p>
        </w:tc>
        <w:tc>
          <w:tcPr>
            <w:tcW w:w="1366" w:type="dxa"/>
          </w:tcPr>
          <w:p w14:paraId="729EADFB" w14:textId="2322069C" w:rsidR="009B239A" w:rsidRPr="009A2CAE" w:rsidRDefault="00A9056A" w:rsidP="009B239A">
            <w:pPr>
              <w:pStyle w:val="03body"/>
              <w:tabs>
                <w:tab w:val="right" w:pos="4544"/>
              </w:tabs>
              <w:spacing w:line="240" w:lineRule="auto"/>
              <w:jc w:val="center"/>
            </w:pPr>
            <w:r w:rsidRPr="009A2CAE">
              <w:t>112</w:t>
            </w:r>
          </w:p>
        </w:tc>
      </w:tr>
      <w:tr w:rsidR="009B239A" w:rsidRPr="00735726" w14:paraId="1F6A9B37" w14:textId="77777777" w:rsidTr="00DC7FC3">
        <w:trPr>
          <w:trHeight w:val="227"/>
        </w:trPr>
        <w:tc>
          <w:tcPr>
            <w:tcW w:w="7650" w:type="dxa"/>
          </w:tcPr>
          <w:p w14:paraId="37DEFCEB" w14:textId="6A791149"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Key activities of the Board</w:t>
            </w:r>
          </w:p>
        </w:tc>
        <w:tc>
          <w:tcPr>
            <w:tcW w:w="1366" w:type="dxa"/>
          </w:tcPr>
          <w:p w14:paraId="0099980B" w14:textId="04D6C01B" w:rsidR="009B239A" w:rsidRPr="009A2CAE" w:rsidRDefault="00A9056A" w:rsidP="009B239A">
            <w:pPr>
              <w:pStyle w:val="03body"/>
              <w:tabs>
                <w:tab w:val="right" w:pos="4544"/>
              </w:tabs>
              <w:spacing w:line="240" w:lineRule="auto"/>
              <w:jc w:val="center"/>
            </w:pPr>
            <w:r w:rsidRPr="009A2CAE">
              <w:t>116</w:t>
            </w:r>
          </w:p>
        </w:tc>
      </w:tr>
      <w:tr w:rsidR="009B239A" w:rsidRPr="00735726" w14:paraId="761D9182" w14:textId="77777777" w:rsidTr="00DC7FC3">
        <w:trPr>
          <w:trHeight w:val="227"/>
        </w:trPr>
        <w:tc>
          <w:tcPr>
            <w:tcW w:w="7650" w:type="dxa"/>
          </w:tcPr>
          <w:p w14:paraId="57D14FD1" w14:textId="77A67A2A"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How the Board engages with stakeholders</w:t>
            </w:r>
          </w:p>
        </w:tc>
        <w:tc>
          <w:tcPr>
            <w:tcW w:w="1366" w:type="dxa"/>
          </w:tcPr>
          <w:p w14:paraId="13EFEB2B" w14:textId="0653D4A4" w:rsidR="009B239A" w:rsidRPr="009A2CAE" w:rsidRDefault="00A9056A" w:rsidP="009B239A">
            <w:pPr>
              <w:pStyle w:val="03body"/>
              <w:tabs>
                <w:tab w:val="right" w:pos="4544"/>
              </w:tabs>
              <w:spacing w:line="240" w:lineRule="auto"/>
              <w:jc w:val="center"/>
            </w:pPr>
            <w:r w:rsidRPr="009A2CAE">
              <w:t>118</w:t>
            </w:r>
          </w:p>
        </w:tc>
      </w:tr>
      <w:tr w:rsidR="009B239A" w:rsidRPr="00735726" w14:paraId="0EEE4C42" w14:textId="77777777" w:rsidTr="00DC7FC3">
        <w:trPr>
          <w:trHeight w:val="227"/>
        </w:trPr>
        <w:tc>
          <w:tcPr>
            <w:tcW w:w="7650" w:type="dxa"/>
          </w:tcPr>
          <w:p w14:paraId="67640D9A" w14:textId="2EB56C01"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 xml:space="preserve">Composition, succession and evaluation </w:t>
            </w:r>
            <w:r w:rsidRPr="00735726">
              <w:rPr>
                <w:rFonts w:ascii="Arial" w:hAnsi="Arial" w:cs="Arial"/>
                <w:sz w:val="18"/>
                <w:szCs w:val="18"/>
              </w:rPr>
              <w:tab/>
            </w:r>
          </w:p>
        </w:tc>
        <w:tc>
          <w:tcPr>
            <w:tcW w:w="1366" w:type="dxa"/>
          </w:tcPr>
          <w:p w14:paraId="046AC403" w14:textId="08D7D9FC" w:rsidR="009B239A" w:rsidRPr="009A2CAE" w:rsidRDefault="00A9056A" w:rsidP="009B239A">
            <w:pPr>
              <w:pStyle w:val="03body"/>
              <w:tabs>
                <w:tab w:val="right" w:pos="4544"/>
              </w:tabs>
              <w:spacing w:line="240" w:lineRule="auto"/>
              <w:jc w:val="center"/>
            </w:pPr>
            <w:r w:rsidRPr="009A2CAE">
              <w:t>120</w:t>
            </w:r>
          </w:p>
        </w:tc>
      </w:tr>
      <w:tr w:rsidR="009B239A" w:rsidRPr="00735726" w14:paraId="532971B4" w14:textId="77777777" w:rsidTr="00DC7FC3">
        <w:trPr>
          <w:trHeight w:val="227"/>
        </w:trPr>
        <w:tc>
          <w:tcPr>
            <w:tcW w:w="7650" w:type="dxa"/>
          </w:tcPr>
          <w:p w14:paraId="66F0370C" w14:textId="6F4D8D24" w:rsidR="009B239A" w:rsidRPr="00735726" w:rsidRDefault="00CB753C" w:rsidP="009B239A">
            <w:pPr>
              <w:spacing w:line="240" w:lineRule="auto"/>
              <w:rPr>
                <w:rFonts w:ascii="Arial" w:hAnsi="Arial" w:cs="Arial"/>
                <w:sz w:val="18"/>
                <w:szCs w:val="18"/>
              </w:rPr>
            </w:pPr>
            <w:r w:rsidRPr="00735726">
              <w:rPr>
                <w:rFonts w:ascii="Arial" w:hAnsi="Arial" w:cs="Arial"/>
                <w:sz w:val="18"/>
                <w:szCs w:val="18"/>
              </w:rPr>
              <w:t xml:space="preserve">Section </w:t>
            </w:r>
            <w:r w:rsidR="009B239A" w:rsidRPr="00735726">
              <w:rPr>
                <w:rFonts w:ascii="Arial" w:hAnsi="Arial" w:cs="Arial"/>
                <w:sz w:val="18"/>
                <w:szCs w:val="18"/>
              </w:rPr>
              <w:t>172(1) statement</w:t>
            </w:r>
          </w:p>
        </w:tc>
        <w:tc>
          <w:tcPr>
            <w:tcW w:w="1366" w:type="dxa"/>
          </w:tcPr>
          <w:p w14:paraId="287CB49B" w14:textId="2D0EDB9D" w:rsidR="009B239A" w:rsidRPr="009A2CAE" w:rsidRDefault="00A9056A" w:rsidP="009B239A">
            <w:pPr>
              <w:pStyle w:val="03body"/>
              <w:tabs>
                <w:tab w:val="right" w:pos="4544"/>
              </w:tabs>
              <w:spacing w:line="240" w:lineRule="auto"/>
              <w:jc w:val="center"/>
            </w:pPr>
            <w:r w:rsidRPr="009A2CAE">
              <w:t>122</w:t>
            </w:r>
          </w:p>
        </w:tc>
      </w:tr>
      <w:tr w:rsidR="009B239A" w:rsidRPr="00735726" w14:paraId="0F8952FC" w14:textId="77777777" w:rsidTr="00DC7FC3">
        <w:trPr>
          <w:trHeight w:val="227"/>
        </w:trPr>
        <w:tc>
          <w:tcPr>
            <w:tcW w:w="7650" w:type="dxa"/>
          </w:tcPr>
          <w:p w14:paraId="77FBE698" w14:textId="5F9350CE"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Nomination Committee Report</w:t>
            </w:r>
          </w:p>
        </w:tc>
        <w:tc>
          <w:tcPr>
            <w:tcW w:w="1366" w:type="dxa"/>
          </w:tcPr>
          <w:p w14:paraId="15CA5E1E" w14:textId="17BC9B8E" w:rsidR="009B239A" w:rsidRPr="009A2CAE" w:rsidRDefault="00A9056A" w:rsidP="009B239A">
            <w:pPr>
              <w:pStyle w:val="03body"/>
              <w:tabs>
                <w:tab w:val="right" w:pos="4544"/>
              </w:tabs>
              <w:spacing w:line="240" w:lineRule="auto"/>
              <w:jc w:val="center"/>
            </w:pPr>
            <w:r w:rsidRPr="009A2CAE">
              <w:t>125</w:t>
            </w:r>
          </w:p>
        </w:tc>
      </w:tr>
      <w:tr w:rsidR="009B239A" w:rsidRPr="00735726" w14:paraId="5A9066E0" w14:textId="77777777" w:rsidTr="00DC7FC3">
        <w:trPr>
          <w:trHeight w:val="227"/>
        </w:trPr>
        <w:tc>
          <w:tcPr>
            <w:tcW w:w="7650" w:type="dxa"/>
          </w:tcPr>
          <w:p w14:paraId="224135DC" w14:textId="216DC6F2"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Audit Committee Report</w:t>
            </w:r>
          </w:p>
        </w:tc>
        <w:tc>
          <w:tcPr>
            <w:tcW w:w="1366" w:type="dxa"/>
          </w:tcPr>
          <w:p w14:paraId="3ABC081F" w14:textId="08FD102D" w:rsidR="009B239A" w:rsidRPr="009A2CAE" w:rsidRDefault="00A9056A" w:rsidP="009B239A">
            <w:pPr>
              <w:pStyle w:val="03body"/>
              <w:tabs>
                <w:tab w:val="right" w:pos="4544"/>
              </w:tabs>
              <w:spacing w:line="240" w:lineRule="auto"/>
              <w:jc w:val="center"/>
            </w:pPr>
            <w:r w:rsidRPr="009A2CAE">
              <w:t>130</w:t>
            </w:r>
          </w:p>
        </w:tc>
      </w:tr>
      <w:tr w:rsidR="009B239A" w:rsidRPr="00735726" w14:paraId="358E99CD" w14:textId="77777777" w:rsidTr="00DC7FC3">
        <w:trPr>
          <w:trHeight w:val="227"/>
        </w:trPr>
        <w:tc>
          <w:tcPr>
            <w:tcW w:w="7650" w:type="dxa"/>
          </w:tcPr>
          <w:p w14:paraId="76172A8E" w14:textId="64A50C76"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ESG Committee Report</w:t>
            </w:r>
          </w:p>
        </w:tc>
        <w:tc>
          <w:tcPr>
            <w:tcW w:w="1366" w:type="dxa"/>
          </w:tcPr>
          <w:p w14:paraId="71C88B22" w14:textId="28F9BC83" w:rsidR="009B239A" w:rsidRPr="009A2CAE" w:rsidRDefault="00A9056A" w:rsidP="009B239A">
            <w:pPr>
              <w:pStyle w:val="03body"/>
              <w:tabs>
                <w:tab w:val="right" w:pos="4544"/>
              </w:tabs>
              <w:spacing w:line="240" w:lineRule="auto"/>
              <w:jc w:val="center"/>
            </w:pPr>
            <w:r w:rsidRPr="009A2CAE">
              <w:t>140</w:t>
            </w:r>
          </w:p>
        </w:tc>
      </w:tr>
      <w:tr w:rsidR="009B239A" w:rsidRPr="00735726" w14:paraId="2B9EF159" w14:textId="77777777" w:rsidTr="00DC7FC3">
        <w:trPr>
          <w:trHeight w:val="227"/>
        </w:trPr>
        <w:tc>
          <w:tcPr>
            <w:tcW w:w="7650" w:type="dxa"/>
          </w:tcPr>
          <w:p w14:paraId="3AAF3074" w14:textId="343F7ECE"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Health and Safety Committee Report</w:t>
            </w:r>
          </w:p>
        </w:tc>
        <w:tc>
          <w:tcPr>
            <w:tcW w:w="1366" w:type="dxa"/>
          </w:tcPr>
          <w:p w14:paraId="6DE2A9F4" w14:textId="182F1715" w:rsidR="009B239A" w:rsidRPr="009A2CAE" w:rsidRDefault="00A9056A" w:rsidP="009B239A">
            <w:pPr>
              <w:pStyle w:val="03body"/>
              <w:tabs>
                <w:tab w:val="right" w:pos="4544"/>
              </w:tabs>
              <w:spacing w:line="240" w:lineRule="auto"/>
              <w:jc w:val="center"/>
            </w:pPr>
            <w:r w:rsidRPr="009A2CAE">
              <w:t>144</w:t>
            </w:r>
          </w:p>
        </w:tc>
      </w:tr>
      <w:tr w:rsidR="009B239A" w:rsidRPr="00735726" w14:paraId="49C4668B" w14:textId="77777777" w:rsidTr="00DC7FC3">
        <w:trPr>
          <w:trHeight w:val="227"/>
        </w:trPr>
        <w:tc>
          <w:tcPr>
            <w:tcW w:w="7650" w:type="dxa"/>
          </w:tcPr>
          <w:p w14:paraId="0B9DB8FB" w14:textId="01FE67CD"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Remuneration Committee Report</w:t>
            </w:r>
          </w:p>
        </w:tc>
        <w:tc>
          <w:tcPr>
            <w:tcW w:w="1366" w:type="dxa"/>
          </w:tcPr>
          <w:p w14:paraId="3CCE19E6" w14:textId="3801D32F" w:rsidR="009B239A" w:rsidRPr="009A2CAE" w:rsidRDefault="00A9056A" w:rsidP="009B239A">
            <w:pPr>
              <w:pStyle w:val="03body"/>
              <w:tabs>
                <w:tab w:val="right" w:pos="4544"/>
              </w:tabs>
              <w:spacing w:line="240" w:lineRule="auto"/>
              <w:jc w:val="center"/>
            </w:pPr>
            <w:r w:rsidRPr="009A2CAE">
              <w:t>145</w:t>
            </w:r>
          </w:p>
        </w:tc>
      </w:tr>
      <w:tr w:rsidR="009B239A" w:rsidRPr="00735726" w14:paraId="5ED9C3FA" w14:textId="77777777" w:rsidTr="00DC7FC3">
        <w:trPr>
          <w:trHeight w:val="227"/>
        </w:trPr>
        <w:tc>
          <w:tcPr>
            <w:tcW w:w="7650" w:type="dxa"/>
          </w:tcPr>
          <w:p w14:paraId="0E9EC21C" w14:textId="0F13CEDE"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Director’s Remuneration Report</w:t>
            </w:r>
          </w:p>
        </w:tc>
        <w:tc>
          <w:tcPr>
            <w:tcW w:w="1366" w:type="dxa"/>
          </w:tcPr>
          <w:p w14:paraId="7B8956F4" w14:textId="21C580B8" w:rsidR="009B239A" w:rsidRPr="009A2CAE" w:rsidRDefault="00A9056A" w:rsidP="009B239A">
            <w:pPr>
              <w:pStyle w:val="03body"/>
              <w:tabs>
                <w:tab w:val="right" w:pos="4544"/>
              </w:tabs>
              <w:spacing w:line="240" w:lineRule="auto"/>
              <w:jc w:val="center"/>
            </w:pPr>
            <w:r w:rsidRPr="009A2CAE">
              <w:t>150</w:t>
            </w:r>
          </w:p>
        </w:tc>
      </w:tr>
      <w:tr w:rsidR="009B239A" w:rsidRPr="00735726" w14:paraId="74626C32" w14:textId="77777777" w:rsidTr="00DC7FC3">
        <w:trPr>
          <w:trHeight w:val="227"/>
        </w:trPr>
        <w:tc>
          <w:tcPr>
            <w:tcW w:w="7650" w:type="dxa"/>
          </w:tcPr>
          <w:p w14:paraId="6340390A" w14:textId="5DBF1277"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Board of Directors and company information</w:t>
            </w:r>
          </w:p>
        </w:tc>
        <w:tc>
          <w:tcPr>
            <w:tcW w:w="1366" w:type="dxa"/>
          </w:tcPr>
          <w:p w14:paraId="31D93210" w14:textId="4B1C9682" w:rsidR="009B239A" w:rsidRPr="009A2CAE" w:rsidRDefault="00A9056A" w:rsidP="009B239A">
            <w:pPr>
              <w:pStyle w:val="03body"/>
              <w:tabs>
                <w:tab w:val="right" w:pos="4544"/>
              </w:tabs>
              <w:spacing w:line="240" w:lineRule="auto"/>
              <w:jc w:val="center"/>
            </w:pPr>
            <w:r w:rsidRPr="009A2CAE">
              <w:t>160</w:t>
            </w:r>
          </w:p>
        </w:tc>
      </w:tr>
      <w:tr w:rsidR="009B239A" w:rsidRPr="00735726" w14:paraId="576B6AD4" w14:textId="77777777" w:rsidTr="00DC7FC3">
        <w:trPr>
          <w:trHeight w:val="227"/>
        </w:trPr>
        <w:tc>
          <w:tcPr>
            <w:tcW w:w="7650" w:type="dxa"/>
          </w:tcPr>
          <w:p w14:paraId="7EDDB8F0" w14:textId="62485CCD"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Directors’ Report</w:t>
            </w:r>
          </w:p>
        </w:tc>
        <w:tc>
          <w:tcPr>
            <w:tcW w:w="1366" w:type="dxa"/>
          </w:tcPr>
          <w:p w14:paraId="1B0CDC48" w14:textId="3EAD9B18" w:rsidR="009B239A" w:rsidRPr="009A2CAE" w:rsidRDefault="00A9056A" w:rsidP="009B239A">
            <w:pPr>
              <w:pStyle w:val="03body"/>
              <w:tabs>
                <w:tab w:val="right" w:pos="4544"/>
              </w:tabs>
              <w:spacing w:line="240" w:lineRule="auto"/>
              <w:jc w:val="center"/>
            </w:pPr>
            <w:r w:rsidRPr="009A2CAE">
              <w:t>161</w:t>
            </w:r>
          </w:p>
        </w:tc>
      </w:tr>
      <w:tr w:rsidR="009B239A" w:rsidRPr="00735726" w14:paraId="5317DF02" w14:textId="77777777" w:rsidTr="00DC7FC3">
        <w:trPr>
          <w:trHeight w:val="227"/>
        </w:trPr>
        <w:tc>
          <w:tcPr>
            <w:tcW w:w="7650" w:type="dxa"/>
          </w:tcPr>
          <w:p w14:paraId="4EEE3B74" w14:textId="76FF3F6B" w:rsidR="009B239A" w:rsidRPr="00735726" w:rsidRDefault="009B239A" w:rsidP="009B239A">
            <w:pPr>
              <w:spacing w:line="240" w:lineRule="auto"/>
              <w:rPr>
                <w:rFonts w:ascii="Arial" w:hAnsi="Arial" w:cs="Arial"/>
                <w:sz w:val="18"/>
                <w:szCs w:val="18"/>
              </w:rPr>
            </w:pPr>
            <w:r w:rsidRPr="00735726">
              <w:rPr>
                <w:rFonts w:ascii="Arial" w:hAnsi="Arial" w:cs="Arial"/>
                <w:sz w:val="18"/>
                <w:szCs w:val="18"/>
              </w:rPr>
              <w:t>Statement of Directors’ responsibilities</w:t>
            </w:r>
          </w:p>
        </w:tc>
        <w:tc>
          <w:tcPr>
            <w:tcW w:w="1366" w:type="dxa"/>
          </w:tcPr>
          <w:p w14:paraId="246BB552" w14:textId="64B1C00E" w:rsidR="009B239A" w:rsidRPr="009A2CAE" w:rsidRDefault="00A9056A" w:rsidP="009B239A">
            <w:pPr>
              <w:pStyle w:val="03body"/>
              <w:tabs>
                <w:tab w:val="right" w:pos="4544"/>
              </w:tabs>
              <w:spacing w:line="240" w:lineRule="auto"/>
              <w:jc w:val="center"/>
            </w:pPr>
            <w:r w:rsidRPr="009A2CAE">
              <w:t>166</w:t>
            </w:r>
          </w:p>
        </w:tc>
      </w:tr>
    </w:tbl>
    <w:p w14:paraId="21DFE67D" w14:textId="77777777" w:rsidR="00E80DAC" w:rsidRPr="009A2CAE" w:rsidRDefault="00E80DAC" w:rsidP="009F5FD8">
      <w:pPr>
        <w:rPr>
          <w:rFonts w:ascii="Arial" w:eastAsia="Times New Roman" w:hAnsi="Arial" w:cs="DINOT"/>
          <w:caps/>
          <w:sz w:val="32"/>
          <w:szCs w:val="32"/>
        </w:rPr>
      </w:pPr>
    </w:p>
    <w:p w14:paraId="1F53A478" w14:textId="77777777" w:rsidR="00E80DAC" w:rsidRPr="00B318D0" w:rsidRDefault="00E80DAC">
      <w:pPr>
        <w:spacing w:after="160" w:line="259" w:lineRule="auto"/>
        <w:rPr>
          <w:rFonts w:ascii="Arial" w:eastAsia="Times New Roman" w:hAnsi="Arial" w:cs="DINOT"/>
          <w:caps/>
          <w:sz w:val="32"/>
          <w:szCs w:val="32"/>
          <w:highlight w:val="yellow"/>
        </w:rPr>
      </w:pPr>
      <w:r w:rsidRPr="00B318D0">
        <w:rPr>
          <w:rFonts w:ascii="Arial" w:eastAsia="Times New Roman" w:hAnsi="Arial" w:cs="DINOT"/>
          <w:caps/>
          <w:sz w:val="32"/>
          <w:szCs w:val="32"/>
          <w:highlight w:val="yellow"/>
        </w:rPr>
        <w:br w:type="page"/>
      </w:r>
    </w:p>
    <w:p w14:paraId="5523C6D5" w14:textId="5B1DD487" w:rsidR="009F5FD8" w:rsidRPr="00FD779A" w:rsidRDefault="009F5FD8" w:rsidP="009F5FD8">
      <w:pPr>
        <w:rPr>
          <w:rFonts w:ascii="Arial" w:eastAsia="Times New Roman" w:hAnsi="Arial" w:cs="DINOT"/>
          <w:caps/>
          <w:sz w:val="32"/>
          <w:szCs w:val="32"/>
        </w:rPr>
      </w:pPr>
      <w:r w:rsidRPr="00FD779A">
        <w:rPr>
          <w:rFonts w:ascii="Arial" w:eastAsia="Times New Roman" w:hAnsi="Arial" w:cs="DINOT"/>
          <w:caps/>
          <w:sz w:val="32"/>
          <w:szCs w:val="32"/>
        </w:rPr>
        <w:lastRenderedPageBreak/>
        <w:t>GOVERNANCE AT A GLANCE</w:t>
      </w:r>
    </w:p>
    <w:p w14:paraId="588FCB45" w14:textId="77777777" w:rsidR="009F5FD8" w:rsidRPr="00990E52" w:rsidRDefault="009F5FD8" w:rsidP="009F5FD8">
      <w:pPr>
        <w:rPr>
          <w:rFonts w:ascii="Arial" w:eastAsia="Times New Roman" w:hAnsi="Arial" w:cs="DINOT"/>
          <w:b/>
          <w:bCs/>
          <w:caps/>
          <w:sz w:val="18"/>
        </w:rPr>
      </w:pPr>
      <w:r w:rsidRPr="00990E52">
        <w:rPr>
          <w:rFonts w:ascii="Arial" w:eastAsia="Times New Roman" w:hAnsi="Arial" w:cs="DINOT"/>
          <w:b/>
          <w:bCs/>
          <w:caps/>
          <w:sz w:val="18"/>
        </w:rPr>
        <w:t>Highlights</w:t>
      </w:r>
    </w:p>
    <w:p w14:paraId="1F75F381" w14:textId="77777777" w:rsidR="009F5FD8" w:rsidRPr="00990E52" w:rsidRDefault="009F5FD8" w:rsidP="009F5FD8">
      <w:pPr>
        <w:autoSpaceDE w:val="0"/>
        <w:autoSpaceDN w:val="0"/>
        <w:adjustRightInd w:val="0"/>
        <w:spacing w:after="0" w:line="240" w:lineRule="auto"/>
        <w:rPr>
          <w:rFonts w:ascii="Arial" w:eastAsia="Times New Roman" w:hAnsi="Arial" w:cs="DINOT-Light"/>
          <w:color w:val="000000"/>
          <w:sz w:val="18"/>
          <w:szCs w:val="18"/>
        </w:rPr>
      </w:pPr>
      <w:r w:rsidRPr="00990E52">
        <w:rPr>
          <w:rFonts w:ascii="Arial" w:eastAsia="Times New Roman" w:hAnsi="Arial" w:cs="DINOT"/>
          <w:b/>
          <w:bCs/>
          <w:caps/>
          <w:sz w:val="18"/>
        </w:rPr>
        <w:t>Board Changes</w:t>
      </w:r>
    </w:p>
    <w:p w14:paraId="4E690370" w14:textId="7B55AE71" w:rsidR="00990E52" w:rsidRPr="00990E52" w:rsidRDefault="00990E52" w:rsidP="00646F4F">
      <w:pPr>
        <w:pStyle w:val="ListParagraph"/>
        <w:numPr>
          <w:ilvl w:val="0"/>
          <w:numId w:val="52"/>
        </w:numPr>
        <w:rPr>
          <w:rFonts w:ascii="Arial" w:eastAsia="Times New Roman" w:hAnsi="Arial" w:cs="DINOT-Light"/>
          <w:color w:val="000000"/>
          <w:sz w:val="18"/>
          <w:szCs w:val="18"/>
        </w:rPr>
      </w:pPr>
      <w:r w:rsidRPr="00990E52">
        <w:rPr>
          <w:rFonts w:ascii="Arial" w:eastAsia="Times New Roman" w:hAnsi="Arial" w:cs="DINOT-Light"/>
          <w:color w:val="000000"/>
          <w:sz w:val="18"/>
          <w:szCs w:val="18"/>
        </w:rPr>
        <w:t>Susan Davy retired from the Board and as Chief Executive Officer on 31 December 2025</w:t>
      </w:r>
    </w:p>
    <w:p w14:paraId="4170D700" w14:textId="573F84C6" w:rsidR="00990E52" w:rsidRPr="00990E52" w:rsidRDefault="00990E52" w:rsidP="00646F4F">
      <w:pPr>
        <w:pStyle w:val="ListParagraph"/>
        <w:numPr>
          <w:ilvl w:val="0"/>
          <w:numId w:val="52"/>
        </w:numPr>
        <w:rPr>
          <w:rFonts w:ascii="Arial" w:eastAsia="Times New Roman" w:hAnsi="Arial" w:cs="DINOT-Light"/>
          <w:color w:val="000000"/>
          <w:sz w:val="18"/>
          <w:szCs w:val="18"/>
        </w:rPr>
      </w:pPr>
      <w:r w:rsidRPr="00990E52">
        <w:rPr>
          <w:rFonts w:ascii="Arial" w:eastAsia="Times New Roman" w:hAnsi="Arial" w:cs="DINOT-Light"/>
          <w:color w:val="000000"/>
          <w:sz w:val="18"/>
          <w:szCs w:val="18"/>
        </w:rPr>
        <w:t xml:space="preserve">David Sproul, Chair of </w:t>
      </w:r>
      <w:proofErr w:type="gramStart"/>
      <w:r w:rsidRPr="00990E52">
        <w:rPr>
          <w:rFonts w:ascii="Arial" w:eastAsia="Times New Roman" w:hAnsi="Arial" w:cs="DINOT-Light"/>
          <w:color w:val="000000"/>
          <w:sz w:val="18"/>
          <w:szCs w:val="18"/>
        </w:rPr>
        <w:t>South West</w:t>
      </w:r>
      <w:proofErr w:type="gramEnd"/>
      <w:r w:rsidRPr="00990E52">
        <w:rPr>
          <w:rFonts w:ascii="Arial" w:eastAsia="Times New Roman" w:hAnsi="Arial" w:cs="DINOT-Light"/>
          <w:color w:val="000000"/>
          <w:sz w:val="18"/>
          <w:szCs w:val="18"/>
        </w:rPr>
        <w:t xml:space="preserve"> Water, assumed the role of Executive Chair on 1 January 2026 supported by an Operating Committee. The Operating Committee, </w:t>
      </w:r>
      <w:r w:rsidRPr="00762DCC">
        <w:rPr>
          <w:rFonts w:ascii="Arial" w:eastAsia="Times New Roman" w:hAnsi="Arial" w:cs="DINOT-Light"/>
          <w:color w:val="000000"/>
          <w:sz w:val="18"/>
          <w:szCs w:val="18"/>
        </w:rPr>
        <w:t xml:space="preserve">comprising Laura Flowerdew, Sarah Heald and Andrew Garard, commenced on 1 January 2026 and ended </w:t>
      </w:r>
      <w:r w:rsidRPr="009A2CAE">
        <w:rPr>
          <w:rFonts w:ascii="Arial" w:eastAsia="Times New Roman" w:hAnsi="Arial" w:cs="DINOT-Light"/>
          <w:color w:val="000000"/>
          <w:sz w:val="18"/>
          <w:szCs w:val="18"/>
        </w:rPr>
        <w:t>1 April 2026 following the appointment of Keith Haslett Chief Executive Officer</w:t>
      </w:r>
      <w:r w:rsidR="00F363F6" w:rsidRPr="009A2CAE">
        <w:rPr>
          <w:rFonts w:ascii="Arial" w:eastAsia="Times New Roman" w:hAnsi="Arial" w:cs="DINOT-Light"/>
          <w:color w:val="000000"/>
          <w:sz w:val="18"/>
          <w:szCs w:val="18"/>
        </w:rPr>
        <w:t xml:space="preserve"> of our parent </w:t>
      </w:r>
      <w:r w:rsidR="003B36A4" w:rsidRPr="009A2CAE">
        <w:rPr>
          <w:rFonts w:ascii="Arial" w:eastAsia="Times New Roman" w:hAnsi="Arial" w:cs="DINOT-Light"/>
          <w:color w:val="000000"/>
          <w:sz w:val="18"/>
          <w:szCs w:val="18"/>
        </w:rPr>
        <w:t>C</w:t>
      </w:r>
      <w:r w:rsidR="00F363F6" w:rsidRPr="009A2CAE">
        <w:rPr>
          <w:rFonts w:ascii="Arial" w:eastAsia="Times New Roman" w:hAnsi="Arial" w:cs="DINOT-Light"/>
          <w:color w:val="000000"/>
          <w:sz w:val="18"/>
          <w:szCs w:val="18"/>
        </w:rPr>
        <w:t>ompany, Pennon Group plc</w:t>
      </w:r>
    </w:p>
    <w:p w14:paraId="12E50FBD" w14:textId="024592FA" w:rsidR="00990E52" w:rsidRPr="00990E52" w:rsidRDefault="00990E52" w:rsidP="00646F4F">
      <w:pPr>
        <w:pStyle w:val="ListParagraph"/>
        <w:numPr>
          <w:ilvl w:val="0"/>
          <w:numId w:val="52"/>
        </w:numPr>
        <w:rPr>
          <w:rFonts w:ascii="Arial" w:eastAsia="Times New Roman" w:hAnsi="Arial" w:cs="DINOT-Light"/>
          <w:color w:val="000000"/>
          <w:sz w:val="18"/>
          <w:szCs w:val="18"/>
        </w:rPr>
      </w:pPr>
      <w:r w:rsidRPr="00990E52">
        <w:rPr>
          <w:rFonts w:ascii="Arial" w:eastAsia="Times New Roman" w:hAnsi="Arial" w:cs="DINOT-Light"/>
          <w:color w:val="000000"/>
          <w:sz w:val="18"/>
          <w:szCs w:val="18"/>
        </w:rPr>
        <w:t xml:space="preserve">Keith Haslett joined the Board and was appointed as Chief Executive Officer on </w:t>
      </w:r>
      <w:r w:rsidR="00A774C5">
        <w:rPr>
          <w:rFonts w:ascii="Arial" w:eastAsia="Times New Roman" w:hAnsi="Arial" w:cs="DINOT-Light"/>
          <w:color w:val="000000"/>
          <w:sz w:val="18"/>
          <w:szCs w:val="18"/>
        </w:rPr>
        <w:t>19 May</w:t>
      </w:r>
      <w:r w:rsidRPr="00990E52">
        <w:rPr>
          <w:rFonts w:ascii="Arial" w:eastAsia="Times New Roman" w:hAnsi="Arial" w:cs="DINOT-Light"/>
          <w:color w:val="000000"/>
          <w:sz w:val="18"/>
          <w:szCs w:val="18"/>
        </w:rPr>
        <w:t xml:space="preserve"> 2026</w:t>
      </w:r>
    </w:p>
    <w:p w14:paraId="76523B7D" w14:textId="1946BEB5" w:rsidR="00990E52" w:rsidRPr="00990E52" w:rsidRDefault="00990E52" w:rsidP="00646F4F">
      <w:pPr>
        <w:pStyle w:val="ListParagraph"/>
        <w:numPr>
          <w:ilvl w:val="0"/>
          <w:numId w:val="52"/>
        </w:numPr>
        <w:rPr>
          <w:rFonts w:ascii="Arial" w:eastAsia="Times New Roman" w:hAnsi="Arial" w:cs="DINOT-Light"/>
          <w:color w:val="000000"/>
          <w:sz w:val="18"/>
          <w:szCs w:val="18"/>
        </w:rPr>
      </w:pPr>
      <w:r w:rsidRPr="00990E52">
        <w:rPr>
          <w:rFonts w:ascii="Arial" w:eastAsia="Times New Roman" w:hAnsi="Arial" w:cs="DINOT-Light"/>
          <w:color w:val="000000"/>
          <w:sz w:val="18"/>
          <w:szCs w:val="18"/>
        </w:rPr>
        <w:t>Iain Evans stepped down from the Board on</w:t>
      </w:r>
      <w:r w:rsidR="00A729D2">
        <w:rPr>
          <w:rFonts w:ascii="Arial" w:eastAsia="Times New Roman" w:hAnsi="Arial" w:cs="DINOT-Light"/>
          <w:color w:val="000000"/>
          <w:sz w:val="18"/>
          <w:szCs w:val="18"/>
        </w:rPr>
        <w:t xml:space="preserve"> </w:t>
      </w:r>
      <w:r w:rsidRPr="00990E52">
        <w:rPr>
          <w:rFonts w:ascii="Arial" w:eastAsia="Times New Roman" w:hAnsi="Arial" w:cs="DINOT-Light"/>
          <w:color w:val="000000"/>
          <w:sz w:val="18"/>
          <w:szCs w:val="18"/>
        </w:rPr>
        <w:t>31 March 2026</w:t>
      </w:r>
    </w:p>
    <w:p w14:paraId="64DAF053" w14:textId="1F2BDF49" w:rsidR="00990E52" w:rsidRPr="00990E52" w:rsidRDefault="00990E52" w:rsidP="00646F4F">
      <w:pPr>
        <w:pStyle w:val="ListParagraph"/>
        <w:numPr>
          <w:ilvl w:val="0"/>
          <w:numId w:val="52"/>
        </w:numPr>
        <w:rPr>
          <w:rFonts w:ascii="Arial" w:eastAsia="Times New Roman" w:hAnsi="Arial" w:cs="DINOT-Light"/>
          <w:color w:val="000000"/>
          <w:sz w:val="18"/>
          <w:szCs w:val="18"/>
        </w:rPr>
      </w:pPr>
      <w:r w:rsidRPr="00990E52">
        <w:rPr>
          <w:rFonts w:ascii="Arial" w:eastAsia="Times New Roman" w:hAnsi="Arial" w:cs="DINOT-Light"/>
          <w:color w:val="000000"/>
          <w:sz w:val="18"/>
          <w:szCs w:val="18"/>
        </w:rPr>
        <w:t>Sir Andrew Haines was appointed to the Board as Non-Executive Director on 1 November 2025 and became Senior Independent Director on 1 April 2026</w:t>
      </w:r>
    </w:p>
    <w:p w14:paraId="14924796" w14:textId="494CDF3D" w:rsidR="00C11E7C" w:rsidRPr="00735726" w:rsidRDefault="00C11E7C" w:rsidP="00646F4F">
      <w:pPr>
        <w:pStyle w:val="ListParagraph"/>
        <w:numPr>
          <w:ilvl w:val="0"/>
          <w:numId w:val="52"/>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Andrea </w:t>
      </w:r>
      <w:proofErr w:type="spellStart"/>
      <w:r w:rsidRPr="00735726">
        <w:rPr>
          <w:rFonts w:ascii="Arial" w:eastAsia="Times New Roman" w:hAnsi="Arial" w:cs="DINOT-Light"/>
          <w:color w:val="000000"/>
          <w:sz w:val="18"/>
          <w:szCs w:val="18"/>
        </w:rPr>
        <w:t>Blance</w:t>
      </w:r>
      <w:proofErr w:type="spellEnd"/>
      <w:r w:rsidRPr="00735726">
        <w:rPr>
          <w:rFonts w:ascii="Arial" w:eastAsia="Times New Roman" w:hAnsi="Arial" w:cs="DINOT-Light"/>
          <w:color w:val="000000"/>
          <w:sz w:val="18"/>
          <w:szCs w:val="18"/>
        </w:rPr>
        <w:t xml:space="preserve"> was appointed to the Board as Chair of the Remuneration Committee on 8 April 2025.</w:t>
      </w:r>
    </w:p>
    <w:p w14:paraId="28AFFD51" w14:textId="3446E3D6" w:rsidR="009F5FD8" w:rsidRPr="009A2CAE" w:rsidRDefault="00C11E7C" w:rsidP="00C11E7C">
      <w:pPr>
        <w:autoSpaceDE w:val="0"/>
        <w:autoSpaceDN w:val="0"/>
        <w:adjustRightInd w:val="0"/>
        <w:spacing w:after="0" w:line="240"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Read more on and Andrea</w:t>
      </w:r>
      <w:r w:rsidR="00990E52" w:rsidRPr="00735726">
        <w:rPr>
          <w:rFonts w:ascii="Arial" w:eastAsia="Times New Roman" w:hAnsi="Arial" w:cs="DINOT-Light"/>
          <w:color w:val="000000"/>
          <w:sz w:val="18"/>
          <w:szCs w:val="18"/>
        </w:rPr>
        <w:t>, Andrew and Keith’s</w:t>
      </w:r>
      <w:r w:rsidRPr="00735726">
        <w:rPr>
          <w:rFonts w:ascii="Arial" w:eastAsia="Times New Roman" w:hAnsi="Arial" w:cs="DINOT-Light"/>
          <w:color w:val="000000"/>
          <w:sz w:val="18"/>
          <w:szCs w:val="18"/>
        </w:rPr>
        <w:t xml:space="preserve"> experience in their biographies on page</w:t>
      </w:r>
      <w:r w:rsidR="00BA0691"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w:t>
      </w:r>
      <w:r w:rsidR="00A9056A" w:rsidRPr="009A2CAE">
        <w:rPr>
          <w:rFonts w:ascii="Arial" w:eastAsia="Times New Roman" w:hAnsi="Arial" w:cs="DINOT-Light"/>
          <w:color w:val="000000"/>
          <w:sz w:val="18"/>
          <w:szCs w:val="18"/>
        </w:rPr>
        <w:t xml:space="preserve">102 </w:t>
      </w:r>
      <w:r w:rsidR="00990E52" w:rsidRPr="009A2CAE">
        <w:rPr>
          <w:rFonts w:ascii="Arial" w:eastAsia="Times New Roman" w:hAnsi="Arial" w:cs="DINOT-Light"/>
          <w:color w:val="000000"/>
          <w:sz w:val="18"/>
          <w:szCs w:val="18"/>
        </w:rPr>
        <w:t xml:space="preserve">to </w:t>
      </w:r>
      <w:r w:rsidR="00A9056A" w:rsidRPr="009A2CAE">
        <w:rPr>
          <w:rFonts w:ascii="Arial" w:eastAsia="Times New Roman" w:hAnsi="Arial" w:cs="DINOT-Light"/>
          <w:color w:val="000000"/>
          <w:sz w:val="18"/>
          <w:szCs w:val="18"/>
        </w:rPr>
        <w:t>104</w:t>
      </w:r>
      <w:r w:rsidR="00620C09" w:rsidRPr="009A2CAE">
        <w:rPr>
          <w:rFonts w:ascii="Arial" w:eastAsia="Times New Roman" w:hAnsi="Arial" w:cs="DINOT-Light"/>
          <w:color w:val="000000"/>
          <w:sz w:val="18"/>
          <w:szCs w:val="18"/>
        </w:rPr>
        <w:t>.</w:t>
      </w:r>
    </w:p>
    <w:p w14:paraId="0295DFC0" w14:textId="77777777" w:rsidR="009F5FD8" w:rsidRPr="009A2CAE" w:rsidRDefault="009F5FD8" w:rsidP="009F5FD8">
      <w:pPr>
        <w:autoSpaceDE w:val="0"/>
        <w:autoSpaceDN w:val="0"/>
        <w:adjustRightInd w:val="0"/>
        <w:spacing w:after="0" w:line="240" w:lineRule="auto"/>
        <w:rPr>
          <w:rFonts w:ascii="Arial" w:eastAsia="Times New Roman" w:hAnsi="Arial" w:cs="DINOT-Light"/>
          <w:color w:val="000000"/>
          <w:sz w:val="18"/>
          <w:szCs w:val="18"/>
        </w:rPr>
      </w:pPr>
    </w:p>
    <w:p w14:paraId="731099A4" w14:textId="11D6CE38" w:rsidR="00BA0691" w:rsidRPr="00735726" w:rsidRDefault="00BA0691" w:rsidP="00BA0691">
      <w:pPr>
        <w:spacing w:after="160" w:line="259" w:lineRule="auto"/>
        <w:rPr>
          <w:rFonts w:ascii="Arial" w:eastAsia="Times New Roman" w:hAnsi="Arial" w:cs="DINOT"/>
          <w:caps/>
          <w:color w:val="000000"/>
          <w:sz w:val="32"/>
          <w:szCs w:val="32"/>
        </w:rPr>
      </w:pPr>
      <w:r w:rsidRPr="00735726">
        <w:rPr>
          <w:rFonts w:ascii="Arial" w:eastAsia="Times New Roman" w:hAnsi="Arial" w:cs="DINOT"/>
          <w:b/>
          <w:bCs/>
          <w:caps/>
          <w:sz w:val="18"/>
        </w:rPr>
        <w:t xml:space="preserve">KEY FOCUS AREAS FOR THE BOARD IN </w:t>
      </w:r>
      <w:r w:rsidR="00A10109" w:rsidRPr="00735726">
        <w:rPr>
          <w:rFonts w:ascii="Arial" w:eastAsia="Times New Roman" w:hAnsi="Arial" w:cs="DINOT"/>
          <w:b/>
          <w:bCs/>
          <w:caps/>
          <w:sz w:val="18"/>
        </w:rPr>
        <w:t>2025/26</w:t>
      </w:r>
    </w:p>
    <w:p w14:paraId="5EE32F13" w14:textId="77777777" w:rsidR="00BA0691" w:rsidRPr="00735726" w:rsidRDefault="00BA0691" w:rsidP="00646F4F">
      <w:pPr>
        <w:pStyle w:val="ListParagraph"/>
        <w:numPr>
          <w:ilvl w:val="0"/>
          <w:numId w:val="32"/>
        </w:numPr>
      </w:pPr>
      <w:r w:rsidRPr="00735726">
        <w:rPr>
          <w:rFonts w:ascii="Arial" w:eastAsia="Times New Roman" w:hAnsi="Arial" w:cs="DINOT-Light"/>
          <w:color w:val="000000"/>
          <w:sz w:val="18"/>
          <w:szCs w:val="18"/>
        </w:rPr>
        <w:t>Customer affordability</w:t>
      </w:r>
    </w:p>
    <w:p w14:paraId="4C91C78A" w14:textId="77777777" w:rsidR="00BA0691" w:rsidRPr="00735726" w:rsidRDefault="00BA0691" w:rsidP="00646F4F">
      <w:pPr>
        <w:pStyle w:val="ListParagraph"/>
        <w:numPr>
          <w:ilvl w:val="0"/>
          <w:numId w:val="32"/>
        </w:numPr>
      </w:pPr>
      <w:r w:rsidRPr="00735726">
        <w:rPr>
          <w:rFonts w:ascii="Arial" w:eastAsia="Times New Roman" w:hAnsi="Arial" w:cs="DINOT-Light"/>
          <w:color w:val="000000"/>
          <w:sz w:val="18"/>
          <w:szCs w:val="18"/>
        </w:rPr>
        <w:t>Delivery of capital projects</w:t>
      </w:r>
    </w:p>
    <w:p w14:paraId="0FA0D898" w14:textId="41A77A03" w:rsidR="00BA0691" w:rsidRPr="00735726" w:rsidRDefault="00A10109" w:rsidP="00646F4F">
      <w:pPr>
        <w:pStyle w:val="ListParagraph"/>
        <w:numPr>
          <w:ilvl w:val="0"/>
          <w:numId w:val="32"/>
        </w:numPr>
      </w:pPr>
      <w:r w:rsidRPr="00735726">
        <w:rPr>
          <w:rFonts w:ascii="Arial" w:eastAsia="Times New Roman" w:hAnsi="Arial" w:cs="DINOT-Light"/>
          <w:color w:val="000000"/>
          <w:sz w:val="18"/>
          <w:szCs w:val="18"/>
        </w:rPr>
        <w:t>Delivery of AMP8</w:t>
      </w:r>
      <w:r w:rsidR="00BA0691" w:rsidRPr="00735726">
        <w:rPr>
          <w:rFonts w:ascii="Arial" w:eastAsia="Times New Roman" w:hAnsi="Arial" w:cs="DINOT-Light"/>
          <w:color w:val="000000"/>
          <w:sz w:val="18"/>
          <w:szCs w:val="18"/>
        </w:rPr>
        <w:t xml:space="preserve"> </w:t>
      </w:r>
    </w:p>
    <w:p w14:paraId="6A440D2D" w14:textId="77777777" w:rsidR="00BA0691" w:rsidRPr="00735726" w:rsidRDefault="00BA0691" w:rsidP="00646F4F">
      <w:pPr>
        <w:pStyle w:val="ListParagraph"/>
        <w:numPr>
          <w:ilvl w:val="0"/>
          <w:numId w:val="32"/>
        </w:numPr>
      </w:pPr>
      <w:r w:rsidRPr="00735726">
        <w:rPr>
          <w:rFonts w:ascii="Arial" w:eastAsia="Times New Roman" w:hAnsi="Arial" w:cs="DINOT-Light"/>
          <w:color w:val="000000"/>
          <w:sz w:val="18"/>
          <w:szCs w:val="18"/>
        </w:rPr>
        <w:t>Investment programmes</w:t>
      </w:r>
    </w:p>
    <w:p w14:paraId="4FBA61AC" w14:textId="77777777" w:rsidR="00BA0691" w:rsidRPr="00735726" w:rsidRDefault="00BA0691" w:rsidP="00646F4F">
      <w:pPr>
        <w:pStyle w:val="ListParagraph"/>
        <w:numPr>
          <w:ilvl w:val="0"/>
          <w:numId w:val="32"/>
        </w:numPr>
      </w:pPr>
      <w:r w:rsidRPr="00735726">
        <w:rPr>
          <w:rFonts w:ascii="Arial" w:eastAsia="Times New Roman" w:hAnsi="Arial" w:cs="DINOT-Light"/>
          <w:color w:val="000000"/>
          <w:sz w:val="18"/>
          <w:szCs w:val="18"/>
        </w:rPr>
        <w:t>Storm overflows and eliminating pollutions</w:t>
      </w:r>
    </w:p>
    <w:p w14:paraId="3C41D3A8" w14:textId="77777777" w:rsidR="00BA0691" w:rsidRPr="00735726" w:rsidRDefault="00BA0691" w:rsidP="00646F4F">
      <w:pPr>
        <w:pStyle w:val="ListParagraph"/>
        <w:numPr>
          <w:ilvl w:val="0"/>
          <w:numId w:val="32"/>
        </w:numPr>
      </w:pPr>
      <w:r w:rsidRPr="00735726">
        <w:rPr>
          <w:rFonts w:ascii="Arial" w:eastAsia="Times New Roman" w:hAnsi="Arial" w:cs="DINOT-Light"/>
          <w:color w:val="000000"/>
          <w:sz w:val="18"/>
          <w:szCs w:val="18"/>
        </w:rPr>
        <w:t>Water quality and resilience</w:t>
      </w:r>
    </w:p>
    <w:p w14:paraId="4461BB82" w14:textId="77777777" w:rsidR="00BA0691" w:rsidRPr="00735726" w:rsidRDefault="00BA0691" w:rsidP="00646F4F">
      <w:pPr>
        <w:pStyle w:val="ListParagraph"/>
        <w:numPr>
          <w:ilvl w:val="0"/>
          <w:numId w:val="32"/>
        </w:numPr>
      </w:pPr>
      <w:r w:rsidRPr="00735726">
        <w:rPr>
          <w:rFonts w:ascii="Arial" w:eastAsia="Times New Roman" w:hAnsi="Arial" w:cs="DINOT-Light"/>
          <w:color w:val="000000"/>
          <w:sz w:val="18"/>
          <w:szCs w:val="18"/>
        </w:rPr>
        <w:t>Incident management</w:t>
      </w:r>
    </w:p>
    <w:p w14:paraId="21D7CB60" w14:textId="0E2ED29C" w:rsidR="00A10109" w:rsidRPr="00735726" w:rsidRDefault="00A10109" w:rsidP="00646F4F">
      <w:pPr>
        <w:pStyle w:val="ListParagraph"/>
        <w:numPr>
          <w:ilvl w:val="0"/>
          <w:numId w:val="32"/>
        </w:numPr>
      </w:pPr>
      <w:r w:rsidRPr="00735726">
        <w:rPr>
          <w:rFonts w:ascii="Arial" w:eastAsia="Times New Roman" w:hAnsi="Arial" w:cs="DINOT-Light"/>
          <w:color w:val="000000"/>
          <w:sz w:val="18"/>
          <w:szCs w:val="18"/>
        </w:rPr>
        <w:t>Cyber security</w:t>
      </w:r>
    </w:p>
    <w:p w14:paraId="6836BF0A" w14:textId="62598E06" w:rsidR="00BA0691" w:rsidRPr="009A2CAE" w:rsidRDefault="00BA0691" w:rsidP="00BA0691">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See pages </w:t>
      </w:r>
      <w:r w:rsidR="00A9056A" w:rsidRPr="009A2CAE">
        <w:rPr>
          <w:rFonts w:ascii="Arial" w:eastAsia="Times New Roman" w:hAnsi="Arial" w:cs="DINOT-Light"/>
          <w:color w:val="000000"/>
          <w:sz w:val="18"/>
          <w:szCs w:val="18"/>
        </w:rPr>
        <w:t xml:space="preserve">116 </w:t>
      </w:r>
      <w:r w:rsidR="00A10109" w:rsidRPr="009A2CAE">
        <w:rPr>
          <w:rFonts w:ascii="Arial" w:eastAsia="Times New Roman" w:hAnsi="Arial" w:cs="DINOT-Light"/>
          <w:color w:val="000000"/>
          <w:sz w:val="18"/>
          <w:szCs w:val="18"/>
        </w:rPr>
        <w:t xml:space="preserve">to </w:t>
      </w:r>
      <w:r w:rsidR="00A9056A" w:rsidRPr="009A2CAE">
        <w:rPr>
          <w:rFonts w:ascii="Arial" w:eastAsia="Times New Roman" w:hAnsi="Arial" w:cs="DINOT-Light"/>
          <w:color w:val="000000"/>
          <w:sz w:val="18"/>
          <w:szCs w:val="18"/>
        </w:rPr>
        <w:t>117</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for more information.</w:t>
      </w:r>
    </w:p>
    <w:p w14:paraId="4AB57BA0" w14:textId="66454425" w:rsidR="009F5FD8" w:rsidRPr="00735726" w:rsidRDefault="009F5FD8" w:rsidP="009F5FD8">
      <w:pPr>
        <w:pStyle w:val="Default"/>
        <w:spacing w:line="276" w:lineRule="auto"/>
        <w:rPr>
          <w:rFonts w:ascii="Arial" w:eastAsia="Times New Roman" w:hAnsi="Arial" w:cs="DINOT-Light"/>
          <w:sz w:val="18"/>
          <w:szCs w:val="18"/>
        </w:rPr>
      </w:pPr>
      <w:r w:rsidRPr="00735726">
        <w:rPr>
          <w:rFonts w:ascii="Arial" w:eastAsia="Times New Roman" w:hAnsi="Arial" w:cs="DINOT"/>
          <w:b/>
          <w:bCs/>
          <w:caps/>
          <w:sz w:val="18"/>
        </w:rPr>
        <w:t>compliance with the uk corporate governance code 20</w:t>
      </w:r>
      <w:r w:rsidR="00A10109" w:rsidRPr="00735726">
        <w:rPr>
          <w:rFonts w:ascii="Arial" w:eastAsia="Times New Roman" w:hAnsi="Arial" w:cs="DINOT"/>
          <w:b/>
          <w:bCs/>
          <w:caps/>
          <w:sz w:val="18"/>
        </w:rPr>
        <w:t>24</w:t>
      </w:r>
      <w:r w:rsidRPr="00735726">
        <w:rPr>
          <w:rFonts w:ascii="Arial" w:eastAsia="Times New Roman" w:hAnsi="Arial" w:cs="DINOT"/>
          <w:b/>
          <w:bCs/>
          <w:caps/>
          <w:sz w:val="18"/>
        </w:rPr>
        <w:t xml:space="preserve"> and other requirements</w:t>
      </w:r>
      <w:r w:rsidRPr="00735726">
        <w:rPr>
          <w:rFonts w:ascii="Arial" w:eastAsia="Times New Roman" w:hAnsi="Arial" w:cs="DINOT"/>
          <w:b/>
          <w:bCs/>
          <w:caps/>
          <w:sz w:val="18"/>
        </w:rPr>
        <w:br/>
      </w:r>
      <w:proofErr w:type="gramStart"/>
      <w:r w:rsidRPr="00735726">
        <w:rPr>
          <w:rFonts w:ascii="Arial" w:eastAsia="Times New Roman" w:hAnsi="Arial" w:cs="DINOT-Light"/>
          <w:sz w:val="18"/>
          <w:szCs w:val="18"/>
        </w:rPr>
        <w:t>South West</w:t>
      </w:r>
      <w:proofErr w:type="gramEnd"/>
      <w:r w:rsidRPr="00735726">
        <w:rPr>
          <w:rFonts w:ascii="Arial" w:eastAsia="Times New Roman" w:hAnsi="Arial" w:cs="DINOT-Light"/>
          <w:sz w:val="18"/>
          <w:szCs w:val="18"/>
        </w:rPr>
        <w:t xml:space="preserve"> Water firmly believes that good corporate governance is essential to enable us to deliver our purpose for </w:t>
      </w:r>
      <w:proofErr w:type="gramStart"/>
      <w:r w:rsidRPr="00735726">
        <w:rPr>
          <w:rFonts w:ascii="Arial" w:eastAsia="Times New Roman" w:hAnsi="Arial" w:cs="DINOT-Light"/>
          <w:sz w:val="18"/>
          <w:szCs w:val="18"/>
        </w:rPr>
        <w:t>all of</w:t>
      </w:r>
      <w:proofErr w:type="gramEnd"/>
      <w:r w:rsidRPr="00735726">
        <w:rPr>
          <w:rFonts w:ascii="Arial" w:eastAsia="Times New Roman" w:hAnsi="Arial" w:cs="DINOT-Light"/>
          <w:sz w:val="18"/>
          <w:szCs w:val="18"/>
        </w:rPr>
        <w:t xml:space="preserve"> our stakeholders and remains a top priority for the Board. </w:t>
      </w:r>
    </w:p>
    <w:p w14:paraId="2F548FC8" w14:textId="77777777" w:rsidR="009F5FD8" w:rsidRPr="00735726" w:rsidRDefault="009F5FD8" w:rsidP="009F5FD8">
      <w:pPr>
        <w:pStyle w:val="Default"/>
        <w:spacing w:line="276" w:lineRule="auto"/>
        <w:rPr>
          <w:rFonts w:ascii="Arial" w:eastAsia="Times New Roman" w:hAnsi="Arial" w:cs="DINOT-Light"/>
          <w:sz w:val="18"/>
          <w:szCs w:val="18"/>
        </w:rPr>
      </w:pPr>
    </w:p>
    <w:p w14:paraId="5A1CB04A" w14:textId="46531A35" w:rsidR="009F5FD8" w:rsidRPr="009A2CAE" w:rsidRDefault="009F5FD8" w:rsidP="009F5FD8">
      <w:pPr>
        <w:pStyle w:val="Default"/>
        <w:spacing w:line="276" w:lineRule="auto"/>
        <w:rPr>
          <w:rFonts w:ascii="Arial" w:hAnsi="Arial" w:cs="Arial"/>
          <w:sz w:val="18"/>
          <w:szCs w:val="18"/>
        </w:rPr>
      </w:pPr>
      <w:r w:rsidRPr="00735726">
        <w:rPr>
          <w:rFonts w:ascii="Arial" w:hAnsi="Arial" w:cs="Arial"/>
          <w:sz w:val="18"/>
          <w:szCs w:val="18"/>
        </w:rPr>
        <w:t xml:space="preserve">South West Water aims to comply with the UK Corporate Governance Code (the ‘UK Code’) as fully as possible, within the context of being a subsidiary of a listed company, Pennon Group plc, which itself fully complies with the UK Code, except for the provisions which are outlined in the Pennon Group </w:t>
      </w:r>
      <w:r w:rsidR="00F379B7" w:rsidRPr="00735726">
        <w:rPr>
          <w:rFonts w:ascii="Arial" w:hAnsi="Arial" w:cs="Arial"/>
          <w:sz w:val="18"/>
          <w:szCs w:val="18"/>
        </w:rPr>
        <w:t>plc A</w:t>
      </w:r>
      <w:r w:rsidRPr="00735726">
        <w:rPr>
          <w:rFonts w:ascii="Arial" w:hAnsi="Arial" w:cs="Arial"/>
          <w:sz w:val="18"/>
          <w:szCs w:val="18"/>
        </w:rPr>
        <w:t xml:space="preserve">nnual </w:t>
      </w:r>
      <w:r w:rsidR="00F379B7" w:rsidRPr="00735726">
        <w:rPr>
          <w:rFonts w:ascii="Arial" w:hAnsi="Arial" w:cs="Arial"/>
          <w:sz w:val="18"/>
          <w:szCs w:val="18"/>
        </w:rPr>
        <w:t>R</w:t>
      </w:r>
      <w:r w:rsidRPr="00735726">
        <w:rPr>
          <w:rFonts w:ascii="Arial" w:hAnsi="Arial" w:cs="Arial"/>
          <w:sz w:val="18"/>
          <w:szCs w:val="18"/>
        </w:rPr>
        <w:t>eport</w:t>
      </w:r>
      <w:r w:rsidR="00F379B7" w:rsidRPr="00735726">
        <w:rPr>
          <w:rFonts w:ascii="Arial" w:hAnsi="Arial" w:cs="Arial"/>
          <w:sz w:val="18"/>
          <w:szCs w:val="18"/>
        </w:rPr>
        <w:t xml:space="preserve"> and Accounts 202</w:t>
      </w:r>
      <w:r w:rsidR="008016B1" w:rsidRPr="00735726">
        <w:rPr>
          <w:rFonts w:ascii="Arial" w:hAnsi="Arial" w:cs="Arial"/>
          <w:sz w:val="18"/>
          <w:szCs w:val="18"/>
        </w:rPr>
        <w:t>6</w:t>
      </w:r>
      <w:r w:rsidRPr="00735726">
        <w:rPr>
          <w:rFonts w:ascii="Arial" w:hAnsi="Arial" w:cs="Arial"/>
          <w:sz w:val="18"/>
          <w:szCs w:val="18"/>
        </w:rPr>
        <w:t xml:space="preserve"> on </w:t>
      </w:r>
      <w:r w:rsidRPr="009A2CAE">
        <w:rPr>
          <w:rFonts w:ascii="Arial" w:hAnsi="Arial" w:cs="Arial"/>
          <w:sz w:val="18"/>
          <w:szCs w:val="18"/>
        </w:rPr>
        <w:t xml:space="preserve">page </w:t>
      </w:r>
      <w:r w:rsidR="00A9056A" w:rsidRPr="009A2CAE">
        <w:rPr>
          <w:rFonts w:ascii="Arial" w:hAnsi="Arial" w:cs="Arial"/>
          <w:sz w:val="18"/>
          <w:szCs w:val="18"/>
        </w:rPr>
        <w:t>97</w:t>
      </w:r>
      <w:r w:rsidRPr="009A2CAE">
        <w:rPr>
          <w:rFonts w:ascii="Arial" w:hAnsi="Arial" w:cs="Arial"/>
          <w:sz w:val="18"/>
          <w:szCs w:val="18"/>
        </w:rPr>
        <w:t xml:space="preserve">. </w:t>
      </w:r>
      <w:r w:rsidRPr="00735726">
        <w:rPr>
          <w:rFonts w:ascii="Arial" w:hAnsi="Arial" w:cs="Arial"/>
          <w:sz w:val="18"/>
          <w:szCs w:val="18"/>
        </w:rPr>
        <w:t xml:space="preserve">The UK Code is published on the Financial Reporting Council (FRC) website, </w:t>
      </w:r>
      <w:r w:rsidR="00385377" w:rsidRPr="00735726">
        <w:rPr>
          <w:rFonts w:ascii="Arial" w:hAnsi="Arial" w:cs="Arial"/>
          <w:sz w:val="18"/>
          <w:szCs w:val="18"/>
        </w:rPr>
        <w:t>www.frc.org.uk</w:t>
      </w:r>
      <w:r w:rsidRPr="00735726">
        <w:rPr>
          <w:rFonts w:ascii="Arial" w:hAnsi="Arial" w:cs="Arial"/>
          <w:sz w:val="18"/>
          <w:szCs w:val="18"/>
        </w:rPr>
        <w:t xml:space="preserve">. </w:t>
      </w:r>
    </w:p>
    <w:p w14:paraId="19A3EF69" w14:textId="77777777" w:rsidR="009F5FD8" w:rsidRPr="009A2CAE" w:rsidRDefault="009F5FD8" w:rsidP="009F5FD8">
      <w:pPr>
        <w:pStyle w:val="Default"/>
        <w:spacing w:line="276" w:lineRule="auto"/>
        <w:rPr>
          <w:rFonts w:ascii="Arial" w:hAnsi="Arial" w:cs="Arial"/>
          <w:sz w:val="18"/>
          <w:szCs w:val="18"/>
        </w:rPr>
      </w:pPr>
    </w:p>
    <w:p w14:paraId="41245188" w14:textId="67A8D147" w:rsidR="009F5FD8" w:rsidRPr="00735726" w:rsidRDefault="009F5FD8" w:rsidP="009F5FD8">
      <w:pPr>
        <w:rPr>
          <w:rFonts w:ascii="Arial" w:eastAsia="Times New Roman" w:hAnsi="Arial" w:cs="DINOT-Light"/>
          <w:color w:val="000000"/>
          <w:sz w:val="18"/>
          <w:szCs w:val="18"/>
        </w:rPr>
      </w:pPr>
      <w:r w:rsidRPr="00735726">
        <w:rPr>
          <w:rFonts w:ascii="Arial" w:hAnsi="Arial" w:cs="Arial"/>
          <w:color w:val="000000"/>
          <w:sz w:val="18"/>
          <w:szCs w:val="18"/>
        </w:rPr>
        <w:t>The Company complied fully with the provisions and spirit of the UK Code during the year, subject to the exceptions as described below. Most of the exceptions relate to the Group structure, where certain responsibilities rest with Pennon Group plc (</w:t>
      </w:r>
      <w:proofErr w:type="gramStart"/>
      <w:r w:rsidRPr="00735726">
        <w:rPr>
          <w:rFonts w:ascii="Arial" w:hAnsi="Arial" w:cs="Arial"/>
          <w:color w:val="000000"/>
          <w:sz w:val="18"/>
          <w:szCs w:val="18"/>
        </w:rPr>
        <w:t>South West</w:t>
      </w:r>
      <w:proofErr w:type="gramEnd"/>
      <w:r w:rsidRPr="00735726">
        <w:rPr>
          <w:rFonts w:ascii="Arial" w:hAnsi="Arial" w:cs="Arial"/>
          <w:color w:val="000000"/>
          <w:sz w:val="18"/>
          <w:szCs w:val="18"/>
        </w:rPr>
        <w:t xml:space="preserve"> Water’s parent </w:t>
      </w:r>
      <w:r w:rsidR="003B36A4" w:rsidRPr="00735726">
        <w:rPr>
          <w:rFonts w:ascii="Arial" w:hAnsi="Arial" w:cs="Arial"/>
          <w:color w:val="000000"/>
          <w:sz w:val="18"/>
          <w:szCs w:val="18"/>
        </w:rPr>
        <w:t>C</w:t>
      </w:r>
      <w:r w:rsidRPr="00735726">
        <w:rPr>
          <w:rFonts w:ascii="Arial" w:hAnsi="Arial" w:cs="Arial"/>
          <w:color w:val="000000"/>
          <w:sz w:val="18"/>
          <w:szCs w:val="18"/>
        </w:rPr>
        <w:t>ompany) which is fully compliant with the UK Code.</w:t>
      </w:r>
    </w:p>
    <w:p w14:paraId="51E0EE06" w14:textId="77777777" w:rsidR="009B2FA9" w:rsidRPr="00735726" w:rsidRDefault="00A613DB" w:rsidP="009F5FD8">
      <w:pPr>
        <w:rPr>
          <w:rFonts w:ascii="Arial" w:hAnsi="Arial" w:cs="Arial"/>
          <w:sz w:val="18"/>
          <w:szCs w:val="18"/>
        </w:rPr>
      </w:pPr>
      <w:r w:rsidRPr="00735726">
        <w:rPr>
          <w:rFonts w:ascii="Arial" w:hAnsi="Arial" w:cs="Arial"/>
          <w:sz w:val="18"/>
          <w:szCs w:val="18"/>
        </w:rPr>
        <w:t xml:space="preserve">Provision 24 of the UK Code state that the Board should establish an Audit Committee of independent Non-Executive Directors, with a minimum membership of three. </w:t>
      </w:r>
      <w:r w:rsidR="009B2FA9" w:rsidRPr="00735726">
        <w:rPr>
          <w:rFonts w:ascii="Arial" w:hAnsi="Arial" w:cs="Arial"/>
          <w:sz w:val="18"/>
          <w:szCs w:val="18"/>
        </w:rPr>
        <w:t xml:space="preserve">For the period between 1 April 2025 and the appointment of Andrea </w:t>
      </w:r>
      <w:proofErr w:type="spellStart"/>
      <w:r w:rsidR="009B2FA9" w:rsidRPr="00735726">
        <w:rPr>
          <w:rFonts w:ascii="Arial" w:hAnsi="Arial" w:cs="Arial"/>
          <w:sz w:val="18"/>
          <w:szCs w:val="18"/>
        </w:rPr>
        <w:t>Blance</w:t>
      </w:r>
      <w:proofErr w:type="spellEnd"/>
      <w:r w:rsidR="009B2FA9" w:rsidRPr="00735726">
        <w:rPr>
          <w:rFonts w:ascii="Arial" w:hAnsi="Arial" w:cs="Arial"/>
          <w:sz w:val="18"/>
          <w:szCs w:val="18"/>
        </w:rPr>
        <w:t xml:space="preserve"> on April 8</w:t>
      </w:r>
      <w:proofErr w:type="gramStart"/>
      <w:r w:rsidR="009B2FA9" w:rsidRPr="00735726">
        <w:rPr>
          <w:rFonts w:ascii="Arial" w:hAnsi="Arial" w:cs="Arial"/>
          <w:sz w:val="18"/>
          <w:szCs w:val="18"/>
        </w:rPr>
        <w:t xml:space="preserve"> 2025</w:t>
      </w:r>
      <w:proofErr w:type="gramEnd"/>
      <w:r w:rsidR="009B2FA9" w:rsidRPr="00735726">
        <w:rPr>
          <w:rFonts w:ascii="Arial" w:hAnsi="Arial" w:cs="Arial"/>
          <w:sz w:val="18"/>
          <w:szCs w:val="18"/>
        </w:rPr>
        <w:t xml:space="preserve">, the committee composition was not in compliance with Provision 24 of the UK Corporate Governance Code 2024. However, there were no committee meetings held, or decisions made during the relevant period. </w:t>
      </w:r>
    </w:p>
    <w:p w14:paraId="2958A5B3" w14:textId="71B1D548" w:rsidR="009F5FD8" w:rsidRPr="00735726" w:rsidRDefault="009F5FD8" w:rsidP="009F5FD8">
      <w:pPr>
        <w:rPr>
          <w:rFonts w:ascii="Arial" w:hAnsi="Arial" w:cs="Arial"/>
          <w:sz w:val="18"/>
          <w:szCs w:val="18"/>
        </w:rPr>
      </w:pPr>
      <w:r w:rsidRPr="00735726">
        <w:rPr>
          <w:rFonts w:ascii="Arial" w:hAnsi="Arial" w:cs="Arial"/>
          <w:sz w:val="18"/>
          <w:szCs w:val="18"/>
        </w:rPr>
        <w:t>Provision 25 of the UK Code state that the Audit Committee should make recommendations to the Board in relation to the appointment, re-appointment and removal of the external auditor</w:t>
      </w:r>
      <w:r w:rsidR="00AF04D7" w:rsidRPr="00735726">
        <w:rPr>
          <w:rFonts w:ascii="Arial" w:hAnsi="Arial" w:cs="Arial"/>
          <w:sz w:val="18"/>
          <w:szCs w:val="18"/>
        </w:rPr>
        <w:t>s</w:t>
      </w:r>
      <w:r w:rsidRPr="00735726">
        <w:rPr>
          <w:rFonts w:ascii="Arial" w:hAnsi="Arial" w:cs="Arial"/>
          <w:sz w:val="18"/>
          <w:szCs w:val="18"/>
        </w:rPr>
        <w:t xml:space="preserve"> and to approve the remuneration and terms of engagement of the external auditor</w:t>
      </w:r>
      <w:r w:rsidR="00AF04D7" w:rsidRPr="00735726">
        <w:rPr>
          <w:rFonts w:ascii="Arial" w:hAnsi="Arial" w:cs="Arial"/>
          <w:sz w:val="18"/>
          <w:szCs w:val="18"/>
        </w:rPr>
        <w:t>s</w:t>
      </w:r>
      <w:r w:rsidRPr="00735726">
        <w:rPr>
          <w:rFonts w:ascii="Arial" w:hAnsi="Arial" w:cs="Arial"/>
          <w:sz w:val="18"/>
          <w:szCs w:val="18"/>
        </w:rPr>
        <w:t>. Provision 25 also states that the Audit Committee should develop and implement policy on the engagement of the external auditor</w:t>
      </w:r>
      <w:r w:rsidR="00AF04D7" w:rsidRPr="00735726">
        <w:rPr>
          <w:rFonts w:ascii="Arial" w:hAnsi="Arial" w:cs="Arial"/>
          <w:sz w:val="18"/>
          <w:szCs w:val="18"/>
        </w:rPr>
        <w:t>s</w:t>
      </w:r>
      <w:r w:rsidRPr="00735726">
        <w:rPr>
          <w:rFonts w:ascii="Arial" w:hAnsi="Arial" w:cs="Arial"/>
          <w:sz w:val="18"/>
          <w:szCs w:val="18"/>
        </w:rPr>
        <w:t xml:space="preserve"> to supply non-audit services. As the auditor is appointed on a Group basis, the appointment, re-appointment and removal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w:t>
      </w:r>
      <w:r w:rsidRPr="00735726">
        <w:rPr>
          <w:rFonts w:ascii="Arial" w:hAnsi="Arial" w:cs="Arial"/>
          <w:sz w:val="18"/>
          <w:szCs w:val="18"/>
        </w:rPr>
        <w:lastRenderedPageBreak/>
        <w:t>external auditor</w:t>
      </w:r>
      <w:r w:rsidR="00AF04D7" w:rsidRPr="00735726">
        <w:rPr>
          <w:rFonts w:ascii="Arial" w:hAnsi="Arial" w:cs="Arial"/>
          <w:sz w:val="18"/>
          <w:szCs w:val="18"/>
        </w:rPr>
        <w:t>s</w:t>
      </w:r>
      <w:r w:rsidRPr="00735726">
        <w:rPr>
          <w:rFonts w:ascii="Arial" w:hAnsi="Arial" w:cs="Arial"/>
          <w:sz w:val="18"/>
          <w:szCs w:val="18"/>
        </w:rPr>
        <w:t xml:space="preserve"> </w:t>
      </w:r>
      <w:proofErr w:type="gramStart"/>
      <w:r w:rsidRPr="00735726">
        <w:rPr>
          <w:rFonts w:ascii="Arial" w:hAnsi="Arial" w:cs="Arial"/>
          <w:sz w:val="18"/>
          <w:szCs w:val="18"/>
        </w:rPr>
        <w:t>is</w:t>
      </w:r>
      <w:proofErr w:type="gramEnd"/>
      <w:r w:rsidRPr="00735726">
        <w:rPr>
          <w:rFonts w:ascii="Arial" w:hAnsi="Arial" w:cs="Arial"/>
          <w:sz w:val="18"/>
          <w:szCs w:val="18"/>
        </w:rPr>
        <w:t xml:space="preserve"> (and has been throughout the year) a matter for the Pennon Group</w:t>
      </w:r>
      <w:r w:rsidR="0078265F" w:rsidRPr="00735726">
        <w:rPr>
          <w:rFonts w:ascii="Arial" w:hAnsi="Arial" w:cs="Arial"/>
          <w:sz w:val="18"/>
          <w:szCs w:val="18"/>
        </w:rPr>
        <w:t xml:space="preserve"> plc</w:t>
      </w:r>
      <w:r w:rsidRPr="00735726">
        <w:rPr>
          <w:rFonts w:ascii="Arial" w:hAnsi="Arial" w:cs="Arial"/>
          <w:sz w:val="18"/>
          <w:szCs w:val="18"/>
        </w:rPr>
        <w:t xml:space="preserve"> Audit Committee, as is the auditor’s remuneration, terms of engagement and non-audit services.</w:t>
      </w:r>
    </w:p>
    <w:p w14:paraId="48D98EF5" w14:textId="4872EF1A" w:rsidR="009F5FD8" w:rsidRPr="00735726" w:rsidRDefault="009F5FD8" w:rsidP="009F5FD8">
      <w:pPr>
        <w:rPr>
          <w:rFonts w:ascii="Arial" w:hAnsi="Arial" w:cs="Arial"/>
          <w:sz w:val="18"/>
          <w:szCs w:val="18"/>
        </w:rPr>
      </w:pPr>
      <w:r w:rsidRPr="00735726">
        <w:rPr>
          <w:rFonts w:ascii="Arial" w:hAnsi="Arial" w:cs="Arial"/>
          <w:sz w:val="18"/>
          <w:szCs w:val="18"/>
        </w:rPr>
        <w:t xml:space="preserve">Provision 26 of the UK Code states that a separate section of the annual report should describe the work of the Committee in discharging its responsibilities, </w:t>
      </w:r>
      <w:proofErr w:type="gramStart"/>
      <w:r w:rsidRPr="00735726">
        <w:rPr>
          <w:rFonts w:ascii="Arial" w:hAnsi="Arial" w:cs="Arial"/>
          <w:sz w:val="18"/>
          <w:szCs w:val="18"/>
        </w:rPr>
        <w:t>in particular</w:t>
      </w:r>
      <w:proofErr w:type="gramEnd"/>
      <w:r w:rsidRPr="00735726">
        <w:rPr>
          <w:rFonts w:ascii="Arial" w:hAnsi="Arial" w:cs="Arial"/>
          <w:sz w:val="18"/>
          <w:szCs w:val="18"/>
        </w:rPr>
        <w:t xml:space="preserve"> an assessment of the effectiveness of the external audit process. Due to the Group structure, the overall assessment as to whether the external audit function is effective (and has been throughout the year)</w:t>
      </w:r>
      <w:r w:rsidR="00075241" w:rsidRPr="00735726">
        <w:rPr>
          <w:rFonts w:ascii="Arial" w:hAnsi="Arial" w:cs="Arial"/>
          <w:sz w:val="18"/>
          <w:szCs w:val="18"/>
        </w:rPr>
        <w:t xml:space="preserve"> is</w:t>
      </w:r>
      <w:r w:rsidRPr="00735726">
        <w:rPr>
          <w:rFonts w:ascii="Arial" w:hAnsi="Arial" w:cs="Arial"/>
          <w:sz w:val="18"/>
          <w:szCs w:val="18"/>
        </w:rPr>
        <w:t xml:space="preserve"> the responsibility of the Pennon Group</w:t>
      </w:r>
      <w:r w:rsidR="0078265F" w:rsidRPr="00735726">
        <w:rPr>
          <w:rFonts w:ascii="Arial" w:hAnsi="Arial" w:cs="Arial"/>
          <w:sz w:val="18"/>
          <w:szCs w:val="18"/>
        </w:rPr>
        <w:t xml:space="preserve"> plc</w:t>
      </w:r>
      <w:r w:rsidRPr="00735726">
        <w:rPr>
          <w:rFonts w:ascii="Arial" w:hAnsi="Arial" w:cs="Arial"/>
          <w:sz w:val="18"/>
          <w:szCs w:val="18"/>
        </w:rPr>
        <w:t xml:space="preserve"> Audit Committee, which carries out its assessment in conjunction with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Audit Committee.</w:t>
      </w:r>
    </w:p>
    <w:p w14:paraId="5D4E190E" w14:textId="6155283A" w:rsidR="009F5FD8" w:rsidRPr="00735726" w:rsidRDefault="009F5FD8" w:rsidP="009F5FD8">
      <w:pPr>
        <w:spacing w:after="0"/>
        <w:rPr>
          <w:rFonts w:ascii="Arial" w:hAnsi="Arial" w:cs="Arial"/>
          <w:sz w:val="18"/>
          <w:szCs w:val="18"/>
        </w:rPr>
      </w:pPr>
      <w:r w:rsidRPr="00735726">
        <w:rPr>
          <w:rFonts w:ascii="Arial" w:hAnsi="Arial" w:cs="Arial"/>
          <w:sz w:val="18"/>
          <w:szCs w:val="18"/>
        </w:rPr>
        <w:t>Provision 33 of the UK Code states that the Remuneration Committee should have delegated responsibility for determining the policy for Executive Director remuneration and setting remuneration for the Chair, Executive Directors and senior management. However, the remuneration of the Chair, who is also the Chair of Pennon Group plc and the Chief Executive Officer</w:t>
      </w:r>
      <w:r w:rsidR="00186EB0" w:rsidRPr="00735726">
        <w:rPr>
          <w:rFonts w:ascii="Arial" w:hAnsi="Arial" w:cs="Arial"/>
          <w:sz w:val="18"/>
          <w:szCs w:val="18"/>
        </w:rPr>
        <w:t xml:space="preserve"> and the Chief Financial Officer</w:t>
      </w:r>
      <w:r w:rsidRPr="00735726">
        <w:rPr>
          <w:rFonts w:ascii="Arial" w:hAnsi="Arial" w:cs="Arial"/>
          <w:sz w:val="18"/>
          <w:szCs w:val="18"/>
        </w:rPr>
        <w:t xml:space="preserve">, who </w:t>
      </w:r>
      <w:r w:rsidR="00186EB0" w:rsidRPr="00735726">
        <w:rPr>
          <w:rFonts w:ascii="Arial" w:hAnsi="Arial" w:cs="Arial"/>
          <w:sz w:val="18"/>
          <w:szCs w:val="18"/>
        </w:rPr>
        <w:t xml:space="preserve">are </w:t>
      </w:r>
      <w:r w:rsidRPr="00735726">
        <w:rPr>
          <w:rFonts w:ascii="Arial" w:hAnsi="Arial" w:cs="Arial"/>
          <w:sz w:val="18"/>
          <w:szCs w:val="18"/>
        </w:rPr>
        <w:t xml:space="preserve">also a </w:t>
      </w:r>
      <w:proofErr w:type="gramStart"/>
      <w:r w:rsidRPr="00735726">
        <w:rPr>
          <w:rFonts w:ascii="Arial" w:hAnsi="Arial" w:cs="Arial"/>
          <w:sz w:val="18"/>
          <w:szCs w:val="18"/>
        </w:rPr>
        <w:t>member</w:t>
      </w:r>
      <w:r w:rsidR="00186EB0" w:rsidRPr="00735726">
        <w:rPr>
          <w:rFonts w:ascii="Arial" w:hAnsi="Arial" w:cs="Arial"/>
          <w:sz w:val="18"/>
          <w:szCs w:val="18"/>
        </w:rPr>
        <w:t>s</w:t>
      </w:r>
      <w:r w:rsidRPr="00735726">
        <w:rPr>
          <w:rFonts w:ascii="Arial" w:hAnsi="Arial" w:cs="Arial"/>
          <w:sz w:val="18"/>
          <w:szCs w:val="18"/>
        </w:rPr>
        <w:t xml:space="preserve"> of the Pennon Group plc Board</w:t>
      </w:r>
      <w:proofErr w:type="gramEnd"/>
      <w:r w:rsidRPr="00735726">
        <w:rPr>
          <w:rFonts w:ascii="Arial" w:hAnsi="Arial" w:cs="Arial"/>
          <w:sz w:val="18"/>
          <w:szCs w:val="18"/>
        </w:rPr>
        <w:t xml:space="preserve"> is the responsibility of the Pennon Group </w:t>
      </w:r>
      <w:r w:rsidR="0078265F" w:rsidRPr="00735726">
        <w:rPr>
          <w:rFonts w:ascii="Arial" w:hAnsi="Arial" w:cs="Arial"/>
          <w:sz w:val="18"/>
          <w:szCs w:val="18"/>
        </w:rPr>
        <w:t xml:space="preserve">plc </w:t>
      </w:r>
      <w:r w:rsidRPr="00735726">
        <w:rPr>
          <w:rFonts w:ascii="Arial" w:hAnsi="Arial" w:cs="Arial"/>
          <w:sz w:val="18"/>
          <w:szCs w:val="18"/>
        </w:rPr>
        <w:t>Remuneration Committee.</w:t>
      </w:r>
    </w:p>
    <w:p w14:paraId="182415F0" w14:textId="77777777" w:rsidR="009F5FD8" w:rsidRPr="00735726" w:rsidRDefault="009F5FD8" w:rsidP="009F5FD8">
      <w:pPr>
        <w:spacing w:after="0"/>
        <w:rPr>
          <w:rFonts w:ascii="Arial" w:hAnsi="Arial" w:cs="Arial"/>
          <w:sz w:val="18"/>
          <w:szCs w:val="18"/>
        </w:rPr>
      </w:pPr>
    </w:p>
    <w:p w14:paraId="3B6A6896" w14:textId="1AF525DE" w:rsidR="009F5FD8" w:rsidRPr="00735726" w:rsidRDefault="009F5FD8" w:rsidP="009F5FD8">
      <w:pPr>
        <w:spacing w:after="0"/>
        <w:rPr>
          <w:rFonts w:ascii="Arial" w:hAnsi="Arial" w:cs="Arial"/>
          <w:sz w:val="18"/>
          <w:szCs w:val="18"/>
        </w:rPr>
      </w:pPr>
      <w:r w:rsidRPr="00735726">
        <w:rPr>
          <w:rFonts w:ascii="Arial" w:hAnsi="Arial" w:cs="Arial"/>
          <w:sz w:val="18"/>
          <w:szCs w:val="18"/>
        </w:rPr>
        <w:t xml:space="preserve">In addition,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has complied with Ofwat’s revised ‘Board leadership, transparency and governance’ principles. Further details on our compliance with these principles will be provided in our Annual Performance Report and Regulatory Reporting.</w:t>
      </w:r>
    </w:p>
    <w:p w14:paraId="7399E4C5" w14:textId="77777777" w:rsidR="004F030D" w:rsidRPr="009A2CAE" w:rsidRDefault="004F030D" w:rsidP="004F030D">
      <w:pPr>
        <w:pStyle w:val="Headinglevel4"/>
        <w:spacing w:line="360" w:lineRule="auto"/>
        <w:outlineLv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79040D" w:rsidRPr="00735726" w14:paraId="1B3E4832" w14:textId="77777777" w:rsidTr="0079040D">
        <w:trPr>
          <w:trHeight w:val="364"/>
        </w:trPr>
        <w:tc>
          <w:tcPr>
            <w:tcW w:w="7792" w:type="dxa"/>
          </w:tcPr>
          <w:p w14:paraId="602EB5D2" w14:textId="7E14807E" w:rsidR="0079040D" w:rsidRPr="00735726" w:rsidRDefault="0079040D" w:rsidP="004F030D">
            <w:pPr>
              <w:pStyle w:val="Headinglevel4"/>
              <w:spacing w:line="360" w:lineRule="auto"/>
              <w:outlineLvl w:val="0"/>
              <w:rPr>
                <w:rFonts w:eastAsiaTheme="minorHAnsi"/>
                <w:caps w:val="0"/>
                <w:color w:val="auto"/>
                <w:u w:val="single"/>
              </w:rPr>
            </w:pPr>
            <w:r w:rsidRPr="00735726">
              <w:rPr>
                <w:rFonts w:eastAsiaTheme="minorHAnsi"/>
                <w:caps w:val="0"/>
                <w:color w:val="auto"/>
                <w:u w:val="single"/>
              </w:rPr>
              <w:t>Board Leadership and company purpose</w:t>
            </w:r>
          </w:p>
        </w:tc>
        <w:tc>
          <w:tcPr>
            <w:tcW w:w="1224" w:type="dxa"/>
          </w:tcPr>
          <w:p w14:paraId="7B021DCD" w14:textId="5BB3FDE1" w:rsidR="0079040D" w:rsidRPr="00735726" w:rsidRDefault="0079040D" w:rsidP="004F030D">
            <w:pPr>
              <w:pStyle w:val="Headinglevel4"/>
              <w:spacing w:line="360" w:lineRule="auto"/>
              <w:outlineLvl w:val="0"/>
              <w:rPr>
                <w:u w:val="single"/>
              </w:rPr>
            </w:pPr>
            <w:r w:rsidRPr="00735726">
              <w:rPr>
                <w:u w:val="single"/>
              </w:rPr>
              <w:t>P</w:t>
            </w:r>
            <w:r w:rsidRPr="00735726">
              <w:rPr>
                <w:rFonts w:eastAsiaTheme="minorHAnsi"/>
                <w:caps w:val="0"/>
                <w:color w:val="auto"/>
                <w:u w:val="single"/>
              </w:rPr>
              <w:t>age</w:t>
            </w:r>
          </w:p>
        </w:tc>
      </w:tr>
      <w:tr w:rsidR="0079040D" w:rsidRPr="00735726" w14:paraId="3AC6C167" w14:textId="77777777" w:rsidTr="0079040D">
        <w:tc>
          <w:tcPr>
            <w:tcW w:w="7792" w:type="dxa"/>
          </w:tcPr>
          <w:p w14:paraId="3F64706B" w14:textId="324FE56C" w:rsidR="0079040D" w:rsidRPr="00735726" w:rsidRDefault="0079040D" w:rsidP="004F030D">
            <w:pPr>
              <w:pStyle w:val="Headinglevel4"/>
              <w:spacing w:line="360" w:lineRule="auto"/>
              <w:outlineLvl w:val="0"/>
            </w:pPr>
            <w:r w:rsidRPr="00735726">
              <w:rPr>
                <w:rFonts w:eastAsiaTheme="minorHAnsi"/>
                <w:b w:val="0"/>
                <w:bCs w:val="0"/>
                <w:caps w:val="0"/>
                <w:color w:val="auto"/>
              </w:rPr>
              <w:t>Board of Directors</w:t>
            </w:r>
          </w:p>
        </w:tc>
        <w:tc>
          <w:tcPr>
            <w:tcW w:w="1224" w:type="dxa"/>
          </w:tcPr>
          <w:p w14:paraId="0B3992F0" w14:textId="7DA4E53C" w:rsidR="0079040D" w:rsidRPr="009A2CAE" w:rsidRDefault="006C2FBB" w:rsidP="004F030D">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 xml:space="preserve">102 </w:t>
            </w:r>
            <w:r w:rsidR="00FB23F9" w:rsidRPr="009A2CAE">
              <w:rPr>
                <w:rFonts w:eastAsiaTheme="minorHAnsi"/>
                <w:b w:val="0"/>
                <w:bCs w:val="0"/>
                <w:caps w:val="0"/>
                <w:color w:val="auto"/>
              </w:rPr>
              <w:t xml:space="preserve">to </w:t>
            </w:r>
            <w:r w:rsidRPr="009A2CAE">
              <w:rPr>
                <w:rFonts w:eastAsiaTheme="minorHAnsi"/>
                <w:b w:val="0"/>
                <w:bCs w:val="0"/>
                <w:caps w:val="0"/>
                <w:color w:val="auto"/>
              </w:rPr>
              <w:t>104</w:t>
            </w:r>
            <w:r w:rsidR="00271238" w:rsidRPr="009A2CAE">
              <w:rPr>
                <w:rFonts w:eastAsiaTheme="minorHAnsi"/>
                <w:b w:val="0"/>
                <w:bCs w:val="0"/>
                <w:caps w:val="0"/>
                <w:color w:val="auto"/>
              </w:rPr>
              <w:t xml:space="preserve"> </w:t>
            </w:r>
          </w:p>
        </w:tc>
      </w:tr>
      <w:tr w:rsidR="006B39EE" w:rsidRPr="00735726" w14:paraId="49FED577" w14:textId="77777777" w:rsidTr="0079040D">
        <w:tc>
          <w:tcPr>
            <w:tcW w:w="7792" w:type="dxa"/>
          </w:tcPr>
          <w:p w14:paraId="75F65971" w14:textId="0E05D204" w:rsidR="006B39EE" w:rsidRPr="00735726" w:rsidRDefault="006B39EE" w:rsidP="006B39EE">
            <w:pPr>
              <w:pStyle w:val="Headinglevel4"/>
              <w:spacing w:line="360" w:lineRule="auto"/>
              <w:outlineLvl w:val="0"/>
            </w:pPr>
            <w:r w:rsidRPr="00735726">
              <w:rPr>
                <w:rFonts w:eastAsiaTheme="minorHAnsi"/>
                <w:b w:val="0"/>
                <w:bCs w:val="0"/>
                <w:caps w:val="0"/>
                <w:color w:val="auto"/>
              </w:rPr>
              <w:t>Purpose, values, strategy and culture</w:t>
            </w:r>
          </w:p>
        </w:tc>
        <w:tc>
          <w:tcPr>
            <w:tcW w:w="1224" w:type="dxa"/>
          </w:tcPr>
          <w:p w14:paraId="06D239C4" w14:textId="7332F129" w:rsidR="006B39EE" w:rsidRPr="009A2CAE" w:rsidRDefault="006C2FBB" w:rsidP="006B39EE">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107 to 108</w:t>
            </w:r>
          </w:p>
        </w:tc>
      </w:tr>
      <w:tr w:rsidR="00FB23F9" w:rsidRPr="00735726" w14:paraId="6F6AB74E" w14:textId="77777777" w:rsidTr="0079040D">
        <w:tc>
          <w:tcPr>
            <w:tcW w:w="7792" w:type="dxa"/>
          </w:tcPr>
          <w:p w14:paraId="50501816" w14:textId="37C03C60" w:rsidR="00FB23F9" w:rsidRPr="00735726" w:rsidRDefault="006C2FBB" w:rsidP="00FB23F9">
            <w:pPr>
              <w:pStyle w:val="Headinglevel4"/>
              <w:spacing w:line="360" w:lineRule="auto"/>
              <w:outlineLvl w:val="0"/>
            </w:pPr>
            <w:r w:rsidRPr="00735726">
              <w:rPr>
                <w:rFonts w:eastAsiaTheme="minorHAnsi"/>
                <w:b w:val="0"/>
                <w:bCs w:val="0"/>
                <w:caps w:val="0"/>
                <w:color w:val="auto"/>
              </w:rPr>
              <w:t>Governance structure and</w:t>
            </w:r>
            <w:r w:rsidR="00FB23F9" w:rsidRPr="00735726">
              <w:rPr>
                <w:rFonts w:eastAsiaTheme="minorHAnsi"/>
                <w:b w:val="0"/>
                <w:bCs w:val="0"/>
                <w:caps w:val="0"/>
                <w:color w:val="auto"/>
              </w:rPr>
              <w:t xml:space="preserve"> framework</w:t>
            </w:r>
          </w:p>
        </w:tc>
        <w:tc>
          <w:tcPr>
            <w:tcW w:w="1224" w:type="dxa"/>
          </w:tcPr>
          <w:p w14:paraId="2BB8E660" w14:textId="23757D2D"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109</w:t>
            </w:r>
          </w:p>
        </w:tc>
      </w:tr>
      <w:tr w:rsidR="00FB23F9" w:rsidRPr="00735726" w14:paraId="4444E49B" w14:textId="77777777" w:rsidTr="0079040D">
        <w:tc>
          <w:tcPr>
            <w:tcW w:w="7792" w:type="dxa"/>
          </w:tcPr>
          <w:p w14:paraId="6C0721A5" w14:textId="6E0AF9D6" w:rsidR="00FB23F9" w:rsidRPr="00735726" w:rsidRDefault="00FB23F9" w:rsidP="00FB23F9">
            <w:pPr>
              <w:pStyle w:val="Headinglevel4"/>
              <w:spacing w:line="360" w:lineRule="auto"/>
              <w:outlineLvl w:val="0"/>
            </w:pPr>
            <w:r w:rsidRPr="00735726">
              <w:rPr>
                <w:rFonts w:eastAsiaTheme="minorHAnsi"/>
                <w:b w:val="0"/>
                <w:bCs w:val="0"/>
                <w:caps w:val="0"/>
                <w:color w:val="auto"/>
              </w:rPr>
              <w:t>Stakeholder engagement</w:t>
            </w:r>
          </w:p>
        </w:tc>
        <w:tc>
          <w:tcPr>
            <w:tcW w:w="1224" w:type="dxa"/>
          </w:tcPr>
          <w:p w14:paraId="68A2AFF3" w14:textId="7DC173CD"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118</w:t>
            </w:r>
            <w:r w:rsidR="00FB23F9" w:rsidRPr="009A2CAE">
              <w:rPr>
                <w:rFonts w:eastAsiaTheme="minorHAnsi"/>
                <w:b w:val="0"/>
                <w:bCs w:val="0"/>
                <w:caps w:val="0"/>
                <w:color w:val="auto"/>
              </w:rPr>
              <w:t xml:space="preserve"> to </w:t>
            </w:r>
            <w:r w:rsidRPr="009A2CAE">
              <w:rPr>
                <w:rFonts w:eastAsiaTheme="minorHAnsi"/>
                <w:b w:val="0"/>
                <w:bCs w:val="0"/>
                <w:caps w:val="0"/>
                <w:color w:val="auto"/>
              </w:rPr>
              <w:t>119</w:t>
            </w:r>
          </w:p>
        </w:tc>
      </w:tr>
      <w:tr w:rsidR="00FB23F9" w:rsidRPr="00735726" w14:paraId="7AF743AE" w14:textId="77777777" w:rsidTr="0079040D">
        <w:tc>
          <w:tcPr>
            <w:tcW w:w="7792" w:type="dxa"/>
          </w:tcPr>
          <w:p w14:paraId="2202D44B" w14:textId="3D1EEC87" w:rsidR="00FB23F9" w:rsidRPr="00735726" w:rsidRDefault="00FB23F9" w:rsidP="00FB23F9">
            <w:pPr>
              <w:pStyle w:val="Headinglevel4"/>
              <w:spacing w:line="360" w:lineRule="auto"/>
              <w:outlineLvl w:val="0"/>
            </w:pPr>
            <w:r w:rsidRPr="00735726">
              <w:rPr>
                <w:rFonts w:eastAsiaTheme="minorHAnsi"/>
                <w:b w:val="0"/>
                <w:bCs w:val="0"/>
                <w:caps w:val="0"/>
                <w:color w:val="auto"/>
              </w:rPr>
              <w:t>Workforce policies and practices</w:t>
            </w:r>
          </w:p>
        </w:tc>
        <w:tc>
          <w:tcPr>
            <w:tcW w:w="1224" w:type="dxa"/>
          </w:tcPr>
          <w:p w14:paraId="61970DBF" w14:textId="52F7C375"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114</w:t>
            </w:r>
          </w:p>
        </w:tc>
      </w:tr>
      <w:tr w:rsidR="00FB23F9" w:rsidRPr="00735726" w14:paraId="7A8465EB" w14:textId="77777777" w:rsidTr="0079040D">
        <w:tc>
          <w:tcPr>
            <w:tcW w:w="7792" w:type="dxa"/>
          </w:tcPr>
          <w:p w14:paraId="7AEC6E9B" w14:textId="4988911A" w:rsidR="00FB23F9" w:rsidRPr="00735726" w:rsidRDefault="00FB23F9" w:rsidP="00FB23F9">
            <w:pPr>
              <w:pStyle w:val="Headinglevel4"/>
              <w:spacing w:line="360" w:lineRule="auto"/>
              <w:outlineLvl w:val="0"/>
              <w:rPr>
                <w:u w:val="single"/>
              </w:rPr>
            </w:pPr>
            <w:r w:rsidRPr="00735726">
              <w:rPr>
                <w:rFonts w:eastAsiaTheme="minorHAnsi"/>
                <w:caps w:val="0"/>
                <w:color w:val="auto"/>
                <w:u w:val="single"/>
              </w:rPr>
              <w:t>Division of Responsibilities</w:t>
            </w:r>
          </w:p>
        </w:tc>
        <w:tc>
          <w:tcPr>
            <w:tcW w:w="1224" w:type="dxa"/>
          </w:tcPr>
          <w:p w14:paraId="5B5C2F03" w14:textId="66DCF793" w:rsidR="00FB23F9" w:rsidRPr="009A2CAE" w:rsidRDefault="00FB23F9" w:rsidP="00FB23F9">
            <w:pPr>
              <w:pStyle w:val="Headinglevel4"/>
              <w:spacing w:line="360" w:lineRule="auto"/>
              <w:outlineLvl w:val="0"/>
              <w:rPr>
                <w:rFonts w:eastAsiaTheme="minorHAnsi"/>
                <w:b w:val="0"/>
                <w:bCs w:val="0"/>
                <w:caps w:val="0"/>
                <w:color w:val="auto"/>
              </w:rPr>
            </w:pPr>
          </w:p>
        </w:tc>
      </w:tr>
      <w:tr w:rsidR="00FB23F9" w:rsidRPr="00735726" w14:paraId="0D74D648" w14:textId="77777777" w:rsidTr="0079040D">
        <w:tc>
          <w:tcPr>
            <w:tcW w:w="7792" w:type="dxa"/>
          </w:tcPr>
          <w:p w14:paraId="4BB89D7E" w14:textId="7C8FBC91" w:rsidR="00FB23F9" w:rsidRPr="00735726" w:rsidRDefault="00FB23F9" w:rsidP="00FB23F9">
            <w:pPr>
              <w:pStyle w:val="Headinglevel4"/>
              <w:spacing w:line="360" w:lineRule="auto"/>
              <w:outlineLvl w:val="0"/>
              <w:rPr>
                <w:rFonts w:eastAsiaTheme="minorHAnsi"/>
                <w:caps w:val="0"/>
                <w:color w:val="auto"/>
              </w:rPr>
            </w:pPr>
            <w:r w:rsidRPr="00735726">
              <w:rPr>
                <w:rFonts w:eastAsiaTheme="minorHAnsi"/>
                <w:b w:val="0"/>
                <w:bCs w:val="0"/>
                <w:caps w:val="0"/>
                <w:color w:val="auto"/>
              </w:rPr>
              <w:t>Role of the Chair</w:t>
            </w:r>
          </w:p>
        </w:tc>
        <w:tc>
          <w:tcPr>
            <w:tcW w:w="1224" w:type="dxa"/>
          </w:tcPr>
          <w:p w14:paraId="047EBF12" w14:textId="07A13A68"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110 to 111</w:t>
            </w:r>
          </w:p>
        </w:tc>
      </w:tr>
      <w:tr w:rsidR="00FB23F9" w:rsidRPr="00735726" w14:paraId="702AB687" w14:textId="77777777" w:rsidTr="0079040D">
        <w:tc>
          <w:tcPr>
            <w:tcW w:w="7792" w:type="dxa"/>
          </w:tcPr>
          <w:p w14:paraId="57DB91C1" w14:textId="06440EBE" w:rsidR="00FB23F9" w:rsidRPr="00735726" w:rsidRDefault="00FB23F9" w:rsidP="00FB23F9">
            <w:pPr>
              <w:pStyle w:val="Headinglevel4"/>
              <w:spacing w:line="360" w:lineRule="auto"/>
              <w:outlineLvl w:val="0"/>
              <w:rPr>
                <w:rFonts w:eastAsiaTheme="minorHAnsi"/>
                <w:caps w:val="0"/>
                <w:color w:val="auto"/>
              </w:rPr>
            </w:pPr>
            <w:r w:rsidRPr="00735726">
              <w:rPr>
                <w:rFonts w:eastAsiaTheme="minorHAnsi"/>
                <w:b w:val="0"/>
                <w:bCs w:val="0"/>
                <w:caps w:val="0"/>
                <w:color w:val="auto"/>
              </w:rPr>
              <w:t>Division of responsibilities</w:t>
            </w:r>
          </w:p>
        </w:tc>
        <w:tc>
          <w:tcPr>
            <w:tcW w:w="1224" w:type="dxa"/>
          </w:tcPr>
          <w:p w14:paraId="1D736D09" w14:textId="717691D6"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110 to 111</w:t>
            </w:r>
          </w:p>
        </w:tc>
      </w:tr>
      <w:tr w:rsidR="00FB23F9" w:rsidRPr="00735726" w14:paraId="3C784C2A" w14:textId="77777777" w:rsidTr="0079040D">
        <w:tc>
          <w:tcPr>
            <w:tcW w:w="7792" w:type="dxa"/>
          </w:tcPr>
          <w:p w14:paraId="1E07FD4A" w14:textId="7BAA5633" w:rsidR="00FB23F9" w:rsidRPr="00735726" w:rsidRDefault="00FB23F9" w:rsidP="00FB23F9">
            <w:pPr>
              <w:pStyle w:val="Headinglevel4"/>
              <w:spacing w:line="360" w:lineRule="auto"/>
              <w:outlineLvl w:val="0"/>
              <w:rPr>
                <w:rFonts w:eastAsiaTheme="minorHAnsi"/>
                <w:caps w:val="0"/>
                <w:color w:val="auto"/>
              </w:rPr>
            </w:pPr>
            <w:r w:rsidRPr="00735726">
              <w:rPr>
                <w:rFonts w:eastAsiaTheme="minorHAnsi"/>
                <w:b w:val="0"/>
                <w:bCs w:val="0"/>
                <w:caps w:val="0"/>
                <w:color w:val="auto"/>
              </w:rPr>
              <w:t>Role of the Non-Executive Directors</w:t>
            </w:r>
          </w:p>
        </w:tc>
        <w:tc>
          <w:tcPr>
            <w:tcW w:w="1224" w:type="dxa"/>
          </w:tcPr>
          <w:p w14:paraId="338CD29B" w14:textId="78EA9F47"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110 to 111</w:t>
            </w:r>
          </w:p>
        </w:tc>
      </w:tr>
      <w:tr w:rsidR="00FB23F9" w:rsidRPr="00735726" w14:paraId="1B463EB9" w14:textId="77777777" w:rsidTr="0079040D">
        <w:tc>
          <w:tcPr>
            <w:tcW w:w="7792" w:type="dxa"/>
          </w:tcPr>
          <w:p w14:paraId="439E86D0" w14:textId="3154207B" w:rsidR="00FB23F9" w:rsidRPr="00735726" w:rsidRDefault="00FB23F9" w:rsidP="00FB23F9">
            <w:pPr>
              <w:pStyle w:val="Headinglevel4"/>
              <w:spacing w:line="360" w:lineRule="auto"/>
              <w:outlineLvl w:val="0"/>
              <w:rPr>
                <w:rFonts w:eastAsiaTheme="minorHAnsi"/>
                <w:caps w:val="0"/>
                <w:color w:val="auto"/>
              </w:rPr>
            </w:pPr>
            <w:r w:rsidRPr="00735726">
              <w:rPr>
                <w:rFonts w:eastAsiaTheme="minorHAnsi"/>
                <w:b w:val="0"/>
                <w:bCs w:val="0"/>
                <w:caps w:val="0"/>
                <w:color w:val="auto"/>
              </w:rPr>
              <w:t>Board policies, processes, information, time and resources</w:t>
            </w:r>
          </w:p>
        </w:tc>
        <w:tc>
          <w:tcPr>
            <w:tcW w:w="1224" w:type="dxa"/>
          </w:tcPr>
          <w:p w14:paraId="33A6A64A" w14:textId="3CD69BE7"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 xml:space="preserve">112 </w:t>
            </w:r>
            <w:r w:rsidR="00FB23F9" w:rsidRPr="009A2CAE">
              <w:rPr>
                <w:rFonts w:eastAsiaTheme="minorHAnsi"/>
                <w:b w:val="0"/>
                <w:bCs w:val="0"/>
                <w:caps w:val="0"/>
                <w:color w:val="auto"/>
              </w:rPr>
              <w:t xml:space="preserve">to </w:t>
            </w:r>
            <w:r w:rsidRPr="009A2CAE">
              <w:rPr>
                <w:rFonts w:eastAsiaTheme="minorHAnsi"/>
                <w:b w:val="0"/>
                <w:bCs w:val="0"/>
                <w:caps w:val="0"/>
                <w:color w:val="auto"/>
              </w:rPr>
              <w:t>115</w:t>
            </w:r>
          </w:p>
        </w:tc>
      </w:tr>
      <w:tr w:rsidR="00FB23F9" w:rsidRPr="00735726" w14:paraId="471C3DBD" w14:textId="77777777" w:rsidTr="0079040D">
        <w:tc>
          <w:tcPr>
            <w:tcW w:w="7792" w:type="dxa"/>
          </w:tcPr>
          <w:p w14:paraId="1551AA47" w14:textId="21C5C8D6" w:rsidR="00FB23F9" w:rsidRPr="00735726" w:rsidRDefault="00FB23F9" w:rsidP="00FB23F9">
            <w:pPr>
              <w:pStyle w:val="Headinglevel4"/>
              <w:spacing w:line="360" w:lineRule="auto"/>
              <w:outlineLvl w:val="0"/>
              <w:rPr>
                <w:rFonts w:eastAsiaTheme="minorHAnsi"/>
                <w:caps w:val="0"/>
                <w:color w:val="auto"/>
                <w:u w:val="single"/>
              </w:rPr>
            </w:pPr>
            <w:r w:rsidRPr="00735726">
              <w:rPr>
                <w:rFonts w:eastAsiaTheme="minorHAnsi"/>
                <w:caps w:val="0"/>
                <w:color w:val="auto"/>
                <w:u w:val="single"/>
              </w:rPr>
              <w:t>Composition, Succession and Evaluation</w:t>
            </w:r>
          </w:p>
        </w:tc>
        <w:tc>
          <w:tcPr>
            <w:tcW w:w="1224" w:type="dxa"/>
          </w:tcPr>
          <w:p w14:paraId="78FE1944" w14:textId="286F65E0" w:rsidR="00FB23F9" w:rsidRPr="009A2CAE" w:rsidRDefault="00FB23F9" w:rsidP="00FB23F9">
            <w:pPr>
              <w:pStyle w:val="Headinglevel4"/>
              <w:spacing w:line="360" w:lineRule="auto"/>
              <w:outlineLvl w:val="0"/>
              <w:rPr>
                <w:rFonts w:eastAsiaTheme="minorHAnsi"/>
                <w:b w:val="0"/>
                <w:bCs w:val="0"/>
                <w:caps w:val="0"/>
                <w:color w:val="auto"/>
              </w:rPr>
            </w:pPr>
          </w:p>
        </w:tc>
      </w:tr>
      <w:tr w:rsidR="00FB23F9" w:rsidRPr="00735726" w14:paraId="5B86551C" w14:textId="77777777" w:rsidTr="0079040D">
        <w:tc>
          <w:tcPr>
            <w:tcW w:w="7792" w:type="dxa"/>
          </w:tcPr>
          <w:p w14:paraId="076E610F" w14:textId="78D91322" w:rsidR="00FB23F9" w:rsidRPr="00735726" w:rsidRDefault="00FB23F9" w:rsidP="00FB23F9">
            <w:pPr>
              <w:pStyle w:val="Headinglevel4"/>
              <w:spacing w:line="360" w:lineRule="auto"/>
              <w:outlineLvl w:val="0"/>
              <w:rPr>
                <w:rFonts w:eastAsiaTheme="minorHAnsi"/>
                <w:caps w:val="0"/>
                <w:color w:val="auto"/>
              </w:rPr>
            </w:pPr>
            <w:r w:rsidRPr="00735726">
              <w:rPr>
                <w:rFonts w:eastAsiaTheme="minorHAnsi"/>
                <w:b w:val="0"/>
                <w:bCs w:val="0"/>
                <w:caps w:val="0"/>
                <w:color w:val="auto"/>
              </w:rPr>
              <w:t>Appointments to the Board</w:t>
            </w:r>
          </w:p>
        </w:tc>
        <w:tc>
          <w:tcPr>
            <w:tcW w:w="1224" w:type="dxa"/>
          </w:tcPr>
          <w:p w14:paraId="308E3B51" w14:textId="5E0FB408"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120 to 121</w:t>
            </w:r>
          </w:p>
        </w:tc>
      </w:tr>
      <w:tr w:rsidR="00FB23F9" w:rsidRPr="00735726" w14:paraId="448F7A94" w14:textId="77777777" w:rsidTr="0079040D">
        <w:tc>
          <w:tcPr>
            <w:tcW w:w="7792" w:type="dxa"/>
          </w:tcPr>
          <w:p w14:paraId="72EF57CB" w14:textId="2EF27679" w:rsidR="00FB23F9" w:rsidRPr="00735726" w:rsidRDefault="00FB23F9" w:rsidP="00FB23F9">
            <w:pPr>
              <w:pStyle w:val="Headinglevel4"/>
              <w:spacing w:line="360" w:lineRule="auto"/>
              <w:outlineLvl w:val="0"/>
              <w:rPr>
                <w:rFonts w:eastAsiaTheme="minorHAnsi"/>
                <w:caps w:val="0"/>
                <w:color w:val="auto"/>
              </w:rPr>
            </w:pPr>
            <w:r w:rsidRPr="00735726">
              <w:rPr>
                <w:rFonts w:eastAsiaTheme="minorHAnsi"/>
                <w:b w:val="0"/>
                <w:bCs w:val="0"/>
                <w:caps w:val="0"/>
                <w:color w:val="auto"/>
              </w:rPr>
              <w:t>Board skills, experience and knowledge</w:t>
            </w:r>
          </w:p>
        </w:tc>
        <w:tc>
          <w:tcPr>
            <w:tcW w:w="1224" w:type="dxa"/>
          </w:tcPr>
          <w:p w14:paraId="6307FD5B" w14:textId="44079844"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99</w:t>
            </w:r>
          </w:p>
        </w:tc>
      </w:tr>
      <w:tr w:rsidR="00FB23F9" w:rsidRPr="00735726" w14:paraId="20CA08C9" w14:textId="77777777" w:rsidTr="0079040D">
        <w:tc>
          <w:tcPr>
            <w:tcW w:w="7792" w:type="dxa"/>
          </w:tcPr>
          <w:p w14:paraId="709727BA" w14:textId="00B9730B" w:rsidR="00FB23F9" w:rsidRPr="00735726" w:rsidRDefault="00FB23F9" w:rsidP="00FB23F9">
            <w:pPr>
              <w:pStyle w:val="Headinglevel4"/>
              <w:spacing w:line="360" w:lineRule="auto"/>
              <w:outlineLvl w:val="0"/>
              <w:rPr>
                <w:rFonts w:eastAsiaTheme="minorHAnsi"/>
                <w:b w:val="0"/>
                <w:bCs w:val="0"/>
                <w:caps w:val="0"/>
                <w:color w:val="auto"/>
              </w:rPr>
            </w:pPr>
            <w:r w:rsidRPr="00735726">
              <w:rPr>
                <w:rFonts w:eastAsiaTheme="minorHAnsi"/>
                <w:b w:val="0"/>
                <w:bCs w:val="0"/>
                <w:caps w:val="0"/>
                <w:color w:val="auto"/>
              </w:rPr>
              <w:t xml:space="preserve">Board evaluation  </w:t>
            </w:r>
          </w:p>
        </w:tc>
        <w:tc>
          <w:tcPr>
            <w:tcW w:w="1224" w:type="dxa"/>
          </w:tcPr>
          <w:p w14:paraId="71DC0573" w14:textId="74C068B8"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128 to 129</w:t>
            </w:r>
          </w:p>
        </w:tc>
      </w:tr>
      <w:tr w:rsidR="00FB23F9" w:rsidRPr="00735726" w14:paraId="1DD161E6" w14:textId="77777777" w:rsidTr="0079040D">
        <w:tc>
          <w:tcPr>
            <w:tcW w:w="7792" w:type="dxa"/>
          </w:tcPr>
          <w:p w14:paraId="42A8FB98" w14:textId="2F4FB198" w:rsidR="00FB23F9" w:rsidRPr="00735726" w:rsidRDefault="00FB23F9" w:rsidP="00FB23F9">
            <w:pPr>
              <w:pStyle w:val="Headinglevel4"/>
              <w:spacing w:line="360" w:lineRule="auto"/>
              <w:outlineLvl w:val="0"/>
              <w:rPr>
                <w:rFonts w:eastAsiaTheme="minorHAnsi"/>
                <w:b w:val="0"/>
                <w:bCs w:val="0"/>
                <w:caps w:val="0"/>
                <w:color w:val="auto"/>
                <w:u w:val="single"/>
              </w:rPr>
            </w:pPr>
            <w:r w:rsidRPr="00735726">
              <w:rPr>
                <w:rFonts w:eastAsiaTheme="minorHAnsi"/>
                <w:caps w:val="0"/>
                <w:color w:val="auto"/>
                <w:u w:val="single"/>
              </w:rPr>
              <w:t>Audit, Risk and Internal Control</w:t>
            </w:r>
          </w:p>
        </w:tc>
        <w:tc>
          <w:tcPr>
            <w:tcW w:w="1224" w:type="dxa"/>
          </w:tcPr>
          <w:p w14:paraId="67C8CF9B" w14:textId="125CEAB4" w:rsidR="00FB23F9" w:rsidRPr="009A2CAE" w:rsidRDefault="00FB23F9" w:rsidP="00FB23F9">
            <w:pPr>
              <w:pStyle w:val="Headinglevel4"/>
              <w:spacing w:line="360" w:lineRule="auto"/>
              <w:outlineLvl w:val="0"/>
              <w:rPr>
                <w:rFonts w:eastAsiaTheme="minorHAnsi"/>
                <w:b w:val="0"/>
                <w:bCs w:val="0"/>
                <w:caps w:val="0"/>
                <w:color w:val="auto"/>
              </w:rPr>
            </w:pPr>
          </w:p>
        </w:tc>
      </w:tr>
      <w:tr w:rsidR="00FB23F9" w:rsidRPr="00735726" w14:paraId="2C3DE0E2" w14:textId="77777777" w:rsidTr="0079040D">
        <w:tc>
          <w:tcPr>
            <w:tcW w:w="7792" w:type="dxa"/>
          </w:tcPr>
          <w:p w14:paraId="796F72FB" w14:textId="0FD873CB" w:rsidR="00FB23F9" w:rsidRPr="00735726" w:rsidRDefault="00FB23F9" w:rsidP="00FB23F9">
            <w:pPr>
              <w:pStyle w:val="Headinglevel4"/>
              <w:spacing w:line="360" w:lineRule="auto"/>
              <w:outlineLvl w:val="0"/>
              <w:rPr>
                <w:rFonts w:eastAsiaTheme="minorHAnsi"/>
                <w:b w:val="0"/>
                <w:bCs w:val="0"/>
                <w:caps w:val="0"/>
                <w:color w:val="auto"/>
              </w:rPr>
            </w:pPr>
            <w:r w:rsidRPr="00735726">
              <w:rPr>
                <w:rFonts w:eastAsiaTheme="minorHAnsi"/>
                <w:b w:val="0"/>
                <w:bCs w:val="0"/>
                <w:caps w:val="0"/>
                <w:color w:val="auto"/>
              </w:rPr>
              <w:t>Independence and effectiveness of internal and external auditors</w:t>
            </w:r>
          </w:p>
        </w:tc>
        <w:tc>
          <w:tcPr>
            <w:tcW w:w="1224" w:type="dxa"/>
          </w:tcPr>
          <w:p w14:paraId="439AFF38" w14:textId="4F21458D"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135</w:t>
            </w:r>
          </w:p>
        </w:tc>
      </w:tr>
      <w:tr w:rsidR="00FB23F9" w:rsidRPr="00735726" w14:paraId="12CB8758" w14:textId="77777777" w:rsidTr="0079040D">
        <w:tc>
          <w:tcPr>
            <w:tcW w:w="7792" w:type="dxa"/>
          </w:tcPr>
          <w:p w14:paraId="1836FDAD" w14:textId="12DC94F7" w:rsidR="00FB23F9" w:rsidRPr="00735726" w:rsidRDefault="00FB23F9" w:rsidP="00FB23F9">
            <w:pPr>
              <w:pStyle w:val="Headinglevel4"/>
              <w:spacing w:line="360" w:lineRule="auto"/>
              <w:outlineLvl w:val="0"/>
              <w:rPr>
                <w:rFonts w:eastAsiaTheme="minorHAnsi"/>
                <w:b w:val="0"/>
                <w:bCs w:val="0"/>
                <w:caps w:val="0"/>
                <w:color w:val="auto"/>
              </w:rPr>
            </w:pPr>
            <w:r w:rsidRPr="00735726">
              <w:rPr>
                <w:rFonts w:eastAsiaTheme="minorHAnsi"/>
                <w:b w:val="0"/>
                <w:bCs w:val="0"/>
                <w:caps w:val="0"/>
                <w:color w:val="auto"/>
              </w:rPr>
              <w:t>Fair, balanced and understandable assessment</w:t>
            </w:r>
          </w:p>
        </w:tc>
        <w:tc>
          <w:tcPr>
            <w:tcW w:w="1224" w:type="dxa"/>
          </w:tcPr>
          <w:p w14:paraId="10AE8907" w14:textId="2DCDB295"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135</w:t>
            </w:r>
          </w:p>
        </w:tc>
      </w:tr>
      <w:tr w:rsidR="00FB23F9" w:rsidRPr="00735726" w14:paraId="1C1FD324" w14:textId="77777777" w:rsidTr="0079040D">
        <w:tc>
          <w:tcPr>
            <w:tcW w:w="7792" w:type="dxa"/>
          </w:tcPr>
          <w:p w14:paraId="7DD17BCA" w14:textId="671DF37D" w:rsidR="00FB23F9" w:rsidRPr="00735726" w:rsidRDefault="00FB23F9" w:rsidP="00FB23F9">
            <w:pPr>
              <w:pStyle w:val="Headinglevel4"/>
              <w:spacing w:line="360" w:lineRule="auto"/>
              <w:outlineLvl w:val="0"/>
              <w:rPr>
                <w:rFonts w:eastAsiaTheme="minorHAnsi"/>
                <w:b w:val="0"/>
                <w:bCs w:val="0"/>
                <w:caps w:val="0"/>
                <w:color w:val="auto"/>
              </w:rPr>
            </w:pPr>
            <w:r w:rsidRPr="00735726">
              <w:rPr>
                <w:rFonts w:eastAsiaTheme="minorHAnsi"/>
                <w:b w:val="0"/>
                <w:bCs w:val="0"/>
                <w:caps w:val="0"/>
                <w:color w:val="auto"/>
              </w:rPr>
              <w:t>Risk and internal control</w:t>
            </w:r>
          </w:p>
        </w:tc>
        <w:tc>
          <w:tcPr>
            <w:tcW w:w="1224" w:type="dxa"/>
          </w:tcPr>
          <w:p w14:paraId="6886F2DC" w14:textId="4C2E2955"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137 to 13</w:t>
            </w:r>
            <w:r w:rsidR="00806BF2" w:rsidRPr="009A2CAE">
              <w:rPr>
                <w:rFonts w:eastAsiaTheme="minorHAnsi"/>
                <w:b w:val="0"/>
                <w:bCs w:val="0"/>
                <w:caps w:val="0"/>
                <w:color w:val="auto"/>
              </w:rPr>
              <w:t>9</w:t>
            </w:r>
            <w:r w:rsidR="00FB23F9" w:rsidRPr="009A2CAE">
              <w:rPr>
                <w:rFonts w:eastAsiaTheme="minorHAnsi"/>
                <w:b w:val="0"/>
                <w:bCs w:val="0"/>
                <w:caps w:val="0"/>
                <w:color w:val="auto"/>
              </w:rPr>
              <w:t xml:space="preserve"> </w:t>
            </w:r>
          </w:p>
        </w:tc>
      </w:tr>
      <w:tr w:rsidR="00FB23F9" w:rsidRPr="00735726" w14:paraId="12991D2A" w14:textId="77777777" w:rsidTr="0079040D">
        <w:tc>
          <w:tcPr>
            <w:tcW w:w="7792" w:type="dxa"/>
          </w:tcPr>
          <w:p w14:paraId="0347F3BE" w14:textId="43F4B0E5" w:rsidR="00FB23F9" w:rsidRPr="00735726" w:rsidRDefault="00FB23F9" w:rsidP="00FB23F9">
            <w:pPr>
              <w:pStyle w:val="Headinglevel4"/>
              <w:spacing w:line="360" w:lineRule="auto"/>
              <w:outlineLvl w:val="0"/>
              <w:rPr>
                <w:rFonts w:eastAsiaTheme="minorHAnsi"/>
                <w:b w:val="0"/>
                <w:bCs w:val="0"/>
                <w:caps w:val="0"/>
                <w:color w:val="auto"/>
                <w:u w:val="single"/>
              </w:rPr>
            </w:pPr>
            <w:r w:rsidRPr="00735726">
              <w:rPr>
                <w:rFonts w:eastAsiaTheme="minorHAnsi"/>
                <w:caps w:val="0"/>
                <w:color w:val="auto"/>
                <w:u w:val="single"/>
              </w:rPr>
              <w:t>Remuneration</w:t>
            </w:r>
          </w:p>
        </w:tc>
        <w:tc>
          <w:tcPr>
            <w:tcW w:w="1224" w:type="dxa"/>
          </w:tcPr>
          <w:p w14:paraId="7A5E66C2" w14:textId="08A50F9A" w:rsidR="00FB23F9" w:rsidRPr="009A2CAE" w:rsidRDefault="00FB23F9" w:rsidP="00FB23F9">
            <w:pPr>
              <w:pStyle w:val="Headinglevel4"/>
              <w:spacing w:line="360" w:lineRule="auto"/>
              <w:outlineLvl w:val="0"/>
              <w:rPr>
                <w:rFonts w:eastAsiaTheme="minorHAnsi"/>
                <w:b w:val="0"/>
                <w:bCs w:val="0"/>
                <w:caps w:val="0"/>
                <w:color w:val="auto"/>
              </w:rPr>
            </w:pPr>
          </w:p>
        </w:tc>
      </w:tr>
      <w:tr w:rsidR="00FB23F9" w:rsidRPr="00735726" w14:paraId="43018FF2" w14:textId="77777777" w:rsidTr="0079040D">
        <w:tc>
          <w:tcPr>
            <w:tcW w:w="7792" w:type="dxa"/>
          </w:tcPr>
          <w:p w14:paraId="620B09B5" w14:textId="5E79E3A9" w:rsidR="00FB23F9" w:rsidRPr="00735726" w:rsidRDefault="00FB23F9" w:rsidP="00FB23F9">
            <w:pPr>
              <w:pStyle w:val="Headinglevel4"/>
              <w:spacing w:line="360" w:lineRule="auto"/>
              <w:outlineLvl w:val="0"/>
              <w:rPr>
                <w:rFonts w:eastAsiaTheme="minorHAnsi"/>
                <w:b w:val="0"/>
                <w:bCs w:val="0"/>
                <w:caps w:val="0"/>
                <w:color w:val="auto"/>
              </w:rPr>
            </w:pPr>
            <w:r w:rsidRPr="00735726">
              <w:rPr>
                <w:rFonts w:eastAsiaTheme="minorHAnsi"/>
                <w:b w:val="0"/>
                <w:bCs w:val="0"/>
                <w:caps w:val="0"/>
                <w:color w:val="auto"/>
              </w:rPr>
              <w:t>Alignment to purpose, values and long-term success</w:t>
            </w:r>
          </w:p>
        </w:tc>
        <w:tc>
          <w:tcPr>
            <w:tcW w:w="1224" w:type="dxa"/>
          </w:tcPr>
          <w:p w14:paraId="5C8059CA" w14:textId="3B2CB42A"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150 to 151</w:t>
            </w:r>
          </w:p>
        </w:tc>
      </w:tr>
      <w:tr w:rsidR="00FB23F9" w:rsidRPr="00735726" w14:paraId="4C66E95E" w14:textId="77777777" w:rsidTr="0079040D">
        <w:tc>
          <w:tcPr>
            <w:tcW w:w="7792" w:type="dxa"/>
          </w:tcPr>
          <w:p w14:paraId="19682823" w14:textId="447087DA" w:rsidR="00FB23F9" w:rsidRPr="00735726" w:rsidRDefault="00FB23F9" w:rsidP="00FB23F9">
            <w:pPr>
              <w:pStyle w:val="Headinglevel4"/>
              <w:spacing w:line="360" w:lineRule="auto"/>
              <w:outlineLvl w:val="0"/>
              <w:rPr>
                <w:rFonts w:eastAsiaTheme="minorHAnsi"/>
                <w:b w:val="0"/>
                <w:bCs w:val="0"/>
                <w:caps w:val="0"/>
                <w:color w:val="auto"/>
              </w:rPr>
            </w:pPr>
            <w:r w:rsidRPr="00735726">
              <w:rPr>
                <w:rFonts w:eastAsiaTheme="minorHAnsi"/>
                <w:b w:val="0"/>
                <w:bCs w:val="0"/>
                <w:caps w:val="0"/>
                <w:color w:val="auto"/>
              </w:rPr>
              <w:t>Remuneration policy</w:t>
            </w:r>
          </w:p>
        </w:tc>
        <w:tc>
          <w:tcPr>
            <w:tcW w:w="1224" w:type="dxa"/>
          </w:tcPr>
          <w:p w14:paraId="4BD884AE" w14:textId="08C5D52F"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149</w:t>
            </w:r>
          </w:p>
        </w:tc>
      </w:tr>
      <w:tr w:rsidR="00FB23F9" w:rsidRPr="00735726" w14:paraId="3AE9AAFB" w14:textId="77777777" w:rsidTr="0079040D">
        <w:tc>
          <w:tcPr>
            <w:tcW w:w="7792" w:type="dxa"/>
          </w:tcPr>
          <w:p w14:paraId="2DB25F9A" w14:textId="5C8571B6" w:rsidR="00FB23F9" w:rsidRPr="00735726" w:rsidRDefault="00FB23F9" w:rsidP="00FB23F9">
            <w:pPr>
              <w:pStyle w:val="Headinglevel4"/>
              <w:spacing w:line="360" w:lineRule="auto"/>
              <w:outlineLvl w:val="0"/>
              <w:rPr>
                <w:rFonts w:eastAsiaTheme="minorHAnsi"/>
                <w:b w:val="0"/>
                <w:bCs w:val="0"/>
                <w:caps w:val="0"/>
                <w:color w:val="auto"/>
              </w:rPr>
            </w:pPr>
            <w:r w:rsidRPr="00735726">
              <w:rPr>
                <w:rFonts w:eastAsiaTheme="minorHAnsi"/>
                <w:b w:val="0"/>
                <w:bCs w:val="0"/>
                <w:caps w:val="0"/>
                <w:color w:val="auto"/>
              </w:rPr>
              <w:t>Independent judgement and discretion</w:t>
            </w:r>
          </w:p>
        </w:tc>
        <w:tc>
          <w:tcPr>
            <w:tcW w:w="1224" w:type="dxa"/>
          </w:tcPr>
          <w:p w14:paraId="2F0A5849" w14:textId="2068DC72" w:rsidR="00FB23F9" w:rsidRPr="009A2CAE" w:rsidRDefault="006C2FBB" w:rsidP="00FB23F9">
            <w:pPr>
              <w:pStyle w:val="Headinglevel4"/>
              <w:spacing w:line="360" w:lineRule="auto"/>
              <w:outlineLvl w:val="0"/>
              <w:rPr>
                <w:rFonts w:eastAsiaTheme="minorHAnsi"/>
                <w:b w:val="0"/>
                <w:bCs w:val="0"/>
                <w:caps w:val="0"/>
                <w:color w:val="auto"/>
              </w:rPr>
            </w:pPr>
            <w:r w:rsidRPr="009A2CAE">
              <w:rPr>
                <w:rFonts w:eastAsiaTheme="minorHAnsi"/>
                <w:b w:val="0"/>
                <w:bCs w:val="0"/>
                <w:caps w:val="0"/>
                <w:color w:val="auto"/>
              </w:rPr>
              <w:t>145 to 149</w:t>
            </w:r>
          </w:p>
        </w:tc>
      </w:tr>
    </w:tbl>
    <w:p w14:paraId="45BF351B" w14:textId="6E80F87B" w:rsidR="004F030D" w:rsidRPr="009A2CAE" w:rsidRDefault="004F030D" w:rsidP="004F030D">
      <w:pPr>
        <w:pStyle w:val="Headinglevel4"/>
        <w:spacing w:line="360" w:lineRule="auto"/>
        <w:outlineLvl w:val="0"/>
      </w:pPr>
    </w:p>
    <w:p w14:paraId="1A1D2DDD" w14:textId="77777777" w:rsidR="004F030D" w:rsidRPr="009A2CAE" w:rsidRDefault="004F030D" w:rsidP="004F030D">
      <w:pPr>
        <w:pStyle w:val="ListParagraph"/>
        <w:rPr>
          <w:rFonts w:ascii="Arial" w:eastAsia="Times New Roman" w:hAnsi="Arial" w:cs="DINOT-Light"/>
          <w:color w:val="000000"/>
          <w:sz w:val="18"/>
          <w:szCs w:val="18"/>
        </w:rPr>
      </w:pPr>
    </w:p>
    <w:p w14:paraId="6C754642" w14:textId="77777777" w:rsidR="004F030D" w:rsidRPr="009A2CAE" w:rsidRDefault="004F030D" w:rsidP="004F030D">
      <w:pPr>
        <w:spacing w:after="160" w:line="259" w:lineRule="auto"/>
        <w:rPr>
          <w:rFonts w:ascii="Arial" w:eastAsia="Times New Roman" w:hAnsi="Arial" w:cs="DINOT-Light"/>
          <w:color w:val="000000"/>
          <w:sz w:val="18"/>
          <w:szCs w:val="18"/>
        </w:rPr>
      </w:pPr>
      <w:r w:rsidRPr="009A2CAE">
        <w:rPr>
          <w:rFonts w:ascii="Arial" w:eastAsia="Times New Roman" w:hAnsi="Arial" w:cs="DINOT-Light"/>
          <w:color w:val="000000"/>
          <w:sz w:val="18"/>
          <w:szCs w:val="18"/>
        </w:rPr>
        <w:br w:type="page"/>
      </w:r>
    </w:p>
    <w:p w14:paraId="7E58146F" w14:textId="77777777" w:rsidR="009F5FD8" w:rsidRPr="00735726" w:rsidRDefault="009F5FD8" w:rsidP="009F5FD8">
      <w:pPr>
        <w:spacing w:after="160" w:line="259" w:lineRule="auto"/>
        <w:rPr>
          <w:rFonts w:ascii="Arial" w:eastAsia="Times New Roman" w:hAnsi="Arial" w:cs="DINOT"/>
          <w:b/>
          <w:bCs/>
          <w:caps/>
          <w:sz w:val="18"/>
        </w:rPr>
      </w:pPr>
      <w:r w:rsidRPr="00735726">
        <w:rPr>
          <w:rFonts w:ascii="Arial" w:eastAsia="Times New Roman" w:hAnsi="Arial" w:cs="DINOT"/>
          <w:b/>
          <w:bCs/>
          <w:caps/>
          <w:sz w:val="18"/>
        </w:rPr>
        <w:lastRenderedPageBreak/>
        <w:t>MEETING ATTENDANCE DURING THE YEAR AND BOARD skills matrix</w:t>
      </w:r>
    </w:p>
    <w:tbl>
      <w:tblPr>
        <w:tblW w:w="9662" w:type="dxa"/>
        <w:tblInd w:w="10" w:type="dxa"/>
        <w:tblLayout w:type="fixed"/>
        <w:tblCellMar>
          <w:left w:w="10" w:type="dxa"/>
          <w:right w:w="10" w:type="dxa"/>
        </w:tblCellMar>
        <w:tblLook w:val="04A0" w:firstRow="1" w:lastRow="0" w:firstColumn="1" w:lastColumn="0" w:noHBand="0" w:noVBand="1"/>
      </w:tblPr>
      <w:tblGrid>
        <w:gridCol w:w="1355"/>
        <w:gridCol w:w="635"/>
        <w:gridCol w:w="752"/>
        <w:gridCol w:w="980"/>
        <w:gridCol w:w="854"/>
        <w:gridCol w:w="78"/>
        <w:gridCol w:w="657"/>
        <w:gridCol w:w="825"/>
        <w:gridCol w:w="657"/>
        <w:gridCol w:w="40"/>
        <w:gridCol w:w="110"/>
        <w:gridCol w:w="1035"/>
        <w:gridCol w:w="1094"/>
        <w:gridCol w:w="590"/>
      </w:tblGrid>
      <w:tr w:rsidR="00101D81" w:rsidRPr="00735726" w14:paraId="50BB4173" w14:textId="29F9EAD6" w:rsidTr="00101D81">
        <w:trPr>
          <w:gridAfter w:val="4"/>
          <w:wAfter w:w="2829" w:type="dxa"/>
          <w:trHeight w:val="327"/>
        </w:trPr>
        <w:tc>
          <w:tcPr>
            <w:tcW w:w="1355" w:type="dxa"/>
            <w:hideMark/>
          </w:tcPr>
          <w:p w14:paraId="1414E70E" w14:textId="77777777"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Position</w:t>
            </w:r>
          </w:p>
        </w:tc>
        <w:tc>
          <w:tcPr>
            <w:tcW w:w="635" w:type="dxa"/>
          </w:tcPr>
          <w:p w14:paraId="00F0D0E4" w14:textId="77777777" w:rsidR="00101D81" w:rsidRPr="00735726" w:rsidRDefault="00101D81"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Chair</w:t>
            </w:r>
          </w:p>
        </w:tc>
        <w:tc>
          <w:tcPr>
            <w:tcW w:w="2664" w:type="dxa"/>
            <w:gridSpan w:val="4"/>
          </w:tcPr>
          <w:p w14:paraId="72C108D4" w14:textId="71B42439"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Executive Directors</w:t>
            </w:r>
          </w:p>
        </w:tc>
        <w:tc>
          <w:tcPr>
            <w:tcW w:w="2139" w:type="dxa"/>
            <w:gridSpan w:val="3"/>
          </w:tcPr>
          <w:p w14:paraId="0C38EB1E" w14:textId="7FAB74CB"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Non-Executive Directors</w:t>
            </w:r>
          </w:p>
        </w:tc>
        <w:tc>
          <w:tcPr>
            <w:tcW w:w="40" w:type="dxa"/>
          </w:tcPr>
          <w:p w14:paraId="73B2D91F" w14:textId="77777777" w:rsidR="00101D81" w:rsidRPr="009A2CAE" w:rsidRDefault="00101D81" w:rsidP="00B57B12">
            <w:pPr>
              <w:jc w:val="center"/>
              <w:rPr>
                <w:rFonts w:ascii="Arial" w:eastAsia="Times New Roman" w:hAnsi="Arial" w:cs="DINOT-Light"/>
                <w:color w:val="000000"/>
                <w:sz w:val="18"/>
                <w:szCs w:val="18"/>
              </w:rPr>
            </w:pPr>
          </w:p>
        </w:tc>
      </w:tr>
      <w:tr w:rsidR="00101D81" w:rsidRPr="00735726" w14:paraId="11252969" w14:textId="2F40821C" w:rsidTr="00101D81">
        <w:trPr>
          <w:trHeight w:val="701"/>
        </w:trPr>
        <w:tc>
          <w:tcPr>
            <w:tcW w:w="1355" w:type="dxa"/>
          </w:tcPr>
          <w:p w14:paraId="3ACAB221" w14:textId="77777777"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Member</w:t>
            </w:r>
          </w:p>
        </w:tc>
        <w:tc>
          <w:tcPr>
            <w:tcW w:w="635" w:type="dxa"/>
          </w:tcPr>
          <w:p w14:paraId="0D2079F4" w14:textId="1D4A960E" w:rsidR="00101D81" w:rsidRPr="00735726" w:rsidRDefault="00101D81"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David Sproul</w:t>
            </w:r>
          </w:p>
        </w:tc>
        <w:tc>
          <w:tcPr>
            <w:tcW w:w="752" w:type="dxa"/>
          </w:tcPr>
          <w:p w14:paraId="31F33093" w14:textId="00F106EE" w:rsidR="00101D81" w:rsidRPr="00735726" w:rsidRDefault="00101D81" w:rsidP="00B57B12">
            <w:pPr>
              <w:jc w:val="center"/>
              <w:rPr>
                <w:rFonts w:ascii="Arial" w:eastAsia="Times New Roman" w:hAnsi="Arial" w:cs="DINOT-Light"/>
                <w:color w:val="000000"/>
                <w:sz w:val="18"/>
                <w:szCs w:val="18"/>
                <w:vertAlign w:val="superscript"/>
              </w:rPr>
            </w:pPr>
            <w:r w:rsidRPr="00735726">
              <w:rPr>
                <w:rFonts w:ascii="Arial" w:eastAsia="Times New Roman" w:hAnsi="Arial" w:cs="DINOT-Light"/>
                <w:color w:val="000000"/>
                <w:sz w:val="18"/>
                <w:szCs w:val="18"/>
              </w:rPr>
              <w:t>Keith Haslett</w:t>
            </w:r>
            <w:r w:rsidR="00326B87" w:rsidRPr="00735726">
              <w:rPr>
                <w:rFonts w:ascii="Arial" w:eastAsia="Times New Roman" w:hAnsi="Arial" w:cs="DINOT-Light"/>
                <w:color w:val="000000"/>
                <w:sz w:val="18"/>
                <w:szCs w:val="18"/>
                <w:vertAlign w:val="superscript"/>
              </w:rPr>
              <w:t>1</w:t>
            </w:r>
          </w:p>
        </w:tc>
        <w:tc>
          <w:tcPr>
            <w:tcW w:w="980" w:type="dxa"/>
          </w:tcPr>
          <w:p w14:paraId="599B5450" w14:textId="23553E1D" w:rsidR="00101D81" w:rsidRPr="00735726" w:rsidRDefault="00101D81"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Laura Flowerdew</w:t>
            </w:r>
          </w:p>
        </w:tc>
        <w:tc>
          <w:tcPr>
            <w:tcW w:w="854" w:type="dxa"/>
          </w:tcPr>
          <w:p w14:paraId="36FE63E5" w14:textId="338BD755" w:rsidR="00101D81" w:rsidRPr="00735726" w:rsidRDefault="00101D81" w:rsidP="00B57B12">
            <w:pPr>
              <w:jc w:val="center"/>
              <w:rPr>
                <w:rFonts w:ascii="Arial" w:eastAsia="Times New Roman" w:hAnsi="Arial" w:cs="DINOT-Light"/>
                <w:color w:val="000000"/>
                <w:sz w:val="18"/>
                <w:szCs w:val="18"/>
                <w:vertAlign w:val="superscript"/>
              </w:rPr>
            </w:pPr>
            <w:r w:rsidRPr="00735726">
              <w:rPr>
                <w:rFonts w:ascii="Arial" w:eastAsia="Times New Roman" w:hAnsi="Arial" w:cs="DINOT-Light"/>
                <w:color w:val="000000"/>
                <w:sz w:val="18"/>
                <w:szCs w:val="18"/>
              </w:rPr>
              <w:t>Susan Davy</w:t>
            </w:r>
            <w:r w:rsidR="00326B87" w:rsidRPr="00735726">
              <w:rPr>
                <w:rFonts w:ascii="Arial" w:eastAsia="Times New Roman" w:hAnsi="Arial" w:cs="DINOT-Light"/>
                <w:color w:val="000000"/>
                <w:sz w:val="18"/>
                <w:szCs w:val="18"/>
                <w:vertAlign w:val="superscript"/>
              </w:rPr>
              <w:t>2</w:t>
            </w:r>
          </w:p>
        </w:tc>
        <w:tc>
          <w:tcPr>
            <w:tcW w:w="735" w:type="dxa"/>
            <w:gridSpan w:val="2"/>
          </w:tcPr>
          <w:p w14:paraId="584B1212" w14:textId="4F0542CA" w:rsidR="00101D81" w:rsidRPr="00735726" w:rsidRDefault="00101D81" w:rsidP="00B57B12">
            <w:pPr>
              <w:jc w:val="center"/>
              <w:rPr>
                <w:rFonts w:ascii="Arial" w:eastAsia="Times New Roman" w:hAnsi="Arial" w:cs="DINOT-Light"/>
                <w:color w:val="000000"/>
                <w:sz w:val="18"/>
                <w:szCs w:val="18"/>
                <w:vertAlign w:val="superscript"/>
              </w:rPr>
            </w:pPr>
            <w:r w:rsidRPr="00735726">
              <w:rPr>
                <w:rFonts w:ascii="Arial" w:eastAsia="Times New Roman" w:hAnsi="Arial" w:cs="DINOT-Light"/>
                <w:color w:val="000000"/>
                <w:sz w:val="18"/>
                <w:szCs w:val="18"/>
              </w:rPr>
              <w:t>Sir Andrew Haines</w:t>
            </w:r>
            <w:r w:rsidR="00326B87" w:rsidRPr="00735726">
              <w:rPr>
                <w:rFonts w:ascii="Arial" w:eastAsia="Times New Roman" w:hAnsi="Arial" w:cs="DINOT-Light"/>
                <w:color w:val="000000"/>
                <w:sz w:val="18"/>
                <w:szCs w:val="18"/>
                <w:vertAlign w:val="superscript"/>
              </w:rPr>
              <w:t>3</w:t>
            </w:r>
          </w:p>
        </w:tc>
        <w:tc>
          <w:tcPr>
            <w:tcW w:w="825" w:type="dxa"/>
          </w:tcPr>
          <w:p w14:paraId="53011A20" w14:textId="17E0236A" w:rsidR="00101D81" w:rsidRPr="00735726" w:rsidRDefault="00101D81" w:rsidP="00B57B12">
            <w:pPr>
              <w:jc w:val="center"/>
              <w:rPr>
                <w:rFonts w:ascii="Arial" w:eastAsia="Times New Roman" w:hAnsi="Arial" w:cs="DINOT-Light"/>
                <w:color w:val="000000"/>
                <w:sz w:val="18"/>
                <w:szCs w:val="18"/>
                <w:vertAlign w:val="superscript"/>
              </w:rPr>
            </w:pPr>
            <w:r w:rsidRPr="00735726">
              <w:rPr>
                <w:rFonts w:ascii="Arial" w:eastAsia="Times New Roman" w:hAnsi="Arial" w:cs="DINOT-Light"/>
                <w:color w:val="000000"/>
                <w:sz w:val="18"/>
                <w:szCs w:val="18"/>
              </w:rPr>
              <w:t>Andrea Blance</w:t>
            </w:r>
            <w:r w:rsidR="00326B87" w:rsidRPr="00735726">
              <w:rPr>
                <w:rFonts w:ascii="Arial" w:eastAsia="Times New Roman" w:hAnsi="Arial" w:cs="DINOT-Light"/>
                <w:color w:val="000000"/>
                <w:sz w:val="18"/>
                <w:szCs w:val="18"/>
                <w:vertAlign w:val="superscript"/>
              </w:rPr>
              <w:t>4</w:t>
            </w:r>
          </w:p>
        </w:tc>
        <w:tc>
          <w:tcPr>
            <w:tcW w:w="807" w:type="dxa"/>
            <w:gridSpan w:val="3"/>
          </w:tcPr>
          <w:p w14:paraId="6C541271" w14:textId="49BA8599" w:rsidR="00101D81" w:rsidRPr="00735726" w:rsidRDefault="00991401" w:rsidP="00B57B12">
            <w:pPr>
              <w:jc w:val="center"/>
              <w:rPr>
                <w:rFonts w:ascii="Arial" w:eastAsia="Times New Roman" w:hAnsi="Arial" w:cs="DINOT-Light"/>
                <w:color w:val="000000"/>
                <w:sz w:val="18"/>
                <w:szCs w:val="18"/>
                <w:vertAlign w:val="superscript"/>
              </w:rPr>
            </w:pPr>
            <w:r w:rsidRPr="00735726">
              <w:rPr>
                <w:rFonts w:ascii="Arial" w:eastAsia="Times New Roman" w:hAnsi="Arial" w:cs="DINOT-Light"/>
                <w:color w:val="000000"/>
                <w:sz w:val="18"/>
                <w:szCs w:val="18"/>
              </w:rPr>
              <w:t xml:space="preserve">Dorothy </w:t>
            </w:r>
            <w:r w:rsidR="00101D81" w:rsidRPr="00735726">
              <w:rPr>
                <w:rFonts w:ascii="Arial" w:eastAsia="Times New Roman" w:hAnsi="Arial" w:cs="DINOT-Light"/>
                <w:color w:val="000000"/>
                <w:sz w:val="18"/>
                <w:szCs w:val="18"/>
              </w:rPr>
              <w:t>Burwell</w:t>
            </w:r>
          </w:p>
        </w:tc>
        <w:tc>
          <w:tcPr>
            <w:tcW w:w="1035" w:type="dxa"/>
          </w:tcPr>
          <w:p w14:paraId="70546A91" w14:textId="6564B8A0" w:rsidR="00101D81" w:rsidRPr="00735726" w:rsidRDefault="00101D81"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Jon Butterworth</w:t>
            </w:r>
          </w:p>
        </w:tc>
        <w:tc>
          <w:tcPr>
            <w:tcW w:w="1094" w:type="dxa"/>
          </w:tcPr>
          <w:p w14:paraId="71891DB5" w14:textId="7991ED46" w:rsidR="00101D81" w:rsidRPr="00735726" w:rsidRDefault="00101D81" w:rsidP="00B57B12">
            <w:pPr>
              <w:jc w:val="center"/>
              <w:rPr>
                <w:rFonts w:ascii="Arial" w:eastAsia="Times New Roman" w:hAnsi="Arial" w:cs="DINOT-Light"/>
                <w:color w:val="000000"/>
                <w:sz w:val="18"/>
                <w:szCs w:val="18"/>
                <w:vertAlign w:val="superscript"/>
              </w:rPr>
            </w:pPr>
            <w:r w:rsidRPr="00735726">
              <w:rPr>
                <w:rFonts w:ascii="Arial" w:eastAsia="Times New Roman" w:hAnsi="Arial" w:cs="DINOT-Light"/>
                <w:color w:val="000000"/>
                <w:sz w:val="18"/>
                <w:szCs w:val="18"/>
              </w:rPr>
              <w:t>Loraine Woodhouse</w:t>
            </w:r>
          </w:p>
        </w:tc>
        <w:tc>
          <w:tcPr>
            <w:tcW w:w="590" w:type="dxa"/>
          </w:tcPr>
          <w:p w14:paraId="34458B49" w14:textId="7AE94510" w:rsidR="00101D81" w:rsidRPr="00735726" w:rsidRDefault="00101D81" w:rsidP="00B57B12">
            <w:pPr>
              <w:jc w:val="center"/>
              <w:rPr>
                <w:rFonts w:ascii="Arial" w:eastAsia="Times New Roman" w:hAnsi="Arial" w:cs="DINOT-Light"/>
                <w:color w:val="000000"/>
                <w:sz w:val="18"/>
                <w:szCs w:val="18"/>
                <w:vertAlign w:val="superscript"/>
              </w:rPr>
            </w:pPr>
            <w:r w:rsidRPr="00735726">
              <w:rPr>
                <w:rFonts w:ascii="Arial" w:eastAsia="Times New Roman" w:hAnsi="Arial" w:cs="DINOT-Light"/>
                <w:color w:val="000000"/>
                <w:sz w:val="18"/>
                <w:szCs w:val="18"/>
              </w:rPr>
              <w:t>Iain Evans</w:t>
            </w:r>
            <w:r w:rsidR="00326B87" w:rsidRPr="00735726">
              <w:rPr>
                <w:rFonts w:ascii="Arial" w:eastAsia="Times New Roman" w:hAnsi="Arial" w:cs="DINOT-Light"/>
                <w:color w:val="000000"/>
                <w:sz w:val="18"/>
                <w:szCs w:val="18"/>
                <w:vertAlign w:val="superscript"/>
              </w:rPr>
              <w:t>5</w:t>
            </w:r>
          </w:p>
        </w:tc>
      </w:tr>
      <w:tr w:rsidR="00101D81" w:rsidRPr="00735726" w14:paraId="740EA040" w14:textId="2BB8A007" w:rsidTr="00101D81">
        <w:trPr>
          <w:trHeight w:val="450"/>
        </w:trPr>
        <w:tc>
          <w:tcPr>
            <w:tcW w:w="1355" w:type="dxa"/>
          </w:tcPr>
          <w:p w14:paraId="59B24A21" w14:textId="77777777" w:rsidR="00101D81" w:rsidRPr="009A2CAE"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Attendance</w:t>
            </w:r>
          </w:p>
        </w:tc>
        <w:tc>
          <w:tcPr>
            <w:tcW w:w="635" w:type="dxa"/>
          </w:tcPr>
          <w:p w14:paraId="27D2BB8A" w14:textId="0BAECAEF"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w:t>
            </w:r>
          </w:p>
        </w:tc>
        <w:tc>
          <w:tcPr>
            <w:tcW w:w="752" w:type="dxa"/>
          </w:tcPr>
          <w:p w14:paraId="5A717805" w14:textId="28B1E769"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0/0</w:t>
            </w:r>
          </w:p>
        </w:tc>
        <w:tc>
          <w:tcPr>
            <w:tcW w:w="980" w:type="dxa"/>
          </w:tcPr>
          <w:p w14:paraId="4E163E51" w14:textId="7E55ED15"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w:t>
            </w:r>
          </w:p>
        </w:tc>
        <w:tc>
          <w:tcPr>
            <w:tcW w:w="854" w:type="dxa"/>
          </w:tcPr>
          <w:p w14:paraId="466195D9" w14:textId="6D3A989B"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4/4</w:t>
            </w:r>
          </w:p>
        </w:tc>
        <w:tc>
          <w:tcPr>
            <w:tcW w:w="735" w:type="dxa"/>
            <w:gridSpan w:val="2"/>
          </w:tcPr>
          <w:p w14:paraId="28BE794E" w14:textId="6354F9BE"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w:t>
            </w:r>
          </w:p>
        </w:tc>
        <w:tc>
          <w:tcPr>
            <w:tcW w:w="825" w:type="dxa"/>
          </w:tcPr>
          <w:p w14:paraId="2E406626" w14:textId="30A9F1D9"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w:t>
            </w:r>
          </w:p>
        </w:tc>
        <w:tc>
          <w:tcPr>
            <w:tcW w:w="807" w:type="dxa"/>
            <w:gridSpan w:val="3"/>
          </w:tcPr>
          <w:p w14:paraId="779B9E36" w14:textId="2FB08DC6"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w:t>
            </w:r>
          </w:p>
        </w:tc>
        <w:tc>
          <w:tcPr>
            <w:tcW w:w="1035" w:type="dxa"/>
          </w:tcPr>
          <w:p w14:paraId="281178BA" w14:textId="77777777" w:rsidR="00101D81" w:rsidRPr="00735726" w:rsidRDefault="00101D81"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w:t>
            </w:r>
          </w:p>
        </w:tc>
        <w:tc>
          <w:tcPr>
            <w:tcW w:w="1094" w:type="dxa"/>
          </w:tcPr>
          <w:p w14:paraId="41513BD5" w14:textId="5D39907D"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w:t>
            </w:r>
          </w:p>
        </w:tc>
        <w:tc>
          <w:tcPr>
            <w:tcW w:w="590" w:type="dxa"/>
          </w:tcPr>
          <w:p w14:paraId="6471200F" w14:textId="0320C06B"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w:t>
            </w:r>
          </w:p>
        </w:tc>
      </w:tr>
      <w:tr w:rsidR="00101D81" w:rsidRPr="00735726" w14:paraId="15F3DBC9" w14:textId="7F004AB0" w:rsidTr="00101D81">
        <w:trPr>
          <w:trHeight w:val="467"/>
        </w:trPr>
        <w:tc>
          <w:tcPr>
            <w:tcW w:w="1355" w:type="dxa"/>
            <w:tcBorders>
              <w:top w:val="nil"/>
              <w:left w:val="nil"/>
              <w:bottom w:val="single" w:sz="6" w:space="0" w:color="auto"/>
              <w:right w:val="nil"/>
            </w:tcBorders>
            <w:hideMark/>
          </w:tcPr>
          <w:p w14:paraId="7026BA26" w14:textId="742C2C50" w:rsidR="00101D81" w:rsidRPr="00735726" w:rsidRDefault="00101D81" w:rsidP="00B57B12">
            <w:pP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 xml:space="preserve">Board skill  </w:t>
            </w:r>
          </w:p>
        </w:tc>
        <w:tc>
          <w:tcPr>
            <w:tcW w:w="635" w:type="dxa"/>
            <w:tcBorders>
              <w:top w:val="nil"/>
              <w:left w:val="nil"/>
              <w:bottom w:val="single" w:sz="6" w:space="0" w:color="auto"/>
              <w:right w:val="nil"/>
            </w:tcBorders>
          </w:tcPr>
          <w:p w14:paraId="18C02A3C" w14:textId="77777777" w:rsidR="00101D81" w:rsidRPr="009A2CAE" w:rsidRDefault="00101D81" w:rsidP="00B57B12">
            <w:pPr>
              <w:jc w:val="center"/>
              <w:rPr>
                <w:rFonts w:ascii="Arial" w:eastAsia="Times New Roman" w:hAnsi="Arial" w:cs="DINOT-Light"/>
                <w:color w:val="000000"/>
                <w:sz w:val="18"/>
                <w:szCs w:val="18"/>
              </w:rPr>
            </w:pPr>
          </w:p>
        </w:tc>
        <w:tc>
          <w:tcPr>
            <w:tcW w:w="752" w:type="dxa"/>
            <w:tcBorders>
              <w:top w:val="nil"/>
              <w:left w:val="nil"/>
              <w:bottom w:val="single" w:sz="6" w:space="0" w:color="auto"/>
              <w:right w:val="nil"/>
            </w:tcBorders>
          </w:tcPr>
          <w:p w14:paraId="1F20FEF7" w14:textId="681DA23A" w:rsidR="00101D81" w:rsidRPr="009A2CAE" w:rsidRDefault="00101D81" w:rsidP="00B57B12">
            <w:pPr>
              <w:jc w:val="center"/>
              <w:rPr>
                <w:rFonts w:ascii="Arial" w:eastAsia="Times New Roman" w:hAnsi="Arial" w:cs="DINOT-Light"/>
                <w:color w:val="000000"/>
                <w:sz w:val="18"/>
                <w:szCs w:val="18"/>
              </w:rPr>
            </w:pPr>
          </w:p>
        </w:tc>
        <w:tc>
          <w:tcPr>
            <w:tcW w:w="980" w:type="dxa"/>
            <w:tcBorders>
              <w:top w:val="nil"/>
              <w:left w:val="nil"/>
              <w:bottom w:val="single" w:sz="6" w:space="0" w:color="auto"/>
              <w:right w:val="nil"/>
            </w:tcBorders>
          </w:tcPr>
          <w:p w14:paraId="4FE201ED" w14:textId="77777777" w:rsidR="00101D81" w:rsidRPr="009A2CAE" w:rsidRDefault="00101D81" w:rsidP="00B57B12">
            <w:pPr>
              <w:jc w:val="center"/>
              <w:rPr>
                <w:rFonts w:ascii="Arial" w:eastAsia="Times New Roman" w:hAnsi="Arial" w:cs="DINOT-Light"/>
                <w:color w:val="000000"/>
                <w:sz w:val="18"/>
                <w:szCs w:val="18"/>
              </w:rPr>
            </w:pPr>
          </w:p>
        </w:tc>
        <w:tc>
          <w:tcPr>
            <w:tcW w:w="854" w:type="dxa"/>
            <w:tcBorders>
              <w:top w:val="nil"/>
              <w:left w:val="nil"/>
              <w:bottom w:val="single" w:sz="6" w:space="0" w:color="auto"/>
              <w:right w:val="nil"/>
            </w:tcBorders>
          </w:tcPr>
          <w:p w14:paraId="2C70C3C8" w14:textId="77777777" w:rsidR="00101D81" w:rsidRPr="009A2CAE" w:rsidRDefault="00101D81" w:rsidP="00B57B12">
            <w:pPr>
              <w:jc w:val="center"/>
              <w:rPr>
                <w:rFonts w:ascii="Arial" w:eastAsia="Times New Roman" w:hAnsi="Arial" w:cs="DINOT-Light"/>
                <w:color w:val="000000"/>
                <w:sz w:val="18"/>
                <w:szCs w:val="18"/>
              </w:rPr>
            </w:pPr>
          </w:p>
        </w:tc>
        <w:tc>
          <w:tcPr>
            <w:tcW w:w="735" w:type="dxa"/>
            <w:gridSpan w:val="2"/>
            <w:tcBorders>
              <w:top w:val="nil"/>
              <w:left w:val="nil"/>
              <w:bottom w:val="single" w:sz="6" w:space="0" w:color="auto"/>
              <w:right w:val="nil"/>
            </w:tcBorders>
          </w:tcPr>
          <w:p w14:paraId="7D138B98" w14:textId="77777777" w:rsidR="00101D81" w:rsidRPr="009A2CAE" w:rsidRDefault="00101D81" w:rsidP="00B57B12">
            <w:pPr>
              <w:jc w:val="center"/>
              <w:rPr>
                <w:rFonts w:ascii="Arial" w:eastAsia="Times New Roman" w:hAnsi="Arial" w:cs="DINOT-Light"/>
                <w:color w:val="000000"/>
                <w:sz w:val="18"/>
                <w:szCs w:val="18"/>
              </w:rPr>
            </w:pPr>
          </w:p>
        </w:tc>
        <w:tc>
          <w:tcPr>
            <w:tcW w:w="825" w:type="dxa"/>
            <w:tcBorders>
              <w:top w:val="nil"/>
              <w:left w:val="nil"/>
              <w:bottom w:val="single" w:sz="6" w:space="0" w:color="auto"/>
              <w:right w:val="nil"/>
            </w:tcBorders>
          </w:tcPr>
          <w:p w14:paraId="71DF5268" w14:textId="77777777" w:rsidR="00101D81" w:rsidRPr="009A2CAE" w:rsidRDefault="00101D81" w:rsidP="00B57B12">
            <w:pPr>
              <w:jc w:val="center"/>
              <w:rPr>
                <w:rFonts w:ascii="Arial" w:eastAsia="Times New Roman" w:hAnsi="Arial" w:cs="DINOT-Light"/>
                <w:color w:val="000000"/>
                <w:sz w:val="18"/>
                <w:szCs w:val="18"/>
              </w:rPr>
            </w:pPr>
          </w:p>
        </w:tc>
        <w:tc>
          <w:tcPr>
            <w:tcW w:w="807" w:type="dxa"/>
            <w:gridSpan w:val="3"/>
            <w:tcBorders>
              <w:top w:val="nil"/>
              <w:left w:val="nil"/>
              <w:bottom w:val="single" w:sz="6" w:space="0" w:color="auto"/>
              <w:right w:val="nil"/>
            </w:tcBorders>
          </w:tcPr>
          <w:p w14:paraId="1F695A4B" w14:textId="77777777" w:rsidR="00101D81" w:rsidRPr="009A2CAE" w:rsidRDefault="00101D81" w:rsidP="00B57B12">
            <w:pPr>
              <w:jc w:val="center"/>
              <w:rPr>
                <w:rFonts w:ascii="Arial" w:eastAsia="Times New Roman" w:hAnsi="Arial" w:cs="DINOT-Light"/>
                <w:color w:val="000000"/>
                <w:sz w:val="18"/>
                <w:szCs w:val="18"/>
              </w:rPr>
            </w:pPr>
          </w:p>
        </w:tc>
        <w:tc>
          <w:tcPr>
            <w:tcW w:w="1035" w:type="dxa"/>
            <w:tcBorders>
              <w:top w:val="nil"/>
              <w:left w:val="nil"/>
              <w:bottom w:val="single" w:sz="6" w:space="0" w:color="auto"/>
              <w:right w:val="nil"/>
            </w:tcBorders>
          </w:tcPr>
          <w:p w14:paraId="27B9A220" w14:textId="77777777" w:rsidR="00101D81" w:rsidRPr="009A2CAE" w:rsidRDefault="00101D81" w:rsidP="00B57B12">
            <w:pPr>
              <w:jc w:val="center"/>
              <w:rPr>
                <w:rFonts w:ascii="Arial" w:eastAsia="Times New Roman" w:hAnsi="Arial" w:cs="DINOT-Light"/>
                <w:color w:val="000000"/>
                <w:sz w:val="18"/>
                <w:szCs w:val="18"/>
              </w:rPr>
            </w:pPr>
          </w:p>
        </w:tc>
        <w:tc>
          <w:tcPr>
            <w:tcW w:w="1094" w:type="dxa"/>
            <w:tcBorders>
              <w:top w:val="nil"/>
              <w:left w:val="nil"/>
              <w:bottom w:val="single" w:sz="6" w:space="0" w:color="auto"/>
              <w:right w:val="nil"/>
            </w:tcBorders>
          </w:tcPr>
          <w:p w14:paraId="178D65EB" w14:textId="77777777" w:rsidR="00101D81" w:rsidRPr="009A2CAE" w:rsidRDefault="00101D81" w:rsidP="00B57B12">
            <w:pPr>
              <w:jc w:val="center"/>
              <w:rPr>
                <w:rFonts w:ascii="Arial" w:eastAsia="Times New Roman" w:hAnsi="Arial" w:cs="DINOT-Light"/>
                <w:color w:val="000000"/>
                <w:sz w:val="18"/>
                <w:szCs w:val="18"/>
              </w:rPr>
            </w:pPr>
          </w:p>
        </w:tc>
        <w:tc>
          <w:tcPr>
            <w:tcW w:w="590" w:type="dxa"/>
            <w:tcBorders>
              <w:top w:val="nil"/>
              <w:left w:val="nil"/>
              <w:bottom w:val="single" w:sz="6" w:space="0" w:color="auto"/>
              <w:right w:val="nil"/>
            </w:tcBorders>
          </w:tcPr>
          <w:p w14:paraId="268B9601" w14:textId="77777777" w:rsidR="00101D81" w:rsidRPr="009A2CAE" w:rsidRDefault="00101D81" w:rsidP="00B57B12">
            <w:pPr>
              <w:jc w:val="center"/>
              <w:rPr>
                <w:rFonts w:ascii="Arial" w:eastAsia="Times New Roman" w:hAnsi="Arial" w:cs="DINOT-Light"/>
                <w:color w:val="000000"/>
                <w:sz w:val="18"/>
                <w:szCs w:val="18"/>
              </w:rPr>
            </w:pPr>
          </w:p>
        </w:tc>
      </w:tr>
      <w:tr w:rsidR="00101D81" w:rsidRPr="00735726" w14:paraId="4F566599" w14:textId="731D809A" w:rsidTr="00101D81">
        <w:trPr>
          <w:trHeight w:val="450"/>
        </w:trPr>
        <w:tc>
          <w:tcPr>
            <w:tcW w:w="1355" w:type="dxa"/>
            <w:tcBorders>
              <w:top w:val="nil"/>
              <w:left w:val="nil"/>
              <w:bottom w:val="single" w:sz="6" w:space="0" w:color="auto"/>
              <w:right w:val="nil"/>
            </w:tcBorders>
            <w:hideMark/>
          </w:tcPr>
          <w:p w14:paraId="12214C01" w14:textId="77777777"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Water sector</w:t>
            </w:r>
          </w:p>
        </w:tc>
        <w:tc>
          <w:tcPr>
            <w:tcW w:w="635" w:type="dxa"/>
            <w:tcBorders>
              <w:top w:val="nil"/>
              <w:left w:val="nil"/>
              <w:bottom w:val="single" w:sz="6" w:space="0" w:color="auto"/>
              <w:right w:val="nil"/>
            </w:tcBorders>
          </w:tcPr>
          <w:p w14:paraId="226D893F" w14:textId="654C5CFE" w:rsidR="00101D81" w:rsidRPr="00735726" w:rsidRDefault="00101D81" w:rsidP="00B57B12">
            <w:pPr>
              <w:jc w:val="center"/>
              <w:rPr>
                <w:rFonts w:ascii="Arial" w:eastAsia="Times New Roman" w:hAnsi="Arial" w:cs="DINOT-Light"/>
                <w:color w:val="000000"/>
                <w:sz w:val="18"/>
                <w:szCs w:val="18"/>
              </w:rPr>
            </w:pPr>
          </w:p>
        </w:tc>
        <w:tc>
          <w:tcPr>
            <w:tcW w:w="752" w:type="dxa"/>
            <w:tcBorders>
              <w:top w:val="nil"/>
              <w:left w:val="nil"/>
              <w:bottom w:val="single" w:sz="6" w:space="0" w:color="auto"/>
              <w:right w:val="nil"/>
            </w:tcBorders>
          </w:tcPr>
          <w:p w14:paraId="5F370948" w14:textId="6ECD75B6"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5D6BEF5D" w14:textId="5B29CBD0"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10CAA552" w14:textId="6D7CDEC6"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4934E8CB" w14:textId="77777777" w:rsidR="00101D81" w:rsidRPr="00735726" w:rsidRDefault="00101D81" w:rsidP="00B57B12">
            <w:pPr>
              <w:jc w:val="center"/>
              <w:rPr>
                <w:rFonts w:ascii="Arial" w:eastAsia="Times New Roman" w:hAnsi="Arial" w:cs="DINOT-Light"/>
                <w:color w:val="000000"/>
                <w:sz w:val="18"/>
                <w:szCs w:val="18"/>
              </w:rPr>
            </w:pPr>
          </w:p>
        </w:tc>
        <w:tc>
          <w:tcPr>
            <w:tcW w:w="825" w:type="dxa"/>
            <w:tcBorders>
              <w:top w:val="nil"/>
              <w:left w:val="nil"/>
              <w:bottom w:val="single" w:sz="6" w:space="0" w:color="auto"/>
              <w:right w:val="nil"/>
            </w:tcBorders>
          </w:tcPr>
          <w:p w14:paraId="0DD3A1D2" w14:textId="77777777" w:rsidR="00101D81" w:rsidRPr="00735726" w:rsidRDefault="00101D81" w:rsidP="00B57B12">
            <w:pPr>
              <w:jc w:val="center"/>
              <w:rPr>
                <w:rFonts w:ascii="Arial" w:eastAsia="Times New Roman" w:hAnsi="Arial" w:cs="DINOT-Light"/>
                <w:color w:val="000000"/>
                <w:sz w:val="18"/>
                <w:szCs w:val="18"/>
              </w:rPr>
            </w:pPr>
          </w:p>
        </w:tc>
        <w:tc>
          <w:tcPr>
            <w:tcW w:w="807" w:type="dxa"/>
            <w:gridSpan w:val="3"/>
            <w:tcBorders>
              <w:top w:val="nil"/>
              <w:left w:val="nil"/>
              <w:bottom w:val="single" w:sz="6" w:space="0" w:color="auto"/>
              <w:right w:val="nil"/>
            </w:tcBorders>
          </w:tcPr>
          <w:p w14:paraId="0AF3A240" w14:textId="77777777" w:rsidR="00101D81" w:rsidRPr="00735726" w:rsidRDefault="00101D81" w:rsidP="00B57B12">
            <w:pPr>
              <w:jc w:val="center"/>
              <w:rPr>
                <w:rFonts w:ascii="Arial" w:eastAsia="Times New Roman" w:hAnsi="Arial" w:cs="DINOT-Light"/>
                <w:color w:val="000000"/>
                <w:sz w:val="18"/>
                <w:szCs w:val="18"/>
              </w:rPr>
            </w:pPr>
          </w:p>
        </w:tc>
        <w:tc>
          <w:tcPr>
            <w:tcW w:w="1035" w:type="dxa"/>
            <w:tcBorders>
              <w:top w:val="nil"/>
              <w:left w:val="nil"/>
              <w:bottom w:val="single" w:sz="6" w:space="0" w:color="auto"/>
              <w:right w:val="nil"/>
            </w:tcBorders>
          </w:tcPr>
          <w:p w14:paraId="3FA42420" w14:textId="587A409F" w:rsidR="00101D81" w:rsidRPr="00735726" w:rsidRDefault="00101D81" w:rsidP="00B57B12">
            <w:pPr>
              <w:jc w:val="center"/>
              <w:rPr>
                <w:rFonts w:ascii="Arial" w:eastAsia="Times New Roman" w:hAnsi="Arial" w:cs="DINOT-Light"/>
                <w:color w:val="000000"/>
                <w:sz w:val="18"/>
                <w:szCs w:val="18"/>
              </w:rPr>
            </w:pPr>
          </w:p>
        </w:tc>
        <w:tc>
          <w:tcPr>
            <w:tcW w:w="1094" w:type="dxa"/>
            <w:tcBorders>
              <w:top w:val="nil"/>
              <w:left w:val="nil"/>
              <w:bottom w:val="single" w:sz="6" w:space="0" w:color="auto"/>
              <w:right w:val="nil"/>
            </w:tcBorders>
          </w:tcPr>
          <w:p w14:paraId="170AC648" w14:textId="18AA4DE0" w:rsidR="00101D81" w:rsidRPr="00735726" w:rsidRDefault="00101D81" w:rsidP="00B57B12">
            <w:pPr>
              <w:jc w:val="center"/>
              <w:rPr>
                <w:rFonts w:ascii="Arial" w:eastAsia="Times New Roman" w:hAnsi="Arial" w:cs="DINOT-Light"/>
                <w:color w:val="000000"/>
                <w:sz w:val="18"/>
                <w:szCs w:val="18"/>
              </w:rPr>
            </w:pPr>
          </w:p>
        </w:tc>
        <w:tc>
          <w:tcPr>
            <w:tcW w:w="590" w:type="dxa"/>
            <w:tcBorders>
              <w:top w:val="nil"/>
              <w:left w:val="nil"/>
              <w:bottom w:val="single" w:sz="6" w:space="0" w:color="auto"/>
              <w:right w:val="nil"/>
            </w:tcBorders>
          </w:tcPr>
          <w:p w14:paraId="136565CA" w14:textId="6A7B4791"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r>
      <w:tr w:rsidR="00101D81" w:rsidRPr="00735726" w14:paraId="4B24D8E7" w14:textId="77A4D774" w:rsidTr="00101D81">
        <w:trPr>
          <w:trHeight w:val="450"/>
        </w:trPr>
        <w:tc>
          <w:tcPr>
            <w:tcW w:w="1355" w:type="dxa"/>
            <w:tcBorders>
              <w:top w:val="nil"/>
              <w:left w:val="nil"/>
              <w:bottom w:val="single" w:sz="6" w:space="0" w:color="auto"/>
              <w:right w:val="nil"/>
            </w:tcBorders>
            <w:hideMark/>
          </w:tcPr>
          <w:p w14:paraId="408475F3" w14:textId="77777777"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Regulation</w:t>
            </w:r>
          </w:p>
        </w:tc>
        <w:tc>
          <w:tcPr>
            <w:tcW w:w="635" w:type="dxa"/>
            <w:tcBorders>
              <w:top w:val="nil"/>
              <w:left w:val="nil"/>
              <w:bottom w:val="single" w:sz="6" w:space="0" w:color="auto"/>
              <w:right w:val="nil"/>
            </w:tcBorders>
          </w:tcPr>
          <w:p w14:paraId="34ADBD2D" w14:textId="5B2E11BC"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52" w:type="dxa"/>
            <w:tcBorders>
              <w:top w:val="nil"/>
              <w:left w:val="nil"/>
              <w:bottom w:val="single" w:sz="6" w:space="0" w:color="auto"/>
              <w:right w:val="nil"/>
            </w:tcBorders>
          </w:tcPr>
          <w:p w14:paraId="083F2F48" w14:textId="116B2E58"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7B059F04" w14:textId="57DD9FAA"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21B24FB2" w14:textId="6C431159"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50A8213A" w14:textId="63FD864E"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5D0F856F" w14:textId="10164BA9"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07" w:type="dxa"/>
            <w:gridSpan w:val="3"/>
            <w:tcBorders>
              <w:top w:val="nil"/>
              <w:left w:val="nil"/>
              <w:bottom w:val="single" w:sz="6" w:space="0" w:color="auto"/>
              <w:right w:val="nil"/>
            </w:tcBorders>
          </w:tcPr>
          <w:p w14:paraId="377EEB96" w14:textId="42614665"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35" w:type="dxa"/>
            <w:tcBorders>
              <w:top w:val="nil"/>
              <w:left w:val="nil"/>
              <w:bottom w:val="single" w:sz="6" w:space="0" w:color="auto"/>
              <w:right w:val="nil"/>
            </w:tcBorders>
          </w:tcPr>
          <w:p w14:paraId="1B20A16D" w14:textId="28D66CC8"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94" w:type="dxa"/>
            <w:tcBorders>
              <w:top w:val="nil"/>
              <w:left w:val="nil"/>
              <w:bottom w:val="single" w:sz="6" w:space="0" w:color="auto"/>
              <w:right w:val="nil"/>
            </w:tcBorders>
          </w:tcPr>
          <w:p w14:paraId="4DDD9476" w14:textId="4517F133"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590" w:type="dxa"/>
            <w:tcBorders>
              <w:top w:val="nil"/>
              <w:left w:val="nil"/>
              <w:bottom w:val="single" w:sz="6" w:space="0" w:color="auto"/>
              <w:right w:val="nil"/>
            </w:tcBorders>
          </w:tcPr>
          <w:p w14:paraId="48953FBE" w14:textId="428D0260"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r>
      <w:tr w:rsidR="00101D81" w:rsidRPr="00735726" w14:paraId="2A693DFF" w14:textId="02EE9545" w:rsidTr="00101D81">
        <w:trPr>
          <w:trHeight w:val="701"/>
        </w:trPr>
        <w:tc>
          <w:tcPr>
            <w:tcW w:w="1355" w:type="dxa"/>
            <w:tcBorders>
              <w:top w:val="nil"/>
              <w:left w:val="nil"/>
              <w:bottom w:val="single" w:sz="6" w:space="0" w:color="auto"/>
              <w:right w:val="nil"/>
            </w:tcBorders>
            <w:hideMark/>
          </w:tcPr>
          <w:p w14:paraId="5FA1F00E" w14:textId="2FAE315A"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Finance and accounting</w:t>
            </w:r>
          </w:p>
        </w:tc>
        <w:tc>
          <w:tcPr>
            <w:tcW w:w="635" w:type="dxa"/>
            <w:tcBorders>
              <w:top w:val="nil"/>
              <w:left w:val="nil"/>
              <w:bottom w:val="single" w:sz="6" w:space="0" w:color="auto"/>
              <w:right w:val="nil"/>
            </w:tcBorders>
          </w:tcPr>
          <w:p w14:paraId="628336A1" w14:textId="36A0F657"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52" w:type="dxa"/>
            <w:tcBorders>
              <w:top w:val="nil"/>
              <w:left w:val="nil"/>
              <w:bottom w:val="single" w:sz="6" w:space="0" w:color="auto"/>
              <w:right w:val="nil"/>
            </w:tcBorders>
          </w:tcPr>
          <w:p w14:paraId="5ED3ADC1" w14:textId="58173CCC"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79BDBB32" w14:textId="0E844C1C"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7EC3778E" w14:textId="0468742A"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2BCE6F4F" w14:textId="363D2642"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2990F2C2" w14:textId="62F171E3"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07" w:type="dxa"/>
            <w:gridSpan w:val="3"/>
            <w:tcBorders>
              <w:top w:val="nil"/>
              <w:left w:val="nil"/>
              <w:bottom w:val="single" w:sz="6" w:space="0" w:color="auto"/>
              <w:right w:val="nil"/>
            </w:tcBorders>
          </w:tcPr>
          <w:p w14:paraId="38BDB3C6" w14:textId="63AB0F58"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35" w:type="dxa"/>
            <w:tcBorders>
              <w:top w:val="nil"/>
              <w:left w:val="nil"/>
              <w:bottom w:val="single" w:sz="6" w:space="0" w:color="auto"/>
              <w:right w:val="nil"/>
            </w:tcBorders>
          </w:tcPr>
          <w:p w14:paraId="60A68EB7" w14:textId="187F73DE" w:rsidR="00101D81" w:rsidRPr="00735726" w:rsidRDefault="00101D81" w:rsidP="00B57B12">
            <w:pPr>
              <w:jc w:val="center"/>
              <w:rPr>
                <w:rFonts w:ascii="Arial" w:eastAsia="Times New Roman" w:hAnsi="Arial" w:cs="DINOT-Light"/>
                <w:color w:val="000000"/>
                <w:sz w:val="18"/>
                <w:szCs w:val="18"/>
              </w:rPr>
            </w:pPr>
          </w:p>
        </w:tc>
        <w:tc>
          <w:tcPr>
            <w:tcW w:w="1094" w:type="dxa"/>
            <w:tcBorders>
              <w:top w:val="nil"/>
              <w:left w:val="nil"/>
              <w:bottom w:val="single" w:sz="6" w:space="0" w:color="auto"/>
              <w:right w:val="nil"/>
            </w:tcBorders>
          </w:tcPr>
          <w:p w14:paraId="70BDEFE0" w14:textId="0E3ED887"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590" w:type="dxa"/>
            <w:tcBorders>
              <w:top w:val="nil"/>
              <w:left w:val="nil"/>
              <w:bottom w:val="single" w:sz="6" w:space="0" w:color="auto"/>
              <w:right w:val="nil"/>
            </w:tcBorders>
          </w:tcPr>
          <w:p w14:paraId="41A845B5" w14:textId="6C8CCA36" w:rsidR="00101D81" w:rsidRPr="00735726" w:rsidRDefault="00101D81" w:rsidP="00B57B12">
            <w:pPr>
              <w:jc w:val="center"/>
              <w:rPr>
                <w:rFonts w:ascii="Arial" w:eastAsia="Times New Roman" w:hAnsi="Arial" w:cs="DINOT-Light"/>
                <w:color w:val="000000"/>
                <w:sz w:val="18"/>
                <w:szCs w:val="18"/>
              </w:rPr>
            </w:pPr>
          </w:p>
        </w:tc>
      </w:tr>
      <w:tr w:rsidR="00326B87" w:rsidRPr="00735726" w14:paraId="23FEA39E" w14:textId="7A9DE1AD" w:rsidTr="00101D81">
        <w:trPr>
          <w:trHeight w:val="467"/>
        </w:trPr>
        <w:tc>
          <w:tcPr>
            <w:tcW w:w="1355" w:type="dxa"/>
            <w:tcBorders>
              <w:top w:val="nil"/>
              <w:left w:val="nil"/>
              <w:bottom w:val="single" w:sz="6" w:space="0" w:color="auto"/>
              <w:right w:val="nil"/>
            </w:tcBorders>
            <w:hideMark/>
          </w:tcPr>
          <w:p w14:paraId="227C28FE" w14:textId="77777777" w:rsidR="00326B87" w:rsidRPr="00735726" w:rsidRDefault="00326B87" w:rsidP="00326B87">
            <w:pPr>
              <w:rPr>
                <w:rFonts w:ascii="Arial" w:eastAsia="Times New Roman" w:hAnsi="Arial" w:cs="DINOT-Light"/>
                <w:color w:val="000000"/>
                <w:sz w:val="18"/>
                <w:szCs w:val="18"/>
              </w:rPr>
            </w:pPr>
            <w:r w:rsidRPr="00735726">
              <w:rPr>
                <w:rFonts w:ascii="Arial" w:eastAsia="Times New Roman" w:hAnsi="Arial" w:cs="DINOT-Light"/>
                <w:color w:val="000000"/>
                <w:sz w:val="18"/>
                <w:szCs w:val="18"/>
              </w:rPr>
              <w:t>Strategy</w:t>
            </w:r>
          </w:p>
        </w:tc>
        <w:tc>
          <w:tcPr>
            <w:tcW w:w="635" w:type="dxa"/>
            <w:tcBorders>
              <w:top w:val="nil"/>
              <w:left w:val="nil"/>
              <w:bottom w:val="single" w:sz="6" w:space="0" w:color="auto"/>
              <w:right w:val="nil"/>
            </w:tcBorders>
          </w:tcPr>
          <w:p w14:paraId="103D6B72" w14:textId="69B95BE4"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52" w:type="dxa"/>
            <w:tcBorders>
              <w:top w:val="nil"/>
              <w:left w:val="nil"/>
              <w:bottom w:val="single" w:sz="6" w:space="0" w:color="auto"/>
              <w:right w:val="nil"/>
            </w:tcBorders>
          </w:tcPr>
          <w:p w14:paraId="1F4FBFB8" w14:textId="07073072"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517ABE60" w14:textId="39DA2722"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6CE63C1E" w14:textId="011C1328"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579D4388" w14:textId="2D1783CE"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4734A354" w14:textId="7A2837FF"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07" w:type="dxa"/>
            <w:gridSpan w:val="3"/>
            <w:tcBorders>
              <w:top w:val="nil"/>
              <w:left w:val="nil"/>
              <w:bottom w:val="single" w:sz="6" w:space="0" w:color="auto"/>
              <w:right w:val="nil"/>
            </w:tcBorders>
          </w:tcPr>
          <w:p w14:paraId="496AAF12" w14:textId="73F925E3"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35" w:type="dxa"/>
            <w:tcBorders>
              <w:top w:val="nil"/>
              <w:left w:val="nil"/>
              <w:bottom w:val="single" w:sz="6" w:space="0" w:color="auto"/>
              <w:right w:val="nil"/>
            </w:tcBorders>
          </w:tcPr>
          <w:p w14:paraId="1CCB326A" w14:textId="382F5B71"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94" w:type="dxa"/>
            <w:tcBorders>
              <w:top w:val="nil"/>
              <w:left w:val="nil"/>
              <w:bottom w:val="single" w:sz="6" w:space="0" w:color="auto"/>
              <w:right w:val="nil"/>
            </w:tcBorders>
          </w:tcPr>
          <w:p w14:paraId="3A59BD10" w14:textId="0BD3E023"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590" w:type="dxa"/>
            <w:tcBorders>
              <w:top w:val="nil"/>
              <w:left w:val="nil"/>
              <w:bottom w:val="single" w:sz="6" w:space="0" w:color="auto"/>
              <w:right w:val="nil"/>
            </w:tcBorders>
          </w:tcPr>
          <w:p w14:paraId="1FB6DD44" w14:textId="5A4A4946"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r>
      <w:tr w:rsidR="00326B87" w:rsidRPr="00735726" w14:paraId="6703712C" w14:textId="71A79B29" w:rsidTr="00101D81">
        <w:trPr>
          <w:trHeight w:val="450"/>
        </w:trPr>
        <w:tc>
          <w:tcPr>
            <w:tcW w:w="1355" w:type="dxa"/>
            <w:tcBorders>
              <w:top w:val="nil"/>
              <w:left w:val="nil"/>
              <w:bottom w:val="single" w:sz="6" w:space="0" w:color="auto"/>
              <w:right w:val="nil"/>
            </w:tcBorders>
            <w:hideMark/>
          </w:tcPr>
          <w:p w14:paraId="7AD7A00A" w14:textId="77777777" w:rsidR="00326B87" w:rsidRPr="00735726" w:rsidRDefault="00326B87" w:rsidP="00326B87">
            <w:pPr>
              <w:rPr>
                <w:rFonts w:ascii="Arial" w:eastAsia="Times New Roman" w:hAnsi="Arial" w:cs="DINOT-Light"/>
                <w:color w:val="000000"/>
                <w:sz w:val="18"/>
                <w:szCs w:val="18"/>
              </w:rPr>
            </w:pPr>
            <w:r w:rsidRPr="00735726">
              <w:rPr>
                <w:rFonts w:ascii="Arial" w:eastAsia="Times New Roman" w:hAnsi="Arial" w:cs="DINOT-Light"/>
                <w:color w:val="000000"/>
                <w:sz w:val="18"/>
                <w:szCs w:val="18"/>
              </w:rPr>
              <w:t>Transformation</w:t>
            </w:r>
          </w:p>
        </w:tc>
        <w:tc>
          <w:tcPr>
            <w:tcW w:w="635" w:type="dxa"/>
            <w:tcBorders>
              <w:top w:val="nil"/>
              <w:left w:val="nil"/>
              <w:bottom w:val="single" w:sz="6" w:space="0" w:color="auto"/>
              <w:right w:val="nil"/>
            </w:tcBorders>
          </w:tcPr>
          <w:p w14:paraId="3D238FF3" w14:textId="6EE9E2DC"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52" w:type="dxa"/>
            <w:tcBorders>
              <w:top w:val="nil"/>
              <w:left w:val="nil"/>
              <w:bottom w:val="single" w:sz="6" w:space="0" w:color="auto"/>
              <w:right w:val="nil"/>
            </w:tcBorders>
          </w:tcPr>
          <w:p w14:paraId="185641E9" w14:textId="1DB1095C"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402B38F3" w14:textId="2BC0D694"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553489AF" w14:textId="1FF4C289"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5B92DC62" w14:textId="0BD7C249"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2C1D8554" w14:textId="6F452D0E"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07" w:type="dxa"/>
            <w:gridSpan w:val="3"/>
            <w:tcBorders>
              <w:top w:val="nil"/>
              <w:left w:val="nil"/>
              <w:bottom w:val="single" w:sz="6" w:space="0" w:color="auto"/>
              <w:right w:val="nil"/>
            </w:tcBorders>
          </w:tcPr>
          <w:p w14:paraId="0390A64F" w14:textId="4BDE5750"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35" w:type="dxa"/>
            <w:tcBorders>
              <w:top w:val="nil"/>
              <w:left w:val="nil"/>
              <w:bottom w:val="single" w:sz="6" w:space="0" w:color="auto"/>
              <w:right w:val="nil"/>
            </w:tcBorders>
          </w:tcPr>
          <w:p w14:paraId="5F48E06A" w14:textId="2BC88130"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94" w:type="dxa"/>
            <w:tcBorders>
              <w:top w:val="nil"/>
              <w:left w:val="nil"/>
              <w:bottom w:val="single" w:sz="6" w:space="0" w:color="auto"/>
              <w:right w:val="nil"/>
            </w:tcBorders>
          </w:tcPr>
          <w:p w14:paraId="09D639CC" w14:textId="4610E235"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590" w:type="dxa"/>
            <w:tcBorders>
              <w:top w:val="nil"/>
              <w:left w:val="nil"/>
              <w:bottom w:val="single" w:sz="6" w:space="0" w:color="auto"/>
              <w:right w:val="nil"/>
            </w:tcBorders>
          </w:tcPr>
          <w:p w14:paraId="7A74012D" w14:textId="10C2E7F2"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r>
      <w:tr w:rsidR="00101D81" w:rsidRPr="00735726" w14:paraId="49DADC47" w14:textId="63D8FF73" w:rsidTr="00101D81">
        <w:trPr>
          <w:trHeight w:val="701"/>
        </w:trPr>
        <w:tc>
          <w:tcPr>
            <w:tcW w:w="1355" w:type="dxa"/>
            <w:tcBorders>
              <w:top w:val="nil"/>
              <w:left w:val="nil"/>
              <w:bottom w:val="single" w:sz="6" w:space="0" w:color="auto"/>
              <w:right w:val="nil"/>
            </w:tcBorders>
            <w:hideMark/>
          </w:tcPr>
          <w:p w14:paraId="0A19A21E" w14:textId="77777777"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Health, safety and wellbeing</w:t>
            </w:r>
          </w:p>
        </w:tc>
        <w:tc>
          <w:tcPr>
            <w:tcW w:w="635" w:type="dxa"/>
            <w:tcBorders>
              <w:top w:val="nil"/>
              <w:left w:val="nil"/>
              <w:bottom w:val="single" w:sz="6" w:space="0" w:color="auto"/>
              <w:right w:val="nil"/>
            </w:tcBorders>
          </w:tcPr>
          <w:p w14:paraId="146D196A" w14:textId="77777777" w:rsidR="00101D81" w:rsidRPr="00735726" w:rsidRDefault="00101D81" w:rsidP="00B57B12">
            <w:pPr>
              <w:jc w:val="center"/>
              <w:rPr>
                <w:rFonts w:ascii="Arial" w:eastAsia="Times New Roman" w:hAnsi="Arial" w:cs="DINOT-Light"/>
                <w:color w:val="000000"/>
                <w:sz w:val="18"/>
                <w:szCs w:val="18"/>
              </w:rPr>
            </w:pPr>
          </w:p>
        </w:tc>
        <w:tc>
          <w:tcPr>
            <w:tcW w:w="752" w:type="dxa"/>
            <w:tcBorders>
              <w:top w:val="nil"/>
              <w:left w:val="nil"/>
              <w:bottom w:val="single" w:sz="6" w:space="0" w:color="auto"/>
              <w:right w:val="nil"/>
            </w:tcBorders>
          </w:tcPr>
          <w:p w14:paraId="3874BA0C" w14:textId="5CCA7B63"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71121D39" w14:textId="5EEC6F96"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5EF7FCC1" w14:textId="2F81B98A"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6AA86B6D" w14:textId="1EB7BA20"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5A2E2357" w14:textId="77777777" w:rsidR="00101D81" w:rsidRPr="00735726" w:rsidRDefault="00101D81" w:rsidP="00B57B12">
            <w:pPr>
              <w:jc w:val="center"/>
              <w:rPr>
                <w:rFonts w:ascii="Arial" w:eastAsia="Times New Roman" w:hAnsi="Arial" w:cs="DINOT-Light"/>
                <w:color w:val="000000"/>
                <w:sz w:val="18"/>
                <w:szCs w:val="18"/>
              </w:rPr>
            </w:pPr>
          </w:p>
        </w:tc>
        <w:tc>
          <w:tcPr>
            <w:tcW w:w="807" w:type="dxa"/>
            <w:gridSpan w:val="3"/>
            <w:tcBorders>
              <w:top w:val="nil"/>
              <w:left w:val="nil"/>
              <w:bottom w:val="single" w:sz="6" w:space="0" w:color="auto"/>
              <w:right w:val="nil"/>
            </w:tcBorders>
          </w:tcPr>
          <w:p w14:paraId="370EAC47" w14:textId="77777777" w:rsidR="00101D81" w:rsidRPr="00735726" w:rsidRDefault="00101D81" w:rsidP="00B57B12">
            <w:pPr>
              <w:jc w:val="center"/>
              <w:rPr>
                <w:rFonts w:ascii="Arial" w:eastAsia="Times New Roman" w:hAnsi="Arial" w:cs="DINOT-Light"/>
                <w:color w:val="000000"/>
                <w:sz w:val="18"/>
                <w:szCs w:val="18"/>
              </w:rPr>
            </w:pPr>
          </w:p>
        </w:tc>
        <w:tc>
          <w:tcPr>
            <w:tcW w:w="1035" w:type="dxa"/>
            <w:tcBorders>
              <w:top w:val="nil"/>
              <w:left w:val="nil"/>
              <w:bottom w:val="single" w:sz="6" w:space="0" w:color="auto"/>
              <w:right w:val="nil"/>
            </w:tcBorders>
          </w:tcPr>
          <w:p w14:paraId="48F3FA4E" w14:textId="096C330C"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94" w:type="dxa"/>
            <w:tcBorders>
              <w:top w:val="nil"/>
              <w:left w:val="nil"/>
              <w:bottom w:val="single" w:sz="6" w:space="0" w:color="auto"/>
              <w:right w:val="nil"/>
            </w:tcBorders>
          </w:tcPr>
          <w:p w14:paraId="52D66C5C" w14:textId="72102A4F" w:rsidR="00101D81" w:rsidRPr="00735726" w:rsidRDefault="00101D81" w:rsidP="00B57B12">
            <w:pPr>
              <w:jc w:val="center"/>
              <w:rPr>
                <w:rFonts w:ascii="Arial" w:eastAsia="Times New Roman" w:hAnsi="Arial" w:cs="DINOT-Light"/>
                <w:color w:val="000000"/>
                <w:sz w:val="18"/>
                <w:szCs w:val="18"/>
              </w:rPr>
            </w:pPr>
          </w:p>
        </w:tc>
        <w:tc>
          <w:tcPr>
            <w:tcW w:w="590" w:type="dxa"/>
            <w:tcBorders>
              <w:top w:val="nil"/>
              <w:left w:val="nil"/>
              <w:bottom w:val="single" w:sz="6" w:space="0" w:color="auto"/>
              <w:right w:val="nil"/>
            </w:tcBorders>
          </w:tcPr>
          <w:p w14:paraId="0707E017" w14:textId="1814D3DB" w:rsidR="00101D81" w:rsidRPr="00735726" w:rsidRDefault="00101D81" w:rsidP="00B57B12">
            <w:pPr>
              <w:jc w:val="center"/>
              <w:rPr>
                <w:rFonts w:ascii="Arial" w:eastAsia="Times New Roman" w:hAnsi="Arial" w:cs="DINOT-Light"/>
                <w:color w:val="000000"/>
                <w:sz w:val="18"/>
                <w:szCs w:val="18"/>
              </w:rPr>
            </w:pPr>
          </w:p>
        </w:tc>
      </w:tr>
      <w:tr w:rsidR="00326B87" w:rsidRPr="00735726" w14:paraId="46448B3B" w14:textId="4ACFC929" w:rsidTr="00101D81">
        <w:trPr>
          <w:trHeight w:val="701"/>
        </w:trPr>
        <w:tc>
          <w:tcPr>
            <w:tcW w:w="1355" w:type="dxa"/>
            <w:tcBorders>
              <w:top w:val="nil"/>
              <w:left w:val="nil"/>
              <w:bottom w:val="single" w:sz="6" w:space="0" w:color="auto"/>
              <w:right w:val="nil"/>
            </w:tcBorders>
            <w:hideMark/>
          </w:tcPr>
          <w:p w14:paraId="6C416223" w14:textId="63D79EB5" w:rsidR="00326B87" w:rsidRPr="00735726" w:rsidRDefault="00326B87" w:rsidP="00326B87">
            <w:pPr>
              <w:rPr>
                <w:rFonts w:ascii="Arial" w:eastAsia="Times New Roman" w:hAnsi="Arial" w:cs="DINOT-Light"/>
                <w:color w:val="000000"/>
                <w:sz w:val="18"/>
                <w:szCs w:val="18"/>
              </w:rPr>
            </w:pPr>
            <w:r w:rsidRPr="00735726">
              <w:rPr>
                <w:rFonts w:ascii="Arial" w:eastAsia="Times New Roman" w:hAnsi="Arial" w:cs="DINOT-Light"/>
                <w:color w:val="000000"/>
                <w:sz w:val="18"/>
                <w:szCs w:val="18"/>
              </w:rPr>
              <w:t>ESG including climate change</w:t>
            </w:r>
          </w:p>
        </w:tc>
        <w:tc>
          <w:tcPr>
            <w:tcW w:w="635" w:type="dxa"/>
            <w:tcBorders>
              <w:top w:val="nil"/>
              <w:left w:val="nil"/>
              <w:bottom w:val="single" w:sz="6" w:space="0" w:color="auto"/>
              <w:right w:val="nil"/>
            </w:tcBorders>
          </w:tcPr>
          <w:p w14:paraId="235ECA75" w14:textId="016A6772"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52" w:type="dxa"/>
            <w:tcBorders>
              <w:top w:val="nil"/>
              <w:left w:val="nil"/>
              <w:bottom w:val="single" w:sz="6" w:space="0" w:color="auto"/>
              <w:right w:val="nil"/>
            </w:tcBorders>
          </w:tcPr>
          <w:p w14:paraId="0689BA28" w14:textId="6A0F2DE5"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6CB7473A" w14:textId="63608DD8"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4E346CD6" w14:textId="0A2E931B"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4C4035D1" w14:textId="37CE1B0C"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565D783A" w14:textId="78F06396"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07" w:type="dxa"/>
            <w:gridSpan w:val="3"/>
            <w:tcBorders>
              <w:top w:val="nil"/>
              <w:left w:val="nil"/>
              <w:bottom w:val="single" w:sz="6" w:space="0" w:color="auto"/>
              <w:right w:val="nil"/>
            </w:tcBorders>
          </w:tcPr>
          <w:p w14:paraId="5ADA3916" w14:textId="39297597"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35" w:type="dxa"/>
            <w:tcBorders>
              <w:top w:val="nil"/>
              <w:left w:val="nil"/>
              <w:bottom w:val="single" w:sz="6" w:space="0" w:color="auto"/>
              <w:right w:val="nil"/>
            </w:tcBorders>
          </w:tcPr>
          <w:p w14:paraId="00CCF00A" w14:textId="069104B1"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94" w:type="dxa"/>
            <w:tcBorders>
              <w:top w:val="nil"/>
              <w:left w:val="nil"/>
              <w:bottom w:val="single" w:sz="6" w:space="0" w:color="auto"/>
              <w:right w:val="nil"/>
            </w:tcBorders>
          </w:tcPr>
          <w:p w14:paraId="51216A73" w14:textId="046D9DD2"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590" w:type="dxa"/>
            <w:tcBorders>
              <w:top w:val="nil"/>
              <w:left w:val="nil"/>
              <w:bottom w:val="single" w:sz="6" w:space="0" w:color="auto"/>
              <w:right w:val="nil"/>
            </w:tcBorders>
          </w:tcPr>
          <w:p w14:paraId="09FDAE2D" w14:textId="2BCEEDF7"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r>
      <w:tr w:rsidR="00326B87" w:rsidRPr="00735726" w14:paraId="6616D3AF" w14:textId="5D757EAB" w:rsidTr="00101D81">
        <w:trPr>
          <w:trHeight w:val="701"/>
        </w:trPr>
        <w:tc>
          <w:tcPr>
            <w:tcW w:w="1355" w:type="dxa"/>
            <w:tcBorders>
              <w:top w:val="nil"/>
              <w:left w:val="nil"/>
              <w:bottom w:val="single" w:sz="6" w:space="0" w:color="auto"/>
              <w:right w:val="nil"/>
            </w:tcBorders>
          </w:tcPr>
          <w:p w14:paraId="4E9E37FD" w14:textId="23EC3AE6" w:rsidR="00326B87" w:rsidRPr="00735726" w:rsidRDefault="00326B87" w:rsidP="00326B87">
            <w:pPr>
              <w:rPr>
                <w:rFonts w:ascii="Arial" w:eastAsia="Times New Roman" w:hAnsi="Arial" w:cs="DINOT-Light"/>
                <w:color w:val="000000"/>
                <w:sz w:val="18"/>
                <w:szCs w:val="18"/>
              </w:rPr>
            </w:pPr>
            <w:r w:rsidRPr="00735726">
              <w:rPr>
                <w:rFonts w:ascii="Arial" w:eastAsia="Times New Roman" w:hAnsi="Arial" w:cs="DINOT-Light"/>
                <w:color w:val="000000"/>
                <w:sz w:val="18"/>
                <w:szCs w:val="18"/>
              </w:rPr>
              <w:t>Enterprise risk management</w:t>
            </w:r>
          </w:p>
        </w:tc>
        <w:tc>
          <w:tcPr>
            <w:tcW w:w="635" w:type="dxa"/>
            <w:tcBorders>
              <w:top w:val="nil"/>
              <w:left w:val="nil"/>
              <w:bottom w:val="single" w:sz="6" w:space="0" w:color="auto"/>
              <w:right w:val="nil"/>
            </w:tcBorders>
          </w:tcPr>
          <w:p w14:paraId="26D6D1C8" w14:textId="7C4C3882"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52" w:type="dxa"/>
            <w:tcBorders>
              <w:top w:val="nil"/>
              <w:left w:val="nil"/>
              <w:bottom w:val="single" w:sz="6" w:space="0" w:color="auto"/>
              <w:right w:val="nil"/>
            </w:tcBorders>
          </w:tcPr>
          <w:p w14:paraId="1A3ABC93" w14:textId="1320CE69"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5A6121DA" w14:textId="6C9B5D4C"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5B5C88DA" w14:textId="1F570D92"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07FAF92D" w14:textId="69B04F50"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4235EEFE" w14:textId="2BDF8F86"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07" w:type="dxa"/>
            <w:gridSpan w:val="3"/>
            <w:tcBorders>
              <w:top w:val="nil"/>
              <w:left w:val="nil"/>
              <w:bottom w:val="single" w:sz="6" w:space="0" w:color="auto"/>
              <w:right w:val="nil"/>
            </w:tcBorders>
          </w:tcPr>
          <w:p w14:paraId="2A1E503B" w14:textId="3A91CAE4"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35" w:type="dxa"/>
            <w:tcBorders>
              <w:top w:val="nil"/>
              <w:left w:val="nil"/>
              <w:bottom w:val="single" w:sz="6" w:space="0" w:color="auto"/>
              <w:right w:val="nil"/>
            </w:tcBorders>
          </w:tcPr>
          <w:p w14:paraId="67F8A59F" w14:textId="0621640C"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94" w:type="dxa"/>
            <w:tcBorders>
              <w:top w:val="nil"/>
              <w:left w:val="nil"/>
              <w:bottom w:val="single" w:sz="6" w:space="0" w:color="auto"/>
              <w:right w:val="nil"/>
            </w:tcBorders>
          </w:tcPr>
          <w:p w14:paraId="48F6BBD3" w14:textId="4A07E452"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590" w:type="dxa"/>
            <w:tcBorders>
              <w:top w:val="nil"/>
              <w:left w:val="nil"/>
              <w:bottom w:val="single" w:sz="6" w:space="0" w:color="auto"/>
              <w:right w:val="nil"/>
            </w:tcBorders>
          </w:tcPr>
          <w:p w14:paraId="3C90592E" w14:textId="3C8BDDD8"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r>
      <w:tr w:rsidR="00101D81" w:rsidRPr="00735726" w14:paraId="7F4080D1" w14:textId="4FA9AF10" w:rsidTr="00101D81">
        <w:trPr>
          <w:trHeight w:val="701"/>
        </w:trPr>
        <w:tc>
          <w:tcPr>
            <w:tcW w:w="1355" w:type="dxa"/>
            <w:tcBorders>
              <w:top w:val="nil"/>
              <w:left w:val="nil"/>
              <w:bottom w:val="single" w:sz="6" w:space="0" w:color="auto"/>
              <w:right w:val="nil"/>
            </w:tcBorders>
            <w:hideMark/>
          </w:tcPr>
          <w:p w14:paraId="14C3DA56" w14:textId="77777777"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Data, technology and digital</w:t>
            </w:r>
          </w:p>
        </w:tc>
        <w:tc>
          <w:tcPr>
            <w:tcW w:w="635" w:type="dxa"/>
            <w:tcBorders>
              <w:top w:val="nil"/>
              <w:left w:val="nil"/>
              <w:bottom w:val="single" w:sz="6" w:space="0" w:color="auto"/>
              <w:right w:val="nil"/>
            </w:tcBorders>
          </w:tcPr>
          <w:p w14:paraId="389BCF16" w14:textId="77777777" w:rsidR="00101D81" w:rsidRPr="00735726" w:rsidRDefault="00101D81" w:rsidP="00B57B12">
            <w:pPr>
              <w:jc w:val="center"/>
              <w:rPr>
                <w:rFonts w:ascii="Arial" w:eastAsia="Times New Roman" w:hAnsi="Arial" w:cs="DINOT-Light"/>
                <w:color w:val="000000"/>
                <w:sz w:val="18"/>
                <w:szCs w:val="18"/>
              </w:rPr>
            </w:pPr>
          </w:p>
        </w:tc>
        <w:tc>
          <w:tcPr>
            <w:tcW w:w="752" w:type="dxa"/>
            <w:tcBorders>
              <w:top w:val="nil"/>
              <w:left w:val="nil"/>
              <w:bottom w:val="single" w:sz="6" w:space="0" w:color="auto"/>
              <w:right w:val="nil"/>
            </w:tcBorders>
          </w:tcPr>
          <w:p w14:paraId="4C646186" w14:textId="16EF0989"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41FE260D" w14:textId="6B4D8CC2"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4E06886E" w14:textId="191DCCF7"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6BACB747" w14:textId="274CD528"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5C001E65" w14:textId="259A3F2B" w:rsidR="00101D81" w:rsidRPr="00735726" w:rsidRDefault="00101D81" w:rsidP="00B57B12">
            <w:pPr>
              <w:jc w:val="center"/>
              <w:rPr>
                <w:rFonts w:ascii="Arial" w:eastAsia="Times New Roman" w:hAnsi="Arial" w:cs="DINOT-Light"/>
                <w:color w:val="000000"/>
                <w:sz w:val="18"/>
                <w:szCs w:val="18"/>
              </w:rPr>
            </w:pPr>
          </w:p>
        </w:tc>
        <w:tc>
          <w:tcPr>
            <w:tcW w:w="807" w:type="dxa"/>
            <w:gridSpan w:val="3"/>
            <w:tcBorders>
              <w:top w:val="nil"/>
              <w:left w:val="nil"/>
              <w:bottom w:val="single" w:sz="6" w:space="0" w:color="auto"/>
              <w:right w:val="nil"/>
            </w:tcBorders>
          </w:tcPr>
          <w:p w14:paraId="0B9AEF6C" w14:textId="499A2690"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35" w:type="dxa"/>
            <w:tcBorders>
              <w:top w:val="nil"/>
              <w:left w:val="nil"/>
              <w:bottom w:val="single" w:sz="6" w:space="0" w:color="auto"/>
              <w:right w:val="nil"/>
            </w:tcBorders>
          </w:tcPr>
          <w:p w14:paraId="51DFB6D5" w14:textId="39C643A5"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94" w:type="dxa"/>
            <w:tcBorders>
              <w:top w:val="nil"/>
              <w:left w:val="nil"/>
              <w:bottom w:val="single" w:sz="6" w:space="0" w:color="auto"/>
              <w:right w:val="nil"/>
            </w:tcBorders>
          </w:tcPr>
          <w:p w14:paraId="0E75F6DA" w14:textId="0D33E42E" w:rsidR="00101D81" w:rsidRPr="00735726" w:rsidRDefault="00101D81" w:rsidP="00B57B12">
            <w:pPr>
              <w:jc w:val="center"/>
              <w:rPr>
                <w:rFonts w:ascii="Arial" w:eastAsia="Times New Roman" w:hAnsi="Arial" w:cs="DINOT-Light"/>
                <w:color w:val="000000"/>
                <w:sz w:val="18"/>
                <w:szCs w:val="18"/>
              </w:rPr>
            </w:pPr>
          </w:p>
        </w:tc>
        <w:tc>
          <w:tcPr>
            <w:tcW w:w="590" w:type="dxa"/>
            <w:tcBorders>
              <w:top w:val="nil"/>
              <w:left w:val="nil"/>
              <w:bottom w:val="single" w:sz="6" w:space="0" w:color="auto"/>
              <w:right w:val="nil"/>
            </w:tcBorders>
          </w:tcPr>
          <w:p w14:paraId="5E8BCB21" w14:textId="51322EA2" w:rsidR="00101D81" w:rsidRPr="00735726" w:rsidRDefault="00101D81" w:rsidP="00B57B12">
            <w:pPr>
              <w:jc w:val="center"/>
              <w:rPr>
                <w:rFonts w:ascii="Arial" w:eastAsia="Times New Roman" w:hAnsi="Arial" w:cs="DINOT-Light"/>
                <w:color w:val="000000"/>
                <w:sz w:val="18"/>
                <w:szCs w:val="18"/>
              </w:rPr>
            </w:pPr>
          </w:p>
        </w:tc>
      </w:tr>
      <w:tr w:rsidR="00101D81" w:rsidRPr="00735726" w14:paraId="3AB932EE" w14:textId="1973BFF1" w:rsidTr="00101D81">
        <w:trPr>
          <w:trHeight w:val="450"/>
        </w:trPr>
        <w:tc>
          <w:tcPr>
            <w:tcW w:w="1355" w:type="dxa"/>
            <w:tcBorders>
              <w:top w:val="nil"/>
              <w:left w:val="nil"/>
              <w:bottom w:val="single" w:sz="6" w:space="0" w:color="auto"/>
              <w:right w:val="nil"/>
            </w:tcBorders>
            <w:hideMark/>
          </w:tcPr>
          <w:p w14:paraId="689AC217" w14:textId="77777777" w:rsidR="00101D81" w:rsidRPr="00735726" w:rsidRDefault="00101D81" w:rsidP="00B57B1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People</w:t>
            </w:r>
          </w:p>
        </w:tc>
        <w:tc>
          <w:tcPr>
            <w:tcW w:w="635" w:type="dxa"/>
            <w:tcBorders>
              <w:top w:val="nil"/>
              <w:left w:val="nil"/>
              <w:bottom w:val="single" w:sz="6" w:space="0" w:color="auto"/>
              <w:right w:val="nil"/>
            </w:tcBorders>
          </w:tcPr>
          <w:p w14:paraId="1414E96A" w14:textId="061DE8E9"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52" w:type="dxa"/>
            <w:tcBorders>
              <w:top w:val="nil"/>
              <w:left w:val="nil"/>
              <w:bottom w:val="single" w:sz="6" w:space="0" w:color="auto"/>
              <w:right w:val="nil"/>
            </w:tcBorders>
          </w:tcPr>
          <w:p w14:paraId="014B410F" w14:textId="447CEF90"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3F0B7CBE" w14:textId="07FF34A4"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36BD69E1" w14:textId="64933C6F"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1B93AE6A" w14:textId="7F826BC0"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0B96CB8A" w14:textId="2CA79539" w:rsidR="00101D81" w:rsidRPr="00735726" w:rsidRDefault="00101D81" w:rsidP="00B57B12">
            <w:pPr>
              <w:jc w:val="center"/>
              <w:rPr>
                <w:rFonts w:ascii="Arial" w:eastAsia="Times New Roman" w:hAnsi="Arial" w:cs="DINOT-Light"/>
                <w:color w:val="000000"/>
                <w:sz w:val="18"/>
                <w:szCs w:val="18"/>
              </w:rPr>
            </w:pPr>
          </w:p>
        </w:tc>
        <w:tc>
          <w:tcPr>
            <w:tcW w:w="807" w:type="dxa"/>
            <w:gridSpan w:val="3"/>
            <w:tcBorders>
              <w:top w:val="nil"/>
              <w:left w:val="nil"/>
              <w:bottom w:val="single" w:sz="6" w:space="0" w:color="auto"/>
              <w:right w:val="nil"/>
            </w:tcBorders>
          </w:tcPr>
          <w:p w14:paraId="330B14FF" w14:textId="496CA780"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35" w:type="dxa"/>
            <w:tcBorders>
              <w:top w:val="nil"/>
              <w:left w:val="nil"/>
              <w:bottom w:val="single" w:sz="6" w:space="0" w:color="auto"/>
              <w:right w:val="nil"/>
            </w:tcBorders>
          </w:tcPr>
          <w:p w14:paraId="4B314664" w14:textId="6862B1FD"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94" w:type="dxa"/>
            <w:tcBorders>
              <w:top w:val="nil"/>
              <w:left w:val="nil"/>
              <w:bottom w:val="single" w:sz="6" w:space="0" w:color="auto"/>
              <w:right w:val="nil"/>
            </w:tcBorders>
          </w:tcPr>
          <w:p w14:paraId="3C66364E" w14:textId="2D53249B" w:rsidR="00101D81" w:rsidRPr="00735726" w:rsidRDefault="00326B87" w:rsidP="00B57B12">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590" w:type="dxa"/>
            <w:tcBorders>
              <w:top w:val="nil"/>
              <w:left w:val="nil"/>
              <w:bottom w:val="single" w:sz="6" w:space="0" w:color="auto"/>
              <w:right w:val="nil"/>
            </w:tcBorders>
          </w:tcPr>
          <w:p w14:paraId="383E2F38" w14:textId="6D38BE06" w:rsidR="00101D81" w:rsidRPr="00735726" w:rsidRDefault="00101D81" w:rsidP="00B57B12">
            <w:pPr>
              <w:jc w:val="center"/>
              <w:rPr>
                <w:rFonts w:ascii="Arial" w:eastAsia="Times New Roman" w:hAnsi="Arial" w:cs="DINOT-Light"/>
                <w:color w:val="000000"/>
                <w:sz w:val="18"/>
                <w:szCs w:val="18"/>
              </w:rPr>
            </w:pPr>
          </w:p>
        </w:tc>
      </w:tr>
      <w:tr w:rsidR="00326B87" w:rsidRPr="00735726" w14:paraId="123C904B" w14:textId="2E1526CD" w:rsidTr="00101D81">
        <w:trPr>
          <w:trHeight w:val="450"/>
        </w:trPr>
        <w:tc>
          <w:tcPr>
            <w:tcW w:w="1355" w:type="dxa"/>
            <w:tcBorders>
              <w:top w:val="nil"/>
              <w:left w:val="nil"/>
              <w:bottom w:val="single" w:sz="6" w:space="0" w:color="auto"/>
              <w:right w:val="nil"/>
            </w:tcBorders>
            <w:hideMark/>
          </w:tcPr>
          <w:p w14:paraId="6DE39F89" w14:textId="77777777" w:rsidR="00326B87" w:rsidRPr="00735726" w:rsidRDefault="00326B87" w:rsidP="00326B87">
            <w:pPr>
              <w:rPr>
                <w:rFonts w:ascii="Arial" w:eastAsia="Times New Roman" w:hAnsi="Arial" w:cs="DINOT-Light"/>
                <w:color w:val="000000"/>
                <w:sz w:val="18"/>
                <w:szCs w:val="18"/>
              </w:rPr>
            </w:pPr>
            <w:r w:rsidRPr="00735726">
              <w:rPr>
                <w:rFonts w:ascii="Arial" w:eastAsia="Times New Roman" w:hAnsi="Arial" w:cs="DINOT-Light"/>
                <w:color w:val="000000"/>
                <w:sz w:val="18"/>
                <w:szCs w:val="18"/>
              </w:rPr>
              <w:t>Governance</w:t>
            </w:r>
          </w:p>
        </w:tc>
        <w:tc>
          <w:tcPr>
            <w:tcW w:w="635" w:type="dxa"/>
            <w:tcBorders>
              <w:top w:val="nil"/>
              <w:left w:val="nil"/>
              <w:bottom w:val="single" w:sz="6" w:space="0" w:color="auto"/>
              <w:right w:val="nil"/>
            </w:tcBorders>
          </w:tcPr>
          <w:p w14:paraId="506C4B1F" w14:textId="77E32B57"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52" w:type="dxa"/>
            <w:tcBorders>
              <w:top w:val="nil"/>
              <w:left w:val="nil"/>
              <w:bottom w:val="single" w:sz="6" w:space="0" w:color="auto"/>
              <w:right w:val="nil"/>
            </w:tcBorders>
          </w:tcPr>
          <w:p w14:paraId="658AC3F1" w14:textId="6102A057"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6" w:space="0" w:color="auto"/>
              <w:right w:val="nil"/>
            </w:tcBorders>
          </w:tcPr>
          <w:p w14:paraId="178BF308" w14:textId="3CCE0DA3"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6" w:space="0" w:color="auto"/>
              <w:right w:val="nil"/>
            </w:tcBorders>
          </w:tcPr>
          <w:p w14:paraId="6EF744C2" w14:textId="47EDEC7F"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6" w:space="0" w:color="auto"/>
              <w:right w:val="nil"/>
            </w:tcBorders>
          </w:tcPr>
          <w:p w14:paraId="1F15B1ED" w14:textId="0D96AC84"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6" w:space="0" w:color="auto"/>
              <w:right w:val="nil"/>
            </w:tcBorders>
          </w:tcPr>
          <w:p w14:paraId="1E5796DC" w14:textId="6864F867"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07" w:type="dxa"/>
            <w:gridSpan w:val="3"/>
            <w:tcBorders>
              <w:top w:val="nil"/>
              <w:left w:val="nil"/>
              <w:bottom w:val="single" w:sz="6" w:space="0" w:color="auto"/>
              <w:right w:val="nil"/>
            </w:tcBorders>
          </w:tcPr>
          <w:p w14:paraId="21432D85" w14:textId="049A66F5"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35" w:type="dxa"/>
            <w:tcBorders>
              <w:top w:val="nil"/>
              <w:left w:val="nil"/>
              <w:bottom w:val="single" w:sz="6" w:space="0" w:color="auto"/>
              <w:right w:val="nil"/>
            </w:tcBorders>
          </w:tcPr>
          <w:p w14:paraId="2936189E" w14:textId="326C68D2"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1094" w:type="dxa"/>
            <w:tcBorders>
              <w:top w:val="nil"/>
              <w:left w:val="nil"/>
              <w:bottom w:val="single" w:sz="6" w:space="0" w:color="auto"/>
              <w:right w:val="nil"/>
            </w:tcBorders>
          </w:tcPr>
          <w:p w14:paraId="1B5B1BF3" w14:textId="03FE1363"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590" w:type="dxa"/>
            <w:tcBorders>
              <w:top w:val="nil"/>
              <w:left w:val="nil"/>
              <w:bottom w:val="single" w:sz="6" w:space="0" w:color="auto"/>
              <w:right w:val="nil"/>
            </w:tcBorders>
          </w:tcPr>
          <w:p w14:paraId="114BF5BF" w14:textId="453A814D"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r>
      <w:tr w:rsidR="00326B87" w:rsidRPr="00735726" w14:paraId="02CDD1AA" w14:textId="12BE22BA" w:rsidTr="00101D81">
        <w:trPr>
          <w:trHeight w:val="467"/>
        </w:trPr>
        <w:tc>
          <w:tcPr>
            <w:tcW w:w="1355" w:type="dxa"/>
            <w:tcBorders>
              <w:top w:val="nil"/>
              <w:left w:val="nil"/>
              <w:bottom w:val="single" w:sz="18" w:space="0" w:color="auto"/>
              <w:right w:val="nil"/>
            </w:tcBorders>
            <w:shd w:val="clear" w:color="auto" w:fill="FFFFFF" w:themeFill="background1"/>
            <w:hideMark/>
          </w:tcPr>
          <w:p w14:paraId="38783BB4" w14:textId="77777777" w:rsidR="00326B87" w:rsidRPr="00735726" w:rsidRDefault="00326B87" w:rsidP="00326B87">
            <w:pPr>
              <w:rPr>
                <w:rFonts w:ascii="Arial" w:eastAsia="Times New Roman" w:hAnsi="Arial" w:cs="DINOT-Light"/>
                <w:color w:val="000000"/>
                <w:sz w:val="18"/>
                <w:szCs w:val="18"/>
              </w:rPr>
            </w:pPr>
            <w:r w:rsidRPr="00735726">
              <w:rPr>
                <w:rFonts w:ascii="Arial" w:eastAsia="Times New Roman" w:hAnsi="Arial" w:cs="DINOT-Light"/>
                <w:color w:val="000000"/>
                <w:sz w:val="18"/>
                <w:szCs w:val="18"/>
              </w:rPr>
              <w:t>Remuneration</w:t>
            </w:r>
          </w:p>
        </w:tc>
        <w:tc>
          <w:tcPr>
            <w:tcW w:w="635" w:type="dxa"/>
            <w:tcBorders>
              <w:top w:val="nil"/>
              <w:left w:val="nil"/>
              <w:bottom w:val="single" w:sz="18" w:space="0" w:color="auto"/>
              <w:right w:val="nil"/>
            </w:tcBorders>
            <w:shd w:val="clear" w:color="auto" w:fill="FFFFFF" w:themeFill="background1"/>
          </w:tcPr>
          <w:p w14:paraId="7797338A" w14:textId="707F339F"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52" w:type="dxa"/>
            <w:tcBorders>
              <w:top w:val="nil"/>
              <w:left w:val="nil"/>
              <w:bottom w:val="single" w:sz="18" w:space="0" w:color="auto"/>
              <w:right w:val="nil"/>
            </w:tcBorders>
            <w:shd w:val="clear" w:color="auto" w:fill="FFFFFF" w:themeFill="background1"/>
          </w:tcPr>
          <w:p w14:paraId="7EA13C73" w14:textId="5AEC53FF"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980" w:type="dxa"/>
            <w:tcBorders>
              <w:top w:val="nil"/>
              <w:left w:val="nil"/>
              <w:bottom w:val="single" w:sz="18" w:space="0" w:color="auto"/>
              <w:right w:val="nil"/>
            </w:tcBorders>
            <w:shd w:val="clear" w:color="auto" w:fill="FFFFFF" w:themeFill="background1"/>
          </w:tcPr>
          <w:p w14:paraId="0A9909C8" w14:textId="375F3395"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54" w:type="dxa"/>
            <w:tcBorders>
              <w:top w:val="nil"/>
              <w:left w:val="nil"/>
              <w:bottom w:val="single" w:sz="18" w:space="0" w:color="auto"/>
              <w:right w:val="nil"/>
            </w:tcBorders>
            <w:shd w:val="clear" w:color="auto" w:fill="FFFFFF" w:themeFill="background1"/>
          </w:tcPr>
          <w:p w14:paraId="2C18F6D4" w14:textId="5A4A9BB7"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735" w:type="dxa"/>
            <w:gridSpan w:val="2"/>
            <w:tcBorders>
              <w:top w:val="nil"/>
              <w:left w:val="nil"/>
              <w:bottom w:val="single" w:sz="18" w:space="0" w:color="auto"/>
              <w:right w:val="nil"/>
            </w:tcBorders>
            <w:shd w:val="clear" w:color="auto" w:fill="FFFFFF" w:themeFill="background1"/>
          </w:tcPr>
          <w:p w14:paraId="54C1ED32" w14:textId="7B44AB58"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25" w:type="dxa"/>
            <w:tcBorders>
              <w:top w:val="nil"/>
              <w:left w:val="nil"/>
              <w:bottom w:val="single" w:sz="18" w:space="0" w:color="auto"/>
              <w:right w:val="nil"/>
            </w:tcBorders>
            <w:shd w:val="clear" w:color="auto" w:fill="FFFFFF" w:themeFill="background1"/>
          </w:tcPr>
          <w:p w14:paraId="2EB56A43" w14:textId="146E5671"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807" w:type="dxa"/>
            <w:gridSpan w:val="3"/>
            <w:tcBorders>
              <w:top w:val="nil"/>
              <w:left w:val="nil"/>
              <w:bottom w:val="single" w:sz="18" w:space="0" w:color="auto"/>
              <w:right w:val="nil"/>
            </w:tcBorders>
            <w:shd w:val="clear" w:color="auto" w:fill="FFFFFF" w:themeFill="background1"/>
          </w:tcPr>
          <w:p w14:paraId="00BA50AE" w14:textId="06BE0FED" w:rsidR="00326B87" w:rsidRPr="00735726" w:rsidRDefault="00326B87" w:rsidP="00326B87">
            <w:pPr>
              <w:jc w:val="center"/>
              <w:rPr>
                <w:rFonts w:ascii="Arial" w:eastAsia="Times New Roman" w:hAnsi="Arial" w:cs="DINOT-Light"/>
                <w:color w:val="000000"/>
                <w:sz w:val="18"/>
                <w:szCs w:val="18"/>
              </w:rPr>
            </w:pPr>
          </w:p>
        </w:tc>
        <w:tc>
          <w:tcPr>
            <w:tcW w:w="1035" w:type="dxa"/>
            <w:tcBorders>
              <w:top w:val="nil"/>
              <w:left w:val="nil"/>
              <w:bottom w:val="single" w:sz="18" w:space="0" w:color="auto"/>
              <w:right w:val="nil"/>
            </w:tcBorders>
            <w:shd w:val="clear" w:color="auto" w:fill="FFFFFF" w:themeFill="background1"/>
          </w:tcPr>
          <w:p w14:paraId="06B5C981" w14:textId="10D9988D" w:rsidR="00326B87" w:rsidRPr="00735726" w:rsidRDefault="00326B87" w:rsidP="00326B87">
            <w:pPr>
              <w:jc w:val="center"/>
              <w:rPr>
                <w:rFonts w:ascii="Arial" w:eastAsia="Times New Roman" w:hAnsi="Arial" w:cs="DINOT-Light"/>
                <w:color w:val="000000"/>
                <w:sz w:val="18"/>
                <w:szCs w:val="18"/>
              </w:rPr>
            </w:pPr>
          </w:p>
        </w:tc>
        <w:tc>
          <w:tcPr>
            <w:tcW w:w="1094" w:type="dxa"/>
            <w:tcBorders>
              <w:top w:val="nil"/>
              <w:left w:val="nil"/>
              <w:bottom w:val="single" w:sz="18" w:space="0" w:color="auto"/>
              <w:right w:val="nil"/>
            </w:tcBorders>
            <w:shd w:val="clear" w:color="auto" w:fill="FFFFFF" w:themeFill="background1"/>
          </w:tcPr>
          <w:p w14:paraId="07000660" w14:textId="67F6F01C" w:rsidR="00326B87" w:rsidRPr="00735726" w:rsidRDefault="00326B87" w:rsidP="00326B87">
            <w:pPr>
              <w:jc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X</w:t>
            </w:r>
          </w:p>
        </w:tc>
        <w:tc>
          <w:tcPr>
            <w:tcW w:w="590" w:type="dxa"/>
            <w:tcBorders>
              <w:top w:val="nil"/>
              <w:left w:val="nil"/>
              <w:bottom w:val="single" w:sz="18" w:space="0" w:color="auto"/>
              <w:right w:val="nil"/>
            </w:tcBorders>
            <w:shd w:val="clear" w:color="auto" w:fill="FFFFFF" w:themeFill="background1"/>
          </w:tcPr>
          <w:p w14:paraId="27014BCF" w14:textId="4C9C7DBE" w:rsidR="00326B87" w:rsidRPr="00735726" w:rsidRDefault="00326B87" w:rsidP="00326B87">
            <w:pPr>
              <w:jc w:val="center"/>
              <w:rPr>
                <w:rFonts w:ascii="Arial" w:eastAsia="Times New Roman" w:hAnsi="Arial" w:cs="DINOT-Light"/>
                <w:color w:val="000000"/>
                <w:sz w:val="18"/>
                <w:szCs w:val="18"/>
              </w:rPr>
            </w:pPr>
          </w:p>
        </w:tc>
      </w:tr>
    </w:tbl>
    <w:p w14:paraId="3A4791A8" w14:textId="13A41128" w:rsidR="009D2FD7" w:rsidRPr="00735726" w:rsidRDefault="009F5FD8" w:rsidP="009F5FD8">
      <w:pPr>
        <w:spacing w:after="160" w:line="259" w:lineRule="auto"/>
        <w:rPr>
          <w:vertAlign w:val="superscript"/>
        </w:rPr>
      </w:pPr>
      <w:r w:rsidRPr="00735726">
        <w:rPr>
          <w:vertAlign w:val="superscript"/>
        </w:rPr>
        <w:t>1.</w:t>
      </w:r>
      <w:r w:rsidR="00384722" w:rsidRPr="00735726">
        <w:rPr>
          <w:vertAlign w:val="superscript"/>
        </w:rPr>
        <w:t xml:space="preserve"> </w:t>
      </w:r>
      <w:r w:rsidR="001F3A42" w:rsidRPr="00735726">
        <w:rPr>
          <w:vertAlign w:val="superscript"/>
        </w:rPr>
        <w:t xml:space="preserve">Appointed </w:t>
      </w:r>
      <w:r w:rsidR="007850CE" w:rsidRPr="00735726">
        <w:rPr>
          <w:vertAlign w:val="superscript"/>
        </w:rPr>
        <w:t>19 May</w:t>
      </w:r>
      <w:r w:rsidR="00326B87" w:rsidRPr="00735726">
        <w:rPr>
          <w:vertAlign w:val="superscript"/>
        </w:rPr>
        <w:t xml:space="preserve"> 2026</w:t>
      </w:r>
      <w:r w:rsidR="00B57B12" w:rsidRPr="00735726">
        <w:rPr>
          <w:vertAlign w:val="superscript"/>
        </w:rPr>
        <w:br/>
        <w:t xml:space="preserve">2. </w:t>
      </w:r>
      <w:r w:rsidR="00326B87" w:rsidRPr="00735726">
        <w:rPr>
          <w:vertAlign w:val="superscript"/>
        </w:rPr>
        <w:t>Resigned 31 December 2025</w:t>
      </w:r>
      <w:r w:rsidRPr="00735726">
        <w:rPr>
          <w:vertAlign w:val="superscript"/>
        </w:rPr>
        <w:br/>
      </w:r>
      <w:r w:rsidR="00B57B12" w:rsidRPr="00735726">
        <w:rPr>
          <w:vertAlign w:val="superscript"/>
        </w:rPr>
        <w:t>3</w:t>
      </w:r>
      <w:r w:rsidRPr="00735726">
        <w:rPr>
          <w:vertAlign w:val="superscript"/>
        </w:rPr>
        <w:t>.</w:t>
      </w:r>
      <w:r w:rsidR="00B85A5C" w:rsidRPr="00735726">
        <w:rPr>
          <w:vertAlign w:val="superscript"/>
        </w:rPr>
        <w:t xml:space="preserve"> </w:t>
      </w:r>
      <w:r w:rsidR="00326B87" w:rsidRPr="00735726">
        <w:rPr>
          <w:vertAlign w:val="superscript"/>
        </w:rPr>
        <w:t>Appointed 1 November 2025</w:t>
      </w:r>
      <w:r w:rsidRPr="00735726">
        <w:rPr>
          <w:vertAlign w:val="superscript"/>
        </w:rPr>
        <w:br/>
      </w:r>
      <w:r w:rsidR="00B57B12" w:rsidRPr="00735726">
        <w:rPr>
          <w:vertAlign w:val="superscript"/>
        </w:rPr>
        <w:t>4</w:t>
      </w:r>
      <w:r w:rsidRPr="00735726">
        <w:rPr>
          <w:vertAlign w:val="superscript"/>
        </w:rPr>
        <w:t xml:space="preserve">. </w:t>
      </w:r>
      <w:r w:rsidR="00326B87" w:rsidRPr="00735726">
        <w:rPr>
          <w:vertAlign w:val="superscript"/>
        </w:rPr>
        <w:t>Appointed 8 April 2025</w:t>
      </w:r>
      <w:r w:rsidRPr="00735726">
        <w:rPr>
          <w:vertAlign w:val="superscript"/>
        </w:rPr>
        <w:br/>
      </w:r>
      <w:r w:rsidR="00B57B12" w:rsidRPr="00735726">
        <w:rPr>
          <w:vertAlign w:val="superscript"/>
        </w:rPr>
        <w:t>5</w:t>
      </w:r>
      <w:r w:rsidRPr="00735726">
        <w:rPr>
          <w:vertAlign w:val="superscript"/>
        </w:rPr>
        <w:t xml:space="preserve">. </w:t>
      </w:r>
      <w:r w:rsidR="00326B87" w:rsidRPr="00735726">
        <w:rPr>
          <w:vertAlign w:val="superscript"/>
        </w:rPr>
        <w:t>Resigned 31 March 2026</w:t>
      </w:r>
      <w:r w:rsidR="00FC719F" w:rsidRPr="00735726">
        <w:rPr>
          <w:vertAlign w:val="superscript"/>
        </w:rPr>
        <w:br/>
      </w:r>
    </w:p>
    <w:p w14:paraId="36A55733" w14:textId="0FA8DE17" w:rsidR="009F5FD8" w:rsidRPr="009A2CAE" w:rsidRDefault="009F5FD8" w:rsidP="009F5FD8">
      <w:pPr>
        <w:spacing w:after="160" w:line="259" w:lineRule="auto"/>
        <w:rPr>
          <w:vertAlign w:val="superscript"/>
        </w:rPr>
      </w:pPr>
      <w:r w:rsidRPr="009A2CAE">
        <w:br w:type="page"/>
      </w:r>
    </w:p>
    <w:p w14:paraId="53986C6D" w14:textId="76FE4E8F" w:rsidR="009F5FD8" w:rsidRPr="00735726" w:rsidRDefault="009F5FD8" w:rsidP="009F5FD8">
      <w:pPr>
        <w:pStyle w:val="AccountsHeading"/>
        <w:outlineLvl w:val="0"/>
        <w:rPr>
          <w:color w:val="auto"/>
        </w:rPr>
      </w:pPr>
      <w:r w:rsidRPr="00735726">
        <w:rPr>
          <w:color w:val="auto"/>
        </w:rPr>
        <w:lastRenderedPageBreak/>
        <w:t xml:space="preserve">chair’s INTRODUCTION </w:t>
      </w:r>
    </w:p>
    <w:p w14:paraId="322F742F" w14:textId="20D7FC64" w:rsidR="003B654C" w:rsidRPr="00735726" w:rsidRDefault="003B654C" w:rsidP="003B654C">
      <w:pPr>
        <w:rPr>
          <w:rFonts w:ascii="Arial" w:hAnsi="Arial" w:cs="Arial"/>
          <w:sz w:val="18"/>
          <w:szCs w:val="18"/>
        </w:rPr>
      </w:pPr>
      <w:r w:rsidRPr="00735726">
        <w:rPr>
          <w:rFonts w:ascii="Arial" w:hAnsi="Arial" w:cs="Arial"/>
          <w:sz w:val="18"/>
          <w:szCs w:val="18"/>
        </w:rPr>
        <w:t>The Board’s primary focus in the year was ensuring strong governance arrangements were in place, underpinned by the right team and expertise to deliver effectively for our stakeholders.</w:t>
      </w:r>
    </w:p>
    <w:p w14:paraId="5BD378E9" w14:textId="77777777" w:rsidR="003B654C" w:rsidRPr="00735726" w:rsidRDefault="00421043" w:rsidP="003B654C">
      <w:pPr>
        <w:rPr>
          <w:rFonts w:ascii="Arial" w:hAnsi="Arial" w:cs="Arial"/>
          <w:sz w:val="18"/>
          <w:szCs w:val="18"/>
        </w:rPr>
      </w:pPr>
      <w:r w:rsidRPr="00735726">
        <w:rPr>
          <w:rFonts w:ascii="Arial" w:hAnsi="Arial" w:cs="Arial"/>
          <w:sz w:val="18"/>
          <w:szCs w:val="18"/>
        </w:rPr>
        <w:t xml:space="preserve">I am very pleased to introduce, on behalf of the Board,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Corporate Governance Report for 202</w:t>
      </w:r>
      <w:r w:rsidR="003B654C" w:rsidRPr="00735726">
        <w:rPr>
          <w:rFonts w:ascii="Arial" w:hAnsi="Arial" w:cs="Arial"/>
          <w:sz w:val="18"/>
          <w:szCs w:val="18"/>
        </w:rPr>
        <w:t>6</w:t>
      </w:r>
      <w:r w:rsidRPr="00735726">
        <w:rPr>
          <w:rFonts w:ascii="Arial" w:hAnsi="Arial" w:cs="Arial"/>
          <w:sz w:val="18"/>
          <w:szCs w:val="18"/>
        </w:rPr>
        <w:t xml:space="preserve">, which sets out our governance practices and processes, and how we applied the principles of the UK Corporate Governance Code </w:t>
      </w:r>
      <w:r w:rsidR="003B654C" w:rsidRPr="00735726">
        <w:rPr>
          <w:rFonts w:ascii="Arial" w:hAnsi="Arial" w:cs="Arial"/>
          <w:sz w:val="18"/>
          <w:szCs w:val="18"/>
        </w:rPr>
        <w:t>2024</w:t>
      </w:r>
      <w:r w:rsidRPr="00735726">
        <w:rPr>
          <w:rFonts w:ascii="Arial" w:hAnsi="Arial" w:cs="Arial"/>
          <w:sz w:val="18"/>
          <w:szCs w:val="18"/>
        </w:rPr>
        <w:t xml:space="preserve"> (the Code) throughout the year.</w:t>
      </w:r>
    </w:p>
    <w:p w14:paraId="170032B0" w14:textId="77E7E3D6" w:rsidR="00421043" w:rsidRPr="00735726" w:rsidRDefault="003B654C" w:rsidP="003B654C">
      <w:pPr>
        <w:rPr>
          <w:rFonts w:ascii="Arial" w:hAnsi="Arial" w:cs="Arial"/>
          <w:sz w:val="18"/>
          <w:szCs w:val="18"/>
        </w:rPr>
      </w:pPr>
      <w:r w:rsidRPr="00735726">
        <w:rPr>
          <w:rFonts w:ascii="Arial" w:hAnsi="Arial" w:cs="Arial"/>
          <w:sz w:val="18"/>
          <w:szCs w:val="18"/>
        </w:rPr>
        <w:t xml:space="preserve">The Board is committed to being compliant with the new relevant provisions in the timeframes dictated within the Code. </w:t>
      </w:r>
      <w:r w:rsidR="00421043" w:rsidRPr="00735726">
        <w:rPr>
          <w:rFonts w:ascii="Arial" w:hAnsi="Arial" w:cs="Arial"/>
          <w:sz w:val="18"/>
          <w:szCs w:val="18"/>
        </w:rPr>
        <w:t>The report covers our key focus areas and achievements during 2025</w:t>
      </w:r>
      <w:r w:rsidRPr="00735726">
        <w:rPr>
          <w:rFonts w:ascii="Arial" w:hAnsi="Arial" w:cs="Arial"/>
          <w:sz w:val="18"/>
          <w:szCs w:val="18"/>
        </w:rPr>
        <w:t>/26</w:t>
      </w:r>
      <w:r w:rsidR="00421043" w:rsidRPr="00735726">
        <w:rPr>
          <w:rFonts w:ascii="Arial" w:hAnsi="Arial" w:cs="Arial"/>
          <w:sz w:val="18"/>
          <w:szCs w:val="18"/>
        </w:rPr>
        <w:t xml:space="preserve"> and explains how the Board continues to operate effectively and efficiently and to support the Company’s strategy.</w:t>
      </w:r>
    </w:p>
    <w:p w14:paraId="31655669" w14:textId="0128D857" w:rsidR="009F5FD8" w:rsidRPr="00735726" w:rsidRDefault="009F5FD8" w:rsidP="00421043">
      <w:pPr>
        <w:pStyle w:val="Headinglevel4"/>
        <w:spacing w:line="360" w:lineRule="auto"/>
        <w:outlineLvl w:val="0"/>
      </w:pPr>
      <w:r w:rsidRPr="00735726">
        <w:t>REVIEW OF THE YEAR</w:t>
      </w:r>
    </w:p>
    <w:p w14:paraId="14B037B5" w14:textId="38F052F0" w:rsidR="00444D45" w:rsidRPr="00735726" w:rsidRDefault="00444D45" w:rsidP="00444D45">
      <w:pPr>
        <w:rPr>
          <w:rFonts w:ascii="Arial" w:hAnsi="Arial" w:cs="Arial"/>
          <w:sz w:val="18"/>
          <w:szCs w:val="18"/>
        </w:rPr>
      </w:pPr>
      <w:r w:rsidRPr="00735726">
        <w:rPr>
          <w:rFonts w:ascii="Arial" w:hAnsi="Arial" w:cs="Arial"/>
          <w:sz w:val="18"/>
          <w:szCs w:val="18"/>
        </w:rPr>
        <w:t xml:space="preserve">We continue to operate to the highest standards of corporate governance. Strong governance remains central to the successful management of the </w:t>
      </w:r>
      <w:r w:rsidR="00421043" w:rsidRPr="00735726">
        <w:rPr>
          <w:rFonts w:ascii="Arial" w:hAnsi="Arial" w:cs="Arial"/>
          <w:sz w:val="18"/>
          <w:szCs w:val="18"/>
        </w:rPr>
        <w:t>Company</w:t>
      </w:r>
      <w:r w:rsidRPr="00735726">
        <w:rPr>
          <w:rFonts w:ascii="Arial" w:hAnsi="Arial" w:cs="Arial"/>
          <w:sz w:val="18"/>
          <w:szCs w:val="18"/>
        </w:rPr>
        <w:t>, providing the framework we need to deliver our strategy, fulfil our purpose, create value for all our stakeholders and continuously develop our business.</w:t>
      </w:r>
    </w:p>
    <w:p w14:paraId="613F1E29" w14:textId="62575627" w:rsidR="003B654C" w:rsidRPr="00735726" w:rsidRDefault="003B654C" w:rsidP="003B654C">
      <w:pPr>
        <w:rPr>
          <w:rFonts w:ascii="Arial" w:hAnsi="Arial" w:cs="Arial"/>
          <w:sz w:val="18"/>
          <w:szCs w:val="18"/>
        </w:rPr>
      </w:pPr>
      <w:r w:rsidRPr="00735726">
        <w:rPr>
          <w:rFonts w:ascii="Arial" w:hAnsi="Arial" w:cs="Arial"/>
          <w:sz w:val="18"/>
          <w:szCs w:val="18"/>
        </w:rPr>
        <w:t xml:space="preserve">The table on page </w:t>
      </w:r>
      <w:r w:rsidR="00FE2778" w:rsidRPr="009A2CAE">
        <w:rPr>
          <w:rFonts w:ascii="Arial" w:hAnsi="Arial" w:cs="Arial"/>
          <w:sz w:val="18"/>
          <w:szCs w:val="18"/>
        </w:rPr>
        <w:t>98</w:t>
      </w:r>
      <w:r w:rsidRPr="009A2CAE">
        <w:rPr>
          <w:rFonts w:ascii="Arial" w:hAnsi="Arial" w:cs="Arial"/>
          <w:sz w:val="18"/>
          <w:szCs w:val="18"/>
        </w:rPr>
        <w:t xml:space="preserve"> </w:t>
      </w:r>
      <w:r w:rsidRPr="00735726">
        <w:rPr>
          <w:rFonts w:ascii="Arial" w:hAnsi="Arial" w:cs="Arial"/>
          <w:sz w:val="18"/>
          <w:szCs w:val="18"/>
        </w:rPr>
        <w:t xml:space="preserve">will help you to navigate our reporting and evaluate our performance against the principles of the Code. As we explain below, we also have processes and procedures in place to safeguard the independence of decision-making by the Board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w:t>
      </w:r>
    </w:p>
    <w:p w14:paraId="1306DBFC" w14:textId="149EB405" w:rsidR="00444D45" w:rsidRPr="009A2CAE" w:rsidRDefault="00444D45" w:rsidP="003B654C">
      <w:pPr>
        <w:rPr>
          <w:rFonts w:ascii="Arial" w:hAnsi="Arial" w:cs="Arial"/>
          <w:sz w:val="18"/>
          <w:szCs w:val="18"/>
        </w:rPr>
      </w:pPr>
      <w:r w:rsidRPr="00735726">
        <w:rPr>
          <w:rFonts w:ascii="Arial" w:hAnsi="Arial" w:cs="Arial"/>
          <w:sz w:val="18"/>
          <w:szCs w:val="18"/>
        </w:rPr>
        <w:t>More information on the Board’s activities can be found on pages</w:t>
      </w:r>
      <w:r w:rsidRPr="009A2CAE">
        <w:rPr>
          <w:rFonts w:ascii="Arial" w:hAnsi="Arial" w:cs="Arial"/>
          <w:sz w:val="18"/>
          <w:szCs w:val="18"/>
        </w:rPr>
        <w:t xml:space="preserve"> </w:t>
      </w:r>
      <w:r w:rsidR="00FE2778" w:rsidRPr="009A2CAE">
        <w:rPr>
          <w:rFonts w:ascii="Arial" w:hAnsi="Arial" w:cs="Arial"/>
          <w:sz w:val="18"/>
          <w:szCs w:val="18"/>
        </w:rPr>
        <w:t xml:space="preserve">116 </w:t>
      </w:r>
      <w:r w:rsidR="003B654C" w:rsidRPr="009A2CAE">
        <w:rPr>
          <w:rFonts w:ascii="Arial" w:hAnsi="Arial" w:cs="Arial"/>
          <w:sz w:val="18"/>
          <w:szCs w:val="18"/>
        </w:rPr>
        <w:t xml:space="preserve">to </w:t>
      </w:r>
      <w:r w:rsidR="00FE2778" w:rsidRPr="009A2CAE">
        <w:rPr>
          <w:rFonts w:ascii="Arial" w:hAnsi="Arial" w:cs="Arial"/>
          <w:sz w:val="18"/>
          <w:szCs w:val="18"/>
        </w:rPr>
        <w:t>11</w:t>
      </w:r>
      <w:r w:rsidR="00704734" w:rsidRPr="009A2CAE">
        <w:rPr>
          <w:rFonts w:ascii="Arial" w:hAnsi="Arial" w:cs="Arial"/>
          <w:sz w:val="18"/>
          <w:szCs w:val="18"/>
        </w:rPr>
        <w:t>7</w:t>
      </w:r>
      <w:r w:rsidRPr="009A2CAE">
        <w:rPr>
          <w:rFonts w:ascii="Arial" w:hAnsi="Arial" w:cs="Arial"/>
          <w:sz w:val="18"/>
          <w:szCs w:val="18"/>
        </w:rPr>
        <w:t>.</w:t>
      </w:r>
    </w:p>
    <w:p w14:paraId="1D55C407" w14:textId="77777777" w:rsidR="009F5FD8" w:rsidRPr="00735726" w:rsidRDefault="009F5FD8" w:rsidP="009F5FD8">
      <w:pPr>
        <w:pStyle w:val="Headinglevel4"/>
        <w:spacing w:line="360" w:lineRule="auto"/>
        <w:outlineLvl w:val="0"/>
      </w:pPr>
      <w:r w:rsidRPr="00735726">
        <w:t>CHANGES TO THE BOARD</w:t>
      </w:r>
    </w:p>
    <w:p w14:paraId="1ACF4538" w14:textId="77777777" w:rsidR="00857813" w:rsidRPr="00735726" w:rsidRDefault="00857813" w:rsidP="00857813">
      <w:pPr>
        <w:spacing w:after="160" w:line="259" w:lineRule="auto"/>
        <w:rPr>
          <w:rFonts w:ascii="Arial" w:hAnsi="Arial" w:cs="Arial"/>
          <w:sz w:val="18"/>
          <w:szCs w:val="18"/>
        </w:rPr>
      </w:pPr>
      <w:r w:rsidRPr="00735726">
        <w:rPr>
          <w:rFonts w:ascii="Arial" w:hAnsi="Arial" w:cs="Arial"/>
          <w:sz w:val="18"/>
          <w:szCs w:val="18"/>
        </w:rPr>
        <w:t xml:space="preserve">We are pleased to welcome two new Non-Executive Directors, Andrea </w:t>
      </w:r>
      <w:proofErr w:type="spellStart"/>
      <w:r w:rsidRPr="00735726">
        <w:rPr>
          <w:rFonts w:ascii="Arial" w:hAnsi="Arial" w:cs="Arial"/>
          <w:sz w:val="18"/>
          <w:szCs w:val="18"/>
        </w:rPr>
        <w:t>Blance</w:t>
      </w:r>
      <w:proofErr w:type="spellEnd"/>
      <w:r w:rsidRPr="00735726">
        <w:rPr>
          <w:rFonts w:ascii="Arial" w:hAnsi="Arial" w:cs="Arial"/>
          <w:sz w:val="18"/>
          <w:szCs w:val="18"/>
        </w:rPr>
        <w:t xml:space="preserve"> and Sir Andrew Haines to the Board during the year. </w:t>
      </w:r>
    </w:p>
    <w:p w14:paraId="617E7460" w14:textId="2EAF6CE9" w:rsidR="00857813" w:rsidRPr="00735726" w:rsidRDefault="00857813" w:rsidP="00857813">
      <w:pPr>
        <w:spacing w:after="160" w:line="259" w:lineRule="auto"/>
        <w:rPr>
          <w:rFonts w:ascii="Arial" w:hAnsi="Arial" w:cs="Arial"/>
          <w:sz w:val="18"/>
          <w:szCs w:val="18"/>
        </w:rPr>
      </w:pPr>
      <w:r w:rsidRPr="00735726">
        <w:rPr>
          <w:rFonts w:ascii="Arial" w:hAnsi="Arial" w:cs="Arial"/>
          <w:sz w:val="18"/>
          <w:szCs w:val="18"/>
        </w:rPr>
        <w:t>Since Andrea’s appointment in April 2025, she has brought her extensive risk and commercial strategy expertise both to the Board and the Remuneration Committee, which she Chairs.</w:t>
      </w:r>
    </w:p>
    <w:p w14:paraId="7814823C" w14:textId="1B151FE4" w:rsidR="00857813" w:rsidRPr="00735726" w:rsidRDefault="00857813" w:rsidP="00857813">
      <w:pPr>
        <w:spacing w:after="160" w:line="259" w:lineRule="auto"/>
        <w:rPr>
          <w:rFonts w:ascii="Arial" w:hAnsi="Arial" w:cs="Arial"/>
          <w:sz w:val="18"/>
          <w:szCs w:val="18"/>
        </w:rPr>
      </w:pPr>
      <w:r w:rsidRPr="00735726">
        <w:rPr>
          <w:rFonts w:ascii="Arial" w:hAnsi="Arial" w:cs="Arial"/>
          <w:sz w:val="18"/>
          <w:szCs w:val="18"/>
        </w:rPr>
        <w:t>Sir Andrew Haines joined the Board in November 2025 and brings with him a wealth of experience from infrastructure and capital projects. He was appointed as Senior Independent Director on 1 April 2026.</w:t>
      </w:r>
    </w:p>
    <w:p w14:paraId="47942DE1" w14:textId="77777777" w:rsidR="00857813" w:rsidRPr="00735726" w:rsidRDefault="00857813" w:rsidP="00857813">
      <w:pPr>
        <w:spacing w:after="160" w:line="259" w:lineRule="auto"/>
        <w:rPr>
          <w:rFonts w:ascii="Arial" w:hAnsi="Arial" w:cs="Arial"/>
          <w:sz w:val="18"/>
          <w:szCs w:val="18"/>
        </w:rPr>
      </w:pPr>
      <w:r w:rsidRPr="00735726">
        <w:rPr>
          <w:rFonts w:ascii="Arial" w:hAnsi="Arial" w:cs="Arial"/>
          <w:sz w:val="18"/>
          <w:szCs w:val="18"/>
        </w:rPr>
        <w:t xml:space="preserve">Iain Evans stepped down effective 31 March 2026. I would like to thank him for his immense contribution to the Board over the last eight years and wish him well for the future. </w:t>
      </w:r>
    </w:p>
    <w:p w14:paraId="30BC0F2D" w14:textId="1832E574" w:rsidR="00857813" w:rsidRPr="009A2CAE" w:rsidRDefault="00857813" w:rsidP="00857813">
      <w:pPr>
        <w:spacing w:after="160" w:line="259" w:lineRule="auto"/>
        <w:rPr>
          <w:rFonts w:ascii="Arial" w:hAnsi="Arial" w:cs="Arial"/>
          <w:sz w:val="18"/>
          <w:szCs w:val="18"/>
        </w:rPr>
      </w:pPr>
      <w:r w:rsidRPr="00735726">
        <w:rPr>
          <w:rFonts w:ascii="Arial" w:hAnsi="Arial" w:cs="Arial"/>
          <w:sz w:val="18"/>
          <w:szCs w:val="18"/>
        </w:rPr>
        <w:t xml:space="preserve">In July 2025, we announced the retirement of Susan Davy as Chief Executive Officer. During her 11 years as a member of the Board, Susan successfully led the affairs of the Company through a period of substantial development and growth. I would like to thank Susan for her service to the Company and our stakeholders. Effective </w:t>
      </w:r>
      <w:r w:rsidR="007850CE" w:rsidRPr="00735726">
        <w:rPr>
          <w:rFonts w:ascii="Arial" w:hAnsi="Arial" w:cs="Arial"/>
          <w:sz w:val="18"/>
          <w:szCs w:val="18"/>
        </w:rPr>
        <w:t>19 May</w:t>
      </w:r>
      <w:r w:rsidRPr="00735726">
        <w:rPr>
          <w:rFonts w:ascii="Arial" w:hAnsi="Arial" w:cs="Arial"/>
          <w:sz w:val="18"/>
          <w:szCs w:val="18"/>
        </w:rPr>
        <w:t xml:space="preserve"> 2026, we welcomed Keith Haslett as the Chief Executive Officer, whom I look forward to working with.</w:t>
      </w:r>
    </w:p>
    <w:p w14:paraId="722C05F0" w14:textId="17A4EFC6" w:rsidR="00857813" w:rsidRPr="009A2CAE" w:rsidRDefault="00857813" w:rsidP="00857813">
      <w:pPr>
        <w:spacing w:after="160" w:line="259" w:lineRule="auto"/>
        <w:rPr>
          <w:rFonts w:ascii="Arial" w:hAnsi="Arial" w:cs="Arial"/>
          <w:sz w:val="18"/>
          <w:szCs w:val="18"/>
        </w:rPr>
      </w:pPr>
      <w:r w:rsidRPr="00735726">
        <w:rPr>
          <w:rFonts w:ascii="Arial" w:hAnsi="Arial" w:cs="Arial"/>
          <w:sz w:val="18"/>
          <w:szCs w:val="18"/>
        </w:rPr>
        <w:t xml:space="preserve">The details of the process of his recruitment </w:t>
      </w:r>
      <w:proofErr w:type="gramStart"/>
      <w:r w:rsidRPr="00735726">
        <w:rPr>
          <w:rFonts w:ascii="Arial" w:hAnsi="Arial" w:cs="Arial"/>
          <w:sz w:val="18"/>
          <w:szCs w:val="18"/>
        </w:rPr>
        <w:t>is</w:t>
      </w:r>
      <w:proofErr w:type="gramEnd"/>
      <w:r w:rsidRPr="00735726">
        <w:rPr>
          <w:rFonts w:ascii="Arial" w:hAnsi="Arial" w:cs="Arial"/>
          <w:sz w:val="18"/>
          <w:szCs w:val="18"/>
        </w:rPr>
        <w:t xml:space="preserve"> in our Nomination Committee report on pages </w:t>
      </w:r>
      <w:r w:rsidR="00704734" w:rsidRPr="009A2CAE">
        <w:rPr>
          <w:rFonts w:ascii="Arial" w:hAnsi="Arial" w:cs="Arial"/>
          <w:sz w:val="18"/>
          <w:szCs w:val="18"/>
        </w:rPr>
        <w:t>125</w:t>
      </w:r>
      <w:r w:rsidRPr="009A2CAE">
        <w:rPr>
          <w:rFonts w:ascii="Arial" w:hAnsi="Arial" w:cs="Arial"/>
          <w:sz w:val="18"/>
          <w:szCs w:val="18"/>
        </w:rPr>
        <w:t xml:space="preserve"> to </w:t>
      </w:r>
      <w:r w:rsidR="00704734" w:rsidRPr="009A2CAE">
        <w:rPr>
          <w:rFonts w:ascii="Arial" w:hAnsi="Arial" w:cs="Arial"/>
          <w:sz w:val="18"/>
          <w:szCs w:val="18"/>
        </w:rPr>
        <w:t>129</w:t>
      </w:r>
      <w:r w:rsidR="00393163" w:rsidRPr="009A2CAE">
        <w:rPr>
          <w:rFonts w:ascii="Arial" w:hAnsi="Arial" w:cs="Arial"/>
          <w:sz w:val="18"/>
          <w:szCs w:val="18"/>
        </w:rPr>
        <w:t>.</w:t>
      </w:r>
    </w:p>
    <w:p w14:paraId="4EB75099" w14:textId="7921A6A2" w:rsidR="00D87F88" w:rsidRPr="009A2CAE" w:rsidRDefault="00857813" w:rsidP="00857813">
      <w:pPr>
        <w:spacing w:after="160" w:line="259" w:lineRule="auto"/>
        <w:rPr>
          <w:rFonts w:ascii="Arial" w:hAnsi="Arial" w:cs="Arial"/>
          <w:sz w:val="18"/>
          <w:szCs w:val="18"/>
        </w:rPr>
      </w:pPr>
      <w:r w:rsidRPr="00735726">
        <w:rPr>
          <w:rFonts w:ascii="Arial" w:hAnsi="Arial" w:cs="Arial"/>
          <w:sz w:val="18"/>
          <w:szCs w:val="18"/>
        </w:rPr>
        <w:t xml:space="preserve">Biographies of Andrea </w:t>
      </w:r>
      <w:proofErr w:type="spellStart"/>
      <w:r w:rsidRPr="00735726">
        <w:rPr>
          <w:rFonts w:ascii="Arial" w:hAnsi="Arial" w:cs="Arial"/>
          <w:sz w:val="18"/>
          <w:szCs w:val="18"/>
        </w:rPr>
        <w:t>Blance</w:t>
      </w:r>
      <w:proofErr w:type="spellEnd"/>
      <w:r w:rsidRPr="00735726">
        <w:rPr>
          <w:rFonts w:ascii="Arial" w:hAnsi="Arial" w:cs="Arial"/>
          <w:sz w:val="18"/>
          <w:szCs w:val="18"/>
        </w:rPr>
        <w:t xml:space="preserve"> and Sir Andrew Haines can be found on pages </w:t>
      </w:r>
      <w:r w:rsidR="00704734" w:rsidRPr="009A2CAE">
        <w:rPr>
          <w:rFonts w:ascii="Arial" w:hAnsi="Arial" w:cs="Arial"/>
          <w:sz w:val="18"/>
          <w:szCs w:val="18"/>
        </w:rPr>
        <w:t>102</w:t>
      </w:r>
      <w:r w:rsidRPr="009A2CAE">
        <w:rPr>
          <w:rFonts w:ascii="Arial" w:hAnsi="Arial" w:cs="Arial"/>
          <w:sz w:val="18"/>
          <w:szCs w:val="18"/>
        </w:rPr>
        <w:t xml:space="preserve"> to </w:t>
      </w:r>
      <w:r w:rsidR="00704734" w:rsidRPr="009A2CAE">
        <w:rPr>
          <w:rFonts w:ascii="Arial" w:hAnsi="Arial" w:cs="Arial"/>
          <w:sz w:val="18"/>
          <w:szCs w:val="18"/>
        </w:rPr>
        <w:t>104</w:t>
      </w:r>
      <w:r w:rsidRPr="009A2CAE">
        <w:rPr>
          <w:rFonts w:ascii="Arial" w:hAnsi="Arial" w:cs="Arial"/>
          <w:sz w:val="18"/>
          <w:szCs w:val="18"/>
        </w:rPr>
        <w:t>.</w:t>
      </w:r>
    </w:p>
    <w:p w14:paraId="699BEF05" w14:textId="77777777" w:rsidR="00D87F88" w:rsidRPr="00735726" w:rsidRDefault="00D87F88" w:rsidP="00D87F88">
      <w:pPr>
        <w:pStyle w:val="Headinglevel4"/>
        <w:spacing w:line="360" w:lineRule="auto"/>
        <w:outlineLvl w:val="0"/>
      </w:pPr>
      <w:r w:rsidRPr="00735726">
        <w:t xml:space="preserve">Promoting diversity </w:t>
      </w:r>
    </w:p>
    <w:p w14:paraId="41EB3CCA" w14:textId="52717A5E" w:rsidR="00D87F88" w:rsidRPr="00735726" w:rsidRDefault="00D87F88" w:rsidP="00D87F88">
      <w:pPr>
        <w:spacing w:after="160" w:line="259" w:lineRule="auto"/>
        <w:rPr>
          <w:rFonts w:ascii="Arial" w:hAnsi="Arial" w:cs="Arial"/>
          <w:sz w:val="18"/>
          <w:szCs w:val="18"/>
        </w:rPr>
      </w:pPr>
      <w:r w:rsidRPr="00735726">
        <w:rPr>
          <w:rFonts w:ascii="Arial" w:hAnsi="Arial" w:cs="Arial"/>
          <w:sz w:val="18"/>
          <w:szCs w:val="18"/>
        </w:rPr>
        <w:t xml:space="preserve">Diversity and inclusion (D&amp;I) continued to be a top priority for the Board and the Company during the year. Our Board composition is substantially ahead of the diversity targets suggested by the Parker Review and the FTSE Women Leaders Review. During the year, we were incredibly proud for our parent </w:t>
      </w:r>
      <w:r w:rsidR="003B36A4" w:rsidRPr="00735726">
        <w:rPr>
          <w:rFonts w:ascii="Arial" w:hAnsi="Arial" w:cs="Arial"/>
          <w:sz w:val="18"/>
          <w:szCs w:val="18"/>
        </w:rPr>
        <w:t>C</w:t>
      </w:r>
      <w:r w:rsidRPr="00735726">
        <w:rPr>
          <w:rFonts w:ascii="Arial" w:hAnsi="Arial" w:cs="Arial"/>
          <w:sz w:val="18"/>
          <w:szCs w:val="18"/>
        </w:rPr>
        <w:t>ompany, Pennon, to have moved from third position to first position for best performer in Women on Boards within the entire FTSE 250.</w:t>
      </w:r>
    </w:p>
    <w:p w14:paraId="7DA8485B" w14:textId="2353ADA3" w:rsidR="00D87F88" w:rsidRPr="00735726" w:rsidRDefault="00D87F88" w:rsidP="00D87F88">
      <w:pPr>
        <w:spacing w:after="160" w:line="259" w:lineRule="auto"/>
        <w:rPr>
          <w:rFonts w:ascii="Arial" w:hAnsi="Arial" w:cs="Arial"/>
          <w:sz w:val="18"/>
          <w:szCs w:val="18"/>
        </w:rPr>
      </w:pPr>
      <w:r w:rsidRPr="00735726">
        <w:rPr>
          <w:rFonts w:ascii="Arial" w:hAnsi="Arial" w:cs="Arial"/>
          <w:sz w:val="18"/>
          <w:szCs w:val="18"/>
        </w:rPr>
        <w:t>Our commitment to diversity is also reflected right across the business; our widespread commitment and focused drive to recruit talent from all backgrounds has the heartfelt support of our strong and diverse leadership team.</w:t>
      </w:r>
    </w:p>
    <w:p w14:paraId="701C810B" w14:textId="440BCE23" w:rsidR="00857813" w:rsidRPr="009A2CAE" w:rsidRDefault="00D87F88" w:rsidP="00D87F88">
      <w:pPr>
        <w:spacing w:after="160" w:line="259" w:lineRule="auto"/>
        <w:rPr>
          <w:rFonts w:ascii="Arial" w:hAnsi="Arial" w:cs="Arial"/>
          <w:sz w:val="18"/>
          <w:szCs w:val="18"/>
        </w:rPr>
      </w:pPr>
      <w:r w:rsidRPr="00735726">
        <w:rPr>
          <w:rFonts w:ascii="Arial" w:hAnsi="Arial" w:cs="Arial"/>
          <w:sz w:val="18"/>
          <w:szCs w:val="18"/>
        </w:rPr>
        <w:t xml:space="preserve">More information on our D&amp;I initiatives can be found on page </w:t>
      </w:r>
      <w:r w:rsidR="00704734" w:rsidRPr="009A2CAE">
        <w:rPr>
          <w:rFonts w:ascii="Arial" w:hAnsi="Arial" w:cs="Arial"/>
          <w:sz w:val="18"/>
          <w:szCs w:val="18"/>
        </w:rPr>
        <w:t>20</w:t>
      </w:r>
      <w:r w:rsidRPr="009A2CAE">
        <w:rPr>
          <w:rFonts w:ascii="Arial" w:hAnsi="Arial" w:cs="Arial"/>
          <w:sz w:val="18"/>
          <w:szCs w:val="18"/>
        </w:rPr>
        <w:t xml:space="preserve"> </w:t>
      </w:r>
      <w:r w:rsidRPr="00735726">
        <w:rPr>
          <w:rFonts w:ascii="Arial" w:hAnsi="Arial" w:cs="Arial"/>
          <w:sz w:val="18"/>
          <w:szCs w:val="18"/>
        </w:rPr>
        <w:t xml:space="preserve">and is in the Nomination Report on page </w:t>
      </w:r>
      <w:r w:rsidR="00704734" w:rsidRPr="009A2CAE">
        <w:rPr>
          <w:rFonts w:ascii="Arial" w:hAnsi="Arial" w:cs="Arial"/>
          <w:sz w:val="18"/>
          <w:szCs w:val="18"/>
        </w:rPr>
        <w:t>126</w:t>
      </w:r>
      <w:r w:rsidRPr="009A2CAE">
        <w:rPr>
          <w:rFonts w:ascii="Arial" w:hAnsi="Arial" w:cs="Arial"/>
          <w:sz w:val="18"/>
          <w:szCs w:val="18"/>
        </w:rPr>
        <w:t>.</w:t>
      </w:r>
      <w:r w:rsidR="00857813" w:rsidRPr="009A2CAE">
        <w:rPr>
          <w:rFonts w:ascii="Arial" w:hAnsi="Arial" w:cs="Arial"/>
          <w:sz w:val="18"/>
          <w:szCs w:val="18"/>
        </w:rPr>
        <w:br w:type="page"/>
      </w:r>
    </w:p>
    <w:p w14:paraId="0919F328" w14:textId="77777777" w:rsidR="00D87F88" w:rsidRPr="00735726" w:rsidRDefault="009F5FD8" w:rsidP="00D87F88">
      <w:pPr>
        <w:rPr>
          <w:rFonts w:ascii="Arial" w:hAnsi="Arial" w:cs="Arial"/>
          <w:sz w:val="18"/>
          <w:szCs w:val="18"/>
        </w:rPr>
      </w:pPr>
      <w:r w:rsidRPr="00735726">
        <w:rPr>
          <w:rFonts w:ascii="Arial" w:hAnsi="Arial" w:cs="Arial"/>
          <w:b/>
          <w:bCs/>
          <w:sz w:val="18"/>
          <w:szCs w:val="18"/>
        </w:rPr>
        <w:lastRenderedPageBreak/>
        <w:t>ENGAGING WITH OUR STAKEHOLDERS</w:t>
      </w:r>
      <w:r w:rsidRPr="00735726">
        <w:rPr>
          <w:rFonts w:ascii="Arial" w:hAnsi="Arial" w:cs="Arial"/>
          <w:b/>
          <w:bCs/>
          <w:sz w:val="18"/>
          <w:szCs w:val="18"/>
        </w:rPr>
        <w:br/>
      </w:r>
      <w:r w:rsidR="00D87F88" w:rsidRPr="00735726">
        <w:rPr>
          <w:rFonts w:ascii="Arial" w:hAnsi="Arial" w:cs="Arial"/>
          <w:sz w:val="18"/>
          <w:szCs w:val="18"/>
        </w:rPr>
        <w:t xml:space="preserve">Engaging with all our stakeholders has never been more essential, particularly in view of the national and global issues we are facing. All companies in the water sector face much scrutiny around their environmental impacts, so it is vital that we listen to and respond to our stakeholders’ views. We make sure to carefully consider all decisions and their likely impacts on our stakeholders. </w:t>
      </w:r>
    </w:p>
    <w:p w14:paraId="1314BDF3" w14:textId="31557360" w:rsidR="00D87F88" w:rsidRPr="00735726" w:rsidRDefault="00D87F88" w:rsidP="00D87F88">
      <w:pPr>
        <w:rPr>
          <w:rFonts w:ascii="Arial" w:hAnsi="Arial" w:cs="Arial"/>
          <w:sz w:val="18"/>
          <w:szCs w:val="18"/>
        </w:rPr>
      </w:pPr>
      <w:r w:rsidRPr="00735726">
        <w:rPr>
          <w:rFonts w:ascii="Arial" w:hAnsi="Arial" w:cs="Arial"/>
          <w:sz w:val="18"/>
          <w:szCs w:val="18"/>
        </w:rPr>
        <w:t>As part of our engagement with regulators, we were delighted to welcome the Secretary of State for Water and Flooding at the Department for Environment, Food and Rural Affairs (Defra), Minister Emma Hardy to our Board meeting in May 2025. During this visit, we highlighted our focus and commitment to creating sustainable and resilient water resources, battling storm overflows and pollutions, delivering our outcomes and building trust.</w:t>
      </w:r>
    </w:p>
    <w:p w14:paraId="2690C2E4" w14:textId="10682945" w:rsidR="00D87F88" w:rsidRPr="00735726" w:rsidRDefault="00D87F88" w:rsidP="00D87F88">
      <w:pPr>
        <w:rPr>
          <w:rFonts w:ascii="Arial" w:hAnsi="Arial" w:cs="Arial"/>
          <w:sz w:val="18"/>
          <w:szCs w:val="18"/>
        </w:rPr>
      </w:pPr>
      <w:r w:rsidRPr="00735726">
        <w:rPr>
          <w:rFonts w:ascii="Arial" w:hAnsi="Arial" w:cs="Arial"/>
          <w:sz w:val="18"/>
          <w:szCs w:val="18"/>
        </w:rPr>
        <w:t>The Board also welcomed Iain Coucher and David Black, the respective Chair and C</w:t>
      </w:r>
      <w:r w:rsidR="00A43F06" w:rsidRPr="00735726">
        <w:rPr>
          <w:rFonts w:ascii="Arial" w:hAnsi="Arial" w:cs="Arial"/>
          <w:sz w:val="18"/>
          <w:szCs w:val="18"/>
        </w:rPr>
        <w:t xml:space="preserve">hief </w:t>
      </w:r>
      <w:r w:rsidRPr="00735726">
        <w:rPr>
          <w:rFonts w:ascii="Arial" w:hAnsi="Arial" w:cs="Arial"/>
          <w:sz w:val="18"/>
          <w:szCs w:val="18"/>
        </w:rPr>
        <w:t>E</w:t>
      </w:r>
      <w:r w:rsidR="00A43F06" w:rsidRPr="00735726">
        <w:rPr>
          <w:rFonts w:ascii="Arial" w:hAnsi="Arial" w:cs="Arial"/>
          <w:sz w:val="18"/>
          <w:szCs w:val="18"/>
        </w:rPr>
        <w:t xml:space="preserve">xecutive </w:t>
      </w:r>
      <w:r w:rsidRPr="00735726">
        <w:rPr>
          <w:rFonts w:ascii="Arial" w:hAnsi="Arial" w:cs="Arial"/>
          <w:sz w:val="18"/>
          <w:szCs w:val="18"/>
        </w:rPr>
        <w:t>O</w:t>
      </w:r>
      <w:r w:rsidR="00A43F06" w:rsidRPr="00735726">
        <w:rPr>
          <w:rFonts w:ascii="Arial" w:hAnsi="Arial" w:cs="Arial"/>
          <w:sz w:val="18"/>
          <w:szCs w:val="18"/>
        </w:rPr>
        <w:t>fficer</w:t>
      </w:r>
      <w:r w:rsidRPr="00735726">
        <w:rPr>
          <w:rFonts w:ascii="Arial" w:hAnsi="Arial" w:cs="Arial"/>
          <w:sz w:val="18"/>
          <w:szCs w:val="18"/>
        </w:rPr>
        <w:t xml:space="preserve"> of Ofwat, to its Board meeting during the year, where we had the opportunity to give comfort on our alignment with the PR24 Final Determinations, and how our strategic plans and investment projects are being delivered in line with regulatory expectations and customer needs.</w:t>
      </w:r>
    </w:p>
    <w:p w14:paraId="1327D812" w14:textId="78B21BED" w:rsidR="00D87F88" w:rsidRPr="00735726" w:rsidRDefault="00D87F88" w:rsidP="00D87F88">
      <w:pPr>
        <w:rPr>
          <w:rFonts w:ascii="Arial" w:hAnsi="Arial" w:cs="Arial"/>
          <w:sz w:val="18"/>
          <w:szCs w:val="18"/>
        </w:rPr>
      </w:pPr>
      <w:r w:rsidRPr="00735726">
        <w:rPr>
          <w:rFonts w:ascii="Arial" w:hAnsi="Arial" w:cs="Arial"/>
          <w:sz w:val="18"/>
          <w:szCs w:val="18"/>
        </w:rPr>
        <w:t xml:space="preserve">We continue to foster an open and transparent feedback culture within the business. All colleagues </w:t>
      </w:r>
      <w:proofErr w:type="gramStart"/>
      <w:r w:rsidRPr="00735726">
        <w:rPr>
          <w:rFonts w:ascii="Arial" w:hAnsi="Arial" w:cs="Arial"/>
          <w:sz w:val="18"/>
          <w:szCs w:val="18"/>
        </w:rPr>
        <w:t>have the opportunity to</w:t>
      </w:r>
      <w:proofErr w:type="gramEnd"/>
      <w:r w:rsidRPr="00735726">
        <w:rPr>
          <w:rFonts w:ascii="Arial" w:hAnsi="Arial" w:cs="Arial"/>
          <w:sz w:val="18"/>
          <w:szCs w:val="18"/>
        </w:rPr>
        <w:t xml:space="preserve"> share feedback with the Executive team and Board in several ways, including the Big Chat initiative, our employee surveys and Be the Future Forums.</w:t>
      </w:r>
    </w:p>
    <w:p w14:paraId="716BD8FA" w14:textId="12351604" w:rsidR="00D87F88" w:rsidRPr="009A2CAE" w:rsidRDefault="00D87F88" w:rsidP="00D87F88">
      <w:pPr>
        <w:rPr>
          <w:rFonts w:ascii="Arial" w:hAnsi="Arial" w:cs="Arial"/>
          <w:sz w:val="18"/>
          <w:szCs w:val="18"/>
        </w:rPr>
      </w:pPr>
      <w:r w:rsidRPr="00735726">
        <w:rPr>
          <w:rFonts w:ascii="Arial" w:hAnsi="Arial" w:cs="Arial"/>
          <w:sz w:val="18"/>
          <w:szCs w:val="18"/>
        </w:rPr>
        <w:t xml:space="preserve">You can read more on how we engage with our stakeholders on pages </w:t>
      </w:r>
      <w:r w:rsidR="00704734" w:rsidRPr="009A2CAE">
        <w:rPr>
          <w:rFonts w:ascii="Arial" w:hAnsi="Arial" w:cs="Arial"/>
          <w:sz w:val="18"/>
          <w:szCs w:val="18"/>
        </w:rPr>
        <w:t xml:space="preserve">118 </w:t>
      </w:r>
      <w:r w:rsidRPr="009A2CAE">
        <w:rPr>
          <w:rFonts w:ascii="Arial" w:hAnsi="Arial" w:cs="Arial"/>
          <w:sz w:val="18"/>
          <w:szCs w:val="18"/>
        </w:rPr>
        <w:t xml:space="preserve">to </w:t>
      </w:r>
      <w:r w:rsidR="00704734" w:rsidRPr="009A2CAE">
        <w:rPr>
          <w:rFonts w:ascii="Arial" w:hAnsi="Arial" w:cs="Arial"/>
          <w:sz w:val="18"/>
          <w:szCs w:val="18"/>
        </w:rPr>
        <w:t>119</w:t>
      </w:r>
      <w:r w:rsidRPr="009A2CAE">
        <w:rPr>
          <w:rFonts w:ascii="Arial" w:hAnsi="Arial" w:cs="Arial"/>
          <w:sz w:val="18"/>
          <w:szCs w:val="18"/>
        </w:rPr>
        <w:t xml:space="preserve"> </w:t>
      </w:r>
      <w:r w:rsidRPr="00735726">
        <w:rPr>
          <w:rFonts w:ascii="Arial" w:hAnsi="Arial" w:cs="Arial"/>
          <w:sz w:val="18"/>
          <w:szCs w:val="18"/>
        </w:rPr>
        <w:t>and in our Section 172(1) statement on page</w:t>
      </w:r>
      <w:r w:rsidR="00704734" w:rsidRPr="00735726">
        <w:rPr>
          <w:rFonts w:ascii="Arial" w:hAnsi="Arial" w:cs="Arial"/>
          <w:sz w:val="18"/>
          <w:szCs w:val="18"/>
        </w:rPr>
        <w:t>s</w:t>
      </w:r>
      <w:r w:rsidRPr="00735726">
        <w:rPr>
          <w:rFonts w:ascii="Arial" w:hAnsi="Arial" w:cs="Arial"/>
          <w:sz w:val="18"/>
          <w:szCs w:val="18"/>
        </w:rPr>
        <w:t xml:space="preserve"> </w:t>
      </w:r>
      <w:r w:rsidR="00704734" w:rsidRPr="009A2CAE">
        <w:rPr>
          <w:rFonts w:ascii="Arial" w:hAnsi="Arial" w:cs="Arial"/>
          <w:sz w:val="18"/>
          <w:szCs w:val="18"/>
        </w:rPr>
        <w:t>1</w:t>
      </w:r>
      <w:r w:rsidR="00393163" w:rsidRPr="009A2CAE">
        <w:rPr>
          <w:rFonts w:ascii="Arial" w:hAnsi="Arial" w:cs="Arial"/>
          <w:sz w:val="18"/>
          <w:szCs w:val="18"/>
        </w:rPr>
        <w:t>2</w:t>
      </w:r>
      <w:r w:rsidR="00704734" w:rsidRPr="009A2CAE">
        <w:rPr>
          <w:rFonts w:ascii="Arial" w:hAnsi="Arial" w:cs="Arial"/>
          <w:sz w:val="18"/>
          <w:szCs w:val="18"/>
        </w:rPr>
        <w:t>2 to 124</w:t>
      </w:r>
      <w:r w:rsidRPr="009A2CAE">
        <w:rPr>
          <w:rFonts w:ascii="Arial" w:hAnsi="Arial" w:cs="Arial"/>
          <w:sz w:val="18"/>
          <w:szCs w:val="18"/>
        </w:rPr>
        <w:t>.</w:t>
      </w:r>
    </w:p>
    <w:p w14:paraId="1DF7DF0B" w14:textId="7984A99D" w:rsidR="00270C9F" w:rsidRPr="00735726" w:rsidRDefault="009F5FD8" w:rsidP="00D87F88">
      <w:r w:rsidRPr="00735726">
        <w:rPr>
          <w:rFonts w:ascii="Arial" w:eastAsia="Times New Roman" w:hAnsi="Arial" w:cs="Arial"/>
          <w:b/>
          <w:bCs/>
          <w:caps/>
          <w:color w:val="000000"/>
          <w:sz w:val="18"/>
          <w:szCs w:val="18"/>
        </w:rPr>
        <w:t xml:space="preserve">Culture </w:t>
      </w:r>
      <w:r w:rsidR="00270C9F" w:rsidRPr="00735726">
        <w:rPr>
          <w:rFonts w:ascii="Arial" w:eastAsia="Times New Roman" w:hAnsi="Arial" w:cs="Arial"/>
          <w:b/>
          <w:bCs/>
          <w:caps/>
          <w:color w:val="000000"/>
          <w:sz w:val="18"/>
          <w:szCs w:val="18"/>
        </w:rPr>
        <w:br/>
      </w:r>
      <w:r w:rsidR="00270C9F" w:rsidRPr="00735726">
        <w:rPr>
          <w:rFonts w:ascii="Arial" w:hAnsi="Arial" w:cs="Arial"/>
          <w:sz w:val="18"/>
          <w:szCs w:val="18"/>
        </w:rPr>
        <w:t xml:space="preserve">As a Board we pay particular attention to our Company’s culture, ensuring it is fully aligned with our shared purpose, values, and strategy. We continue to monitor these essential properties and receive regular reports from management on the work being done to ensure their continuous improvement. During the year, the Board were delighted to see the development of the Company’s new values which reflect the views of our wider stakeholders and culture. </w:t>
      </w:r>
    </w:p>
    <w:p w14:paraId="772462AE" w14:textId="77777777" w:rsidR="004F030D" w:rsidRPr="00735726" w:rsidRDefault="004F030D" w:rsidP="004F030D">
      <w:pPr>
        <w:pStyle w:val="Headinglevel4"/>
        <w:spacing w:line="360" w:lineRule="auto"/>
        <w:outlineLvl w:val="0"/>
      </w:pPr>
      <w:r w:rsidRPr="00735726">
        <w:t>role of the board and its effectiveness</w:t>
      </w:r>
    </w:p>
    <w:p w14:paraId="6A14CA68" w14:textId="0E90555E" w:rsidR="00270C9F" w:rsidRPr="009A2CAE" w:rsidRDefault="00270C9F" w:rsidP="00270C9F">
      <w:pPr>
        <w:rPr>
          <w:rFonts w:ascii="Arial" w:hAnsi="Arial" w:cs="Arial"/>
          <w:sz w:val="18"/>
          <w:szCs w:val="18"/>
        </w:rPr>
      </w:pPr>
      <w:r w:rsidRPr="00735726">
        <w:rPr>
          <w:rFonts w:ascii="Arial" w:hAnsi="Arial" w:cs="Arial"/>
          <w:sz w:val="18"/>
          <w:szCs w:val="18"/>
        </w:rPr>
        <w:t>It is my view that the Board continues to be highly effective with a deep understanding of the opportunities available to us and the threats facing the business. The results of this year’s Board and Committee performance reviews support this view; see page</w:t>
      </w:r>
      <w:r w:rsidR="00704734" w:rsidRPr="00735726">
        <w:rPr>
          <w:rFonts w:ascii="Arial" w:hAnsi="Arial" w:cs="Arial"/>
          <w:sz w:val="18"/>
          <w:szCs w:val="18"/>
        </w:rPr>
        <w:t>s</w:t>
      </w:r>
      <w:r w:rsidRPr="00735726">
        <w:rPr>
          <w:rFonts w:ascii="Arial" w:hAnsi="Arial" w:cs="Arial"/>
          <w:sz w:val="18"/>
          <w:szCs w:val="18"/>
        </w:rPr>
        <w:t xml:space="preserve"> </w:t>
      </w:r>
      <w:r w:rsidR="00704734" w:rsidRPr="009A2CAE">
        <w:rPr>
          <w:rFonts w:ascii="Arial" w:hAnsi="Arial" w:cs="Arial"/>
          <w:sz w:val="18"/>
          <w:szCs w:val="18"/>
        </w:rPr>
        <w:t xml:space="preserve">128 </w:t>
      </w:r>
      <w:r w:rsidR="0064245F" w:rsidRPr="009A2CAE">
        <w:rPr>
          <w:rFonts w:ascii="Arial" w:hAnsi="Arial" w:cs="Arial"/>
          <w:sz w:val="18"/>
          <w:szCs w:val="18"/>
        </w:rPr>
        <w:t xml:space="preserve">to </w:t>
      </w:r>
      <w:r w:rsidR="00704734" w:rsidRPr="009A2CAE">
        <w:rPr>
          <w:rFonts w:ascii="Arial" w:hAnsi="Arial" w:cs="Arial"/>
          <w:sz w:val="18"/>
          <w:szCs w:val="18"/>
        </w:rPr>
        <w:t>129</w:t>
      </w:r>
      <w:r w:rsidRPr="009A2CAE">
        <w:rPr>
          <w:rFonts w:ascii="Arial" w:hAnsi="Arial" w:cs="Arial"/>
          <w:sz w:val="18"/>
          <w:szCs w:val="18"/>
        </w:rPr>
        <w:t xml:space="preserve"> </w:t>
      </w:r>
      <w:r w:rsidRPr="00735726">
        <w:rPr>
          <w:rFonts w:ascii="Arial" w:hAnsi="Arial" w:cs="Arial"/>
          <w:sz w:val="18"/>
          <w:szCs w:val="18"/>
        </w:rPr>
        <w:t xml:space="preserve">for further detail. We keep all identified threats to the future success of the business under constant review. Please see our risk report on pages </w:t>
      </w:r>
      <w:r w:rsidR="00704734" w:rsidRPr="009A2CAE">
        <w:rPr>
          <w:rFonts w:ascii="Arial" w:hAnsi="Arial" w:cs="Arial"/>
          <w:sz w:val="18"/>
          <w:szCs w:val="18"/>
        </w:rPr>
        <w:t xml:space="preserve">62 </w:t>
      </w:r>
      <w:r w:rsidR="0064245F" w:rsidRPr="009A2CAE">
        <w:rPr>
          <w:rFonts w:ascii="Arial" w:hAnsi="Arial" w:cs="Arial"/>
          <w:sz w:val="18"/>
          <w:szCs w:val="18"/>
        </w:rPr>
        <w:t xml:space="preserve">to </w:t>
      </w:r>
      <w:r w:rsidR="00704734" w:rsidRPr="009A2CAE">
        <w:rPr>
          <w:rFonts w:ascii="Arial" w:hAnsi="Arial" w:cs="Arial"/>
          <w:sz w:val="18"/>
          <w:szCs w:val="18"/>
        </w:rPr>
        <w:t>74</w:t>
      </w:r>
      <w:r w:rsidRPr="009A2CAE">
        <w:rPr>
          <w:rFonts w:ascii="Arial" w:hAnsi="Arial" w:cs="Arial"/>
          <w:sz w:val="18"/>
          <w:szCs w:val="18"/>
        </w:rPr>
        <w:t xml:space="preserve"> </w:t>
      </w:r>
      <w:r w:rsidRPr="00735726">
        <w:rPr>
          <w:rFonts w:ascii="Arial" w:hAnsi="Arial" w:cs="Arial"/>
          <w:sz w:val="18"/>
          <w:szCs w:val="18"/>
        </w:rPr>
        <w:t xml:space="preserve">for a description of the risks we identify and review. </w:t>
      </w:r>
    </w:p>
    <w:p w14:paraId="4C58FE41" w14:textId="77777777" w:rsidR="004F030D" w:rsidRPr="00735726" w:rsidRDefault="004F030D" w:rsidP="004F030D">
      <w:pPr>
        <w:pStyle w:val="Headinglevel4"/>
        <w:spacing w:line="360" w:lineRule="auto"/>
        <w:outlineLvl w:val="0"/>
      </w:pPr>
      <w:r w:rsidRPr="00735726">
        <w:t xml:space="preserve">Board independence - </w:t>
      </w:r>
      <w:proofErr w:type="gramStart"/>
      <w:r w:rsidRPr="00735726">
        <w:t>South West</w:t>
      </w:r>
      <w:proofErr w:type="gramEnd"/>
      <w:r w:rsidRPr="00735726">
        <w:t xml:space="preserve"> Water, BRISTOL WATER and Pennon </w:t>
      </w:r>
    </w:p>
    <w:p w14:paraId="677E8AE9" w14:textId="77777777" w:rsidR="00635EBE" w:rsidRPr="00735726" w:rsidRDefault="004F030D" w:rsidP="00635EBE">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In accordance with Ofwat’s principles on board leadership, transparency and governance, the Company maintains separate and independent boards for </w:t>
      </w:r>
      <w:proofErr w:type="gramStart"/>
      <w:r w:rsidRPr="00735726">
        <w:rPr>
          <w:rFonts w:eastAsiaTheme="minorHAnsi"/>
          <w:b w:val="0"/>
          <w:bCs w:val="0"/>
          <w:caps w:val="0"/>
          <w:color w:val="auto"/>
        </w:rPr>
        <w:t>South West</w:t>
      </w:r>
      <w:proofErr w:type="gramEnd"/>
      <w:r w:rsidRPr="00735726">
        <w:rPr>
          <w:rFonts w:eastAsiaTheme="minorHAnsi"/>
          <w:b w:val="0"/>
          <w:bCs w:val="0"/>
          <w:caps w:val="0"/>
          <w:color w:val="auto"/>
        </w:rPr>
        <w:t xml:space="preserve"> Water</w:t>
      </w:r>
      <w:r w:rsidRPr="00735726">
        <w:t xml:space="preserve"> </w:t>
      </w:r>
      <w:r w:rsidRPr="00735726">
        <w:rPr>
          <w:rFonts w:eastAsiaTheme="minorHAnsi"/>
          <w:b w:val="0"/>
          <w:bCs w:val="0"/>
          <w:caps w:val="0"/>
          <w:color w:val="auto"/>
        </w:rPr>
        <w:t>and our parent Company, Pennon.</w:t>
      </w:r>
    </w:p>
    <w:p w14:paraId="39A813DF" w14:textId="77777777" w:rsidR="00635EBE" w:rsidRPr="00735726" w:rsidRDefault="00635EBE" w:rsidP="00635EBE">
      <w:pPr>
        <w:pStyle w:val="Headinglevel4"/>
        <w:spacing w:line="276" w:lineRule="auto"/>
        <w:outlineLvl w:val="0"/>
        <w:rPr>
          <w:rFonts w:eastAsiaTheme="minorHAnsi"/>
          <w:b w:val="0"/>
          <w:bCs w:val="0"/>
          <w:caps w:val="0"/>
          <w:color w:val="auto"/>
        </w:rPr>
      </w:pPr>
    </w:p>
    <w:p w14:paraId="72B474F5" w14:textId="7CA3F983" w:rsidR="00270C9F" w:rsidRPr="00735726" w:rsidRDefault="00270C9F" w:rsidP="00635EBE">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Our system of governance remains appropriate and effective, while continuing to support the delivery of our strategy.</w:t>
      </w:r>
    </w:p>
    <w:p w14:paraId="69F428A8" w14:textId="77777777" w:rsidR="00635EBE" w:rsidRPr="00735726" w:rsidRDefault="00635EBE" w:rsidP="00635EBE">
      <w:pPr>
        <w:pStyle w:val="Headinglevel4"/>
        <w:spacing w:line="276" w:lineRule="auto"/>
        <w:outlineLvl w:val="0"/>
        <w:rPr>
          <w:rFonts w:eastAsiaTheme="minorHAnsi"/>
          <w:b w:val="0"/>
          <w:bCs w:val="0"/>
          <w:caps w:val="0"/>
          <w:color w:val="auto"/>
        </w:rPr>
      </w:pPr>
    </w:p>
    <w:p w14:paraId="0FF7DE35" w14:textId="25CD37EF" w:rsidR="00270C9F" w:rsidRPr="00735726" w:rsidRDefault="00270C9F" w:rsidP="00270C9F">
      <w:pPr>
        <w:rPr>
          <w:rFonts w:ascii="Arial" w:hAnsi="Arial" w:cs="Arial"/>
          <w:sz w:val="18"/>
          <w:szCs w:val="18"/>
        </w:rPr>
      </w:pPr>
      <w:r w:rsidRPr="00735726">
        <w:rPr>
          <w:rFonts w:ascii="Arial" w:hAnsi="Arial" w:cs="Arial"/>
          <w:sz w:val="18"/>
          <w:szCs w:val="18"/>
        </w:rPr>
        <w:t xml:space="preserve">Our Board and Committee framework also allows us to remain efficient in our decision-making processes.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Board convenes on the same day as each Pennon Board meeting and considers all key relevant issues. This arrangement allows full operational oversight and governance by the boards over the Company’s water interests, while the Pennon Board continues to focus on strategic forward-looking matters for the Company as a whole. </w:t>
      </w:r>
    </w:p>
    <w:p w14:paraId="33E82AD5" w14:textId="2BC71028" w:rsidR="00270C9F" w:rsidRPr="00735726" w:rsidRDefault="009F5FD8" w:rsidP="00270C9F">
      <w:pPr>
        <w:rPr>
          <w:rFonts w:ascii="Arial" w:hAnsi="Arial" w:cs="Arial"/>
          <w:sz w:val="18"/>
          <w:szCs w:val="18"/>
        </w:rPr>
      </w:pPr>
      <w:r w:rsidRPr="00735726">
        <w:rPr>
          <w:rFonts w:ascii="Arial" w:hAnsi="Arial" w:cs="Arial"/>
          <w:b/>
          <w:bCs/>
          <w:sz w:val="18"/>
          <w:szCs w:val="18"/>
        </w:rPr>
        <w:t>LOOKING AHEAD</w:t>
      </w:r>
      <w:r w:rsidRPr="00735726">
        <w:rPr>
          <w:rFonts w:ascii="Arial" w:hAnsi="Arial" w:cs="Arial"/>
          <w:b/>
          <w:bCs/>
          <w:sz w:val="18"/>
          <w:szCs w:val="18"/>
        </w:rPr>
        <w:br/>
      </w:r>
      <w:r w:rsidR="00270C9F" w:rsidRPr="00735726">
        <w:rPr>
          <w:rFonts w:ascii="Arial" w:hAnsi="Arial" w:cs="Arial"/>
          <w:sz w:val="18"/>
          <w:szCs w:val="18"/>
        </w:rPr>
        <w:t>I would like to take this opportunity to thank my Board colleagues, the management team and our wider workforce for their outstanding work over the year just gone.</w:t>
      </w:r>
    </w:p>
    <w:p w14:paraId="6CC00DBC" w14:textId="02899CEA" w:rsidR="00270C9F" w:rsidRPr="00735726" w:rsidRDefault="00270C9F" w:rsidP="00270C9F">
      <w:pPr>
        <w:rPr>
          <w:rFonts w:ascii="Arial" w:hAnsi="Arial" w:cs="Arial"/>
          <w:sz w:val="18"/>
          <w:szCs w:val="18"/>
        </w:rPr>
      </w:pPr>
      <w:r w:rsidRPr="00735726">
        <w:rPr>
          <w:rFonts w:ascii="Arial" w:hAnsi="Arial" w:cs="Arial"/>
          <w:sz w:val="18"/>
          <w:szCs w:val="18"/>
        </w:rPr>
        <w:t xml:space="preserve">The Board will continue to focus on delivering against our strategic priorities in the year ahead, ensuring the wellbeing of our workforce as we build on the work of the last year in creating a successful and sustainable business. </w:t>
      </w:r>
    </w:p>
    <w:p w14:paraId="37B47FF0" w14:textId="77777777" w:rsidR="00270C9F" w:rsidRPr="009A2CAE" w:rsidRDefault="00270C9F">
      <w:pPr>
        <w:spacing w:after="160" w:line="259" w:lineRule="auto"/>
        <w:rPr>
          <w:rFonts w:ascii="Arial" w:hAnsi="Arial" w:cs="Arial"/>
          <w:sz w:val="18"/>
          <w:szCs w:val="18"/>
        </w:rPr>
      </w:pPr>
      <w:r w:rsidRPr="009A2CAE">
        <w:rPr>
          <w:rFonts w:ascii="Arial" w:hAnsi="Arial" w:cs="Arial"/>
          <w:sz w:val="18"/>
          <w:szCs w:val="18"/>
        </w:rPr>
        <w:br w:type="page"/>
      </w:r>
    </w:p>
    <w:p w14:paraId="5BBFCB2B" w14:textId="5C4D2D01" w:rsidR="004F030D" w:rsidRPr="00735726" w:rsidRDefault="009B4847" w:rsidP="009F5FD8">
      <w:pPr>
        <w:pStyle w:val="AccountsHeading"/>
        <w:outlineLvl w:val="0"/>
      </w:pPr>
      <w:r w:rsidRPr="00735726">
        <w:lastRenderedPageBreak/>
        <w:t>OUR</w:t>
      </w:r>
      <w:r w:rsidR="004F030D" w:rsidRPr="00735726">
        <w:t xml:space="preserve"> BOARD AND EXECUTIVE TEAM</w:t>
      </w: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0"/>
      </w:tblGrid>
      <w:tr w:rsidR="004F030D" w:rsidRPr="00735726" w14:paraId="56644DC1" w14:textId="77777777" w:rsidTr="00881565">
        <w:tc>
          <w:tcPr>
            <w:tcW w:w="9140" w:type="dxa"/>
            <w:tcMar>
              <w:top w:w="57" w:type="dxa"/>
              <w:left w:w="57" w:type="dxa"/>
              <w:bottom w:w="57" w:type="dxa"/>
              <w:right w:w="57" w:type="dxa"/>
            </w:tcMar>
          </w:tcPr>
          <w:p w14:paraId="551B04A7" w14:textId="7BB8E7B6" w:rsidR="009F5FD8" w:rsidRPr="00735726" w:rsidRDefault="009B4847" w:rsidP="009F5FD8">
            <w:pPr>
              <w:pStyle w:val="03body"/>
              <w:spacing w:line="276" w:lineRule="auto"/>
              <w:rPr>
                <w:b/>
                <w:color w:val="auto"/>
              </w:rPr>
            </w:pPr>
            <w:r w:rsidRPr="00735726">
              <w:rPr>
                <w:b/>
                <w:color w:val="auto"/>
              </w:rPr>
              <w:t>David Sproul</w:t>
            </w:r>
            <w:r w:rsidR="009F5FD8" w:rsidRPr="00735726">
              <w:rPr>
                <w:b/>
                <w:color w:val="auto"/>
              </w:rPr>
              <w:t xml:space="preserve"> </w:t>
            </w:r>
          </w:p>
          <w:p w14:paraId="651449E9" w14:textId="088E62F9" w:rsidR="004F030D" w:rsidRPr="009A2CAE" w:rsidRDefault="009F5FD8" w:rsidP="009F5FD8">
            <w:pPr>
              <w:pStyle w:val="03body"/>
              <w:spacing w:after="10" w:line="276" w:lineRule="auto"/>
            </w:pPr>
            <w:r w:rsidRPr="00735726">
              <w:rPr>
                <w:bCs/>
                <w:color w:val="auto"/>
              </w:rPr>
              <w:t>Chair</w:t>
            </w:r>
          </w:p>
        </w:tc>
      </w:tr>
      <w:tr w:rsidR="009F5FD8" w:rsidRPr="00735726" w14:paraId="7FD31653" w14:textId="77777777" w:rsidTr="00881565">
        <w:tc>
          <w:tcPr>
            <w:tcW w:w="9140" w:type="dxa"/>
            <w:tcMar>
              <w:top w:w="57" w:type="dxa"/>
              <w:left w:w="57" w:type="dxa"/>
              <w:bottom w:w="57" w:type="dxa"/>
              <w:right w:w="57" w:type="dxa"/>
            </w:tcMar>
          </w:tcPr>
          <w:p w14:paraId="625C3872" w14:textId="77777777" w:rsidR="009F5FD8" w:rsidRPr="00735726" w:rsidRDefault="009F5FD8" w:rsidP="00A356B1">
            <w:pPr>
              <w:pStyle w:val="03body"/>
              <w:spacing w:after="10" w:line="276" w:lineRule="auto"/>
              <w:rPr>
                <w:color w:val="auto"/>
              </w:rPr>
            </w:pPr>
            <w:r w:rsidRPr="00735726">
              <w:rPr>
                <w:b/>
              </w:rPr>
              <w:t>A</w:t>
            </w:r>
            <w:r w:rsidRPr="00735726">
              <w:rPr>
                <w:b/>
                <w:color w:val="auto"/>
              </w:rPr>
              <w:t>ppointment to the Board</w:t>
            </w:r>
            <w:r w:rsidRPr="00735726">
              <w:t xml:space="preserve"> </w:t>
            </w:r>
            <w:r w:rsidR="009B4847" w:rsidRPr="00735726">
              <w:rPr>
                <w:color w:val="auto"/>
              </w:rPr>
              <w:t xml:space="preserve">David was appointed to the Board on 1 July 2024 and became the Chair of </w:t>
            </w:r>
            <w:proofErr w:type="gramStart"/>
            <w:r w:rsidR="009B4847" w:rsidRPr="00735726">
              <w:rPr>
                <w:color w:val="auto"/>
              </w:rPr>
              <w:t>South West</w:t>
            </w:r>
            <w:proofErr w:type="gramEnd"/>
            <w:r w:rsidR="009B4847" w:rsidRPr="00735726">
              <w:rPr>
                <w:color w:val="auto"/>
              </w:rPr>
              <w:t xml:space="preserve"> Water on 24 July 2024.</w:t>
            </w:r>
          </w:p>
          <w:p w14:paraId="01FBEE94" w14:textId="77777777" w:rsidR="00AD5813" w:rsidRPr="009A2CAE" w:rsidRDefault="00AD5813" w:rsidP="00A356B1">
            <w:pPr>
              <w:pStyle w:val="03body"/>
              <w:spacing w:after="10" w:line="276" w:lineRule="auto"/>
              <w:rPr>
                <w:color w:val="auto"/>
              </w:rPr>
            </w:pPr>
          </w:p>
          <w:p w14:paraId="0B38098D" w14:textId="2753AA69" w:rsidR="00AD5813" w:rsidRPr="009A2CAE" w:rsidRDefault="00F43EE8" w:rsidP="00A356B1">
            <w:pPr>
              <w:pStyle w:val="03body"/>
              <w:spacing w:after="10" w:line="276" w:lineRule="auto"/>
              <w:rPr>
                <w:color w:val="auto"/>
              </w:rPr>
            </w:pPr>
            <w:r w:rsidRPr="00735726">
              <w:rPr>
                <w:color w:val="auto"/>
              </w:rPr>
              <w:t>He</w:t>
            </w:r>
            <w:r w:rsidR="00772F5E" w:rsidRPr="00735726">
              <w:rPr>
                <w:color w:val="auto"/>
              </w:rPr>
              <w:t xml:space="preserve"> </w:t>
            </w:r>
            <w:r w:rsidR="00AD5813" w:rsidRPr="00735726">
              <w:rPr>
                <w:color w:val="auto"/>
              </w:rPr>
              <w:t xml:space="preserve">is Chair of the </w:t>
            </w:r>
            <w:r w:rsidR="00F36723" w:rsidRPr="00735726">
              <w:rPr>
                <w:color w:val="auto"/>
              </w:rPr>
              <w:t>Nomination</w:t>
            </w:r>
            <w:r w:rsidR="00AD5813" w:rsidRPr="00735726">
              <w:rPr>
                <w:color w:val="auto"/>
              </w:rPr>
              <w:t xml:space="preserve"> Committee.</w:t>
            </w:r>
          </w:p>
        </w:tc>
      </w:tr>
      <w:tr w:rsidR="00F36723" w:rsidRPr="00735726" w14:paraId="0D3C88F0" w14:textId="77777777" w:rsidTr="00881565">
        <w:tc>
          <w:tcPr>
            <w:tcW w:w="9140" w:type="dxa"/>
            <w:tcMar>
              <w:top w:w="57" w:type="dxa"/>
              <w:left w:w="57" w:type="dxa"/>
              <w:bottom w:w="57" w:type="dxa"/>
              <w:right w:w="57" w:type="dxa"/>
            </w:tcMar>
          </w:tcPr>
          <w:p w14:paraId="18303A62" w14:textId="73995646" w:rsidR="00F36723" w:rsidRPr="009A2CAE" w:rsidRDefault="00F36723" w:rsidP="00A356B1">
            <w:pPr>
              <w:pStyle w:val="03body"/>
              <w:spacing w:after="10" w:line="276" w:lineRule="auto"/>
              <w:rPr>
                <w:b/>
              </w:rPr>
            </w:pPr>
            <w:r w:rsidRPr="00735726">
              <w:rPr>
                <w:b/>
              </w:rPr>
              <w:t xml:space="preserve">Current external appointments </w:t>
            </w:r>
            <w:r w:rsidRPr="00735726">
              <w:t xml:space="preserve">Chair of Starling Bank Limited and </w:t>
            </w:r>
            <w:r w:rsidR="00F43EE8" w:rsidRPr="00735726">
              <w:t>N</w:t>
            </w:r>
            <w:r w:rsidRPr="00735726">
              <w:t>on-</w:t>
            </w:r>
            <w:r w:rsidR="00F43EE8" w:rsidRPr="00735726">
              <w:t>E</w:t>
            </w:r>
            <w:r w:rsidRPr="00735726">
              <w:t xml:space="preserve">xecutive </w:t>
            </w:r>
            <w:r w:rsidR="00267376" w:rsidRPr="00735726">
              <w:t>D</w:t>
            </w:r>
            <w:r w:rsidRPr="00735726">
              <w:t xml:space="preserve">irector on </w:t>
            </w:r>
            <w:proofErr w:type="spellStart"/>
            <w:r w:rsidRPr="00735726">
              <w:t>Safanad</w:t>
            </w:r>
            <w:proofErr w:type="spellEnd"/>
            <w:r w:rsidRPr="00735726">
              <w:t xml:space="preserve"> Limited</w:t>
            </w:r>
            <w:r w:rsidR="00F43EE8" w:rsidRPr="00735726">
              <w:t xml:space="preserve"> and Director of Pension Protection Fund</w:t>
            </w:r>
            <w:r w:rsidRPr="00735726">
              <w:t>. David is also a senior adviser to Bridgepoint Europe, and he sits on the Board of Governors as chair designate of University of Hertfordshire.</w:t>
            </w:r>
          </w:p>
        </w:tc>
      </w:tr>
      <w:tr w:rsidR="009F5FD8" w:rsidRPr="00735726" w14:paraId="06E3DD20" w14:textId="77777777" w:rsidTr="00881565">
        <w:tc>
          <w:tcPr>
            <w:tcW w:w="9140" w:type="dxa"/>
            <w:tcMar>
              <w:top w:w="57" w:type="dxa"/>
              <w:left w:w="57" w:type="dxa"/>
              <w:bottom w:w="57" w:type="dxa"/>
              <w:right w:w="57" w:type="dxa"/>
            </w:tcMar>
          </w:tcPr>
          <w:p w14:paraId="0FE65427" w14:textId="77777777" w:rsidR="009B4847" w:rsidRPr="00735726" w:rsidRDefault="009F5FD8" w:rsidP="009B4847">
            <w:pPr>
              <w:rPr>
                <w:rFonts w:ascii="Arial" w:eastAsia="Times New Roman" w:hAnsi="Arial" w:cs="DINOT-Light"/>
                <w:sz w:val="18"/>
                <w:szCs w:val="18"/>
              </w:rPr>
            </w:pPr>
            <w:r w:rsidRPr="00735726">
              <w:rPr>
                <w:rFonts w:ascii="Arial" w:eastAsia="Times New Roman" w:hAnsi="Arial" w:cs="DINOT-Light"/>
                <w:b/>
                <w:color w:val="000000"/>
                <w:sz w:val="18"/>
                <w:szCs w:val="18"/>
              </w:rPr>
              <w:t>Skills and experience</w:t>
            </w:r>
            <w:r w:rsidRPr="00735726">
              <w:rPr>
                <w:b/>
              </w:rPr>
              <w:t xml:space="preserve"> </w:t>
            </w:r>
            <w:r w:rsidR="009B4847" w:rsidRPr="00735726">
              <w:rPr>
                <w:rFonts w:ascii="Arial" w:eastAsia="Times New Roman" w:hAnsi="Arial" w:cs="DINOT-Light"/>
                <w:sz w:val="18"/>
                <w:szCs w:val="18"/>
              </w:rPr>
              <w:t xml:space="preserve">David is a Chartered Accountant who has spent </w:t>
            </w:r>
            <w:proofErr w:type="gramStart"/>
            <w:r w:rsidR="009B4847" w:rsidRPr="00735726">
              <w:rPr>
                <w:rFonts w:ascii="Arial" w:eastAsia="Times New Roman" w:hAnsi="Arial" w:cs="DINOT-Light"/>
                <w:sz w:val="18"/>
                <w:szCs w:val="18"/>
              </w:rPr>
              <w:t>the majority of</w:t>
            </w:r>
            <w:proofErr w:type="gramEnd"/>
            <w:r w:rsidR="009B4847" w:rsidRPr="00735726">
              <w:rPr>
                <w:rFonts w:ascii="Arial" w:eastAsia="Times New Roman" w:hAnsi="Arial" w:cs="DINOT-Light"/>
                <w:sz w:val="18"/>
                <w:szCs w:val="18"/>
              </w:rPr>
              <w:t xml:space="preserve"> his career in professional services with Deloitte and prior to that, Andersen, serving a diverse range of UK and international clients.</w:t>
            </w:r>
          </w:p>
          <w:p w14:paraId="3F825AD8" w14:textId="1F7F0B44" w:rsidR="009F5FD8" w:rsidRPr="009A2CAE" w:rsidRDefault="00F43EE8" w:rsidP="008A4B89">
            <w:pPr>
              <w:spacing w:after="0"/>
            </w:pPr>
            <w:r w:rsidRPr="00735726">
              <w:rPr>
                <w:rFonts w:ascii="Arial" w:eastAsia="Times New Roman" w:hAnsi="Arial" w:cs="DINOT-Light"/>
                <w:sz w:val="18"/>
                <w:szCs w:val="18"/>
              </w:rPr>
              <w:t>He</w:t>
            </w:r>
            <w:r w:rsidR="00772F5E" w:rsidRPr="00735726">
              <w:rPr>
                <w:rFonts w:ascii="Arial" w:eastAsia="Times New Roman" w:hAnsi="Arial" w:cs="DINOT-Light"/>
                <w:sz w:val="18"/>
                <w:szCs w:val="18"/>
              </w:rPr>
              <w:t xml:space="preserve"> </w:t>
            </w:r>
            <w:r w:rsidR="009B4847" w:rsidRPr="00735726">
              <w:rPr>
                <w:rFonts w:ascii="Arial" w:eastAsia="Times New Roman" w:hAnsi="Arial" w:cs="DINOT-Light"/>
                <w:sz w:val="18"/>
                <w:szCs w:val="18"/>
              </w:rPr>
              <w:t xml:space="preserve">concluded his </w:t>
            </w:r>
            <w:r w:rsidRPr="00735726">
              <w:rPr>
                <w:rFonts w:ascii="Arial" w:eastAsia="Times New Roman" w:hAnsi="Arial" w:cs="DINOT-Light"/>
                <w:sz w:val="18"/>
                <w:szCs w:val="18"/>
              </w:rPr>
              <w:t>E</w:t>
            </w:r>
            <w:r w:rsidR="009B4847" w:rsidRPr="00735726">
              <w:rPr>
                <w:rFonts w:ascii="Arial" w:eastAsia="Times New Roman" w:hAnsi="Arial" w:cs="DINOT-Light"/>
                <w:sz w:val="18"/>
                <w:szCs w:val="18"/>
              </w:rPr>
              <w:t xml:space="preserve">xecutive career at Deloitte in summer 2021 as Global Deputy CEO having previously been elected for two terms as Senior partner and Chief Executive of Deloitte UK and Northwest Europe from 2011 to 2019. During his leadership, the firm became the largest and most profitable professional services firm </w:t>
            </w:r>
            <w:r w:rsidRPr="00735726">
              <w:rPr>
                <w:rFonts w:ascii="Arial" w:eastAsia="Times New Roman" w:hAnsi="Arial" w:cs="DINOT-Light"/>
                <w:sz w:val="18"/>
                <w:szCs w:val="18"/>
              </w:rPr>
              <w:t>g</w:t>
            </w:r>
            <w:r w:rsidR="009B4847" w:rsidRPr="00735726">
              <w:rPr>
                <w:rFonts w:ascii="Arial" w:eastAsia="Times New Roman" w:hAnsi="Arial" w:cs="DINOT-Light"/>
                <w:sz w:val="18"/>
                <w:szCs w:val="18"/>
              </w:rPr>
              <w:t>lobally and</w:t>
            </w:r>
            <w:r w:rsidRPr="00735726">
              <w:rPr>
                <w:rFonts w:ascii="Arial" w:eastAsia="Times New Roman" w:hAnsi="Arial" w:cs="DINOT-Light"/>
                <w:sz w:val="18"/>
                <w:szCs w:val="18"/>
              </w:rPr>
              <w:t>,</w:t>
            </w:r>
            <w:r w:rsidR="009B4847" w:rsidRPr="00735726">
              <w:rPr>
                <w:rFonts w:ascii="Arial" w:eastAsia="Times New Roman" w:hAnsi="Arial" w:cs="DINOT-Light"/>
                <w:sz w:val="18"/>
                <w:szCs w:val="18"/>
              </w:rPr>
              <w:t xml:space="preserve"> in the UK, driven in part by significant investments in technology services, as well as differentiating itself as the Audit quality leader with a strong inclusive culture.</w:t>
            </w:r>
          </w:p>
        </w:tc>
      </w:tr>
    </w:tbl>
    <w:p w14:paraId="16546389" w14:textId="77777777" w:rsidR="004F030D" w:rsidRPr="009A2CAE" w:rsidRDefault="004F030D" w:rsidP="008A4B89">
      <w:pPr>
        <w:pStyle w:val="03body"/>
        <w:spacing w:after="10" w:line="240" w:lineRule="auto"/>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0"/>
      </w:tblGrid>
      <w:tr w:rsidR="004F030D" w:rsidRPr="00735726" w14:paraId="17184E80" w14:textId="77777777" w:rsidTr="00881565">
        <w:tc>
          <w:tcPr>
            <w:tcW w:w="9140" w:type="dxa"/>
            <w:tcMar>
              <w:top w:w="57" w:type="dxa"/>
              <w:left w:w="57" w:type="dxa"/>
              <w:bottom w:w="57" w:type="dxa"/>
              <w:right w:w="57" w:type="dxa"/>
            </w:tcMar>
          </w:tcPr>
          <w:p w14:paraId="4B3F0FFE" w14:textId="05829AA4" w:rsidR="00AD5813" w:rsidRPr="00735726" w:rsidRDefault="00F43EE8" w:rsidP="00AD5813">
            <w:pPr>
              <w:pStyle w:val="03body"/>
              <w:spacing w:after="10" w:line="276" w:lineRule="auto"/>
              <w:rPr>
                <w:b/>
              </w:rPr>
            </w:pPr>
            <w:r w:rsidRPr="00735726">
              <w:rPr>
                <w:b/>
                <w:color w:val="auto"/>
              </w:rPr>
              <w:t>Keith Haslett</w:t>
            </w:r>
          </w:p>
          <w:p w14:paraId="3E7B311F" w14:textId="0B4D5DE0" w:rsidR="004F030D" w:rsidRPr="00735726" w:rsidRDefault="009F5FD8" w:rsidP="00AD5813">
            <w:pPr>
              <w:pStyle w:val="03body"/>
              <w:spacing w:after="10" w:line="276" w:lineRule="auto"/>
            </w:pPr>
            <w:r w:rsidRPr="00735726">
              <w:rPr>
                <w:color w:val="auto"/>
              </w:rPr>
              <w:t xml:space="preserve">Chief Executive Officer of </w:t>
            </w:r>
            <w:proofErr w:type="gramStart"/>
            <w:r w:rsidRPr="00735726">
              <w:rPr>
                <w:color w:val="auto"/>
              </w:rPr>
              <w:t>South West</w:t>
            </w:r>
            <w:proofErr w:type="gramEnd"/>
            <w:r w:rsidRPr="00735726">
              <w:rPr>
                <w:color w:val="auto"/>
              </w:rPr>
              <w:t xml:space="preserve"> Water</w:t>
            </w:r>
            <w:r w:rsidR="00853C6B" w:rsidRPr="00735726">
              <w:rPr>
                <w:color w:val="auto"/>
              </w:rPr>
              <w:t xml:space="preserve"> and Pennon Group plc</w:t>
            </w:r>
          </w:p>
        </w:tc>
      </w:tr>
      <w:tr w:rsidR="009F5FD8" w:rsidRPr="00735726" w14:paraId="1623D1BC" w14:textId="77777777" w:rsidTr="00881565">
        <w:trPr>
          <w:trHeight w:val="989"/>
        </w:trPr>
        <w:tc>
          <w:tcPr>
            <w:tcW w:w="9140" w:type="dxa"/>
            <w:tcMar>
              <w:top w:w="57" w:type="dxa"/>
              <w:left w:w="57" w:type="dxa"/>
              <w:bottom w:w="57" w:type="dxa"/>
              <w:right w:w="57" w:type="dxa"/>
            </w:tcMar>
          </w:tcPr>
          <w:p w14:paraId="0884833A" w14:textId="0FAE1828" w:rsidR="009F5FD8" w:rsidRPr="00735726" w:rsidRDefault="009F5FD8" w:rsidP="009F5FD8">
            <w:pPr>
              <w:pStyle w:val="GenericStylesIntroduction2"/>
              <w:spacing w:after="10" w:line="276" w:lineRule="auto"/>
              <w:rPr>
                <w:rFonts w:ascii="Arial" w:hAnsi="Arial" w:cs="DINOT-Light"/>
                <w:sz w:val="18"/>
                <w:szCs w:val="18"/>
                <w:lang w:eastAsia="en-US"/>
              </w:rPr>
            </w:pPr>
            <w:r w:rsidRPr="00735726">
              <w:rPr>
                <w:rFonts w:ascii="Arial" w:hAnsi="Arial" w:cs="DINOT-Light"/>
                <w:b/>
                <w:sz w:val="18"/>
                <w:szCs w:val="18"/>
                <w:lang w:eastAsia="en-US"/>
              </w:rPr>
              <w:t>Appointment</w:t>
            </w:r>
            <w:r w:rsidRPr="00735726">
              <w:rPr>
                <w:rFonts w:ascii="Arial" w:hAnsi="Arial" w:cs="DINOT-Light"/>
                <w:sz w:val="18"/>
                <w:szCs w:val="18"/>
                <w:lang w:eastAsia="en-US"/>
              </w:rPr>
              <w:t xml:space="preserve"> </w:t>
            </w:r>
            <w:r w:rsidRPr="00735726">
              <w:rPr>
                <w:rFonts w:ascii="Arial" w:hAnsi="Arial" w:cs="DINOT-Light"/>
                <w:b/>
                <w:bCs/>
                <w:sz w:val="18"/>
                <w:szCs w:val="18"/>
                <w:lang w:eastAsia="en-US"/>
              </w:rPr>
              <w:t>to the Board</w:t>
            </w:r>
            <w:r w:rsidRPr="00735726">
              <w:rPr>
                <w:rFonts w:ascii="Arial" w:hAnsi="Arial" w:cs="DINOT-Light"/>
                <w:sz w:val="18"/>
                <w:szCs w:val="18"/>
                <w:lang w:eastAsia="en-US"/>
              </w:rPr>
              <w:t xml:space="preserve"> </w:t>
            </w:r>
            <w:r w:rsidR="00F43EE8" w:rsidRPr="00735726">
              <w:rPr>
                <w:rFonts w:ascii="Arial" w:hAnsi="Arial" w:cs="DINOT-Light"/>
                <w:sz w:val="18"/>
                <w:szCs w:val="18"/>
                <w:lang w:eastAsia="en-US"/>
              </w:rPr>
              <w:t>Keith</w:t>
            </w:r>
            <w:r w:rsidR="0057404F" w:rsidRPr="00735726">
              <w:rPr>
                <w:rFonts w:ascii="Arial" w:hAnsi="Arial" w:cs="DINOT-Light"/>
                <w:sz w:val="18"/>
                <w:szCs w:val="18"/>
                <w:lang w:eastAsia="en-US"/>
              </w:rPr>
              <w:t xml:space="preserve"> was appointed to the Board as Chief Executive Officer on </w:t>
            </w:r>
            <w:r w:rsidR="007850CE" w:rsidRPr="00735726">
              <w:rPr>
                <w:rFonts w:ascii="Arial" w:hAnsi="Arial" w:cs="DINOT-Light"/>
                <w:sz w:val="18"/>
                <w:szCs w:val="18"/>
                <w:lang w:eastAsia="en-US"/>
              </w:rPr>
              <w:t>19 May</w:t>
            </w:r>
            <w:r w:rsidR="00F43EE8" w:rsidRPr="00735726">
              <w:rPr>
                <w:rFonts w:ascii="Arial" w:hAnsi="Arial" w:cs="DINOT-Light"/>
                <w:sz w:val="18"/>
                <w:szCs w:val="18"/>
                <w:lang w:eastAsia="en-US"/>
              </w:rPr>
              <w:t xml:space="preserve"> 2026. </w:t>
            </w:r>
          </w:p>
          <w:p w14:paraId="5EAAF5DA" w14:textId="77777777" w:rsidR="009F5FD8" w:rsidRPr="00735726" w:rsidRDefault="009F5FD8" w:rsidP="009F5FD8">
            <w:pPr>
              <w:pStyle w:val="GenericStylesIntroduction2"/>
              <w:spacing w:after="10" w:line="276" w:lineRule="auto"/>
              <w:rPr>
                <w:rFonts w:ascii="Arial" w:hAnsi="Arial" w:cs="DINOT-Light"/>
                <w:sz w:val="12"/>
                <w:szCs w:val="12"/>
                <w:lang w:eastAsia="en-US"/>
              </w:rPr>
            </w:pPr>
          </w:p>
          <w:p w14:paraId="20130E99" w14:textId="38120846" w:rsidR="009F5FD8" w:rsidRPr="00735726" w:rsidRDefault="00F43EE8" w:rsidP="009F5FD8">
            <w:pPr>
              <w:pStyle w:val="GenericStylesIntroduction2"/>
              <w:spacing w:after="10" w:line="276" w:lineRule="auto"/>
              <w:rPr>
                <w:rFonts w:ascii="Arial" w:hAnsi="Arial" w:cs="DINOT-Light"/>
                <w:sz w:val="18"/>
                <w:szCs w:val="18"/>
                <w:lang w:eastAsia="en-US"/>
              </w:rPr>
            </w:pPr>
            <w:r w:rsidRPr="00735726">
              <w:rPr>
                <w:rFonts w:ascii="Arial" w:hAnsi="Arial" w:cs="DINOT-Light"/>
                <w:sz w:val="18"/>
                <w:szCs w:val="18"/>
                <w:lang w:eastAsia="en-US"/>
              </w:rPr>
              <w:t>He</w:t>
            </w:r>
            <w:r w:rsidR="009F5FD8" w:rsidRPr="00735726">
              <w:rPr>
                <w:rFonts w:ascii="Arial" w:hAnsi="Arial" w:cs="DINOT-Light"/>
                <w:sz w:val="18"/>
                <w:szCs w:val="18"/>
                <w:lang w:eastAsia="en-US"/>
              </w:rPr>
              <w:t xml:space="preserve"> is a member of the Environmental, Social and Governance Committee, Health and Safety Committee</w:t>
            </w:r>
            <w:r w:rsidR="00B33A0A" w:rsidRPr="00735726">
              <w:rPr>
                <w:rFonts w:ascii="Arial" w:hAnsi="Arial" w:cs="DINOT-Light"/>
                <w:sz w:val="18"/>
                <w:szCs w:val="18"/>
                <w:lang w:eastAsia="en-US"/>
              </w:rPr>
              <w:t xml:space="preserve"> and is Chair of the Pennon Executive Board</w:t>
            </w:r>
            <w:r w:rsidR="009F5FD8" w:rsidRPr="00735726">
              <w:rPr>
                <w:rFonts w:ascii="Arial" w:hAnsi="Arial" w:cs="DINOT-Light"/>
                <w:sz w:val="18"/>
                <w:szCs w:val="18"/>
                <w:lang w:eastAsia="en-US"/>
              </w:rPr>
              <w:t>.</w:t>
            </w:r>
          </w:p>
        </w:tc>
      </w:tr>
      <w:tr w:rsidR="00F36723" w:rsidRPr="00735726" w14:paraId="746CF7A2" w14:textId="77777777" w:rsidTr="00F43EE8">
        <w:trPr>
          <w:trHeight w:val="202"/>
        </w:trPr>
        <w:tc>
          <w:tcPr>
            <w:tcW w:w="9140" w:type="dxa"/>
            <w:tcMar>
              <w:top w:w="57" w:type="dxa"/>
              <w:left w:w="57" w:type="dxa"/>
              <w:bottom w:w="57" w:type="dxa"/>
              <w:right w:w="57" w:type="dxa"/>
            </w:tcMar>
          </w:tcPr>
          <w:p w14:paraId="651BBEA0" w14:textId="244DB988" w:rsidR="00F36723" w:rsidRPr="009A2CAE" w:rsidRDefault="00F36723" w:rsidP="00F36723">
            <w:pPr>
              <w:pStyle w:val="GenericStylesIntroduction2"/>
              <w:spacing w:after="10" w:line="276" w:lineRule="auto"/>
              <w:rPr>
                <w:rFonts w:ascii="Arial" w:hAnsi="Arial" w:cs="DINOT-Light"/>
                <w:b/>
                <w:sz w:val="18"/>
                <w:szCs w:val="18"/>
                <w:lang w:eastAsia="en-US"/>
              </w:rPr>
            </w:pPr>
            <w:r w:rsidRPr="00735726">
              <w:rPr>
                <w:rFonts w:ascii="Arial" w:hAnsi="Arial" w:cs="Arial"/>
                <w:b/>
                <w:sz w:val="18"/>
                <w:szCs w:val="18"/>
              </w:rPr>
              <w:t>Current external appointments</w:t>
            </w:r>
            <w:r w:rsidRPr="00735726">
              <w:t xml:space="preserve"> </w:t>
            </w:r>
            <w:r w:rsidR="00F43EE8" w:rsidRPr="00735726">
              <w:rPr>
                <w:rFonts w:ascii="Arial" w:hAnsi="Arial" w:cs="Arial"/>
                <w:sz w:val="18"/>
                <w:szCs w:val="18"/>
              </w:rPr>
              <w:t>None</w:t>
            </w:r>
            <w:r w:rsidR="00EC24CB" w:rsidRPr="00735726">
              <w:rPr>
                <w:rFonts w:ascii="Arial" w:hAnsi="Arial" w:cs="Arial"/>
                <w:sz w:val="18"/>
                <w:szCs w:val="18"/>
              </w:rPr>
              <w:t>.</w:t>
            </w:r>
          </w:p>
        </w:tc>
      </w:tr>
      <w:tr w:rsidR="009F5FD8" w:rsidRPr="00735726" w14:paraId="1B322A2E" w14:textId="77777777" w:rsidTr="00881565">
        <w:tc>
          <w:tcPr>
            <w:tcW w:w="9140" w:type="dxa"/>
            <w:tcMar>
              <w:top w:w="57" w:type="dxa"/>
              <w:left w:w="57" w:type="dxa"/>
              <w:bottom w:w="57" w:type="dxa"/>
              <w:right w:w="57" w:type="dxa"/>
            </w:tcMar>
          </w:tcPr>
          <w:p w14:paraId="4919BDA8" w14:textId="379F6519" w:rsidR="009F5FD8" w:rsidRPr="00735726" w:rsidRDefault="009F5FD8" w:rsidP="00F43EE8">
            <w:pPr>
              <w:spacing w:after="10"/>
              <w:rPr>
                <w:rFonts w:ascii="Arial" w:eastAsiaTheme="majorEastAsia" w:hAnsi="Arial" w:cs="Arial"/>
                <w:sz w:val="18"/>
                <w:szCs w:val="18"/>
                <w:lang w:eastAsia="en-GB"/>
              </w:rPr>
            </w:pPr>
            <w:r w:rsidRPr="00735726">
              <w:rPr>
                <w:rFonts w:ascii="Arial" w:hAnsi="Arial" w:cs="Arial"/>
                <w:b/>
                <w:sz w:val="18"/>
                <w:szCs w:val="18"/>
              </w:rPr>
              <w:t>Skills and experience</w:t>
            </w:r>
            <w:r w:rsidRPr="00735726">
              <w:t xml:space="preserve"> </w:t>
            </w:r>
            <w:r w:rsidR="00F43EE8" w:rsidRPr="00735726">
              <w:rPr>
                <w:rFonts w:ascii="Arial" w:eastAsiaTheme="majorEastAsia" w:hAnsi="Arial" w:cs="Arial"/>
                <w:sz w:val="18"/>
                <w:szCs w:val="18"/>
                <w:lang w:eastAsia="en-GB"/>
              </w:rPr>
              <w:t xml:space="preserve">Keith brings more than 25 years of experience in the UK water sector, with a strong track record of leading complex and regulated utilities. Prior to joining </w:t>
            </w:r>
            <w:proofErr w:type="gramStart"/>
            <w:r w:rsidR="00EC24CB" w:rsidRPr="00735726">
              <w:rPr>
                <w:rFonts w:ascii="Arial" w:eastAsiaTheme="majorEastAsia" w:hAnsi="Arial" w:cs="Arial"/>
                <w:sz w:val="18"/>
                <w:szCs w:val="18"/>
                <w:lang w:eastAsia="en-GB"/>
              </w:rPr>
              <w:t>South West</w:t>
            </w:r>
            <w:proofErr w:type="gramEnd"/>
            <w:r w:rsidR="00EC24CB" w:rsidRPr="00735726">
              <w:rPr>
                <w:rFonts w:ascii="Arial" w:eastAsiaTheme="majorEastAsia" w:hAnsi="Arial" w:cs="Arial"/>
                <w:sz w:val="18"/>
                <w:szCs w:val="18"/>
                <w:lang w:eastAsia="en-GB"/>
              </w:rPr>
              <w:t xml:space="preserve"> Water</w:t>
            </w:r>
            <w:r w:rsidR="00F43EE8" w:rsidRPr="00735726">
              <w:rPr>
                <w:rFonts w:ascii="Arial" w:eastAsiaTheme="majorEastAsia" w:hAnsi="Arial" w:cs="Arial"/>
                <w:sz w:val="18"/>
                <w:szCs w:val="18"/>
                <w:lang w:eastAsia="en-GB"/>
              </w:rPr>
              <w:t>, he served as C</w:t>
            </w:r>
            <w:r w:rsidR="00630AF2" w:rsidRPr="00735726">
              <w:rPr>
                <w:rFonts w:ascii="Arial" w:eastAsiaTheme="majorEastAsia" w:hAnsi="Arial" w:cs="Arial"/>
                <w:sz w:val="18"/>
                <w:szCs w:val="18"/>
                <w:lang w:eastAsia="en-GB"/>
              </w:rPr>
              <w:t xml:space="preserve">hief </w:t>
            </w:r>
            <w:r w:rsidR="00F43EE8" w:rsidRPr="00735726">
              <w:rPr>
                <w:rFonts w:ascii="Arial" w:eastAsiaTheme="majorEastAsia" w:hAnsi="Arial" w:cs="Arial"/>
                <w:sz w:val="18"/>
                <w:szCs w:val="18"/>
                <w:lang w:eastAsia="en-GB"/>
              </w:rPr>
              <w:t>E</w:t>
            </w:r>
            <w:r w:rsidR="00630AF2" w:rsidRPr="00735726">
              <w:rPr>
                <w:rFonts w:ascii="Arial" w:eastAsiaTheme="majorEastAsia" w:hAnsi="Arial" w:cs="Arial"/>
                <w:sz w:val="18"/>
                <w:szCs w:val="18"/>
                <w:lang w:eastAsia="en-GB"/>
              </w:rPr>
              <w:t xml:space="preserve">xecutive </w:t>
            </w:r>
            <w:r w:rsidR="00F43EE8" w:rsidRPr="00735726">
              <w:rPr>
                <w:rFonts w:ascii="Arial" w:eastAsiaTheme="majorEastAsia" w:hAnsi="Arial" w:cs="Arial"/>
                <w:sz w:val="18"/>
                <w:szCs w:val="18"/>
                <w:lang w:eastAsia="en-GB"/>
              </w:rPr>
              <w:t>O</w:t>
            </w:r>
            <w:r w:rsidR="00630AF2" w:rsidRPr="00735726">
              <w:rPr>
                <w:rFonts w:ascii="Arial" w:eastAsiaTheme="majorEastAsia" w:hAnsi="Arial" w:cs="Arial"/>
                <w:sz w:val="18"/>
                <w:szCs w:val="18"/>
                <w:lang w:eastAsia="en-GB"/>
              </w:rPr>
              <w:t>fficer</w:t>
            </w:r>
            <w:r w:rsidR="00F43EE8" w:rsidRPr="00735726">
              <w:rPr>
                <w:rFonts w:ascii="Arial" w:eastAsiaTheme="majorEastAsia" w:hAnsi="Arial" w:cs="Arial"/>
                <w:sz w:val="18"/>
                <w:szCs w:val="18"/>
                <w:lang w:eastAsia="en-GB"/>
              </w:rPr>
              <w:t xml:space="preserve"> of Affinity Water, where he delivered improvements in business performance and customer outcomes. Earlier in his career, Keith held senior leadership roles at Northumbrian Water Group and United Utilities, overseeing large-scale water</w:t>
            </w:r>
            <w:r w:rsidR="00EC24CB" w:rsidRPr="00735726">
              <w:rPr>
                <w:rFonts w:ascii="Arial" w:eastAsiaTheme="majorEastAsia" w:hAnsi="Arial" w:cs="Arial"/>
                <w:sz w:val="18"/>
                <w:szCs w:val="18"/>
                <w:lang w:eastAsia="en-GB"/>
              </w:rPr>
              <w:t xml:space="preserve"> </w:t>
            </w:r>
            <w:r w:rsidR="00F43EE8" w:rsidRPr="00735726">
              <w:rPr>
                <w:rFonts w:ascii="Arial" w:eastAsiaTheme="majorEastAsia" w:hAnsi="Arial" w:cs="Arial"/>
                <w:sz w:val="18"/>
                <w:szCs w:val="18"/>
                <w:lang w:eastAsia="en-GB"/>
              </w:rPr>
              <w:t>and wastewater operations and multi-</w:t>
            </w:r>
            <w:proofErr w:type="gramStart"/>
            <w:r w:rsidR="00F43EE8" w:rsidRPr="00735726">
              <w:rPr>
                <w:rFonts w:ascii="Arial" w:eastAsiaTheme="majorEastAsia" w:hAnsi="Arial" w:cs="Arial"/>
                <w:sz w:val="18"/>
                <w:szCs w:val="18"/>
                <w:lang w:eastAsia="en-GB"/>
              </w:rPr>
              <w:t>billion pound</w:t>
            </w:r>
            <w:proofErr w:type="gramEnd"/>
            <w:r w:rsidR="00F43EE8" w:rsidRPr="00735726">
              <w:rPr>
                <w:rFonts w:ascii="Arial" w:eastAsiaTheme="majorEastAsia" w:hAnsi="Arial" w:cs="Arial"/>
                <w:sz w:val="18"/>
                <w:szCs w:val="18"/>
                <w:lang w:eastAsia="en-GB"/>
              </w:rPr>
              <w:t xml:space="preserve"> capital investment programmes. His experience spans engineering, operational delivery, environmental performance, and the transformation of asset management and</w:t>
            </w:r>
            <w:r w:rsidR="00630AF2" w:rsidRPr="00735726">
              <w:rPr>
                <w:rFonts w:ascii="Arial" w:eastAsiaTheme="majorEastAsia" w:hAnsi="Arial" w:cs="Arial"/>
                <w:sz w:val="18"/>
                <w:szCs w:val="18"/>
                <w:lang w:eastAsia="en-GB"/>
              </w:rPr>
              <w:t xml:space="preserve"> </w:t>
            </w:r>
            <w:r w:rsidR="00F43EE8" w:rsidRPr="00735726">
              <w:rPr>
                <w:rFonts w:ascii="Arial" w:eastAsiaTheme="majorEastAsia" w:hAnsi="Arial" w:cs="Arial"/>
                <w:sz w:val="18"/>
                <w:szCs w:val="18"/>
                <w:lang w:eastAsia="en-GB"/>
              </w:rPr>
              <w:t>organisational structures.</w:t>
            </w:r>
          </w:p>
          <w:p w14:paraId="39C0E777" w14:textId="77777777" w:rsidR="00F43EE8" w:rsidRPr="00735726" w:rsidRDefault="00F43EE8" w:rsidP="00F43EE8">
            <w:pPr>
              <w:spacing w:after="10"/>
              <w:rPr>
                <w:rFonts w:ascii="Arial" w:eastAsiaTheme="majorEastAsia" w:hAnsi="Arial" w:cs="Arial"/>
                <w:sz w:val="18"/>
                <w:szCs w:val="18"/>
                <w:lang w:eastAsia="en-GB"/>
              </w:rPr>
            </w:pPr>
          </w:p>
          <w:p w14:paraId="57600F27" w14:textId="1E9A0A93" w:rsidR="00F43EE8" w:rsidRPr="009A2CAE" w:rsidRDefault="00F43EE8" w:rsidP="00F43EE8">
            <w:pPr>
              <w:spacing w:after="10"/>
              <w:rPr>
                <w:rFonts w:ascii="Arial" w:eastAsiaTheme="majorEastAsia" w:hAnsi="Arial" w:cs="Arial"/>
                <w:sz w:val="18"/>
                <w:szCs w:val="18"/>
                <w:lang w:eastAsia="en-GB"/>
              </w:rPr>
            </w:pPr>
            <w:r w:rsidRPr="00735726">
              <w:rPr>
                <w:rFonts w:ascii="Arial" w:eastAsiaTheme="majorEastAsia" w:hAnsi="Arial" w:cs="Arial"/>
                <w:sz w:val="18"/>
                <w:szCs w:val="18"/>
                <w:lang w:eastAsia="en-GB"/>
              </w:rPr>
              <w:t>Keith is a Chartered Civil Engineer and holds an MBA from Queen’s University Belfast.</w:t>
            </w:r>
          </w:p>
        </w:tc>
      </w:tr>
    </w:tbl>
    <w:p w14:paraId="074922C9" w14:textId="77777777" w:rsidR="004F030D" w:rsidRPr="009A2CAE" w:rsidRDefault="004F030D" w:rsidP="008A4B89">
      <w:pPr>
        <w:pStyle w:val="03body"/>
        <w:spacing w:line="240" w:lineRule="auto"/>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gridCol w:w="11"/>
      </w:tblGrid>
      <w:tr w:rsidR="009F5FD8" w:rsidRPr="00735726" w14:paraId="676E8C2E" w14:textId="77777777" w:rsidTr="00EC24CB">
        <w:trPr>
          <w:gridAfter w:val="1"/>
          <w:wAfter w:w="11" w:type="dxa"/>
        </w:trPr>
        <w:tc>
          <w:tcPr>
            <w:tcW w:w="9118" w:type="dxa"/>
          </w:tcPr>
          <w:p w14:paraId="28C3F65F" w14:textId="516F92F3" w:rsidR="009F5FD8" w:rsidRPr="00735726" w:rsidRDefault="00AD5813" w:rsidP="009F5FD8">
            <w:pPr>
              <w:pStyle w:val="03body"/>
              <w:spacing w:after="10" w:line="276" w:lineRule="auto"/>
              <w:rPr>
                <w:color w:val="auto"/>
              </w:rPr>
            </w:pPr>
            <w:r w:rsidRPr="00735726">
              <w:rPr>
                <w:b/>
                <w:color w:val="auto"/>
              </w:rPr>
              <w:t>Laura Flowerdew</w:t>
            </w:r>
          </w:p>
          <w:p w14:paraId="1BC81F89" w14:textId="76C108C3" w:rsidR="009F5FD8" w:rsidRPr="00735726" w:rsidRDefault="009F5FD8" w:rsidP="009F5FD8">
            <w:pPr>
              <w:pStyle w:val="03body"/>
              <w:spacing w:after="10" w:line="276" w:lineRule="auto"/>
              <w:rPr>
                <w:b/>
                <w:color w:val="auto"/>
              </w:rPr>
            </w:pPr>
            <w:r w:rsidRPr="00735726">
              <w:rPr>
                <w:color w:val="auto"/>
              </w:rPr>
              <w:t xml:space="preserve">Chief Financial Officer of </w:t>
            </w:r>
            <w:proofErr w:type="gramStart"/>
            <w:r w:rsidRPr="00735726">
              <w:rPr>
                <w:color w:val="auto"/>
              </w:rPr>
              <w:t>South West</w:t>
            </w:r>
            <w:proofErr w:type="gramEnd"/>
            <w:r w:rsidRPr="00735726">
              <w:rPr>
                <w:color w:val="auto"/>
              </w:rPr>
              <w:t xml:space="preserve"> Water</w:t>
            </w:r>
            <w:r w:rsidR="00853C6B" w:rsidRPr="00735726">
              <w:rPr>
                <w:color w:val="auto"/>
              </w:rPr>
              <w:t xml:space="preserve"> and Pennon Group plc</w:t>
            </w:r>
          </w:p>
        </w:tc>
      </w:tr>
      <w:tr w:rsidR="009F5FD8" w:rsidRPr="00735726" w14:paraId="1556308C" w14:textId="77777777" w:rsidTr="00EC24CB">
        <w:trPr>
          <w:gridAfter w:val="1"/>
          <w:wAfter w:w="11" w:type="dxa"/>
        </w:trPr>
        <w:tc>
          <w:tcPr>
            <w:tcW w:w="9118" w:type="dxa"/>
          </w:tcPr>
          <w:p w14:paraId="6685AC3B" w14:textId="0359C445" w:rsidR="009F5FD8" w:rsidRPr="00735726" w:rsidRDefault="009F5FD8" w:rsidP="009F5FD8">
            <w:pPr>
              <w:spacing w:after="10"/>
              <w:rPr>
                <w:rFonts w:ascii="Arial" w:eastAsiaTheme="majorEastAsia" w:hAnsi="Arial" w:cs="Arial"/>
                <w:sz w:val="18"/>
                <w:szCs w:val="20"/>
                <w:lang w:eastAsia="en-GB"/>
              </w:rPr>
            </w:pPr>
            <w:r w:rsidRPr="00735726">
              <w:rPr>
                <w:rFonts w:ascii="Arial" w:hAnsi="Arial" w:cs="Arial"/>
                <w:b/>
                <w:sz w:val="18"/>
                <w:szCs w:val="18"/>
              </w:rPr>
              <w:t>Appointment to the Board</w:t>
            </w:r>
            <w:r w:rsidRPr="00735726">
              <w:rPr>
                <w:rFonts w:cs="Arial"/>
                <w:b/>
              </w:rPr>
              <w:t xml:space="preserve"> </w:t>
            </w:r>
            <w:r w:rsidR="00F36723" w:rsidRPr="00735726">
              <w:rPr>
                <w:rFonts w:ascii="Arial" w:eastAsiaTheme="majorEastAsia" w:hAnsi="Arial" w:cs="Arial"/>
                <w:sz w:val="18"/>
                <w:szCs w:val="20"/>
                <w:lang w:eastAsia="en-GB"/>
              </w:rPr>
              <w:t>Laura</w:t>
            </w:r>
            <w:r w:rsidRPr="00735726">
              <w:rPr>
                <w:rFonts w:ascii="Arial" w:eastAsiaTheme="majorEastAsia" w:hAnsi="Arial" w:cs="Arial"/>
                <w:sz w:val="18"/>
                <w:szCs w:val="20"/>
                <w:lang w:eastAsia="en-GB"/>
              </w:rPr>
              <w:t xml:space="preserve"> was appointed to the Board as Chief Financial Officer </w:t>
            </w:r>
            <w:r w:rsidR="00EC24CB" w:rsidRPr="00735726">
              <w:rPr>
                <w:rFonts w:ascii="Arial" w:eastAsiaTheme="majorEastAsia" w:hAnsi="Arial" w:cs="Arial"/>
                <w:sz w:val="18"/>
                <w:szCs w:val="20"/>
                <w:lang w:eastAsia="en-GB"/>
              </w:rPr>
              <w:t>on 10</w:t>
            </w:r>
            <w:r w:rsidR="00AD5813" w:rsidRPr="00735726">
              <w:rPr>
                <w:rFonts w:ascii="Arial" w:eastAsiaTheme="majorEastAsia" w:hAnsi="Arial" w:cs="Arial"/>
                <w:sz w:val="18"/>
                <w:szCs w:val="20"/>
                <w:lang w:eastAsia="en-GB"/>
              </w:rPr>
              <w:t xml:space="preserve"> July </w:t>
            </w:r>
            <w:r w:rsidRPr="00735726">
              <w:rPr>
                <w:rFonts w:ascii="Arial" w:eastAsiaTheme="majorEastAsia" w:hAnsi="Arial" w:cs="Arial"/>
                <w:sz w:val="18"/>
                <w:szCs w:val="20"/>
                <w:lang w:eastAsia="en-GB"/>
              </w:rPr>
              <w:t>2024</w:t>
            </w:r>
            <w:r w:rsidR="00AD5813" w:rsidRPr="00735726">
              <w:rPr>
                <w:rFonts w:ascii="Arial" w:eastAsiaTheme="majorEastAsia" w:hAnsi="Arial" w:cs="Arial"/>
                <w:sz w:val="18"/>
                <w:szCs w:val="20"/>
                <w:lang w:eastAsia="en-GB"/>
              </w:rPr>
              <w:t>.</w:t>
            </w:r>
          </w:p>
          <w:p w14:paraId="62220709" w14:textId="77777777" w:rsidR="00AD5813" w:rsidRPr="00735726" w:rsidRDefault="00AD5813" w:rsidP="009F5FD8">
            <w:pPr>
              <w:spacing w:after="10"/>
              <w:rPr>
                <w:rFonts w:ascii="Arial" w:eastAsiaTheme="majorEastAsia" w:hAnsi="Arial" w:cs="Arial"/>
                <w:sz w:val="18"/>
                <w:szCs w:val="20"/>
                <w:lang w:eastAsia="en-GB"/>
              </w:rPr>
            </w:pPr>
          </w:p>
          <w:p w14:paraId="29F41F01" w14:textId="71DB76F7" w:rsidR="009F5FD8" w:rsidRPr="00735726" w:rsidRDefault="00772F5E" w:rsidP="009F5FD8">
            <w:pPr>
              <w:spacing w:after="10"/>
              <w:rPr>
                <w:b/>
              </w:rPr>
            </w:pPr>
            <w:r w:rsidRPr="00735726">
              <w:rPr>
                <w:rFonts w:ascii="Arial" w:hAnsi="Arial" w:cs="DINOT-Light"/>
                <w:sz w:val="18"/>
                <w:szCs w:val="18"/>
              </w:rPr>
              <w:t xml:space="preserve">Laura </w:t>
            </w:r>
            <w:r w:rsidR="009F5FD8" w:rsidRPr="00735726">
              <w:rPr>
                <w:rFonts w:ascii="Arial" w:hAnsi="Arial" w:cs="DINOT-Light"/>
                <w:sz w:val="18"/>
                <w:szCs w:val="18"/>
              </w:rPr>
              <w:t>is a member of the Environmental, Social and Governance Committee, Health and Safety Committee and Pennon Executive Board.</w:t>
            </w:r>
          </w:p>
        </w:tc>
      </w:tr>
      <w:tr w:rsidR="00B33A0A" w:rsidRPr="00735726" w14:paraId="24AF3AA5" w14:textId="77777777" w:rsidTr="00EC24CB">
        <w:trPr>
          <w:gridAfter w:val="1"/>
          <w:wAfter w:w="11" w:type="dxa"/>
        </w:trPr>
        <w:tc>
          <w:tcPr>
            <w:tcW w:w="9118" w:type="dxa"/>
            <w:tcBorders>
              <w:bottom w:val="single" w:sz="4" w:space="0" w:color="auto"/>
            </w:tcBorders>
          </w:tcPr>
          <w:p w14:paraId="1C41D5AE" w14:textId="1213FFEC" w:rsidR="00B33A0A" w:rsidRPr="00735726" w:rsidRDefault="00B33A0A" w:rsidP="009F5FD8">
            <w:pPr>
              <w:spacing w:after="10"/>
              <w:rPr>
                <w:rFonts w:ascii="Arial" w:hAnsi="Arial" w:cs="Arial"/>
                <w:b/>
                <w:sz w:val="18"/>
                <w:szCs w:val="18"/>
              </w:rPr>
            </w:pPr>
            <w:r w:rsidRPr="00735726">
              <w:rPr>
                <w:rFonts w:ascii="Arial" w:eastAsia="Times New Roman" w:hAnsi="Arial" w:cs="DINOT-Light"/>
                <w:b/>
                <w:bCs/>
                <w:sz w:val="18"/>
                <w:szCs w:val="18"/>
              </w:rPr>
              <w:t>Current external appointments</w:t>
            </w:r>
            <w:r w:rsidRPr="00735726">
              <w:rPr>
                <w:b/>
              </w:rPr>
              <w:t xml:space="preserve"> </w:t>
            </w:r>
            <w:r w:rsidR="00EC24CB" w:rsidRPr="00735726">
              <w:rPr>
                <w:rFonts w:ascii="Arial" w:hAnsi="Arial" w:cs="Arial"/>
                <w:sz w:val="18"/>
                <w:szCs w:val="18"/>
              </w:rPr>
              <w:t>None.</w:t>
            </w:r>
          </w:p>
        </w:tc>
      </w:tr>
      <w:tr w:rsidR="009F5FD8" w:rsidRPr="00735726" w14:paraId="2B7BB5EE" w14:textId="77777777" w:rsidTr="00EC24CB">
        <w:trPr>
          <w:gridAfter w:val="1"/>
          <w:wAfter w:w="11" w:type="dxa"/>
        </w:trPr>
        <w:tc>
          <w:tcPr>
            <w:tcW w:w="9118" w:type="dxa"/>
            <w:tcBorders>
              <w:bottom w:val="single" w:sz="4" w:space="0" w:color="auto"/>
            </w:tcBorders>
          </w:tcPr>
          <w:p w14:paraId="269133C4" w14:textId="42304B8F" w:rsidR="009F5FD8" w:rsidRPr="009A2CAE" w:rsidRDefault="009F5FD8" w:rsidP="009F5FD8">
            <w:pPr>
              <w:autoSpaceDE w:val="0"/>
              <w:autoSpaceDN w:val="0"/>
              <w:adjustRightInd w:val="0"/>
              <w:spacing w:after="0"/>
              <w:rPr>
                <w:rFonts w:ascii="Arial" w:eastAsia="Times New Roman" w:hAnsi="Arial" w:cs="DINOT-Light"/>
                <w:sz w:val="18"/>
                <w:szCs w:val="18"/>
              </w:rPr>
            </w:pPr>
            <w:r w:rsidRPr="00735726">
              <w:rPr>
                <w:rFonts w:ascii="Arial" w:eastAsia="Times New Roman" w:hAnsi="Arial" w:cs="DINOT-Light"/>
                <w:b/>
                <w:bCs/>
                <w:sz w:val="18"/>
                <w:szCs w:val="18"/>
              </w:rPr>
              <w:t>Skills and experience</w:t>
            </w:r>
            <w:r w:rsidRPr="00735726">
              <w:rPr>
                <w:rFonts w:ascii="Arial" w:eastAsia="Times New Roman" w:hAnsi="Arial" w:cs="DINOT-Light"/>
                <w:sz w:val="18"/>
                <w:szCs w:val="18"/>
              </w:rPr>
              <w:t xml:space="preserve"> </w:t>
            </w:r>
            <w:r w:rsidR="00AD5813" w:rsidRPr="00735726">
              <w:rPr>
                <w:rFonts w:ascii="Arial" w:eastAsia="Times New Roman" w:hAnsi="Arial" w:cs="DINOT-Light"/>
                <w:sz w:val="18"/>
                <w:szCs w:val="18"/>
              </w:rPr>
              <w:t xml:space="preserve">Laura was appointed Chief Financial Officer of </w:t>
            </w:r>
            <w:proofErr w:type="gramStart"/>
            <w:r w:rsidR="00967811" w:rsidRPr="00735726">
              <w:rPr>
                <w:rFonts w:ascii="Arial" w:eastAsia="Times New Roman" w:hAnsi="Arial" w:cs="DINOT-Light"/>
                <w:sz w:val="18"/>
                <w:szCs w:val="18"/>
              </w:rPr>
              <w:t>South West</w:t>
            </w:r>
            <w:proofErr w:type="gramEnd"/>
            <w:r w:rsidR="00967811" w:rsidRPr="00735726">
              <w:rPr>
                <w:rFonts w:ascii="Arial" w:eastAsia="Times New Roman" w:hAnsi="Arial" w:cs="DINOT-Light"/>
                <w:sz w:val="18"/>
                <w:szCs w:val="18"/>
              </w:rPr>
              <w:t xml:space="preserve"> Water</w:t>
            </w:r>
            <w:r w:rsidR="00AD5813" w:rsidRPr="00735726">
              <w:rPr>
                <w:rFonts w:ascii="Arial" w:eastAsia="Times New Roman" w:hAnsi="Arial" w:cs="DINOT-Light"/>
                <w:sz w:val="18"/>
                <w:szCs w:val="18"/>
              </w:rPr>
              <w:t xml:space="preserve"> in July 2024. Laura held previous positions as Chief Customer and Digital Officer of Pennon Group </w:t>
            </w:r>
            <w:r w:rsidR="0078265F" w:rsidRPr="00735726">
              <w:rPr>
                <w:rFonts w:ascii="Arial" w:eastAsia="Times New Roman" w:hAnsi="Arial" w:cs="DINOT-Light"/>
                <w:sz w:val="18"/>
                <w:szCs w:val="18"/>
              </w:rPr>
              <w:t xml:space="preserve">plc </w:t>
            </w:r>
            <w:r w:rsidR="00AD5813" w:rsidRPr="00735726">
              <w:rPr>
                <w:rFonts w:ascii="Arial" w:eastAsia="Times New Roman" w:hAnsi="Arial" w:cs="DINOT-Light"/>
                <w:sz w:val="18"/>
                <w:szCs w:val="18"/>
              </w:rPr>
              <w:t xml:space="preserve">and Chief Financial Officer of Bristol Water plc from October 2018. Laura previously worked in </w:t>
            </w:r>
            <w:proofErr w:type="gramStart"/>
            <w:r w:rsidR="00AD5813" w:rsidRPr="00735726">
              <w:rPr>
                <w:rFonts w:ascii="Arial" w:eastAsia="Times New Roman" w:hAnsi="Arial" w:cs="DINOT-Light"/>
                <w:sz w:val="18"/>
                <w:szCs w:val="18"/>
              </w:rPr>
              <w:t>a number of</w:t>
            </w:r>
            <w:proofErr w:type="gramEnd"/>
            <w:r w:rsidR="00AD5813" w:rsidRPr="00735726">
              <w:rPr>
                <w:rFonts w:ascii="Arial" w:eastAsia="Times New Roman" w:hAnsi="Arial" w:cs="DINOT-Light"/>
                <w:sz w:val="18"/>
                <w:szCs w:val="18"/>
              </w:rPr>
              <w:t xml:space="preserve"> </w:t>
            </w:r>
            <w:r w:rsidR="00EC24CB" w:rsidRPr="00735726">
              <w:rPr>
                <w:rFonts w:ascii="Arial" w:eastAsia="Times New Roman" w:hAnsi="Arial" w:cs="DINOT-Light"/>
                <w:sz w:val="18"/>
                <w:szCs w:val="18"/>
              </w:rPr>
              <w:t xml:space="preserve">senior </w:t>
            </w:r>
            <w:r w:rsidR="00AD5813" w:rsidRPr="00735726">
              <w:rPr>
                <w:rFonts w:ascii="Arial" w:eastAsia="Times New Roman" w:hAnsi="Arial" w:cs="DINOT-Light"/>
                <w:sz w:val="18"/>
                <w:szCs w:val="18"/>
              </w:rPr>
              <w:t>executive positions in UK utilities and international natural resources business including Anglo American plc, De Beers</w:t>
            </w:r>
            <w:r w:rsidR="00B33A0A" w:rsidRPr="00735726">
              <w:rPr>
                <w:rFonts w:ascii="Arial" w:eastAsia="Times New Roman" w:hAnsi="Arial" w:cs="DINOT-Light"/>
                <w:sz w:val="18"/>
                <w:szCs w:val="18"/>
              </w:rPr>
              <w:t>, Tribal Group</w:t>
            </w:r>
            <w:r w:rsidR="00AD5813" w:rsidRPr="00735726">
              <w:rPr>
                <w:rFonts w:ascii="Arial" w:eastAsia="Times New Roman" w:hAnsi="Arial" w:cs="DINOT-Light"/>
                <w:sz w:val="18"/>
                <w:szCs w:val="18"/>
              </w:rPr>
              <w:t xml:space="preserve"> and Bristol Energy. Prior to that she worked with Deloitte and trained with Arthur Andersen. She is a Fellow of the Institute of Chartered Accountants for England and Wales.</w:t>
            </w:r>
          </w:p>
        </w:tc>
      </w:tr>
      <w:tr w:rsidR="00EC24CB" w:rsidRPr="00735726" w14:paraId="11D99A28" w14:textId="77777777" w:rsidTr="00EC24CB">
        <w:trPr>
          <w:gridAfter w:val="1"/>
          <w:wAfter w:w="11" w:type="dxa"/>
        </w:trPr>
        <w:tc>
          <w:tcPr>
            <w:tcW w:w="9118" w:type="dxa"/>
            <w:tcBorders>
              <w:top w:val="single" w:sz="4" w:space="0" w:color="auto"/>
              <w:left w:val="nil"/>
              <w:bottom w:val="nil"/>
              <w:right w:val="nil"/>
            </w:tcBorders>
          </w:tcPr>
          <w:p w14:paraId="475F9771" w14:textId="77777777" w:rsidR="00EC24CB" w:rsidRPr="00735726" w:rsidRDefault="00EC24CB" w:rsidP="009F5FD8">
            <w:pPr>
              <w:autoSpaceDE w:val="0"/>
              <w:autoSpaceDN w:val="0"/>
              <w:adjustRightInd w:val="0"/>
              <w:spacing w:after="0"/>
              <w:rPr>
                <w:rFonts w:ascii="Arial" w:eastAsia="Times New Roman" w:hAnsi="Arial" w:cs="DINOT-Light"/>
                <w:b/>
                <w:bCs/>
                <w:sz w:val="18"/>
                <w:szCs w:val="18"/>
              </w:rPr>
            </w:pPr>
          </w:p>
          <w:p w14:paraId="273EC7BC" w14:textId="77777777" w:rsidR="00EC24CB" w:rsidRPr="00735726" w:rsidRDefault="00EC24CB" w:rsidP="009F5FD8">
            <w:pPr>
              <w:autoSpaceDE w:val="0"/>
              <w:autoSpaceDN w:val="0"/>
              <w:adjustRightInd w:val="0"/>
              <w:spacing w:after="0"/>
              <w:rPr>
                <w:rFonts w:ascii="Arial" w:eastAsia="Times New Roman" w:hAnsi="Arial" w:cs="DINOT-Light"/>
                <w:b/>
                <w:bCs/>
                <w:sz w:val="18"/>
                <w:szCs w:val="18"/>
              </w:rPr>
            </w:pPr>
          </w:p>
          <w:p w14:paraId="07C0FDE9" w14:textId="77777777" w:rsidR="00EC24CB" w:rsidRPr="00735726" w:rsidRDefault="00EC24CB" w:rsidP="009F5FD8">
            <w:pPr>
              <w:autoSpaceDE w:val="0"/>
              <w:autoSpaceDN w:val="0"/>
              <w:adjustRightInd w:val="0"/>
              <w:spacing w:after="0"/>
              <w:rPr>
                <w:rFonts w:ascii="Arial" w:eastAsia="Times New Roman" w:hAnsi="Arial" w:cs="DINOT-Light"/>
                <w:b/>
                <w:bCs/>
                <w:sz w:val="18"/>
                <w:szCs w:val="18"/>
              </w:rPr>
            </w:pPr>
          </w:p>
        </w:tc>
      </w:tr>
      <w:tr w:rsidR="009F5FD8" w:rsidRPr="00735726" w14:paraId="18B7648C" w14:textId="77777777" w:rsidTr="00EC24CB">
        <w:tc>
          <w:tcPr>
            <w:tcW w:w="9129" w:type="dxa"/>
            <w:gridSpan w:val="2"/>
            <w:tcBorders>
              <w:top w:val="single" w:sz="4" w:space="0" w:color="auto"/>
            </w:tcBorders>
            <w:tcMar>
              <w:top w:w="57" w:type="dxa"/>
              <w:left w:w="57" w:type="dxa"/>
              <w:bottom w:w="57" w:type="dxa"/>
              <w:right w:w="57" w:type="dxa"/>
            </w:tcMar>
          </w:tcPr>
          <w:p w14:paraId="7133B6C9" w14:textId="3719F785" w:rsidR="009F5FD8" w:rsidRPr="00735726" w:rsidRDefault="00253DE8" w:rsidP="009F5FD8">
            <w:pPr>
              <w:pStyle w:val="03body"/>
              <w:spacing w:after="10" w:line="276" w:lineRule="auto"/>
              <w:rPr>
                <w:b/>
                <w:color w:val="auto"/>
              </w:rPr>
            </w:pPr>
            <w:r w:rsidRPr="00735726">
              <w:rPr>
                <w:b/>
                <w:color w:val="auto"/>
              </w:rPr>
              <w:lastRenderedPageBreak/>
              <w:t>Sir Andrew Haines OBE</w:t>
            </w:r>
          </w:p>
          <w:p w14:paraId="24818AD2" w14:textId="7ABB869F" w:rsidR="009F5FD8" w:rsidRPr="00735726" w:rsidRDefault="009F5FD8" w:rsidP="009F5FD8">
            <w:pPr>
              <w:pStyle w:val="03body"/>
              <w:spacing w:after="10" w:line="276" w:lineRule="auto"/>
              <w:rPr>
                <w:b/>
                <w:color w:val="auto"/>
              </w:rPr>
            </w:pPr>
            <w:r w:rsidRPr="00735726">
              <w:rPr>
                <w:bCs/>
                <w:color w:val="auto"/>
              </w:rPr>
              <w:t>Senior</w:t>
            </w:r>
            <w:r w:rsidRPr="00735726">
              <w:rPr>
                <w:b/>
                <w:color w:val="auto"/>
              </w:rPr>
              <w:t xml:space="preserve"> </w:t>
            </w:r>
            <w:r w:rsidRPr="00735726">
              <w:rPr>
                <w:color w:val="auto"/>
              </w:rPr>
              <w:t>Independent</w:t>
            </w:r>
            <w:r w:rsidRPr="00735726">
              <w:rPr>
                <w:b/>
                <w:color w:val="auto"/>
              </w:rPr>
              <w:t xml:space="preserve"> </w:t>
            </w:r>
            <w:r w:rsidRPr="00735726">
              <w:rPr>
                <w:color w:val="auto"/>
              </w:rPr>
              <w:t>Director</w:t>
            </w:r>
          </w:p>
        </w:tc>
      </w:tr>
      <w:tr w:rsidR="009F5FD8" w:rsidRPr="00735726" w14:paraId="5F040E86" w14:textId="77777777" w:rsidTr="00EC24CB">
        <w:tc>
          <w:tcPr>
            <w:tcW w:w="9129" w:type="dxa"/>
            <w:gridSpan w:val="2"/>
            <w:tcMar>
              <w:top w:w="57" w:type="dxa"/>
              <w:left w:w="57" w:type="dxa"/>
              <w:bottom w:w="57" w:type="dxa"/>
              <w:right w:w="57" w:type="dxa"/>
            </w:tcMar>
          </w:tcPr>
          <w:p w14:paraId="4A1F44A9" w14:textId="77777777" w:rsidR="00266D5C" w:rsidRPr="00735726" w:rsidRDefault="009F5FD8" w:rsidP="00266D5C">
            <w:pPr>
              <w:pStyle w:val="03body"/>
              <w:spacing w:after="10" w:line="276" w:lineRule="auto"/>
              <w:rPr>
                <w:color w:val="auto"/>
              </w:rPr>
            </w:pPr>
            <w:r w:rsidRPr="00735726">
              <w:rPr>
                <w:b/>
                <w:color w:val="auto"/>
              </w:rPr>
              <w:t xml:space="preserve">Appointment to the Board </w:t>
            </w:r>
            <w:r w:rsidR="00266D5C" w:rsidRPr="00735726">
              <w:rPr>
                <w:bCs/>
                <w:color w:val="auto"/>
              </w:rPr>
              <w:t xml:space="preserve">Sir Andrew </w:t>
            </w:r>
            <w:r w:rsidRPr="00735726">
              <w:rPr>
                <w:color w:val="auto"/>
              </w:rPr>
              <w:t xml:space="preserve">was appointed to the Board on 1 </w:t>
            </w:r>
            <w:r w:rsidR="00266D5C" w:rsidRPr="00735726">
              <w:rPr>
                <w:color w:val="auto"/>
              </w:rPr>
              <w:t xml:space="preserve">November 2025. </w:t>
            </w:r>
          </w:p>
          <w:p w14:paraId="05B5BB58" w14:textId="77777777" w:rsidR="00266D5C" w:rsidRPr="00735726" w:rsidRDefault="00266D5C" w:rsidP="00266D5C">
            <w:pPr>
              <w:pStyle w:val="03body"/>
              <w:spacing w:after="10" w:line="276" w:lineRule="auto"/>
              <w:rPr>
                <w:color w:val="auto"/>
              </w:rPr>
            </w:pPr>
          </w:p>
          <w:p w14:paraId="4E99028F" w14:textId="4651A095" w:rsidR="009F5FD8" w:rsidRPr="00735726" w:rsidRDefault="00266D5C" w:rsidP="00266D5C">
            <w:pPr>
              <w:pStyle w:val="03body"/>
              <w:spacing w:after="10" w:line="276" w:lineRule="auto"/>
              <w:rPr>
                <w:color w:val="auto"/>
              </w:rPr>
            </w:pPr>
            <w:r w:rsidRPr="00735726">
              <w:rPr>
                <w:color w:val="auto"/>
              </w:rPr>
              <w:t>Effective</w:t>
            </w:r>
            <w:r w:rsidRPr="00735726">
              <w:rPr>
                <w:rFonts w:ascii="Calibre-Light" w:hAnsi="Calibre-Light" w:cs="Calibre-Light"/>
                <w:color w:val="414142"/>
                <w:sz w:val="16"/>
                <w:szCs w:val="16"/>
              </w:rPr>
              <w:t xml:space="preserve"> </w:t>
            </w:r>
            <w:r w:rsidRPr="00735726">
              <w:t>1 April 2026, Sir Andrew took over as Senior Independent Director and became a member of the Health and Safety Committee, Audit Committee</w:t>
            </w:r>
            <w:r w:rsidR="00630AF2" w:rsidRPr="00735726">
              <w:t>, Nomination Committee</w:t>
            </w:r>
            <w:r w:rsidRPr="00735726">
              <w:t xml:space="preserve"> and the </w:t>
            </w:r>
            <w:r w:rsidRPr="00735726">
              <w:rPr>
                <w:color w:val="auto"/>
              </w:rPr>
              <w:t>Remuneration Committee.</w:t>
            </w:r>
          </w:p>
        </w:tc>
      </w:tr>
      <w:tr w:rsidR="00B33A0A" w:rsidRPr="00735726" w14:paraId="76C06B03" w14:textId="77777777" w:rsidTr="00EC24CB">
        <w:tc>
          <w:tcPr>
            <w:tcW w:w="9129" w:type="dxa"/>
            <w:gridSpan w:val="2"/>
            <w:tcMar>
              <w:top w:w="57" w:type="dxa"/>
              <w:left w:w="57" w:type="dxa"/>
              <w:bottom w:w="57" w:type="dxa"/>
              <w:right w:w="57" w:type="dxa"/>
            </w:tcMar>
          </w:tcPr>
          <w:p w14:paraId="69FBAA48" w14:textId="05D30E97" w:rsidR="00B33A0A" w:rsidRPr="009A2CAE" w:rsidRDefault="00B33A0A" w:rsidP="00BE152F">
            <w:pPr>
              <w:pStyle w:val="03body"/>
              <w:spacing w:after="10" w:line="276" w:lineRule="auto"/>
              <w:rPr>
                <w:b/>
                <w:color w:val="auto"/>
              </w:rPr>
            </w:pPr>
            <w:r w:rsidRPr="00735726">
              <w:rPr>
                <w:b/>
                <w:color w:val="auto"/>
              </w:rPr>
              <w:t xml:space="preserve">Current external appointments </w:t>
            </w:r>
            <w:r w:rsidR="00BE152F" w:rsidRPr="00735726">
              <w:rPr>
                <w:color w:val="auto"/>
              </w:rPr>
              <w:t xml:space="preserve">He is </w:t>
            </w:r>
            <w:r w:rsidR="00BE152F" w:rsidRPr="00735726">
              <w:t xml:space="preserve">Chair of DfT Operator Limited, Chair and Pro </w:t>
            </w:r>
            <w:r w:rsidR="00BE152F" w:rsidRPr="00735726">
              <w:rPr>
                <w:color w:val="auto"/>
              </w:rPr>
              <w:t>Chancellor, Cranfield University.</w:t>
            </w:r>
          </w:p>
        </w:tc>
      </w:tr>
      <w:tr w:rsidR="009F5FD8" w:rsidRPr="00735726" w14:paraId="74D25703" w14:textId="77777777" w:rsidTr="00BE152F">
        <w:trPr>
          <w:trHeight w:val="433"/>
        </w:trPr>
        <w:tc>
          <w:tcPr>
            <w:tcW w:w="9129" w:type="dxa"/>
            <w:gridSpan w:val="2"/>
            <w:tcMar>
              <w:top w:w="57" w:type="dxa"/>
              <w:left w:w="57" w:type="dxa"/>
              <w:bottom w:w="57" w:type="dxa"/>
              <w:right w:w="57" w:type="dxa"/>
            </w:tcMar>
          </w:tcPr>
          <w:p w14:paraId="67C467E3" w14:textId="3CCA6290" w:rsidR="009F5FD8" w:rsidRPr="009A2CAE" w:rsidRDefault="009F5FD8" w:rsidP="00BE152F">
            <w:pPr>
              <w:spacing w:after="10"/>
              <w:rPr>
                <w:rFonts w:ascii="Arial" w:eastAsia="Times New Roman" w:hAnsi="Arial" w:cs="DINOT-Light"/>
                <w:sz w:val="18"/>
                <w:szCs w:val="18"/>
              </w:rPr>
            </w:pPr>
            <w:r w:rsidRPr="00735726">
              <w:rPr>
                <w:rFonts w:ascii="Arial" w:eastAsia="Times New Roman" w:hAnsi="Arial" w:cs="DINOT-Light"/>
                <w:b/>
                <w:sz w:val="18"/>
                <w:szCs w:val="18"/>
              </w:rPr>
              <w:t>Skills and experience</w:t>
            </w:r>
            <w:r w:rsidRPr="00735726">
              <w:rPr>
                <w:b/>
              </w:rPr>
              <w:t xml:space="preserve"> </w:t>
            </w:r>
            <w:r w:rsidR="00BE152F" w:rsidRPr="00735726">
              <w:rPr>
                <w:rFonts w:ascii="Arial" w:eastAsia="Times New Roman" w:hAnsi="Arial" w:cs="DINOT-Light"/>
                <w:sz w:val="18"/>
                <w:szCs w:val="18"/>
              </w:rPr>
              <w:t xml:space="preserve">Sir Andrew retired from his role as Chief Executive and Board Member of Network Rail in October 2025 after 7 years. During this time, he successfully led a regulated utility business of £9 billion annual turnover with a capital programme of </w:t>
            </w:r>
            <w:r w:rsidR="000C3F95" w:rsidRPr="00735726">
              <w:rPr>
                <w:rFonts w:ascii="Arial" w:eastAsia="Times New Roman" w:hAnsi="Arial" w:cs="DINOT-Light"/>
                <w:sz w:val="18"/>
                <w:szCs w:val="18"/>
              </w:rPr>
              <w:t>c.</w:t>
            </w:r>
            <w:r w:rsidR="00BE152F" w:rsidRPr="00735726">
              <w:rPr>
                <w:rFonts w:ascii="Arial" w:eastAsia="Times New Roman" w:hAnsi="Arial" w:cs="DINOT-Light"/>
                <w:sz w:val="18"/>
                <w:szCs w:val="18"/>
              </w:rPr>
              <w:t xml:space="preserve">£4-5 billion per annum and achieved an outperformance of the regulatory efficiency targets in the control period as well as </w:t>
            </w:r>
            <w:proofErr w:type="gramStart"/>
            <w:r w:rsidR="00BE152F" w:rsidRPr="00735726">
              <w:rPr>
                <w:rFonts w:ascii="Arial" w:eastAsia="Times New Roman" w:hAnsi="Arial" w:cs="DINOT-Light"/>
                <w:sz w:val="18"/>
                <w:szCs w:val="18"/>
              </w:rPr>
              <w:t>best ever</w:t>
            </w:r>
            <w:proofErr w:type="gramEnd"/>
            <w:r w:rsidR="00BE152F" w:rsidRPr="00735726">
              <w:rPr>
                <w:rFonts w:ascii="Arial" w:eastAsia="Times New Roman" w:hAnsi="Arial" w:cs="DINOT-Light"/>
                <w:sz w:val="18"/>
                <w:szCs w:val="18"/>
              </w:rPr>
              <w:t xml:space="preserve"> safety performance. Prior to this, Andrew was Chief Executive of the Civil Aviation Authority, the UK’s aviation regulator, which he joined following nine years as a Managing Director in private sector train companies. He was awarded the OBE in 2016 and knighted for services to transport and the economy in 2025.</w:t>
            </w:r>
          </w:p>
        </w:tc>
      </w:tr>
    </w:tbl>
    <w:p w14:paraId="5667CF19" w14:textId="77777777" w:rsidR="004F030D" w:rsidRPr="009A2CAE" w:rsidRDefault="004F030D" w:rsidP="008A4B89">
      <w:pPr>
        <w:spacing w:after="0" w:line="240" w:lineRule="auto"/>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0"/>
      </w:tblGrid>
      <w:tr w:rsidR="00BE152F" w:rsidRPr="00735726" w14:paraId="68C76D6B" w14:textId="77777777" w:rsidTr="00A6449D">
        <w:tc>
          <w:tcPr>
            <w:tcW w:w="9140" w:type="dxa"/>
            <w:tcMar>
              <w:top w:w="57" w:type="dxa"/>
              <w:left w:w="57" w:type="dxa"/>
              <w:bottom w:w="57" w:type="dxa"/>
              <w:right w:w="57" w:type="dxa"/>
            </w:tcMar>
          </w:tcPr>
          <w:p w14:paraId="2C77D74F" w14:textId="77777777" w:rsidR="00BE152F" w:rsidRPr="00735726" w:rsidRDefault="00BE152F" w:rsidP="00A6449D">
            <w:pPr>
              <w:pStyle w:val="03body"/>
              <w:spacing w:after="10" w:line="276" w:lineRule="auto"/>
              <w:rPr>
                <w:b/>
                <w:color w:val="auto"/>
              </w:rPr>
            </w:pPr>
            <w:r w:rsidRPr="00735726">
              <w:rPr>
                <w:b/>
                <w:color w:val="auto"/>
              </w:rPr>
              <w:t xml:space="preserve">Andrea </w:t>
            </w:r>
            <w:proofErr w:type="spellStart"/>
            <w:r w:rsidRPr="00735726">
              <w:rPr>
                <w:b/>
                <w:color w:val="auto"/>
              </w:rPr>
              <w:t>Blance</w:t>
            </w:r>
            <w:proofErr w:type="spellEnd"/>
            <w:r w:rsidRPr="00735726">
              <w:rPr>
                <w:b/>
                <w:color w:val="auto"/>
              </w:rPr>
              <w:t xml:space="preserve"> </w:t>
            </w:r>
          </w:p>
          <w:p w14:paraId="0C8BC313" w14:textId="77777777" w:rsidR="00BE152F" w:rsidRPr="00735726" w:rsidRDefault="00BE152F" w:rsidP="00A6449D">
            <w:pPr>
              <w:pStyle w:val="03body"/>
              <w:spacing w:after="10" w:line="276" w:lineRule="auto"/>
              <w:rPr>
                <w:b/>
                <w:color w:val="auto"/>
              </w:rPr>
            </w:pPr>
            <w:r w:rsidRPr="00735726">
              <w:rPr>
                <w:color w:val="auto"/>
              </w:rPr>
              <w:t>Independent</w:t>
            </w:r>
            <w:r w:rsidRPr="00735726">
              <w:rPr>
                <w:b/>
                <w:color w:val="auto"/>
              </w:rPr>
              <w:t xml:space="preserve"> </w:t>
            </w:r>
            <w:r w:rsidRPr="00735726">
              <w:rPr>
                <w:color w:val="auto"/>
              </w:rPr>
              <w:t>Non-Executive Director</w:t>
            </w:r>
          </w:p>
        </w:tc>
      </w:tr>
      <w:tr w:rsidR="00BE152F" w:rsidRPr="00735726" w14:paraId="569AEFAA" w14:textId="77777777" w:rsidTr="00A6449D">
        <w:tc>
          <w:tcPr>
            <w:tcW w:w="9140" w:type="dxa"/>
            <w:tcMar>
              <w:top w:w="57" w:type="dxa"/>
              <w:left w:w="57" w:type="dxa"/>
              <w:bottom w:w="57" w:type="dxa"/>
              <w:right w:w="57" w:type="dxa"/>
            </w:tcMar>
          </w:tcPr>
          <w:p w14:paraId="45BD8095" w14:textId="77777777" w:rsidR="00BE152F" w:rsidRPr="00735726" w:rsidRDefault="00BE152F" w:rsidP="00A6449D">
            <w:pPr>
              <w:spacing w:after="10"/>
              <w:rPr>
                <w:rFonts w:ascii="Arial" w:eastAsia="Times New Roman" w:hAnsi="Arial" w:cs="DINOT-Light"/>
                <w:sz w:val="18"/>
                <w:szCs w:val="18"/>
              </w:rPr>
            </w:pPr>
            <w:r w:rsidRPr="00735726">
              <w:rPr>
                <w:rFonts w:ascii="Arial" w:hAnsi="Arial" w:cs="Arial"/>
                <w:b/>
                <w:sz w:val="18"/>
                <w:szCs w:val="18"/>
              </w:rPr>
              <w:t>Appointment to the Board</w:t>
            </w:r>
            <w:r w:rsidRPr="00735726">
              <w:rPr>
                <w:b/>
                <w:sz w:val="18"/>
                <w:szCs w:val="18"/>
              </w:rPr>
              <w:t xml:space="preserve"> </w:t>
            </w:r>
            <w:r w:rsidRPr="00735726">
              <w:rPr>
                <w:rFonts w:ascii="Arial" w:eastAsia="Times New Roman" w:hAnsi="Arial" w:cs="DINOT-Light"/>
                <w:sz w:val="18"/>
                <w:szCs w:val="18"/>
              </w:rPr>
              <w:t xml:space="preserve">Andrea was appointed to the Board as an Independent Non-Executive Director on 8 April 2025. </w:t>
            </w:r>
          </w:p>
          <w:p w14:paraId="66737AD1" w14:textId="77777777" w:rsidR="00BE152F" w:rsidRPr="00735726" w:rsidRDefault="00BE152F" w:rsidP="00A6449D">
            <w:pPr>
              <w:spacing w:after="10"/>
              <w:rPr>
                <w:rFonts w:ascii="Arial" w:eastAsia="Times New Roman" w:hAnsi="Arial" w:cs="DINOT-Light"/>
                <w:sz w:val="18"/>
                <w:szCs w:val="18"/>
              </w:rPr>
            </w:pPr>
          </w:p>
          <w:p w14:paraId="11FA9E63" w14:textId="77777777" w:rsidR="00BE152F" w:rsidRPr="00735726" w:rsidRDefault="00BE152F" w:rsidP="00A6449D">
            <w:pPr>
              <w:spacing w:after="10"/>
            </w:pPr>
            <w:r w:rsidRPr="00735726">
              <w:rPr>
                <w:rFonts w:ascii="Arial" w:eastAsia="Times New Roman" w:hAnsi="Arial" w:cs="DINOT-Light"/>
                <w:sz w:val="18"/>
                <w:szCs w:val="18"/>
              </w:rPr>
              <w:t>She is Chair of the Remuneration Committee and is also a member of the Audit and Nomination Committee.</w:t>
            </w:r>
          </w:p>
        </w:tc>
      </w:tr>
      <w:tr w:rsidR="00BE152F" w:rsidRPr="00735726" w14:paraId="5D633744" w14:textId="77777777" w:rsidTr="00A6449D">
        <w:tc>
          <w:tcPr>
            <w:tcW w:w="9140" w:type="dxa"/>
            <w:tcMar>
              <w:top w:w="57" w:type="dxa"/>
              <w:left w:w="57" w:type="dxa"/>
              <w:bottom w:w="57" w:type="dxa"/>
              <w:right w:w="57" w:type="dxa"/>
            </w:tcMar>
          </w:tcPr>
          <w:p w14:paraId="10E93356" w14:textId="77777777" w:rsidR="00BE152F" w:rsidRPr="00735726" w:rsidRDefault="00BE152F" w:rsidP="00A6449D">
            <w:pPr>
              <w:spacing w:after="10"/>
              <w:rPr>
                <w:rFonts w:ascii="Arial" w:hAnsi="Arial" w:cs="Arial"/>
                <w:b/>
                <w:sz w:val="18"/>
                <w:szCs w:val="18"/>
              </w:rPr>
            </w:pPr>
            <w:r w:rsidRPr="00735726">
              <w:rPr>
                <w:rFonts w:ascii="Arial" w:hAnsi="Arial" w:cs="Arial"/>
                <w:b/>
                <w:sz w:val="18"/>
                <w:szCs w:val="18"/>
              </w:rPr>
              <w:t>Current external appointments</w:t>
            </w:r>
            <w:r w:rsidRPr="00735726">
              <w:rPr>
                <w:b/>
                <w:sz w:val="18"/>
                <w:szCs w:val="18"/>
              </w:rPr>
              <w:t xml:space="preserve"> </w:t>
            </w:r>
            <w:r w:rsidRPr="00735726">
              <w:rPr>
                <w:rFonts w:ascii="Arial" w:eastAsia="Times New Roman" w:hAnsi="Arial" w:cs="DINOT-Light"/>
                <w:sz w:val="18"/>
                <w:szCs w:val="18"/>
              </w:rPr>
              <w:t>Non-Executive Director and Risk Committee Chair at Aviva plc.</w:t>
            </w:r>
          </w:p>
        </w:tc>
      </w:tr>
      <w:tr w:rsidR="00BE152F" w:rsidRPr="00735726" w14:paraId="7DAAC70E" w14:textId="77777777" w:rsidTr="00A6449D">
        <w:tc>
          <w:tcPr>
            <w:tcW w:w="9140" w:type="dxa"/>
            <w:tcMar>
              <w:top w:w="57" w:type="dxa"/>
              <w:left w:w="57" w:type="dxa"/>
              <w:bottom w:w="57" w:type="dxa"/>
              <w:right w:w="57" w:type="dxa"/>
            </w:tcMar>
          </w:tcPr>
          <w:p w14:paraId="1D6ABCBA" w14:textId="5BB9BCF1" w:rsidR="00BE152F" w:rsidRPr="00735726" w:rsidRDefault="00BE152F" w:rsidP="00BE152F">
            <w:pPr>
              <w:spacing w:after="0"/>
              <w:rPr>
                <w:rFonts w:ascii="Arial" w:eastAsia="Times New Roman" w:hAnsi="Arial" w:cs="DINOT-Light"/>
                <w:sz w:val="18"/>
                <w:szCs w:val="18"/>
              </w:rPr>
            </w:pPr>
            <w:r w:rsidRPr="00735726">
              <w:rPr>
                <w:rFonts w:ascii="Arial" w:eastAsia="Times New Roman" w:hAnsi="Arial" w:cs="DINOT-Light"/>
                <w:b/>
                <w:bCs/>
                <w:sz w:val="18"/>
                <w:szCs w:val="18"/>
              </w:rPr>
              <w:t>Skills and experience</w:t>
            </w:r>
            <w:r w:rsidRPr="00735726">
              <w:rPr>
                <w:rFonts w:ascii="Arial" w:eastAsia="Times New Roman" w:hAnsi="Arial" w:cs="DINOT-Light"/>
                <w:sz w:val="18"/>
                <w:szCs w:val="18"/>
              </w:rPr>
              <w:t xml:space="preserve"> Andrea brings extensive risk and regulation</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expertise gained within the financial services</w:t>
            </w:r>
          </w:p>
          <w:p w14:paraId="2C4B1216" w14:textId="2AE51158" w:rsidR="00BE152F" w:rsidRPr="00735726" w:rsidRDefault="00BE152F" w:rsidP="00BE152F">
            <w:pPr>
              <w:spacing w:after="0"/>
              <w:rPr>
                <w:rFonts w:ascii="Arial" w:eastAsia="Times New Roman" w:hAnsi="Arial" w:cs="DINOT-Light"/>
                <w:sz w:val="18"/>
                <w:szCs w:val="18"/>
              </w:rPr>
            </w:pPr>
            <w:r w:rsidRPr="00735726">
              <w:rPr>
                <w:rFonts w:ascii="Arial" w:eastAsia="Times New Roman" w:hAnsi="Arial" w:cs="DINOT-Light"/>
                <w:sz w:val="18"/>
                <w:szCs w:val="18"/>
              </w:rPr>
              <w:t>sector and works with businesses to develop</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customer focused commercial strategies.</w:t>
            </w:r>
          </w:p>
          <w:p w14:paraId="49700B1D" w14:textId="77777777" w:rsidR="00E469BF" w:rsidRPr="00735726" w:rsidRDefault="00E469BF" w:rsidP="00BE152F">
            <w:pPr>
              <w:spacing w:after="0"/>
              <w:rPr>
                <w:rFonts w:ascii="Arial" w:eastAsia="Times New Roman" w:hAnsi="Arial" w:cs="DINOT-Light"/>
                <w:sz w:val="18"/>
                <w:szCs w:val="18"/>
              </w:rPr>
            </w:pPr>
          </w:p>
          <w:p w14:paraId="1FB6C84E" w14:textId="4164E475" w:rsidR="00BE152F" w:rsidRPr="00735726" w:rsidRDefault="00BE152F" w:rsidP="00BE152F">
            <w:pPr>
              <w:spacing w:after="0"/>
              <w:rPr>
                <w:rFonts w:ascii="Arial" w:eastAsia="Times New Roman" w:hAnsi="Arial" w:cs="DINOT-Light"/>
                <w:sz w:val="18"/>
                <w:szCs w:val="18"/>
              </w:rPr>
            </w:pPr>
            <w:r w:rsidRPr="00735726">
              <w:rPr>
                <w:rFonts w:ascii="Arial" w:eastAsia="Times New Roman" w:hAnsi="Arial" w:cs="DINOT-Light"/>
                <w:sz w:val="18"/>
                <w:szCs w:val="18"/>
              </w:rPr>
              <w:t xml:space="preserve">Andrea spent her </w:t>
            </w:r>
            <w:r w:rsidR="00E469BF" w:rsidRPr="00735726">
              <w:rPr>
                <w:rFonts w:ascii="Arial" w:eastAsia="Times New Roman" w:hAnsi="Arial" w:cs="DINOT-Light"/>
                <w:sz w:val="18"/>
                <w:szCs w:val="18"/>
              </w:rPr>
              <w:t>E</w:t>
            </w:r>
            <w:r w:rsidRPr="00735726">
              <w:rPr>
                <w:rFonts w:ascii="Arial" w:eastAsia="Times New Roman" w:hAnsi="Arial" w:cs="DINOT-Light"/>
                <w:sz w:val="18"/>
                <w:szCs w:val="18"/>
              </w:rPr>
              <w:t>xecutive career at Legal</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&amp; General Group plc where she held a range</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of senior leadership roles including Group</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Chief Risk Officer and Strategy &amp; Marketing</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Director. More recently, Andrea has been Risk</w:t>
            </w:r>
          </w:p>
          <w:p w14:paraId="424C216A" w14:textId="45C30329" w:rsidR="00BE152F" w:rsidRPr="009A2CAE" w:rsidRDefault="00BE152F" w:rsidP="00E469BF">
            <w:pPr>
              <w:spacing w:after="0"/>
            </w:pPr>
            <w:r w:rsidRPr="00735726">
              <w:rPr>
                <w:rFonts w:ascii="Arial" w:eastAsia="Times New Roman" w:hAnsi="Arial" w:cs="DINOT-Light"/>
                <w:sz w:val="18"/>
                <w:szCs w:val="18"/>
              </w:rPr>
              <w:t>Committee Chair at Hargreaves Lansdown</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plc, Senior Independent Director and</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Remuneration Committee Chair of Vanquis</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Banking Group plc, Senior Independent</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Director and Audit Committee Chair of</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ReAssure plc, and Risk Committee Chair of</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Scottish Widows plc and Lloyds Banking</w:t>
            </w:r>
            <w:r w:rsidR="00E469BF" w:rsidRPr="00735726">
              <w:rPr>
                <w:rFonts w:ascii="Arial" w:eastAsia="Times New Roman" w:hAnsi="Arial" w:cs="DINOT-Light"/>
                <w:sz w:val="18"/>
                <w:szCs w:val="18"/>
              </w:rPr>
              <w:t xml:space="preserve"> </w:t>
            </w:r>
            <w:r w:rsidRPr="00735726">
              <w:rPr>
                <w:rFonts w:ascii="Arial" w:eastAsia="Times New Roman" w:hAnsi="Arial" w:cs="DINOT-Light"/>
                <w:sz w:val="18"/>
                <w:szCs w:val="18"/>
              </w:rPr>
              <w:t>Group Insurance.</w:t>
            </w:r>
          </w:p>
        </w:tc>
      </w:tr>
    </w:tbl>
    <w:p w14:paraId="17F0319A" w14:textId="77777777" w:rsidR="00BE152F" w:rsidRPr="009A2CAE" w:rsidRDefault="00BE152F" w:rsidP="008A4B89">
      <w:pPr>
        <w:spacing w:after="0" w:line="240" w:lineRule="auto"/>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0"/>
      </w:tblGrid>
      <w:tr w:rsidR="007A70DD" w:rsidRPr="00735726" w14:paraId="670FE5F1" w14:textId="77777777" w:rsidTr="00A6449D">
        <w:tc>
          <w:tcPr>
            <w:tcW w:w="9140" w:type="dxa"/>
            <w:tcMar>
              <w:top w:w="57" w:type="dxa"/>
              <w:left w:w="57" w:type="dxa"/>
              <w:bottom w:w="57" w:type="dxa"/>
              <w:right w:w="57" w:type="dxa"/>
            </w:tcMar>
          </w:tcPr>
          <w:p w14:paraId="4A1B138F" w14:textId="77777777" w:rsidR="007A70DD" w:rsidRPr="00735726" w:rsidRDefault="007A70DD" w:rsidP="00A6449D">
            <w:pPr>
              <w:pStyle w:val="03body"/>
              <w:spacing w:after="10" w:line="276" w:lineRule="auto"/>
              <w:rPr>
                <w:b/>
                <w:color w:val="auto"/>
              </w:rPr>
            </w:pPr>
            <w:r w:rsidRPr="00735726">
              <w:rPr>
                <w:b/>
                <w:color w:val="auto"/>
              </w:rPr>
              <w:t xml:space="preserve">Dorothy Burwell </w:t>
            </w:r>
          </w:p>
          <w:p w14:paraId="0BCA32EA" w14:textId="77777777" w:rsidR="007A70DD" w:rsidRPr="00735726" w:rsidRDefault="007A70DD" w:rsidP="00A6449D">
            <w:pPr>
              <w:pStyle w:val="03body"/>
              <w:spacing w:after="10" w:line="276" w:lineRule="auto"/>
              <w:rPr>
                <w:b/>
                <w:color w:val="auto"/>
              </w:rPr>
            </w:pPr>
            <w:r w:rsidRPr="00735726">
              <w:rPr>
                <w:color w:val="auto"/>
              </w:rPr>
              <w:t>Independent</w:t>
            </w:r>
            <w:r w:rsidRPr="00735726">
              <w:rPr>
                <w:b/>
                <w:color w:val="auto"/>
              </w:rPr>
              <w:t xml:space="preserve"> </w:t>
            </w:r>
            <w:r w:rsidRPr="00735726">
              <w:rPr>
                <w:color w:val="auto"/>
              </w:rPr>
              <w:t>Non-Executive Director</w:t>
            </w:r>
          </w:p>
        </w:tc>
      </w:tr>
      <w:tr w:rsidR="007A70DD" w:rsidRPr="00735726" w14:paraId="34060CE8" w14:textId="77777777" w:rsidTr="00A6449D">
        <w:tc>
          <w:tcPr>
            <w:tcW w:w="9140" w:type="dxa"/>
            <w:tcMar>
              <w:top w:w="57" w:type="dxa"/>
              <w:left w:w="57" w:type="dxa"/>
              <w:bottom w:w="57" w:type="dxa"/>
              <w:right w:w="57" w:type="dxa"/>
            </w:tcMar>
          </w:tcPr>
          <w:p w14:paraId="439130B3" w14:textId="405183C5" w:rsidR="007A70DD" w:rsidRPr="00735726" w:rsidRDefault="007A70DD" w:rsidP="007A70DD">
            <w:pPr>
              <w:spacing w:after="10"/>
            </w:pPr>
            <w:r w:rsidRPr="00735726">
              <w:rPr>
                <w:rFonts w:ascii="Arial" w:hAnsi="Arial" w:cs="Arial"/>
                <w:b/>
                <w:sz w:val="18"/>
                <w:szCs w:val="18"/>
              </w:rPr>
              <w:t>Appointment to the Board</w:t>
            </w:r>
            <w:r w:rsidRPr="00735726">
              <w:rPr>
                <w:b/>
                <w:sz w:val="18"/>
                <w:szCs w:val="18"/>
              </w:rPr>
              <w:t xml:space="preserve"> </w:t>
            </w:r>
            <w:r w:rsidRPr="00735726">
              <w:rPr>
                <w:rFonts w:ascii="Arial" w:eastAsia="Times New Roman" w:hAnsi="Arial" w:cs="DINOT-Light"/>
                <w:sz w:val="18"/>
                <w:szCs w:val="18"/>
              </w:rPr>
              <w:t xml:space="preserve">Dorothy was appointed to the Board as Independent Non-Executive Director on 1 December 2022. </w:t>
            </w:r>
            <w:r w:rsidRPr="00735726">
              <w:rPr>
                <w:rFonts w:ascii="Arial" w:eastAsia="Times New Roman" w:hAnsi="Arial" w:cs="DINOT-Light"/>
                <w:sz w:val="18"/>
                <w:szCs w:val="18"/>
              </w:rPr>
              <w:br/>
            </w:r>
            <w:r w:rsidRPr="00735726">
              <w:rPr>
                <w:rFonts w:ascii="Arial" w:eastAsia="Times New Roman" w:hAnsi="Arial" w:cs="DINOT-Light"/>
                <w:sz w:val="18"/>
                <w:szCs w:val="18"/>
              </w:rPr>
              <w:br/>
              <w:t>She is Chair of the Environmental, Social and Governance Committee and a member of the Nomination and Remuneration Committees.</w:t>
            </w:r>
          </w:p>
        </w:tc>
      </w:tr>
      <w:tr w:rsidR="007A70DD" w:rsidRPr="00735726" w14:paraId="50FD0277" w14:textId="77777777" w:rsidTr="00A6449D">
        <w:tc>
          <w:tcPr>
            <w:tcW w:w="9140" w:type="dxa"/>
            <w:tcMar>
              <w:top w:w="57" w:type="dxa"/>
              <w:left w:w="57" w:type="dxa"/>
              <w:bottom w:w="57" w:type="dxa"/>
              <w:right w:w="57" w:type="dxa"/>
            </w:tcMar>
          </w:tcPr>
          <w:p w14:paraId="6729FDDD" w14:textId="24E166F0" w:rsidR="007A70DD" w:rsidRPr="009A2CAE" w:rsidRDefault="007A70DD" w:rsidP="00A6449D">
            <w:pPr>
              <w:spacing w:after="10"/>
              <w:rPr>
                <w:rFonts w:ascii="Arial" w:hAnsi="Arial" w:cs="Arial"/>
                <w:b/>
                <w:sz w:val="18"/>
                <w:szCs w:val="18"/>
              </w:rPr>
            </w:pPr>
            <w:r w:rsidRPr="00735726">
              <w:rPr>
                <w:rFonts w:ascii="Arial" w:hAnsi="Arial" w:cs="Arial"/>
                <w:b/>
                <w:sz w:val="18"/>
                <w:szCs w:val="18"/>
              </w:rPr>
              <w:t>Current external appointments</w:t>
            </w:r>
            <w:r w:rsidRPr="00735726">
              <w:rPr>
                <w:b/>
                <w:sz w:val="18"/>
                <w:szCs w:val="18"/>
              </w:rPr>
              <w:t xml:space="preserve"> </w:t>
            </w:r>
            <w:r w:rsidRPr="00735726">
              <w:rPr>
                <w:rFonts w:ascii="Arial" w:eastAsia="Times New Roman" w:hAnsi="Arial" w:cs="DINOT-Light"/>
                <w:sz w:val="18"/>
                <w:szCs w:val="18"/>
              </w:rPr>
              <w:t xml:space="preserve">Partner and Global Partnership Board member of FGS Global, Non-Executive </w:t>
            </w:r>
            <w:r w:rsidR="00267376" w:rsidRPr="00735726">
              <w:rPr>
                <w:rFonts w:ascii="Arial" w:eastAsia="Times New Roman" w:hAnsi="Arial" w:cs="DINOT-Light"/>
                <w:sz w:val="18"/>
                <w:szCs w:val="18"/>
              </w:rPr>
              <w:t>D</w:t>
            </w:r>
            <w:r w:rsidRPr="00735726">
              <w:rPr>
                <w:rFonts w:ascii="Arial" w:eastAsia="Times New Roman" w:hAnsi="Arial" w:cs="DINOT-Light"/>
                <w:sz w:val="18"/>
                <w:szCs w:val="18"/>
              </w:rPr>
              <w:t>irector at Post Holdings, Inc.</w:t>
            </w:r>
          </w:p>
        </w:tc>
      </w:tr>
      <w:tr w:rsidR="007A70DD" w:rsidRPr="00735726" w14:paraId="65DC0058" w14:textId="77777777" w:rsidTr="00A6449D">
        <w:tc>
          <w:tcPr>
            <w:tcW w:w="9140" w:type="dxa"/>
            <w:tcMar>
              <w:top w:w="57" w:type="dxa"/>
              <w:left w:w="57" w:type="dxa"/>
              <w:bottom w:w="57" w:type="dxa"/>
              <w:right w:w="57" w:type="dxa"/>
            </w:tcMar>
          </w:tcPr>
          <w:p w14:paraId="5ADA1618" w14:textId="00168E2A" w:rsidR="007A70DD" w:rsidRPr="00735726" w:rsidRDefault="007A70DD" w:rsidP="007A70DD">
            <w:pPr>
              <w:spacing w:after="10"/>
              <w:rPr>
                <w:rFonts w:ascii="Arial" w:eastAsia="Times New Roman" w:hAnsi="Arial" w:cs="DINOT-Light"/>
                <w:sz w:val="18"/>
                <w:szCs w:val="18"/>
              </w:rPr>
            </w:pPr>
            <w:r w:rsidRPr="00735726">
              <w:rPr>
                <w:rFonts w:ascii="Arial" w:eastAsia="Times New Roman" w:hAnsi="Arial" w:cs="DINOT-Light"/>
                <w:b/>
                <w:bCs/>
                <w:sz w:val="18"/>
                <w:szCs w:val="18"/>
              </w:rPr>
              <w:t>Skills and experience</w:t>
            </w:r>
            <w:r w:rsidRPr="00735726">
              <w:rPr>
                <w:rFonts w:ascii="Arial" w:eastAsia="Times New Roman" w:hAnsi="Arial" w:cs="DINOT-Light"/>
                <w:sz w:val="18"/>
                <w:szCs w:val="18"/>
              </w:rPr>
              <w:t xml:space="preserve"> Dorothy has over 20 years’ experience in banking and communications, specialising</w:t>
            </w:r>
          </w:p>
          <w:p w14:paraId="19A6443C" w14:textId="457FC5B1" w:rsidR="007A70DD" w:rsidRPr="00735726" w:rsidRDefault="007A70DD" w:rsidP="007A70DD">
            <w:pPr>
              <w:spacing w:after="10"/>
              <w:rPr>
                <w:rFonts w:ascii="Arial" w:eastAsia="Times New Roman" w:hAnsi="Arial" w:cs="DINOT-Light"/>
                <w:sz w:val="18"/>
                <w:szCs w:val="18"/>
              </w:rPr>
            </w:pPr>
            <w:r w:rsidRPr="00735726">
              <w:rPr>
                <w:rFonts w:ascii="Arial" w:eastAsia="Times New Roman" w:hAnsi="Arial" w:cs="DINOT-Light"/>
                <w:sz w:val="18"/>
                <w:szCs w:val="18"/>
              </w:rPr>
              <w:t>in natural resources and advising clients around issues of sustainability, strategy, and corporate communications. She is well known for driving substantive diversity and inclusion agendas. Between 2002 and 2006, Dorothy</w:t>
            </w:r>
          </w:p>
          <w:p w14:paraId="707E33CC" w14:textId="4ADC8AD7" w:rsidR="007A70DD" w:rsidRPr="00735726" w:rsidRDefault="007A70DD" w:rsidP="007A70DD">
            <w:pPr>
              <w:spacing w:after="10"/>
              <w:rPr>
                <w:rFonts w:ascii="Arial" w:eastAsia="Times New Roman" w:hAnsi="Arial" w:cs="DINOT-Light"/>
                <w:sz w:val="18"/>
                <w:szCs w:val="18"/>
              </w:rPr>
            </w:pPr>
            <w:r w:rsidRPr="00735726">
              <w:rPr>
                <w:rFonts w:ascii="Arial" w:eastAsia="Times New Roman" w:hAnsi="Arial" w:cs="DINOT-Light"/>
                <w:sz w:val="18"/>
                <w:szCs w:val="18"/>
              </w:rPr>
              <w:t>held analyst and senior roles at Goldman Sachs in the investment banking division, in both London and New York, as well as in the firmwide Strategy Group, where she focused on proprietary mergers and acquisitions</w:t>
            </w:r>
          </w:p>
          <w:p w14:paraId="155480C0" w14:textId="7D66775A" w:rsidR="007A70DD" w:rsidRPr="009A2CAE" w:rsidRDefault="007A70DD" w:rsidP="007A70DD">
            <w:pPr>
              <w:spacing w:after="10"/>
            </w:pPr>
            <w:r w:rsidRPr="00735726">
              <w:rPr>
                <w:rFonts w:ascii="Arial" w:eastAsia="Times New Roman" w:hAnsi="Arial" w:cs="DINOT-Light"/>
                <w:sz w:val="18"/>
                <w:szCs w:val="18"/>
              </w:rPr>
              <w:t>and new business development. Dorothy graduated from the Florida Agricultural and Mechanical University, USA with a Bachelor and Master of Business Administration, Finance and Management.</w:t>
            </w:r>
          </w:p>
        </w:tc>
      </w:tr>
    </w:tbl>
    <w:p w14:paraId="590BBA18" w14:textId="77777777" w:rsidR="007A70DD" w:rsidRPr="009A2CAE" w:rsidRDefault="007A70DD" w:rsidP="008A4B89">
      <w:pPr>
        <w:spacing w:after="0" w:line="240" w:lineRule="auto"/>
      </w:pPr>
    </w:p>
    <w:p w14:paraId="3A076E31" w14:textId="77777777" w:rsidR="007A70DD" w:rsidRPr="009A2CAE" w:rsidRDefault="007A70DD" w:rsidP="008A4B89">
      <w:pPr>
        <w:spacing w:after="0" w:line="240" w:lineRule="auto"/>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0"/>
      </w:tblGrid>
      <w:tr w:rsidR="00967811" w:rsidRPr="00735726" w14:paraId="3C555225" w14:textId="77777777" w:rsidTr="001463B4">
        <w:tc>
          <w:tcPr>
            <w:tcW w:w="9140" w:type="dxa"/>
            <w:tcMar>
              <w:top w:w="57" w:type="dxa"/>
              <w:left w:w="57" w:type="dxa"/>
              <w:bottom w:w="57" w:type="dxa"/>
              <w:right w:w="57" w:type="dxa"/>
            </w:tcMar>
          </w:tcPr>
          <w:p w14:paraId="65A66A9F" w14:textId="2E25D5A5" w:rsidR="00967811" w:rsidRPr="00735726" w:rsidRDefault="00967811" w:rsidP="00707848">
            <w:pPr>
              <w:pStyle w:val="03body"/>
              <w:spacing w:after="10" w:line="360" w:lineRule="auto"/>
              <w:rPr>
                <w:b/>
                <w:color w:val="auto"/>
              </w:rPr>
            </w:pPr>
            <w:r w:rsidRPr="00735726">
              <w:rPr>
                <w:b/>
                <w:color w:val="auto"/>
              </w:rPr>
              <w:lastRenderedPageBreak/>
              <w:t>Jon Butterworth MBE</w:t>
            </w:r>
            <w:r w:rsidR="00BE152F" w:rsidRPr="00735726">
              <w:rPr>
                <w:b/>
                <w:color w:val="auto"/>
              </w:rPr>
              <w:br/>
            </w:r>
            <w:r w:rsidRPr="00735726">
              <w:rPr>
                <w:color w:val="auto"/>
              </w:rPr>
              <w:t>Independent</w:t>
            </w:r>
            <w:r w:rsidRPr="00735726">
              <w:rPr>
                <w:b/>
                <w:color w:val="auto"/>
              </w:rPr>
              <w:t xml:space="preserve"> </w:t>
            </w:r>
            <w:r w:rsidRPr="00735726">
              <w:rPr>
                <w:color w:val="auto"/>
              </w:rPr>
              <w:t>Non-Executive Director</w:t>
            </w:r>
            <w:r w:rsidRPr="00735726">
              <w:rPr>
                <w:b/>
                <w:color w:val="auto"/>
              </w:rPr>
              <w:t xml:space="preserve"> </w:t>
            </w:r>
          </w:p>
        </w:tc>
      </w:tr>
      <w:tr w:rsidR="00967811" w:rsidRPr="00735726" w14:paraId="7561E715" w14:textId="77777777" w:rsidTr="001463B4">
        <w:tc>
          <w:tcPr>
            <w:tcW w:w="9140" w:type="dxa"/>
            <w:tcMar>
              <w:top w:w="57" w:type="dxa"/>
              <w:left w:w="57" w:type="dxa"/>
              <w:bottom w:w="57" w:type="dxa"/>
              <w:right w:w="57" w:type="dxa"/>
            </w:tcMar>
          </w:tcPr>
          <w:p w14:paraId="303D1D00" w14:textId="61A262F0" w:rsidR="00967811" w:rsidRPr="00735726" w:rsidRDefault="00967811" w:rsidP="001463B4">
            <w:pPr>
              <w:pStyle w:val="03body"/>
              <w:spacing w:after="10" w:line="276" w:lineRule="auto"/>
              <w:rPr>
                <w:color w:val="auto"/>
              </w:rPr>
            </w:pPr>
            <w:r w:rsidRPr="00735726">
              <w:rPr>
                <w:b/>
                <w:color w:val="auto"/>
              </w:rPr>
              <w:t>Appointment to the Board</w:t>
            </w:r>
            <w:r w:rsidRPr="00735726">
              <w:rPr>
                <w:color w:val="auto"/>
              </w:rPr>
              <w:t xml:space="preserve"> Jon was appointed to the Board on 28 September 2017. </w:t>
            </w:r>
          </w:p>
          <w:p w14:paraId="338E4E62" w14:textId="5890437C" w:rsidR="00967811" w:rsidRPr="00735726" w:rsidRDefault="00967811" w:rsidP="001463B4">
            <w:pPr>
              <w:pStyle w:val="03body"/>
              <w:spacing w:after="10" w:line="276" w:lineRule="auto"/>
              <w:rPr>
                <w:color w:val="auto"/>
              </w:rPr>
            </w:pPr>
            <w:r w:rsidRPr="00735726">
              <w:t xml:space="preserve">He </w:t>
            </w:r>
            <w:r w:rsidR="00A37E9E" w:rsidRPr="00735726">
              <w:t>is C</w:t>
            </w:r>
            <w:r w:rsidRPr="00735726">
              <w:t>hair</w:t>
            </w:r>
            <w:r w:rsidR="00A37E9E" w:rsidRPr="00735726">
              <w:t xml:space="preserve"> of</w:t>
            </w:r>
            <w:r w:rsidRPr="00735726">
              <w:t xml:space="preserve"> the Health and Safety Committee and is a</w:t>
            </w:r>
            <w:r w:rsidRPr="00735726">
              <w:rPr>
                <w:color w:val="auto"/>
              </w:rPr>
              <w:t xml:space="preserve"> member of the Nomination and Environmental, Social and Governance Committees.</w:t>
            </w:r>
          </w:p>
        </w:tc>
      </w:tr>
      <w:tr w:rsidR="00B33A0A" w:rsidRPr="00735726" w14:paraId="70D8017F" w14:textId="77777777" w:rsidTr="001463B4">
        <w:tc>
          <w:tcPr>
            <w:tcW w:w="9140" w:type="dxa"/>
            <w:tcMar>
              <w:top w:w="57" w:type="dxa"/>
              <w:left w:w="57" w:type="dxa"/>
              <w:bottom w:w="57" w:type="dxa"/>
              <w:right w:w="57" w:type="dxa"/>
            </w:tcMar>
          </w:tcPr>
          <w:p w14:paraId="652FABA0" w14:textId="4220F6DF" w:rsidR="00B33A0A" w:rsidRPr="00735726" w:rsidRDefault="00B33A0A" w:rsidP="00A37E9E">
            <w:pPr>
              <w:pStyle w:val="03body"/>
              <w:spacing w:after="10" w:line="276" w:lineRule="auto"/>
              <w:rPr>
                <w:b/>
                <w:color w:val="auto"/>
              </w:rPr>
            </w:pPr>
            <w:r w:rsidRPr="00735726">
              <w:rPr>
                <w:b/>
                <w:bCs/>
              </w:rPr>
              <w:t>Current external appointments</w:t>
            </w:r>
            <w:r w:rsidRPr="00735726">
              <w:t xml:space="preserve"> </w:t>
            </w:r>
            <w:r w:rsidR="00A37E9E" w:rsidRPr="00735726">
              <w:t>Chief Executive Officer at National Gas. Major in the British Army Reserves. UK Emergency Energy Co-ordinator for HMG. Chair of the National Gas Museum Trust.</w:t>
            </w:r>
          </w:p>
        </w:tc>
      </w:tr>
      <w:tr w:rsidR="00967811" w:rsidRPr="00735726" w14:paraId="1C009A72" w14:textId="77777777" w:rsidTr="001463B4">
        <w:trPr>
          <w:trHeight w:val="304"/>
        </w:trPr>
        <w:tc>
          <w:tcPr>
            <w:tcW w:w="9140" w:type="dxa"/>
            <w:tcMar>
              <w:top w:w="57" w:type="dxa"/>
              <w:left w:w="57" w:type="dxa"/>
              <w:bottom w:w="57" w:type="dxa"/>
              <w:right w:w="57" w:type="dxa"/>
            </w:tcMar>
          </w:tcPr>
          <w:p w14:paraId="7C53E754" w14:textId="7636C5B3" w:rsidR="00A37E9E" w:rsidRPr="00735726" w:rsidRDefault="00967811" w:rsidP="00A37E9E">
            <w:pPr>
              <w:spacing w:after="10"/>
              <w:rPr>
                <w:rFonts w:ascii="Arial" w:eastAsia="Times New Roman" w:hAnsi="Arial" w:cs="DINOT-Light"/>
                <w:sz w:val="18"/>
                <w:szCs w:val="18"/>
              </w:rPr>
            </w:pPr>
            <w:r w:rsidRPr="00735726">
              <w:rPr>
                <w:rFonts w:ascii="Arial" w:eastAsia="Times New Roman" w:hAnsi="Arial" w:cs="DINOT-Light"/>
                <w:b/>
                <w:bCs/>
                <w:sz w:val="18"/>
                <w:szCs w:val="18"/>
              </w:rPr>
              <w:t>Skills and experience</w:t>
            </w:r>
            <w:r w:rsidRPr="00735726">
              <w:rPr>
                <w:rFonts w:ascii="Arial" w:eastAsia="Times New Roman" w:hAnsi="Arial" w:cs="DINOT-Light"/>
                <w:sz w:val="18"/>
                <w:szCs w:val="18"/>
              </w:rPr>
              <w:t xml:space="preserve"> </w:t>
            </w:r>
            <w:r w:rsidR="00A37E9E" w:rsidRPr="00735726">
              <w:rPr>
                <w:rFonts w:ascii="Arial" w:eastAsia="Times New Roman" w:hAnsi="Arial" w:cs="DINOT-Light"/>
                <w:sz w:val="18"/>
                <w:szCs w:val="18"/>
              </w:rPr>
              <w:t xml:space="preserve">Jon has a distinguished track record and an immense depth of experience and knowledge within infrastructure and utilities. Jon begun his career as an apprentice at British Gas over 47 years ago working in Europe, the USA and the UK on major infrastructure. Currently as the CEO of National Gas </w:t>
            </w:r>
            <w:r w:rsidR="009F4FAE" w:rsidRPr="00735726">
              <w:rPr>
                <w:rFonts w:ascii="Arial" w:eastAsia="Times New Roman" w:hAnsi="Arial" w:cs="DINOT-Light"/>
                <w:sz w:val="18"/>
                <w:szCs w:val="18"/>
              </w:rPr>
              <w:t>plc</w:t>
            </w:r>
            <w:r w:rsidR="00A37E9E" w:rsidRPr="00735726">
              <w:rPr>
                <w:rFonts w:ascii="Arial" w:eastAsia="Times New Roman" w:hAnsi="Arial" w:cs="DINOT-Light"/>
                <w:sz w:val="18"/>
                <w:szCs w:val="18"/>
              </w:rPr>
              <w:t>,</w:t>
            </w:r>
          </w:p>
          <w:p w14:paraId="47EAF688" w14:textId="21B35867" w:rsidR="00967811" w:rsidRPr="00735726" w:rsidRDefault="00A37E9E" w:rsidP="00A37E9E">
            <w:pPr>
              <w:spacing w:after="10"/>
            </w:pPr>
            <w:r w:rsidRPr="00735726">
              <w:rPr>
                <w:rFonts w:ascii="Arial" w:eastAsia="Times New Roman" w:hAnsi="Arial" w:cs="DINOT-Light"/>
                <w:sz w:val="18"/>
                <w:szCs w:val="18"/>
              </w:rPr>
              <w:t xml:space="preserve">Jon is responsible for the primary energy supply into the UK and the operation of the system. </w:t>
            </w:r>
          </w:p>
        </w:tc>
      </w:tr>
    </w:tbl>
    <w:p w14:paraId="7D6656D9" w14:textId="77777777" w:rsidR="00967811" w:rsidRPr="009A2CAE" w:rsidRDefault="00967811" w:rsidP="008A4B89">
      <w:pPr>
        <w:spacing w:after="0" w:line="240" w:lineRule="auto"/>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0"/>
      </w:tblGrid>
      <w:tr w:rsidR="00722AA4" w:rsidRPr="00735726" w14:paraId="2A9919F5" w14:textId="77777777" w:rsidTr="001463B4">
        <w:tc>
          <w:tcPr>
            <w:tcW w:w="9140" w:type="dxa"/>
            <w:tcMar>
              <w:top w:w="57" w:type="dxa"/>
              <w:left w:w="57" w:type="dxa"/>
              <w:bottom w:w="57" w:type="dxa"/>
              <w:right w:w="57" w:type="dxa"/>
            </w:tcMar>
          </w:tcPr>
          <w:p w14:paraId="363F915F" w14:textId="77777777" w:rsidR="00722AA4" w:rsidRPr="00735726" w:rsidRDefault="00722AA4" w:rsidP="001463B4">
            <w:pPr>
              <w:pStyle w:val="03body"/>
              <w:spacing w:after="10" w:line="276" w:lineRule="auto"/>
              <w:rPr>
                <w:b/>
                <w:color w:val="auto"/>
              </w:rPr>
            </w:pPr>
            <w:r w:rsidRPr="00735726">
              <w:rPr>
                <w:b/>
                <w:color w:val="auto"/>
              </w:rPr>
              <w:t xml:space="preserve">Loraine Woodhouse </w:t>
            </w:r>
          </w:p>
          <w:p w14:paraId="3FB8AB86" w14:textId="77777777" w:rsidR="00722AA4" w:rsidRPr="00735726" w:rsidRDefault="00722AA4" w:rsidP="001463B4">
            <w:pPr>
              <w:pStyle w:val="03body"/>
              <w:spacing w:after="10" w:line="276" w:lineRule="auto"/>
              <w:rPr>
                <w:b/>
                <w:color w:val="auto"/>
              </w:rPr>
            </w:pPr>
            <w:r w:rsidRPr="00735726">
              <w:rPr>
                <w:color w:val="auto"/>
              </w:rPr>
              <w:t>Independent</w:t>
            </w:r>
            <w:r w:rsidRPr="00735726">
              <w:rPr>
                <w:b/>
                <w:color w:val="auto"/>
              </w:rPr>
              <w:t xml:space="preserve"> </w:t>
            </w:r>
            <w:r w:rsidRPr="00735726">
              <w:rPr>
                <w:color w:val="auto"/>
              </w:rPr>
              <w:t>Non-Executive Director</w:t>
            </w:r>
          </w:p>
        </w:tc>
      </w:tr>
      <w:tr w:rsidR="00722AA4" w:rsidRPr="00735726" w14:paraId="77DF0526" w14:textId="77777777" w:rsidTr="001463B4">
        <w:tc>
          <w:tcPr>
            <w:tcW w:w="9140" w:type="dxa"/>
            <w:tcMar>
              <w:top w:w="57" w:type="dxa"/>
              <w:left w:w="57" w:type="dxa"/>
              <w:bottom w:w="57" w:type="dxa"/>
              <w:right w:w="57" w:type="dxa"/>
            </w:tcMar>
          </w:tcPr>
          <w:p w14:paraId="72201EB1" w14:textId="77777777" w:rsidR="00B33A0A" w:rsidRPr="00735726" w:rsidRDefault="00722AA4" w:rsidP="001463B4">
            <w:pPr>
              <w:spacing w:after="10"/>
              <w:rPr>
                <w:rFonts w:ascii="Arial" w:eastAsia="Times New Roman" w:hAnsi="Arial" w:cs="DINOT-Light"/>
                <w:sz w:val="18"/>
                <w:szCs w:val="18"/>
              </w:rPr>
            </w:pPr>
            <w:r w:rsidRPr="00735726">
              <w:rPr>
                <w:rFonts w:ascii="Arial" w:eastAsia="Times New Roman" w:hAnsi="Arial" w:cs="DINOT-Light"/>
                <w:b/>
                <w:sz w:val="18"/>
                <w:szCs w:val="18"/>
              </w:rPr>
              <w:t>Appointment to the Board</w:t>
            </w:r>
            <w:r w:rsidRPr="00735726">
              <w:rPr>
                <w:b/>
              </w:rPr>
              <w:t xml:space="preserve"> </w:t>
            </w:r>
            <w:r w:rsidRPr="00735726">
              <w:rPr>
                <w:rFonts w:ascii="Arial" w:eastAsia="Times New Roman" w:hAnsi="Arial" w:cs="DINOT-Light"/>
                <w:sz w:val="18"/>
                <w:szCs w:val="18"/>
              </w:rPr>
              <w:t xml:space="preserve">Loraine was appointed to the Board as Independent Non-Executive Director on 1 December 2022. </w:t>
            </w:r>
          </w:p>
          <w:p w14:paraId="54100A06" w14:textId="77777777" w:rsidR="000C3F95" w:rsidRPr="00735726" w:rsidRDefault="000C3F95" w:rsidP="001463B4">
            <w:pPr>
              <w:spacing w:after="10"/>
              <w:rPr>
                <w:rFonts w:ascii="Arial" w:eastAsia="Times New Roman" w:hAnsi="Arial" w:cs="DINOT-Light"/>
                <w:sz w:val="18"/>
                <w:szCs w:val="18"/>
              </w:rPr>
            </w:pPr>
          </w:p>
          <w:p w14:paraId="4E85A385" w14:textId="73975677" w:rsidR="00722AA4" w:rsidRPr="00735726" w:rsidRDefault="00722AA4" w:rsidP="001463B4">
            <w:pPr>
              <w:spacing w:after="10"/>
            </w:pPr>
            <w:r w:rsidRPr="00735726">
              <w:rPr>
                <w:rFonts w:ascii="Arial" w:eastAsia="Times New Roman" w:hAnsi="Arial" w:cs="DINOT-Light"/>
                <w:sz w:val="18"/>
                <w:szCs w:val="18"/>
              </w:rPr>
              <w:t>She is Chair of the Audit Committee and a member of the</w:t>
            </w:r>
            <w:r w:rsidR="00A37E9E" w:rsidRPr="00735726">
              <w:rPr>
                <w:rFonts w:ascii="Arial" w:eastAsia="Times New Roman" w:hAnsi="Arial" w:cs="DINOT-Light"/>
                <w:sz w:val="18"/>
                <w:szCs w:val="18"/>
              </w:rPr>
              <w:t xml:space="preserve"> Environmental, Social and Governance,</w:t>
            </w:r>
            <w:r w:rsidRPr="00735726">
              <w:rPr>
                <w:rFonts w:ascii="Arial" w:eastAsia="Times New Roman" w:hAnsi="Arial" w:cs="DINOT-Light"/>
                <w:sz w:val="18"/>
                <w:szCs w:val="18"/>
              </w:rPr>
              <w:t xml:space="preserve"> </w:t>
            </w:r>
            <w:r w:rsidR="00A37E9E" w:rsidRPr="00735726">
              <w:rPr>
                <w:rFonts w:ascii="Arial" w:eastAsia="Times New Roman" w:hAnsi="Arial" w:cs="DINOT-Light"/>
                <w:sz w:val="18"/>
                <w:szCs w:val="18"/>
              </w:rPr>
              <w:t xml:space="preserve">Health and Safety and </w:t>
            </w:r>
            <w:r w:rsidRPr="00735726">
              <w:rPr>
                <w:rFonts w:ascii="Arial" w:eastAsia="Times New Roman" w:hAnsi="Arial" w:cs="DINOT-Light"/>
                <w:sz w:val="18"/>
                <w:szCs w:val="18"/>
              </w:rPr>
              <w:t>Nomination Committees.</w:t>
            </w:r>
          </w:p>
        </w:tc>
      </w:tr>
      <w:tr w:rsidR="00B33A0A" w:rsidRPr="00735726" w14:paraId="16CE55C0" w14:textId="77777777" w:rsidTr="001463B4">
        <w:tc>
          <w:tcPr>
            <w:tcW w:w="9140" w:type="dxa"/>
            <w:tcMar>
              <w:top w:w="57" w:type="dxa"/>
              <w:left w:w="57" w:type="dxa"/>
              <w:bottom w:w="57" w:type="dxa"/>
              <w:right w:w="57" w:type="dxa"/>
            </w:tcMar>
          </w:tcPr>
          <w:p w14:paraId="05F4AE46" w14:textId="50E6F4AA" w:rsidR="00B33A0A" w:rsidRPr="00735726" w:rsidRDefault="00B33A0A" w:rsidP="001463B4">
            <w:pPr>
              <w:spacing w:after="10"/>
              <w:rPr>
                <w:rFonts w:ascii="Arial" w:eastAsia="Times New Roman" w:hAnsi="Arial" w:cs="DINOT-Light"/>
                <w:b/>
                <w:sz w:val="18"/>
                <w:szCs w:val="18"/>
              </w:rPr>
            </w:pPr>
            <w:r w:rsidRPr="00735726">
              <w:rPr>
                <w:rFonts w:ascii="Arial" w:hAnsi="Arial" w:cs="Arial"/>
                <w:b/>
                <w:sz w:val="18"/>
                <w:szCs w:val="18"/>
              </w:rPr>
              <w:t>Current external appointments</w:t>
            </w:r>
            <w:r w:rsidRPr="00735726">
              <w:rPr>
                <w:b/>
                <w:sz w:val="18"/>
                <w:szCs w:val="18"/>
              </w:rPr>
              <w:t xml:space="preserve"> </w:t>
            </w:r>
            <w:r w:rsidRPr="00735726">
              <w:rPr>
                <w:rFonts w:ascii="Arial" w:eastAsia="Times New Roman" w:hAnsi="Arial" w:cs="DINOT-Light"/>
                <w:sz w:val="18"/>
                <w:szCs w:val="18"/>
              </w:rPr>
              <w:t xml:space="preserve">Senior Independent Director and Chair of the Audit Committee for the British Land Company plc, Non-Executive </w:t>
            </w:r>
            <w:r w:rsidR="00A37E9E" w:rsidRPr="00735726">
              <w:rPr>
                <w:rFonts w:ascii="Arial" w:eastAsia="Times New Roman" w:hAnsi="Arial" w:cs="DINOT-Light"/>
                <w:sz w:val="18"/>
                <w:szCs w:val="18"/>
              </w:rPr>
              <w:t>D</w:t>
            </w:r>
            <w:r w:rsidRPr="00735726">
              <w:rPr>
                <w:rFonts w:ascii="Arial" w:eastAsia="Times New Roman" w:hAnsi="Arial" w:cs="DINOT-Light"/>
                <w:sz w:val="18"/>
                <w:szCs w:val="18"/>
              </w:rPr>
              <w:t>irector for Associated British Foods plc and a Trustee and Audit Committee member at the Zoological Society London.</w:t>
            </w:r>
          </w:p>
        </w:tc>
      </w:tr>
      <w:tr w:rsidR="00722AA4" w:rsidRPr="00735726" w14:paraId="5DDBD7A7" w14:textId="77777777" w:rsidTr="001463B4">
        <w:tc>
          <w:tcPr>
            <w:tcW w:w="9140" w:type="dxa"/>
            <w:tcMar>
              <w:top w:w="57" w:type="dxa"/>
              <w:left w:w="57" w:type="dxa"/>
              <w:bottom w:w="57" w:type="dxa"/>
              <w:right w:w="57" w:type="dxa"/>
            </w:tcMar>
          </w:tcPr>
          <w:p w14:paraId="32336365" w14:textId="6F735D93" w:rsidR="00A37E9E" w:rsidRPr="00735726" w:rsidRDefault="00722AA4" w:rsidP="00A37E9E">
            <w:pPr>
              <w:spacing w:after="10"/>
              <w:rPr>
                <w:rFonts w:ascii="Arial" w:eastAsia="Times New Roman" w:hAnsi="Arial" w:cs="DINOT-Light"/>
                <w:sz w:val="18"/>
                <w:szCs w:val="18"/>
              </w:rPr>
            </w:pPr>
            <w:r w:rsidRPr="00735726">
              <w:rPr>
                <w:rFonts w:ascii="Arial" w:eastAsia="Times New Roman" w:hAnsi="Arial" w:cs="DINOT-Light"/>
                <w:b/>
                <w:bCs/>
                <w:sz w:val="18"/>
                <w:szCs w:val="18"/>
              </w:rPr>
              <w:t>Skills and experience</w:t>
            </w:r>
            <w:r w:rsidRPr="00735726">
              <w:rPr>
                <w:rFonts w:ascii="Arial" w:eastAsia="Times New Roman" w:hAnsi="Arial" w:cs="DINOT-Light"/>
                <w:sz w:val="18"/>
                <w:szCs w:val="18"/>
              </w:rPr>
              <w:t xml:space="preserve"> </w:t>
            </w:r>
            <w:r w:rsidR="00A37E9E" w:rsidRPr="00735726">
              <w:rPr>
                <w:rFonts w:ascii="Arial" w:eastAsia="Times New Roman" w:hAnsi="Arial" w:cs="DINOT-Light"/>
                <w:sz w:val="18"/>
                <w:szCs w:val="18"/>
              </w:rPr>
              <w:t xml:space="preserve">Loraine is an experienced finance executive, with her experience focused </w:t>
            </w:r>
            <w:proofErr w:type="gramStart"/>
            <w:r w:rsidR="00A37E9E" w:rsidRPr="00735726">
              <w:rPr>
                <w:rFonts w:ascii="Arial" w:eastAsia="Times New Roman" w:hAnsi="Arial" w:cs="DINOT-Light"/>
                <w:sz w:val="18"/>
                <w:szCs w:val="18"/>
              </w:rPr>
              <w:t>in</w:t>
            </w:r>
            <w:proofErr w:type="gramEnd"/>
            <w:r w:rsidR="00A37E9E" w:rsidRPr="00735726">
              <w:rPr>
                <w:rFonts w:ascii="Arial" w:eastAsia="Times New Roman" w:hAnsi="Arial" w:cs="DINOT-Light"/>
                <w:sz w:val="18"/>
                <w:szCs w:val="18"/>
              </w:rPr>
              <w:t xml:space="preserve"> the retail and consumer sector, and more recently in real estate and infrastructure through her roles with Intu Properties plc and British Land Company plc.</w:t>
            </w:r>
          </w:p>
          <w:p w14:paraId="1AB64759" w14:textId="0F329452" w:rsidR="00722AA4" w:rsidRPr="00735726" w:rsidRDefault="00A37E9E" w:rsidP="00A37E9E">
            <w:pPr>
              <w:spacing w:after="10"/>
            </w:pPr>
            <w:r w:rsidRPr="00735726">
              <w:rPr>
                <w:rFonts w:ascii="Arial" w:eastAsia="Times New Roman" w:hAnsi="Arial" w:cs="DINOT-Light"/>
                <w:sz w:val="18"/>
                <w:szCs w:val="18"/>
              </w:rPr>
              <w:t>Loraine was the Chief Financial Officer of Halfords Group plc until June 2022, before which she spent five years in executive and senior finance roles within the John Lewis Partnership, including Waitrose. Prior to that, Loraine was Chief Financial Officer of Hobbs, Finance Director of Capital Shopping Centres Limited (subsequently Intu Properties plc) and Finance Director of Costa Coffee Limited.</w:t>
            </w:r>
          </w:p>
        </w:tc>
      </w:tr>
    </w:tbl>
    <w:p w14:paraId="67DE6E7B" w14:textId="01AB035A" w:rsidR="00722AA4" w:rsidRPr="009A2CAE" w:rsidRDefault="00722AA4">
      <w:pPr>
        <w:spacing w:after="160" w:line="259" w:lineRule="auto"/>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0"/>
      </w:tblGrid>
      <w:tr w:rsidR="004F030D" w:rsidRPr="00735726" w14:paraId="459B8549" w14:textId="77777777" w:rsidTr="00881565">
        <w:tc>
          <w:tcPr>
            <w:tcW w:w="9140" w:type="dxa"/>
            <w:tcMar>
              <w:top w:w="57" w:type="dxa"/>
              <w:left w:w="57" w:type="dxa"/>
              <w:bottom w:w="57" w:type="dxa"/>
              <w:right w:w="57" w:type="dxa"/>
            </w:tcMar>
          </w:tcPr>
          <w:p w14:paraId="3B62B950" w14:textId="77777777" w:rsidR="00011407" w:rsidRPr="00735726" w:rsidRDefault="004F030D" w:rsidP="00853C6B">
            <w:pPr>
              <w:pStyle w:val="03body"/>
              <w:spacing w:after="10" w:line="276" w:lineRule="auto"/>
              <w:rPr>
                <w:b/>
                <w:color w:val="auto"/>
              </w:rPr>
            </w:pPr>
            <w:r w:rsidRPr="00735726">
              <w:rPr>
                <w:b/>
                <w:color w:val="auto"/>
              </w:rPr>
              <w:t>Andrew Garard</w:t>
            </w:r>
          </w:p>
          <w:p w14:paraId="06D8C8C9" w14:textId="065D64F2" w:rsidR="004F030D" w:rsidRPr="009A2CAE" w:rsidRDefault="004F030D" w:rsidP="00853C6B">
            <w:pPr>
              <w:pStyle w:val="03body"/>
              <w:spacing w:after="10" w:line="276" w:lineRule="auto"/>
              <w:rPr>
                <w:b/>
                <w:color w:val="auto"/>
              </w:rPr>
            </w:pPr>
            <w:r w:rsidRPr="00735726">
              <w:rPr>
                <w:bCs/>
                <w:color w:val="auto"/>
              </w:rPr>
              <w:t>General Counsel and Company Secretary</w:t>
            </w:r>
          </w:p>
        </w:tc>
      </w:tr>
      <w:tr w:rsidR="00011407" w:rsidRPr="00735726" w14:paraId="2DB40DD8" w14:textId="77777777" w:rsidTr="00881565">
        <w:tc>
          <w:tcPr>
            <w:tcW w:w="9140" w:type="dxa"/>
            <w:tcMar>
              <w:top w:w="57" w:type="dxa"/>
              <w:left w:w="57" w:type="dxa"/>
              <w:bottom w:w="57" w:type="dxa"/>
              <w:right w:w="57" w:type="dxa"/>
            </w:tcMar>
          </w:tcPr>
          <w:p w14:paraId="7A55192F" w14:textId="7DE6C7E9" w:rsidR="00011407" w:rsidRPr="009A2CAE" w:rsidRDefault="00011407" w:rsidP="00011407">
            <w:pPr>
              <w:spacing w:after="10"/>
            </w:pPr>
            <w:r w:rsidRPr="00735726">
              <w:rPr>
                <w:rFonts w:ascii="Arial" w:eastAsia="Times New Roman" w:hAnsi="Arial" w:cs="DINOT-Light"/>
                <w:b/>
                <w:sz w:val="18"/>
                <w:szCs w:val="18"/>
              </w:rPr>
              <w:t>Appointment to the Board</w:t>
            </w:r>
            <w:r w:rsidRPr="00735726">
              <w:rPr>
                <w:b/>
              </w:rPr>
              <w:t xml:space="preserve"> </w:t>
            </w:r>
            <w:r w:rsidRPr="00735726">
              <w:rPr>
                <w:rFonts w:ascii="Arial" w:eastAsia="Times New Roman" w:hAnsi="Arial" w:cs="DINOT-Light"/>
                <w:sz w:val="18"/>
                <w:szCs w:val="18"/>
              </w:rPr>
              <w:t>Andrew was appointed to the Board as Group General Counsel and Company Secretary on 1 December 2022.</w:t>
            </w:r>
          </w:p>
        </w:tc>
      </w:tr>
      <w:tr w:rsidR="00853C6B" w:rsidRPr="00735726" w14:paraId="75C5884C" w14:textId="77777777" w:rsidTr="00881565">
        <w:tc>
          <w:tcPr>
            <w:tcW w:w="9140" w:type="dxa"/>
            <w:tcMar>
              <w:top w:w="57" w:type="dxa"/>
              <w:left w:w="57" w:type="dxa"/>
              <w:bottom w:w="57" w:type="dxa"/>
              <w:right w:w="57" w:type="dxa"/>
            </w:tcMar>
          </w:tcPr>
          <w:p w14:paraId="76A01153" w14:textId="582C0699" w:rsidR="00853C6B" w:rsidRPr="009A2CAE" w:rsidRDefault="00853C6B" w:rsidP="00011407">
            <w:pPr>
              <w:spacing w:after="10"/>
              <w:rPr>
                <w:rFonts w:ascii="Arial" w:eastAsia="Times New Roman" w:hAnsi="Arial" w:cs="DINOT-Light"/>
                <w:b/>
                <w:sz w:val="18"/>
                <w:szCs w:val="18"/>
              </w:rPr>
            </w:pPr>
            <w:r w:rsidRPr="00735726">
              <w:rPr>
                <w:rFonts w:ascii="Arial" w:hAnsi="Arial" w:cs="Arial"/>
                <w:b/>
                <w:sz w:val="18"/>
                <w:szCs w:val="18"/>
              </w:rPr>
              <w:t>Current external appointments</w:t>
            </w:r>
            <w:r w:rsidRPr="00735726">
              <w:rPr>
                <w:b/>
                <w:sz w:val="18"/>
                <w:szCs w:val="18"/>
              </w:rPr>
              <w:t xml:space="preserve"> </w:t>
            </w:r>
            <w:r w:rsidRPr="00735726">
              <w:rPr>
                <w:rFonts w:ascii="Arial" w:eastAsia="Times New Roman" w:hAnsi="Arial" w:cs="DINOT-Light"/>
                <w:sz w:val="18"/>
                <w:szCs w:val="18"/>
              </w:rPr>
              <w:t>Non-Executive Director at Zinc Media Group plc where he is Chair of the Remuneration Committee, co-founder and Chair of the Board of Trustees of the Social Mobility Business Partnership.</w:t>
            </w:r>
          </w:p>
        </w:tc>
      </w:tr>
      <w:tr w:rsidR="00011407" w:rsidRPr="00735726" w14:paraId="255FAD00" w14:textId="77777777" w:rsidTr="00881565">
        <w:tc>
          <w:tcPr>
            <w:tcW w:w="9140" w:type="dxa"/>
            <w:tcMar>
              <w:top w:w="57" w:type="dxa"/>
              <w:left w:w="57" w:type="dxa"/>
              <w:bottom w:w="57" w:type="dxa"/>
              <w:right w:w="57" w:type="dxa"/>
            </w:tcMar>
          </w:tcPr>
          <w:p w14:paraId="6B6F365B" w14:textId="51E571AA" w:rsidR="002E5D90" w:rsidRPr="00735726" w:rsidRDefault="00011407" w:rsidP="002E5D90">
            <w:pPr>
              <w:spacing w:after="10"/>
              <w:rPr>
                <w:rFonts w:ascii="Arial" w:eastAsia="Times New Roman" w:hAnsi="Arial" w:cs="DINOT-Light"/>
                <w:sz w:val="18"/>
                <w:szCs w:val="18"/>
              </w:rPr>
            </w:pPr>
            <w:r w:rsidRPr="00735726">
              <w:rPr>
                <w:rFonts w:ascii="Arial" w:eastAsia="Times New Roman" w:hAnsi="Arial" w:cs="DINOT-Light"/>
                <w:b/>
                <w:bCs/>
                <w:sz w:val="18"/>
                <w:szCs w:val="18"/>
              </w:rPr>
              <w:t>Skills and experience</w:t>
            </w:r>
            <w:r w:rsidRPr="00735726">
              <w:rPr>
                <w:rFonts w:ascii="Arial" w:eastAsia="Times New Roman" w:hAnsi="Arial" w:cs="DINOT-Light"/>
                <w:sz w:val="18"/>
                <w:szCs w:val="18"/>
              </w:rPr>
              <w:t xml:space="preserve"> </w:t>
            </w:r>
            <w:r w:rsidR="002E5D90" w:rsidRPr="00735726">
              <w:rPr>
                <w:rFonts w:ascii="Arial" w:eastAsia="Times New Roman" w:hAnsi="Arial" w:cs="DINOT-Light"/>
                <w:sz w:val="18"/>
                <w:szCs w:val="18"/>
              </w:rPr>
              <w:t>Andrew is a very experienced General Counsel, having joined from Meggitt plc, where he</w:t>
            </w:r>
          </w:p>
          <w:p w14:paraId="0CD2C5AB" w14:textId="30869681" w:rsidR="002E5D90" w:rsidRPr="00735726" w:rsidRDefault="002E5D90" w:rsidP="002E5D90">
            <w:pPr>
              <w:spacing w:after="10"/>
              <w:rPr>
                <w:rFonts w:ascii="Arial" w:eastAsia="Times New Roman" w:hAnsi="Arial" w:cs="DINOT-Light"/>
                <w:sz w:val="18"/>
                <w:szCs w:val="18"/>
              </w:rPr>
            </w:pPr>
            <w:r w:rsidRPr="00735726">
              <w:rPr>
                <w:rFonts w:ascii="Arial" w:eastAsia="Times New Roman" w:hAnsi="Arial" w:cs="DINOT-Light"/>
                <w:sz w:val="18"/>
                <w:szCs w:val="18"/>
              </w:rPr>
              <w:t xml:space="preserve">was Group General Counsel and Director of Corporate Affairs, and a member of the group </w:t>
            </w:r>
            <w:r w:rsidR="00D01FD3" w:rsidRPr="00735726">
              <w:rPr>
                <w:rFonts w:ascii="Arial" w:eastAsia="Times New Roman" w:hAnsi="Arial" w:cs="DINOT-Light"/>
                <w:sz w:val="18"/>
                <w:szCs w:val="18"/>
              </w:rPr>
              <w:t>E</w:t>
            </w:r>
            <w:r w:rsidRPr="00735726">
              <w:rPr>
                <w:rFonts w:ascii="Arial" w:eastAsia="Times New Roman" w:hAnsi="Arial" w:cs="DINOT-Light"/>
                <w:sz w:val="18"/>
                <w:szCs w:val="18"/>
              </w:rPr>
              <w:t xml:space="preserve">xecutive responsible for legal, commercial, trade compliance, government relations, ethics and contract management. Previously, he was Group General Counsel and Company Secretary at ITV plc where he was a member of the </w:t>
            </w:r>
            <w:r w:rsidR="00D01FD3" w:rsidRPr="00735726">
              <w:rPr>
                <w:rFonts w:ascii="Arial" w:eastAsia="Times New Roman" w:hAnsi="Arial" w:cs="DINOT-Light"/>
                <w:sz w:val="18"/>
                <w:szCs w:val="18"/>
              </w:rPr>
              <w:t>E</w:t>
            </w:r>
            <w:r w:rsidRPr="00735726">
              <w:rPr>
                <w:rFonts w:ascii="Arial" w:eastAsia="Times New Roman" w:hAnsi="Arial" w:cs="DINOT-Light"/>
                <w:sz w:val="18"/>
                <w:szCs w:val="18"/>
              </w:rPr>
              <w:t xml:space="preserve">xecutive </w:t>
            </w:r>
            <w:r w:rsidR="00D01FD3" w:rsidRPr="00735726">
              <w:rPr>
                <w:rFonts w:ascii="Arial" w:eastAsia="Times New Roman" w:hAnsi="Arial" w:cs="DINOT-Light"/>
                <w:sz w:val="18"/>
                <w:szCs w:val="18"/>
              </w:rPr>
              <w:t>B</w:t>
            </w:r>
            <w:r w:rsidRPr="00735726">
              <w:rPr>
                <w:rFonts w:ascii="Arial" w:eastAsia="Times New Roman" w:hAnsi="Arial" w:cs="DINOT-Light"/>
                <w:sz w:val="18"/>
                <w:szCs w:val="18"/>
              </w:rPr>
              <w:t>oard and led a global team responsible for legal and business affairs, secretariat, compliance, insurance, health &amp;</w:t>
            </w:r>
          </w:p>
          <w:p w14:paraId="34686E63" w14:textId="031292CC" w:rsidR="00011407" w:rsidRPr="009A2CAE" w:rsidRDefault="002E5D90" w:rsidP="002E5D90">
            <w:pPr>
              <w:spacing w:after="10"/>
              <w:rPr>
                <w:rFonts w:ascii="Arial" w:eastAsia="Times New Roman" w:hAnsi="Arial" w:cs="DINOT-Light"/>
                <w:sz w:val="18"/>
                <w:szCs w:val="18"/>
              </w:rPr>
            </w:pPr>
            <w:r w:rsidRPr="00735726">
              <w:rPr>
                <w:rFonts w:ascii="Arial" w:eastAsia="Times New Roman" w:hAnsi="Arial" w:cs="DINOT-Light"/>
                <w:sz w:val="18"/>
                <w:szCs w:val="18"/>
              </w:rPr>
              <w:t>safety, rights management and corporate responsibility. Prior to this, he was Group General Counsel and Company Secretary at Cable &amp; Wireless plc and Global Head of Legal at Reuters Group plc.</w:t>
            </w:r>
          </w:p>
        </w:tc>
      </w:tr>
    </w:tbl>
    <w:p w14:paraId="756F0888" w14:textId="77777777" w:rsidR="002E5D90" w:rsidRPr="00735726" w:rsidRDefault="00620C09" w:rsidP="004F030D">
      <w:pPr>
        <w:spacing w:after="160" w:line="259" w:lineRule="auto"/>
        <w:rPr>
          <w:rFonts w:ascii="Arial" w:eastAsia="Times New Roman" w:hAnsi="Arial" w:cs="Arial"/>
          <w:b/>
          <w:bCs/>
          <w:caps/>
          <w:color w:val="000000"/>
          <w:sz w:val="18"/>
          <w:szCs w:val="18"/>
        </w:rPr>
      </w:pPr>
      <w:r w:rsidRPr="009A2CAE">
        <w:br/>
      </w:r>
    </w:p>
    <w:p w14:paraId="0E894564" w14:textId="77777777" w:rsidR="002E5D90" w:rsidRPr="00735726" w:rsidRDefault="002E5D90" w:rsidP="004F030D">
      <w:pPr>
        <w:spacing w:after="160" w:line="259" w:lineRule="auto"/>
        <w:rPr>
          <w:rFonts w:ascii="Arial" w:eastAsia="Times New Roman" w:hAnsi="Arial" w:cs="Arial"/>
          <w:b/>
          <w:bCs/>
          <w:caps/>
          <w:color w:val="000000"/>
          <w:sz w:val="18"/>
          <w:szCs w:val="18"/>
        </w:rPr>
      </w:pPr>
    </w:p>
    <w:p w14:paraId="4B9C1FA3" w14:textId="77777777" w:rsidR="002E5D90" w:rsidRPr="00735726" w:rsidRDefault="002E5D90" w:rsidP="004F030D">
      <w:pPr>
        <w:spacing w:after="160" w:line="259" w:lineRule="auto"/>
        <w:rPr>
          <w:rFonts w:ascii="Arial" w:eastAsia="Times New Roman" w:hAnsi="Arial" w:cs="Arial"/>
          <w:b/>
          <w:bCs/>
          <w:caps/>
          <w:color w:val="000000"/>
          <w:sz w:val="18"/>
          <w:szCs w:val="18"/>
        </w:rPr>
      </w:pPr>
    </w:p>
    <w:p w14:paraId="0C31514E" w14:textId="4337B80A" w:rsidR="004F030D" w:rsidRPr="00735726" w:rsidRDefault="00C64553" w:rsidP="004F030D">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 xml:space="preserve">Board </w:t>
      </w:r>
      <w:r w:rsidR="002D6603" w:rsidRPr="00735726">
        <w:rPr>
          <w:rFonts w:ascii="Arial" w:eastAsia="Times New Roman" w:hAnsi="Arial" w:cs="Arial"/>
          <w:b/>
          <w:bCs/>
          <w:caps/>
          <w:color w:val="000000"/>
          <w:sz w:val="18"/>
          <w:szCs w:val="18"/>
        </w:rPr>
        <w:t>CHANGES 2025/26</w:t>
      </w:r>
      <w:r w:rsidRPr="00735726">
        <w:rPr>
          <w:rFonts w:ascii="Arial" w:eastAsia="Times New Roman" w:hAnsi="Arial" w:cs="Arial"/>
          <w:b/>
          <w:bCs/>
          <w:caps/>
          <w:color w:val="000000"/>
          <w:sz w:val="18"/>
          <w:szCs w:val="18"/>
        </w:rPr>
        <w:t>:</w:t>
      </w:r>
    </w:p>
    <w:p w14:paraId="68C3F5E1" w14:textId="77777777" w:rsidR="002D6603" w:rsidRPr="00735726" w:rsidRDefault="002D6603" w:rsidP="002D6603">
      <w:pPr>
        <w:spacing w:after="160" w:line="259" w:lineRule="auto"/>
        <w:rPr>
          <w:rFonts w:ascii="Arial" w:eastAsia="Times New Roman" w:hAnsi="Arial" w:cs="DINOT-Light"/>
          <w:sz w:val="18"/>
          <w:szCs w:val="18"/>
        </w:rPr>
      </w:pPr>
      <w:r w:rsidRPr="00735726">
        <w:rPr>
          <w:rFonts w:ascii="Arial" w:eastAsia="Times New Roman" w:hAnsi="Arial" w:cs="DINOT-Light"/>
          <w:sz w:val="18"/>
          <w:szCs w:val="18"/>
        </w:rPr>
        <w:t xml:space="preserve">Susan Davy stepped down from the Board on 31 December 2025. Until her resignation, she was a member of ESG Committee and Health and Safety Committee. </w:t>
      </w:r>
    </w:p>
    <w:p w14:paraId="3A911115" w14:textId="5E3BD639" w:rsidR="002D6603" w:rsidRPr="00735726" w:rsidRDefault="002D6603" w:rsidP="002D6603">
      <w:pPr>
        <w:spacing w:after="160" w:line="259" w:lineRule="auto"/>
        <w:rPr>
          <w:rFonts w:ascii="Arial" w:hAnsi="Arial" w:cs="Arial"/>
        </w:rPr>
      </w:pPr>
      <w:r w:rsidRPr="00735726">
        <w:rPr>
          <w:rFonts w:ascii="Arial" w:eastAsia="Times New Roman" w:hAnsi="Arial" w:cs="DINOT-Light"/>
          <w:sz w:val="18"/>
          <w:szCs w:val="18"/>
        </w:rPr>
        <w:t>Iain Evans CBE stepped down from the Board on 31 March 2026. Until his resignation, Iain was the Senior Independent Director, a member of the Health and Safety Committee, the Audit Committee and the Remuneration Committee.</w:t>
      </w:r>
    </w:p>
    <w:p w14:paraId="7CAFA830" w14:textId="22E8083F" w:rsidR="004F030D" w:rsidRPr="00735726" w:rsidRDefault="004F030D" w:rsidP="0027778F">
      <w:pPr>
        <w:spacing w:after="160" w:line="259" w:lineRule="auto"/>
      </w:pPr>
      <w:r w:rsidRPr="00735726">
        <w:rPr>
          <w:rFonts w:ascii="Arial" w:hAnsi="Arial" w:cs="Arial"/>
        </w:rPr>
        <w:t xml:space="preserve">THE </w:t>
      </w:r>
      <w:proofErr w:type="gramStart"/>
      <w:r w:rsidRPr="00735726">
        <w:rPr>
          <w:rFonts w:ascii="Arial" w:hAnsi="Arial" w:cs="Arial"/>
        </w:rPr>
        <w:t>SOUTH WEST</w:t>
      </w:r>
      <w:proofErr w:type="gramEnd"/>
      <w:r w:rsidRPr="00735726">
        <w:rPr>
          <w:rFonts w:ascii="Arial" w:hAnsi="Arial" w:cs="Arial"/>
        </w:rPr>
        <w:t xml:space="preserve"> WATER EXECUTIVE TEAM</w:t>
      </w:r>
    </w:p>
    <w:p w14:paraId="1AF3D513" w14:textId="1CC8AA8F" w:rsidR="00011407" w:rsidRPr="009A2CAE" w:rsidRDefault="002E5D90" w:rsidP="00646F4F">
      <w:pPr>
        <w:pStyle w:val="Headinglevel4"/>
        <w:numPr>
          <w:ilvl w:val="0"/>
          <w:numId w:val="33"/>
        </w:numPr>
        <w:tabs>
          <w:tab w:val="clear" w:pos="340"/>
          <w:tab w:val="left" w:pos="851"/>
        </w:tabs>
        <w:spacing w:after="120" w:line="276" w:lineRule="auto"/>
        <w:ind w:left="850" w:hanging="425"/>
        <w:jc w:val="both"/>
        <w:outlineLvl w:val="0"/>
        <w:rPr>
          <w:rFonts w:eastAsiaTheme="majorEastAsia"/>
          <w:b w:val="0"/>
          <w:bCs w:val="0"/>
          <w:caps w:val="0"/>
          <w:color w:val="auto"/>
          <w:szCs w:val="20"/>
          <w:lang w:eastAsia="en-GB"/>
        </w:rPr>
      </w:pPr>
      <w:r w:rsidRPr="00735726">
        <w:rPr>
          <w:rFonts w:eastAsiaTheme="majorEastAsia"/>
          <w:caps w:val="0"/>
          <w:color w:val="auto"/>
          <w:szCs w:val="20"/>
          <w:lang w:eastAsia="en-GB"/>
        </w:rPr>
        <w:t>Keith Haslett</w:t>
      </w:r>
      <w:r w:rsidR="00011407" w:rsidRPr="00735726">
        <w:rPr>
          <w:rFonts w:eastAsiaTheme="majorEastAsia"/>
          <w:b w:val="0"/>
          <w:bCs w:val="0"/>
          <w:caps w:val="0"/>
          <w:color w:val="auto"/>
          <w:szCs w:val="20"/>
          <w:lang w:eastAsia="en-GB"/>
        </w:rPr>
        <w:t xml:space="preserve"> </w:t>
      </w:r>
      <w:r w:rsidR="006C1BA9" w:rsidRPr="00735726">
        <w:rPr>
          <w:rFonts w:eastAsiaTheme="majorEastAsia"/>
          <w:b w:val="0"/>
          <w:bCs w:val="0"/>
          <w:caps w:val="0"/>
          <w:color w:val="auto"/>
          <w:szCs w:val="20"/>
          <w:lang w:eastAsia="en-GB"/>
        </w:rPr>
        <w:t xml:space="preserve">- </w:t>
      </w:r>
      <w:r w:rsidR="00011407" w:rsidRPr="00735726">
        <w:rPr>
          <w:rFonts w:eastAsiaTheme="majorEastAsia"/>
          <w:b w:val="0"/>
          <w:bCs w:val="0"/>
          <w:caps w:val="0"/>
          <w:color w:val="auto"/>
          <w:szCs w:val="20"/>
          <w:lang w:eastAsia="en-GB"/>
        </w:rPr>
        <w:t xml:space="preserve">Chief Executive Officer of </w:t>
      </w:r>
      <w:proofErr w:type="gramStart"/>
      <w:r w:rsidR="00011407" w:rsidRPr="00735726">
        <w:rPr>
          <w:rFonts w:eastAsiaTheme="majorEastAsia"/>
          <w:b w:val="0"/>
          <w:bCs w:val="0"/>
          <w:caps w:val="0"/>
          <w:color w:val="auto"/>
          <w:szCs w:val="20"/>
          <w:lang w:eastAsia="en-GB"/>
        </w:rPr>
        <w:t>South West</w:t>
      </w:r>
      <w:proofErr w:type="gramEnd"/>
      <w:r w:rsidR="00011407" w:rsidRPr="00735726">
        <w:rPr>
          <w:rFonts w:eastAsiaTheme="majorEastAsia"/>
          <w:b w:val="0"/>
          <w:bCs w:val="0"/>
          <w:caps w:val="0"/>
          <w:color w:val="auto"/>
          <w:szCs w:val="20"/>
          <w:lang w:eastAsia="en-GB"/>
        </w:rPr>
        <w:t xml:space="preserve"> Water</w:t>
      </w:r>
      <w:r w:rsidR="00853C6B" w:rsidRPr="00735726">
        <w:rPr>
          <w:rFonts w:eastAsiaTheme="majorEastAsia"/>
          <w:b w:val="0"/>
          <w:bCs w:val="0"/>
          <w:caps w:val="0"/>
          <w:color w:val="auto"/>
          <w:szCs w:val="20"/>
          <w:lang w:eastAsia="en-GB"/>
        </w:rPr>
        <w:t xml:space="preserve"> and Pennon Group plc</w:t>
      </w:r>
      <w:r w:rsidR="00011407" w:rsidRPr="00735726">
        <w:rPr>
          <w:rFonts w:eastAsiaTheme="majorEastAsia"/>
          <w:b w:val="0"/>
          <w:bCs w:val="0"/>
          <w:caps w:val="0"/>
          <w:color w:val="auto"/>
          <w:szCs w:val="20"/>
          <w:lang w:eastAsia="en-GB"/>
        </w:rPr>
        <w:t xml:space="preserve"> </w:t>
      </w:r>
      <w:r w:rsidR="006C1BA9" w:rsidRPr="00735726">
        <w:rPr>
          <w:rFonts w:eastAsiaTheme="majorEastAsia"/>
          <w:b w:val="0"/>
          <w:bCs w:val="0"/>
          <w:caps w:val="0"/>
          <w:color w:val="auto"/>
          <w:szCs w:val="20"/>
          <w:lang w:eastAsia="en-GB"/>
        </w:rPr>
        <w:t xml:space="preserve">- </w:t>
      </w:r>
      <w:r w:rsidR="00011407" w:rsidRPr="00735726">
        <w:rPr>
          <w:rFonts w:eastAsiaTheme="majorEastAsia"/>
          <w:b w:val="0"/>
          <w:bCs w:val="0"/>
          <w:caps w:val="0"/>
          <w:color w:val="auto"/>
          <w:szCs w:val="20"/>
          <w:lang w:eastAsia="en-GB"/>
        </w:rPr>
        <w:t xml:space="preserve">see biography on page </w:t>
      </w:r>
      <w:r w:rsidR="00704734" w:rsidRPr="009A2CAE">
        <w:rPr>
          <w:rFonts w:eastAsiaTheme="majorEastAsia"/>
          <w:b w:val="0"/>
          <w:bCs w:val="0"/>
          <w:caps w:val="0"/>
          <w:color w:val="auto"/>
          <w:szCs w:val="20"/>
          <w:lang w:eastAsia="en-GB"/>
        </w:rPr>
        <w:t>102</w:t>
      </w:r>
      <w:r w:rsidR="00C300C4" w:rsidRPr="009A2CAE">
        <w:rPr>
          <w:rFonts w:eastAsiaTheme="majorEastAsia"/>
          <w:b w:val="0"/>
          <w:bCs w:val="0"/>
          <w:caps w:val="0"/>
          <w:color w:val="auto"/>
          <w:szCs w:val="20"/>
          <w:lang w:eastAsia="en-GB"/>
        </w:rPr>
        <w:t>.</w:t>
      </w:r>
    </w:p>
    <w:p w14:paraId="17420416" w14:textId="1BD4C5A5" w:rsidR="00011407" w:rsidRPr="009A2CAE" w:rsidRDefault="00C64553" w:rsidP="00646F4F">
      <w:pPr>
        <w:pStyle w:val="Headinglevel4"/>
        <w:numPr>
          <w:ilvl w:val="0"/>
          <w:numId w:val="33"/>
        </w:numPr>
        <w:tabs>
          <w:tab w:val="clear" w:pos="340"/>
          <w:tab w:val="left" w:pos="851"/>
        </w:tabs>
        <w:spacing w:after="120" w:line="276" w:lineRule="auto"/>
        <w:ind w:left="850" w:hanging="425"/>
        <w:jc w:val="both"/>
        <w:outlineLvl w:val="0"/>
        <w:rPr>
          <w:rFonts w:eastAsiaTheme="majorEastAsia"/>
          <w:b w:val="0"/>
          <w:bCs w:val="0"/>
          <w:caps w:val="0"/>
          <w:color w:val="auto"/>
          <w:szCs w:val="20"/>
          <w:lang w:eastAsia="en-GB"/>
        </w:rPr>
      </w:pPr>
      <w:r w:rsidRPr="00735726">
        <w:rPr>
          <w:rFonts w:eastAsiaTheme="majorEastAsia"/>
          <w:caps w:val="0"/>
          <w:color w:val="auto"/>
          <w:szCs w:val="20"/>
          <w:lang w:eastAsia="en-GB"/>
        </w:rPr>
        <w:t>Laura Flowerdew</w:t>
      </w:r>
      <w:r w:rsidR="00011407" w:rsidRPr="00735726">
        <w:rPr>
          <w:rFonts w:eastAsiaTheme="majorEastAsia"/>
          <w:b w:val="0"/>
          <w:bCs w:val="0"/>
          <w:caps w:val="0"/>
          <w:color w:val="auto"/>
          <w:szCs w:val="20"/>
          <w:lang w:eastAsia="en-GB"/>
        </w:rPr>
        <w:t xml:space="preserve"> </w:t>
      </w:r>
      <w:bookmarkStart w:id="25" w:name="_Hlk166149266"/>
      <w:r w:rsidR="006C1BA9" w:rsidRPr="00735726">
        <w:rPr>
          <w:rFonts w:eastAsiaTheme="majorEastAsia"/>
          <w:b w:val="0"/>
          <w:bCs w:val="0"/>
          <w:caps w:val="0"/>
          <w:color w:val="auto"/>
          <w:szCs w:val="20"/>
          <w:lang w:eastAsia="en-GB"/>
        </w:rPr>
        <w:t xml:space="preserve">- </w:t>
      </w:r>
      <w:r w:rsidR="00011407" w:rsidRPr="00735726">
        <w:rPr>
          <w:rFonts w:eastAsiaTheme="majorEastAsia"/>
          <w:b w:val="0"/>
          <w:bCs w:val="0"/>
          <w:caps w:val="0"/>
          <w:color w:val="auto"/>
          <w:szCs w:val="20"/>
          <w:lang w:eastAsia="en-GB"/>
        </w:rPr>
        <w:t xml:space="preserve">Chief Financial Officer of </w:t>
      </w:r>
      <w:proofErr w:type="gramStart"/>
      <w:r w:rsidR="00011407" w:rsidRPr="00735726">
        <w:rPr>
          <w:rFonts w:eastAsiaTheme="majorEastAsia"/>
          <w:b w:val="0"/>
          <w:bCs w:val="0"/>
          <w:caps w:val="0"/>
          <w:color w:val="auto"/>
          <w:szCs w:val="20"/>
          <w:lang w:eastAsia="en-GB"/>
        </w:rPr>
        <w:t>South West</w:t>
      </w:r>
      <w:proofErr w:type="gramEnd"/>
      <w:r w:rsidR="00011407" w:rsidRPr="00735726">
        <w:rPr>
          <w:rFonts w:eastAsiaTheme="majorEastAsia"/>
          <w:b w:val="0"/>
          <w:bCs w:val="0"/>
          <w:caps w:val="0"/>
          <w:color w:val="auto"/>
          <w:szCs w:val="20"/>
          <w:lang w:eastAsia="en-GB"/>
        </w:rPr>
        <w:t xml:space="preserve"> Water </w:t>
      </w:r>
      <w:r w:rsidR="00853C6B" w:rsidRPr="00735726">
        <w:rPr>
          <w:rFonts w:eastAsiaTheme="majorEastAsia"/>
          <w:b w:val="0"/>
          <w:bCs w:val="0"/>
          <w:caps w:val="0"/>
          <w:color w:val="auto"/>
          <w:szCs w:val="20"/>
          <w:lang w:eastAsia="en-GB"/>
        </w:rPr>
        <w:t xml:space="preserve">and Pennon Group plc </w:t>
      </w:r>
      <w:r w:rsidR="006C1BA9" w:rsidRPr="00735726">
        <w:rPr>
          <w:rFonts w:eastAsiaTheme="majorEastAsia"/>
          <w:b w:val="0"/>
          <w:bCs w:val="0"/>
          <w:caps w:val="0"/>
          <w:color w:val="auto"/>
          <w:szCs w:val="20"/>
          <w:lang w:eastAsia="en-GB"/>
        </w:rPr>
        <w:t xml:space="preserve">- </w:t>
      </w:r>
      <w:r w:rsidR="00011407" w:rsidRPr="00735726">
        <w:rPr>
          <w:rFonts w:eastAsiaTheme="majorEastAsia"/>
          <w:b w:val="0"/>
          <w:bCs w:val="0"/>
          <w:caps w:val="0"/>
          <w:color w:val="auto"/>
          <w:szCs w:val="20"/>
          <w:lang w:eastAsia="en-GB"/>
        </w:rPr>
        <w:t xml:space="preserve">see biography on page </w:t>
      </w:r>
      <w:bookmarkEnd w:id="25"/>
      <w:r w:rsidR="00704734" w:rsidRPr="009A2CAE">
        <w:rPr>
          <w:rFonts w:eastAsiaTheme="majorEastAsia"/>
          <w:b w:val="0"/>
          <w:bCs w:val="0"/>
          <w:caps w:val="0"/>
          <w:color w:val="auto"/>
          <w:szCs w:val="20"/>
          <w:lang w:eastAsia="en-GB"/>
        </w:rPr>
        <w:t>102</w:t>
      </w:r>
      <w:r w:rsidR="00C300C4" w:rsidRPr="009A2CAE">
        <w:rPr>
          <w:rFonts w:eastAsiaTheme="majorEastAsia"/>
          <w:b w:val="0"/>
          <w:bCs w:val="0"/>
          <w:caps w:val="0"/>
          <w:color w:val="auto"/>
          <w:szCs w:val="20"/>
          <w:lang w:eastAsia="en-GB"/>
        </w:rPr>
        <w:t>.</w:t>
      </w:r>
    </w:p>
    <w:p w14:paraId="5AA36CB9" w14:textId="7106F92B" w:rsidR="00011407" w:rsidRPr="009A2CAE" w:rsidRDefault="00011407" w:rsidP="00646F4F">
      <w:pPr>
        <w:pStyle w:val="Headinglevel4"/>
        <w:numPr>
          <w:ilvl w:val="0"/>
          <w:numId w:val="33"/>
        </w:numPr>
        <w:tabs>
          <w:tab w:val="clear" w:pos="340"/>
          <w:tab w:val="left" w:pos="851"/>
        </w:tabs>
        <w:spacing w:after="120" w:line="276" w:lineRule="auto"/>
        <w:ind w:left="850" w:hanging="425"/>
        <w:jc w:val="both"/>
        <w:outlineLvl w:val="0"/>
        <w:rPr>
          <w:rFonts w:eastAsiaTheme="majorEastAsia"/>
          <w:b w:val="0"/>
          <w:bCs w:val="0"/>
          <w:caps w:val="0"/>
          <w:color w:val="auto"/>
          <w:szCs w:val="20"/>
          <w:lang w:eastAsia="en-GB"/>
        </w:rPr>
      </w:pPr>
      <w:r w:rsidRPr="00735726">
        <w:rPr>
          <w:rFonts w:eastAsiaTheme="majorEastAsia"/>
          <w:caps w:val="0"/>
          <w:color w:val="auto"/>
          <w:szCs w:val="20"/>
          <w:lang w:eastAsia="en-GB"/>
        </w:rPr>
        <w:t>Andrew Garard</w:t>
      </w:r>
      <w:r w:rsidRPr="00735726">
        <w:rPr>
          <w:rFonts w:eastAsiaTheme="majorEastAsia"/>
          <w:b w:val="0"/>
          <w:bCs w:val="0"/>
          <w:caps w:val="0"/>
          <w:color w:val="auto"/>
          <w:szCs w:val="20"/>
          <w:lang w:eastAsia="en-GB"/>
        </w:rPr>
        <w:t xml:space="preserve"> </w:t>
      </w:r>
      <w:r w:rsidR="006C1BA9" w:rsidRPr="00735726">
        <w:rPr>
          <w:rFonts w:eastAsiaTheme="majorEastAsia"/>
          <w:b w:val="0"/>
          <w:bCs w:val="0"/>
          <w:caps w:val="0"/>
          <w:color w:val="auto"/>
          <w:szCs w:val="20"/>
          <w:lang w:eastAsia="en-GB"/>
        </w:rPr>
        <w:t xml:space="preserve">- </w:t>
      </w:r>
      <w:r w:rsidRPr="00735726">
        <w:rPr>
          <w:rFonts w:eastAsiaTheme="majorEastAsia"/>
          <w:b w:val="0"/>
          <w:bCs w:val="0"/>
          <w:caps w:val="0"/>
          <w:color w:val="auto"/>
          <w:szCs w:val="20"/>
          <w:lang w:eastAsia="en-GB"/>
        </w:rPr>
        <w:t>General Counsel and Company Secretary</w:t>
      </w:r>
      <w:r w:rsidR="000C3F95" w:rsidRPr="00735726">
        <w:rPr>
          <w:rFonts w:eastAsiaTheme="majorEastAsia"/>
          <w:b w:val="0"/>
          <w:bCs w:val="0"/>
          <w:caps w:val="0"/>
          <w:color w:val="auto"/>
          <w:szCs w:val="20"/>
          <w:lang w:eastAsia="en-GB"/>
        </w:rPr>
        <w:t xml:space="preserve"> of </w:t>
      </w:r>
      <w:proofErr w:type="gramStart"/>
      <w:r w:rsidR="000C3F95" w:rsidRPr="00735726">
        <w:rPr>
          <w:rFonts w:eastAsiaTheme="majorEastAsia"/>
          <w:b w:val="0"/>
          <w:bCs w:val="0"/>
          <w:caps w:val="0"/>
          <w:color w:val="auto"/>
          <w:szCs w:val="20"/>
          <w:lang w:eastAsia="en-GB"/>
        </w:rPr>
        <w:t>South West</w:t>
      </w:r>
      <w:proofErr w:type="gramEnd"/>
      <w:r w:rsidR="000C3F95" w:rsidRPr="00735726">
        <w:rPr>
          <w:rFonts w:eastAsiaTheme="majorEastAsia"/>
          <w:b w:val="0"/>
          <w:bCs w:val="0"/>
          <w:caps w:val="0"/>
          <w:color w:val="auto"/>
          <w:szCs w:val="20"/>
          <w:lang w:eastAsia="en-GB"/>
        </w:rPr>
        <w:t xml:space="preserve"> Water and Pennon Group plc</w:t>
      </w:r>
      <w:r w:rsidRPr="00735726">
        <w:rPr>
          <w:rFonts w:eastAsiaTheme="majorEastAsia"/>
          <w:b w:val="0"/>
          <w:bCs w:val="0"/>
          <w:caps w:val="0"/>
          <w:color w:val="auto"/>
          <w:szCs w:val="20"/>
          <w:lang w:eastAsia="en-GB"/>
        </w:rPr>
        <w:t xml:space="preserve"> </w:t>
      </w:r>
      <w:r w:rsidR="006C1BA9" w:rsidRPr="00735726">
        <w:rPr>
          <w:rFonts w:eastAsiaTheme="majorEastAsia"/>
          <w:b w:val="0"/>
          <w:bCs w:val="0"/>
          <w:caps w:val="0"/>
          <w:color w:val="auto"/>
          <w:szCs w:val="20"/>
          <w:lang w:eastAsia="en-GB"/>
        </w:rPr>
        <w:t xml:space="preserve">- </w:t>
      </w:r>
      <w:r w:rsidRPr="00735726">
        <w:rPr>
          <w:rFonts w:eastAsiaTheme="majorEastAsia"/>
          <w:b w:val="0"/>
          <w:bCs w:val="0"/>
          <w:caps w:val="0"/>
          <w:color w:val="auto"/>
          <w:szCs w:val="20"/>
          <w:lang w:eastAsia="en-GB"/>
        </w:rPr>
        <w:t xml:space="preserve">see biography on page </w:t>
      </w:r>
      <w:r w:rsidR="00704734" w:rsidRPr="009A2CAE">
        <w:rPr>
          <w:rFonts w:eastAsiaTheme="majorEastAsia"/>
          <w:b w:val="0"/>
          <w:bCs w:val="0"/>
          <w:caps w:val="0"/>
          <w:color w:val="auto"/>
          <w:szCs w:val="20"/>
          <w:lang w:eastAsia="en-GB"/>
        </w:rPr>
        <w:t>104</w:t>
      </w:r>
      <w:r w:rsidR="00C300C4" w:rsidRPr="009A2CAE">
        <w:rPr>
          <w:rFonts w:eastAsiaTheme="majorEastAsia"/>
          <w:b w:val="0"/>
          <w:bCs w:val="0"/>
          <w:caps w:val="0"/>
          <w:color w:val="auto"/>
          <w:szCs w:val="20"/>
          <w:lang w:eastAsia="en-GB"/>
        </w:rPr>
        <w:t>.</w:t>
      </w:r>
    </w:p>
    <w:p w14:paraId="77B5FA27" w14:textId="1524A116" w:rsidR="00CB4678" w:rsidRPr="00735726" w:rsidRDefault="00CB4678" w:rsidP="00646F4F">
      <w:pPr>
        <w:pStyle w:val="Headinglevel4"/>
        <w:numPr>
          <w:ilvl w:val="0"/>
          <w:numId w:val="33"/>
        </w:numPr>
        <w:tabs>
          <w:tab w:val="clear" w:pos="340"/>
          <w:tab w:val="left" w:pos="851"/>
        </w:tabs>
        <w:spacing w:after="120" w:line="276" w:lineRule="auto"/>
        <w:ind w:left="850" w:hanging="425"/>
        <w:jc w:val="both"/>
        <w:outlineLvl w:val="0"/>
        <w:rPr>
          <w:rFonts w:eastAsiaTheme="majorEastAsia"/>
          <w:b w:val="0"/>
          <w:bCs w:val="0"/>
          <w:caps w:val="0"/>
          <w:color w:val="auto"/>
          <w:szCs w:val="20"/>
          <w:lang w:eastAsia="en-GB"/>
        </w:rPr>
      </w:pPr>
      <w:r w:rsidRPr="00735726">
        <w:rPr>
          <w:rFonts w:eastAsiaTheme="majorEastAsia"/>
          <w:caps w:val="0"/>
          <w:color w:val="auto"/>
          <w:szCs w:val="20"/>
          <w:lang w:eastAsia="en-GB"/>
        </w:rPr>
        <w:t>David Harris</w:t>
      </w:r>
      <w:r w:rsidRPr="00735726">
        <w:rPr>
          <w:rFonts w:eastAsiaTheme="majorEastAsia"/>
          <w:color w:val="auto"/>
          <w:szCs w:val="20"/>
          <w:lang w:eastAsia="en-GB"/>
        </w:rPr>
        <w:t xml:space="preserve"> </w:t>
      </w:r>
      <w:r w:rsidR="006C1BA9" w:rsidRPr="00735726">
        <w:rPr>
          <w:rFonts w:eastAsiaTheme="majorEastAsia"/>
          <w:b w:val="0"/>
          <w:bCs w:val="0"/>
          <w:color w:val="auto"/>
          <w:szCs w:val="20"/>
          <w:lang w:eastAsia="en-GB"/>
        </w:rPr>
        <w:t>-</w:t>
      </w:r>
      <w:r w:rsidR="006C1BA9" w:rsidRPr="00735726">
        <w:rPr>
          <w:rFonts w:eastAsiaTheme="majorEastAsia"/>
          <w:color w:val="auto"/>
          <w:szCs w:val="20"/>
          <w:lang w:eastAsia="en-GB"/>
        </w:rPr>
        <w:t xml:space="preserve"> </w:t>
      </w:r>
      <w:r w:rsidRPr="00735726">
        <w:rPr>
          <w:rFonts w:eastAsiaTheme="majorEastAsia"/>
          <w:b w:val="0"/>
          <w:bCs w:val="0"/>
          <w:caps w:val="0"/>
          <w:color w:val="auto"/>
          <w:szCs w:val="20"/>
          <w:lang w:eastAsia="en-GB"/>
        </w:rPr>
        <w:t xml:space="preserve">Managing Director of Water Services </w:t>
      </w:r>
      <w:r w:rsidR="006C1BA9" w:rsidRPr="00735726">
        <w:rPr>
          <w:rFonts w:eastAsiaTheme="majorEastAsia"/>
          <w:b w:val="0"/>
          <w:bCs w:val="0"/>
          <w:caps w:val="0"/>
          <w:color w:val="auto"/>
          <w:szCs w:val="20"/>
          <w:lang w:eastAsia="en-GB"/>
        </w:rPr>
        <w:t xml:space="preserve">- </w:t>
      </w:r>
      <w:r w:rsidRPr="00735726">
        <w:rPr>
          <w:rFonts w:eastAsiaTheme="majorEastAsia"/>
          <w:b w:val="0"/>
          <w:bCs w:val="0"/>
          <w:caps w:val="0"/>
          <w:color w:val="auto"/>
          <w:szCs w:val="20"/>
          <w:lang w:eastAsia="en-GB"/>
        </w:rPr>
        <w:t>David joined the Company as Drought and Resilience Director in 2022. He was appointed as Managing Director, Water Services (National) in July 2024. With over 25 years of executive experience, he has successfully led performance and growth of large infrastructure businesses, both in the regulated water market and the competitive energy market in Australia. David brings experience from his time leading one of Australia’s largest and fully vertically integrated water companies through the worst droughts in the country’s history, ensuring a constant supply of water and the building of additional water resources.</w:t>
      </w:r>
    </w:p>
    <w:p w14:paraId="6BAB881A" w14:textId="15398451" w:rsidR="00744D10" w:rsidRPr="00735726" w:rsidRDefault="00011407" w:rsidP="00A74915">
      <w:pPr>
        <w:pStyle w:val="Headinglevel4"/>
        <w:numPr>
          <w:ilvl w:val="0"/>
          <w:numId w:val="33"/>
        </w:numPr>
        <w:tabs>
          <w:tab w:val="left" w:pos="851"/>
        </w:tabs>
        <w:spacing w:after="120" w:line="276" w:lineRule="auto"/>
        <w:ind w:left="850" w:hanging="425"/>
        <w:jc w:val="both"/>
        <w:outlineLvl w:val="0"/>
        <w:rPr>
          <w:rFonts w:eastAsiaTheme="majorEastAsia"/>
          <w:szCs w:val="20"/>
          <w:lang w:eastAsia="en-GB"/>
        </w:rPr>
      </w:pPr>
      <w:r w:rsidRPr="00735726">
        <w:rPr>
          <w:rFonts w:eastAsiaTheme="majorEastAsia"/>
          <w:caps w:val="0"/>
          <w:color w:val="auto"/>
          <w:szCs w:val="20"/>
          <w:lang w:eastAsia="en-GB"/>
        </w:rPr>
        <w:t>Richard Price</w:t>
      </w:r>
      <w:r w:rsidRPr="00735726">
        <w:rPr>
          <w:rFonts w:eastAsiaTheme="majorEastAsia"/>
          <w:b w:val="0"/>
          <w:bCs w:val="0"/>
          <w:caps w:val="0"/>
          <w:color w:val="auto"/>
          <w:szCs w:val="20"/>
          <w:lang w:eastAsia="en-GB"/>
        </w:rPr>
        <w:t xml:space="preserve"> </w:t>
      </w:r>
      <w:r w:rsidR="006C1BA9" w:rsidRPr="00735726">
        <w:rPr>
          <w:rFonts w:eastAsiaTheme="majorEastAsia"/>
          <w:b w:val="0"/>
          <w:bCs w:val="0"/>
          <w:caps w:val="0"/>
          <w:color w:val="auto"/>
          <w:szCs w:val="20"/>
          <w:lang w:eastAsia="en-GB"/>
        </w:rPr>
        <w:t xml:space="preserve">- </w:t>
      </w:r>
      <w:r w:rsidR="008D5030" w:rsidRPr="00735726">
        <w:rPr>
          <w:rFonts w:eastAsiaTheme="majorEastAsia"/>
          <w:b w:val="0"/>
          <w:bCs w:val="0"/>
          <w:caps w:val="0"/>
          <w:color w:val="auto"/>
          <w:szCs w:val="20"/>
          <w:lang w:eastAsia="en-GB"/>
        </w:rPr>
        <w:t>Managing Director of Wastewater Services</w:t>
      </w:r>
      <w:r w:rsidR="00707848" w:rsidRPr="00735726">
        <w:rPr>
          <w:rFonts w:eastAsiaTheme="majorEastAsia"/>
          <w:b w:val="0"/>
          <w:bCs w:val="0"/>
          <w:caps w:val="0"/>
          <w:color w:val="auto"/>
          <w:szCs w:val="20"/>
          <w:lang w:eastAsia="en-GB"/>
        </w:rPr>
        <w:t xml:space="preserve"> </w:t>
      </w:r>
      <w:bookmarkStart w:id="26" w:name="_Hlk166149671"/>
      <w:r w:rsidR="006C1BA9" w:rsidRPr="00735726">
        <w:rPr>
          <w:rFonts w:eastAsiaTheme="majorEastAsia"/>
          <w:b w:val="0"/>
          <w:bCs w:val="0"/>
          <w:caps w:val="0"/>
          <w:color w:val="auto"/>
          <w:szCs w:val="20"/>
          <w:lang w:eastAsia="en-GB"/>
        </w:rPr>
        <w:t xml:space="preserve">- </w:t>
      </w:r>
      <w:r w:rsidR="000C3F95" w:rsidRPr="00735726">
        <w:rPr>
          <w:rFonts w:eastAsiaTheme="majorEastAsia"/>
          <w:b w:val="0"/>
          <w:bCs w:val="0"/>
          <w:caps w:val="0"/>
          <w:color w:val="auto"/>
          <w:szCs w:val="20"/>
          <w:lang w:eastAsia="en-GB"/>
        </w:rPr>
        <w:t xml:space="preserve">Richard was appointed Managing Director, Wastewater Services in July 2024. Previously, he held the position of Group Chief Engineering Director from 1 September 2022, having joined Bristol Water in February 2018. </w:t>
      </w:r>
      <w:r w:rsidR="008D5030" w:rsidRPr="00735726">
        <w:rPr>
          <w:rFonts w:eastAsiaTheme="majorEastAsia"/>
          <w:b w:val="0"/>
          <w:bCs w:val="0"/>
          <w:caps w:val="0"/>
          <w:color w:val="auto"/>
          <w:szCs w:val="20"/>
          <w:lang w:eastAsia="en-GB"/>
        </w:rPr>
        <w:t xml:space="preserve">Richard is a Chartered Civil Engineer and Fellow of the Institution of Civil Engineers and Institute of Water. </w:t>
      </w:r>
      <w:r w:rsidR="00995506" w:rsidRPr="00735726">
        <w:rPr>
          <w:rFonts w:eastAsiaTheme="majorEastAsia"/>
          <w:b w:val="0"/>
          <w:bCs w:val="0"/>
          <w:caps w:val="0"/>
          <w:color w:val="auto"/>
          <w:szCs w:val="20"/>
          <w:lang w:eastAsia="en-GB"/>
        </w:rPr>
        <w:t>Richard</w:t>
      </w:r>
      <w:r w:rsidR="008D5030" w:rsidRPr="00735726">
        <w:rPr>
          <w:rFonts w:eastAsiaTheme="majorEastAsia"/>
          <w:b w:val="0"/>
          <w:bCs w:val="0"/>
          <w:caps w:val="0"/>
          <w:color w:val="auto"/>
          <w:szCs w:val="20"/>
          <w:lang w:eastAsia="en-GB"/>
        </w:rPr>
        <w:t xml:space="preserve"> has over 30 years’ experience engineering, constructing and operating water and wastewater infrastructure, having previously held senior roles at other water companies. Richard was instrumental in the transformation of Bristol Water as Chief Operating Officer. He is passionate about safety and customer excellence, embedding leading practices whilst transforming operating and delivery functions.</w:t>
      </w:r>
      <w:r w:rsidR="003868CA" w:rsidRPr="00735726">
        <w:rPr>
          <w:rFonts w:eastAsiaTheme="majorEastAsia"/>
          <w:b w:val="0"/>
          <w:bCs w:val="0"/>
          <w:caps w:val="0"/>
          <w:color w:val="auto"/>
          <w:szCs w:val="20"/>
          <w:lang w:eastAsia="en-GB"/>
        </w:rPr>
        <w:t xml:space="preserve"> </w:t>
      </w:r>
      <w:bookmarkEnd w:id="26"/>
    </w:p>
    <w:p w14:paraId="278C1707" w14:textId="42F42ACB" w:rsidR="00744D10" w:rsidRPr="00735726" w:rsidRDefault="00995506" w:rsidP="00646F4F">
      <w:pPr>
        <w:pStyle w:val="Headinglevel4"/>
        <w:numPr>
          <w:ilvl w:val="0"/>
          <w:numId w:val="33"/>
        </w:numPr>
        <w:tabs>
          <w:tab w:val="clear" w:pos="340"/>
          <w:tab w:val="left" w:pos="851"/>
        </w:tabs>
        <w:spacing w:after="120" w:line="276" w:lineRule="auto"/>
        <w:ind w:left="850" w:hanging="425"/>
        <w:jc w:val="both"/>
        <w:outlineLvl w:val="0"/>
        <w:rPr>
          <w:rFonts w:eastAsiaTheme="majorEastAsia"/>
          <w:szCs w:val="20"/>
          <w:lang w:eastAsia="en-GB"/>
        </w:rPr>
      </w:pPr>
      <w:r w:rsidRPr="00735726">
        <w:rPr>
          <w:rFonts w:eastAsiaTheme="majorEastAsia"/>
          <w:caps w:val="0"/>
          <w:color w:val="auto"/>
          <w:szCs w:val="20"/>
          <w:lang w:eastAsia="en-GB"/>
        </w:rPr>
        <w:t xml:space="preserve">Ian Cain </w:t>
      </w:r>
      <w:r w:rsidR="006C1BA9" w:rsidRPr="00735726">
        <w:rPr>
          <w:rFonts w:eastAsiaTheme="majorEastAsia"/>
          <w:caps w:val="0"/>
          <w:color w:val="auto"/>
          <w:szCs w:val="20"/>
          <w:lang w:eastAsia="en-GB"/>
        </w:rPr>
        <w:t xml:space="preserve">- </w:t>
      </w:r>
      <w:r w:rsidRPr="00735726">
        <w:rPr>
          <w:rFonts w:eastAsiaTheme="majorEastAsia"/>
          <w:b w:val="0"/>
          <w:bCs w:val="0"/>
          <w:caps w:val="0"/>
          <w:color w:val="auto"/>
          <w:szCs w:val="20"/>
          <w:lang w:eastAsia="en-GB"/>
        </w:rPr>
        <w:t>C</w:t>
      </w:r>
      <w:r w:rsidR="00D44831" w:rsidRPr="00735726">
        <w:rPr>
          <w:rFonts w:eastAsiaTheme="majorEastAsia"/>
          <w:b w:val="0"/>
          <w:bCs w:val="0"/>
          <w:caps w:val="0"/>
          <w:color w:val="auto"/>
          <w:szCs w:val="20"/>
          <w:lang w:eastAsia="en-GB"/>
        </w:rPr>
        <w:t xml:space="preserve">hief </w:t>
      </w:r>
      <w:r w:rsidRPr="00735726">
        <w:rPr>
          <w:rFonts w:eastAsiaTheme="majorEastAsia"/>
          <w:b w:val="0"/>
          <w:bCs w:val="0"/>
          <w:caps w:val="0"/>
          <w:color w:val="auto"/>
          <w:szCs w:val="20"/>
          <w:lang w:eastAsia="en-GB"/>
        </w:rPr>
        <w:t>E</w:t>
      </w:r>
      <w:r w:rsidR="00D44831" w:rsidRPr="00735726">
        <w:rPr>
          <w:rFonts w:eastAsiaTheme="majorEastAsia"/>
          <w:b w:val="0"/>
          <w:bCs w:val="0"/>
          <w:caps w:val="0"/>
          <w:color w:val="auto"/>
          <w:szCs w:val="20"/>
          <w:lang w:eastAsia="en-GB"/>
        </w:rPr>
        <w:t xml:space="preserve">xecutive </w:t>
      </w:r>
      <w:r w:rsidRPr="00735726">
        <w:rPr>
          <w:rFonts w:eastAsiaTheme="majorEastAsia"/>
          <w:b w:val="0"/>
          <w:bCs w:val="0"/>
          <w:caps w:val="0"/>
          <w:color w:val="auto"/>
          <w:szCs w:val="20"/>
          <w:lang w:eastAsia="en-GB"/>
        </w:rPr>
        <w:t>O</w:t>
      </w:r>
      <w:r w:rsidR="00D44831" w:rsidRPr="00735726">
        <w:rPr>
          <w:rFonts w:eastAsiaTheme="majorEastAsia"/>
          <w:b w:val="0"/>
          <w:bCs w:val="0"/>
          <w:caps w:val="0"/>
          <w:color w:val="auto"/>
          <w:szCs w:val="20"/>
          <w:lang w:eastAsia="en-GB"/>
        </w:rPr>
        <w:t>fficer</w:t>
      </w:r>
      <w:r w:rsidRPr="00735726">
        <w:rPr>
          <w:rFonts w:eastAsiaTheme="majorEastAsia"/>
          <w:b w:val="0"/>
          <w:bCs w:val="0"/>
          <w:caps w:val="0"/>
          <w:color w:val="auto"/>
          <w:szCs w:val="20"/>
          <w:lang w:eastAsia="en-GB"/>
        </w:rPr>
        <w:t xml:space="preserve">, Retail and Customer Markets </w:t>
      </w:r>
      <w:r w:rsidR="006C1BA9" w:rsidRPr="00735726">
        <w:rPr>
          <w:rFonts w:eastAsiaTheme="majorEastAsia"/>
          <w:b w:val="0"/>
          <w:bCs w:val="0"/>
          <w:caps w:val="0"/>
          <w:color w:val="auto"/>
          <w:szCs w:val="20"/>
          <w:lang w:eastAsia="en-GB"/>
        </w:rPr>
        <w:t xml:space="preserve">- </w:t>
      </w:r>
      <w:r w:rsidR="00744D10" w:rsidRPr="00735726">
        <w:rPr>
          <w:rFonts w:eastAsiaTheme="majorEastAsia"/>
          <w:b w:val="0"/>
          <w:bCs w:val="0"/>
          <w:caps w:val="0"/>
          <w:color w:val="auto"/>
          <w:szCs w:val="20"/>
          <w:lang w:eastAsia="en-GB"/>
        </w:rPr>
        <w:t xml:space="preserve">Ian has responsibility for all customer service operations across Company’s brands. He leads Company’s customer strategy and governance, ensuring clarity, accountability and a strong alignment to regulatory expectations, customer insight and industry good practice. Ian became CEO of SES Water in February 2020, bringing extensive experience from senior leadership roles in the UK utilities and service sectors. Before joining SES Water, Ian was CEO of </w:t>
      </w:r>
      <w:proofErr w:type="spellStart"/>
      <w:r w:rsidR="00744D10" w:rsidRPr="00735726">
        <w:rPr>
          <w:rFonts w:eastAsiaTheme="majorEastAsia"/>
          <w:b w:val="0"/>
          <w:bCs w:val="0"/>
          <w:caps w:val="0"/>
          <w:color w:val="auto"/>
          <w:szCs w:val="20"/>
          <w:lang w:eastAsia="en-GB"/>
        </w:rPr>
        <w:t>iSupplyEnergy</w:t>
      </w:r>
      <w:proofErr w:type="spellEnd"/>
      <w:r w:rsidR="00744D10" w:rsidRPr="00735726">
        <w:rPr>
          <w:rFonts w:eastAsiaTheme="majorEastAsia"/>
          <w:b w:val="0"/>
          <w:bCs w:val="0"/>
          <w:caps w:val="0"/>
          <w:color w:val="auto"/>
          <w:szCs w:val="20"/>
          <w:lang w:eastAsia="en-GB"/>
        </w:rPr>
        <w:t>. Prior to that, Ian held other senior roles in leading water and energy utilities including Managing Director for Retail and Group Customer Service at Thames Water and Managing Director of British Gas Energy, where he led major transformation in customer propositions, service solutions and customer experience, digitisation and operational effectiveness.</w:t>
      </w:r>
    </w:p>
    <w:p w14:paraId="1DF268A8" w14:textId="2C1A7E72" w:rsidR="00744D10" w:rsidRPr="00735726" w:rsidRDefault="00744D10" w:rsidP="00646F4F">
      <w:pPr>
        <w:pStyle w:val="Headinglevel4"/>
        <w:numPr>
          <w:ilvl w:val="0"/>
          <w:numId w:val="33"/>
        </w:numPr>
        <w:tabs>
          <w:tab w:val="left" w:pos="851"/>
        </w:tabs>
        <w:spacing w:line="276" w:lineRule="auto"/>
        <w:ind w:left="851" w:hanging="426"/>
        <w:jc w:val="both"/>
        <w:outlineLvl w:val="0"/>
        <w:rPr>
          <w:rFonts w:eastAsiaTheme="majorEastAsia"/>
          <w:b w:val="0"/>
          <w:bCs w:val="0"/>
          <w:caps w:val="0"/>
          <w:color w:val="auto"/>
          <w:szCs w:val="20"/>
          <w:lang w:eastAsia="en-GB"/>
        </w:rPr>
      </w:pPr>
      <w:r w:rsidRPr="00735726">
        <w:rPr>
          <w:rFonts w:eastAsiaTheme="majorEastAsia"/>
          <w:caps w:val="0"/>
          <w:color w:val="auto"/>
          <w:szCs w:val="20"/>
          <w:lang w:eastAsia="en-GB"/>
        </w:rPr>
        <w:t>Ian Christie</w:t>
      </w:r>
      <w:r w:rsidR="00D44831" w:rsidRPr="00735726">
        <w:rPr>
          <w:rFonts w:eastAsiaTheme="majorEastAsia"/>
          <w:caps w:val="0"/>
          <w:color w:val="auto"/>
          <w:szCs w:val="20"/>
          <w:lang w:eastAsia="en-GB"/>
        </w:rPr>
        <w:t xml:space="preserve"> </w:t>
      </w:r>
      <w:r w:rsidR="006C1BA9" w:rsidRPr="00735726">
        <w:rPr>
          <w:rFonts w:eastAsiaTheme="majorEastAsia"/>
          <w:caps w:val="0"/>
          <w:color w:val="auto"/>
          <w:szCs w:val="20"/>
          <w:lang w:eastAsia="en-GB"/>
        </w:rPr>
        <w:t xml:space="preserve">- </w:t>
      </w:r>
      <w:r w:rsidRPr="00735726">
        <w:rPr>
          <w:rFonts w:eastAsiaTheme="majorEastAsia"/>
          <w:b w:val="0"/>
          <w:bCs w:val="0"/>
          <w:caps w:val="0"/>
          <w:color w:val="auto"/>
          <w:szCs w:val="20"/>
          <w:lang w:eastAsia="en-GB"/>
        </w:rPr>
        <w:t xml:space="preserve">Chief Asset Officer - Ian joined as Chief Asset Officer in May 2026. Ian brings extensive experience across asset management, operational delivery and system planning. His expertise will be instrumental in strengthening the Company’s focus on asset health and reliability, and in supporting the successful delivery of current and future business plans. Prior to joining </w:t>
      </w:r>
      <w:proofErr w:type="gramStart"/>
      <w:r w:rsidRPr="00735726">
        <w:rPr>
          <w:rFonts w:eastAsiaTheme="majorEastAsia"/>
          <w:b w:val="0"/>
          <w:bCs w:val="0"/>
          <w:caps w:val="0"/>
          <w:color w:val="auto"/>
          <w:szCs w:val="20"/>
          <w:lang w:eastAsia="en-GB"/>
        </w:rPr>
        <w:t>South West</w:t>
      </w:r>
      <w:proofErr w:type="gramEnd"/>
      <w:r w:rsidRPr="00735726">
        <w:rPr>
          <w:rFonts w:eastAsiaTheme="majorEastAsia"/>
          <w:b w:val="0"/>
          <w:bCs w:val="0"/>
          <w:caps w:val="0"/>
          <w:color w:val="auto"/>
          <w:szCs w:val="20"/>
          <w:lang w:eastAsia="en-GB"/>
        </w:rPr>
        <w:t xml:space="preserve"> Water, Ian Christie was the Managing Director at Welsh Water, leading various directorates on their Executive Committee. Ian also served as the Head of Potable Water Service at United Utilities and with a background in civil engineering, Ian also has a wealth of experience in delivering construction and asset investment programmes for </w:t>
      </w:r>
      <w:proofErr w:type="gramStart"/>
      <w:r w:rsidRPr="00735726">
        <w:rPr>
          <w:rFonts w:eastAsiaTheme="majorEastAsia"/>
          <w:b w:val="0"/>
          <w:bCs w:val="0"/>
          <w:caps w:val="0"/>
          <w:color w:val="auto"/>
          <w:szCs w:val="20"/>
          <w:lang w:eastAsia="en-GB"/>
        </w:rPr>
        <w:t>a number of</w:t>
      </w:r>
      <w:proofErr w:type="gramEnd"/>
      <w:r w:rsidRPr="00735726">
        <w:rPr>
          <w:rFonts w:eastAsiaTheme="majorEastAsia"/>
          <w:b w:val="0"/>
          <w:bCs w:val="0"/>
          <w:caps w:val="0"/>
          <w:color w:val="auto"/>
          <w:szCs w:val="20"/>
          <w:lang w:eastAsia="en-GB"/>
        </w:rPr>
        <w:t xml:space="preserve"> utility providers.</w:t>
      </w:r>
    </w:p>
    <w:p w14:paraId="1428B8C8" w14:textId="77777777" w:rsidR="00744D10" w:rsidRPr="009A2CAE" w:rsidRDefault="00744D10" w:rsidP="00744D10">
      <w:pPr>
        <w:pStyle w:val="Headinglevel4"/>
        <w:tabs>
          <w:tab w:val="left" w:pos="851"/>
        </w:tabs>
        <w:spacing w:line="276" w:lineRule="auto"/>
        <w:ind w:left="851"/>
        <w:jc w:val="both"/>
        <w:outlineLvl w:val="0"/>
        <w:rPr>
          <w:rFonts w:eastAsiaTheme="majorEastAsia"/>
          <w:b w:val="0"/>
          <w:bCs w:val="0"/>
          <w:caps w:val="0"/>
          <w:color w:val="auto"/>
          <w:szCs w:val="20"/>
          <w:lang w:eastAsia="en-GB"/>
        </w:rPr>
      </w:pPr>
    </w:p>
    <w:p w14:paraId="6AA3A41C" w14:textId="22E2D8CB" w:rsidR="002C7511" w:rsidRPr="00735726" w:rsidRDefault="002C7511" w:rsidP="00646F4F">
      <w:pPr>
        <w:pStyle w:val="Headinglevel4"/>
        <w:numPr>
          <w:ilvl w:val="0"/>
          <w:numId w:val="33"/>
        </w:numPr>
        <w:tabs>
          <w:tab w:val="left" w:pos="851"/>
        </w:tabs>
        <w:spacing w:line="276" w:lineRule="auto"/>
        <w:ind w:left="851" w:hanging="426"/>
        <w:jc w:val="both"/>
        <w:outlineLvl w:val="0"/>
        <w:rPr>
          <w:rFonts w:eastAsiaTheme="majorEastAsia"/>
          <w:b w:val="0"/>
          <w:bCs w:val="0"/>
          <w:caps w:val="0"/>
          <w:color w:val="auto"/>
          <w:szCs w:val="20"/>
          <w:lang w:eastAsia="en-GB"/>
        </w:rPr>
      </w:pPr>
      <w:r w:rsidRPr="00735726">
        <w:rPr>
          <w:rFonts w:eastAsiaTheme="majorEastAsia"/>
          <w:caps w:val="0"/>
          <w:color w:val="auto"/>
          <w:szCs w:val="20"/>
          <w:lang w:eastAsia="en-GB"/>
        </w:rPr>
        <w:t>Graham Murphy</w:t>
      </w:r>
      <w:r w:rsidR="00011407" w:rsidRPr="00735726">
        <w:rPr>
          <w:rFonts w:eastAsiaTheme="majorEastAsia"/>
          <w:caps w:val="0"/>
          <w:color w:val="auto"/>
          <w:szCs w:val="20"/>
          <w:lang w:eastAsia="en-GB"/>
        </w:rPr>
        <w:t xml:space="preserve"> </w:t>
      </w:r>
      <w:r w:rsidR="006C1BA9" w:rsidRPr="00735726">
        <w:rPr>
          <w:rFonts w:eastAsiaTheme="majorEastAsia"/>
          <w:caps w:val="0"/>
          <w:color w:val="auto"/>
          <w:szCs w:val="20"/>
          <w:lang w:eastAsia="en-GB"/>
        </w:rPr>
        <w:t xml:space="preserve">- </w:t>
      </w:r>
      <w:r w:rsidRPr="00735726">
        <w:rPr>
          <w:rFonts w:eastAsiaTheme="majorEastAsia"/>
          <w:b w:val="0"/>
          <w:bCs w:val="0"/>
          <w:caps w:val="0"/>
          <w:color w:val="auto"/>
          <w:szCs w:val="20"/>
          <w:lang w:eastAsia="en-GB"/>
        </w:rPr>
        <w:t>Chief Engineering Officer</w:t>
      </w:r>
      <w:r w:rsidR="00011407" w:rsidRPr="00735726">
        <w:rPr>
          <w:rFonts w:eastAsiaTheme="majorEastAsia"/>
          <w:b w:val="0"/>
          <w:bCs w:val="0"/>
          <w:caps w:val="0"/>
          <w:color w:val="auto"/>
          <w:szCs w:val="20"/>
          <w:lang w:eastAsia="en-GB"/>
        </w:rPr>
        <w:t xml:space="preserve"> </w:t>
      </w:r>
      <w:r w:rsidR="006C1BA9" w:rsidRPr="00735726">
        <w:rPr>
          <w:rFonts w:eastAsiaTheme="majorEastAsia"/>
          <w:b w:val="0"/>
          <w:bCs w:val="0"/>
          <w:caps w:val="0"/>
          <w:color w:val="auto"/>
          <w:szCs w:val="20"/>
          <w:lang w:eastAsia="en-GB"/>
        </w:rPr>
        <w:t xml:space="preserve">- </w:t>
      </w:r>
      <w:r w:rsidRPr="00735726">
        <w:rPr>
          <w:rFonts w:eastAsiaTheme="majorEastAsia"/>
          <w:b w:val="0"/>
          <w:bCs w:val="0"/>
          <w:caps w:val="0"/>
          <w:color w:val="auto"/>
          <w:szCs w:val="20"/>
          <w:lang w:eastAsia="en-GB"/>
        </w:rPr>
        <w:t xml:space="preserve">Graham joined </w:t>
      </w:r>
      <w:proofErr w:type="gramStart"/>
      <w:r w:rsidRPr="00735726">
        <w:rPr>
          <w:rFonts w:eastAsiaTheme="majorEastAsia"/>
          <w:b w:val="0"/>
          <w:bCs w:val="0"/>
          <w:caps w:val="0"/>
          <w:color w:val="auto"/>
          <w:szCs w:val="20"/>
          <w:lang w:eastAsia="en-GB"/>
        </w:rPr>
        <w:t>South West</w:t>
      </w:r>
      <w:proofErr w:type="gramEnd"/>
      <w:r w:rsidRPr="00735726">
        <w:rPr>
          <w:rFonts w:eastAsiaTheme="majorEastAsia"/>
          <w:b w:val="0"/>
          <w:bCs w:val="0"/>
          <w:caps w:val="0"/>
          <w:color w:val="auto"/>
          <w:szCs w:val="20"/>
          <w:lang w:eastAsia="en-GB"/>
        </w:rPr>
        <w:t xml:space="preserve"> Water in 1991 and has held </w:t>
      </w:r>
      <w:proofErr w:type="gramStart"/>
      <w:r w:rsidRPr="00735726">
        <w:rPr>
          <w:rFonts w:eastAsiaTheme="majorEastAsia"/>
          <w:b w:val="0"/>
          <w:bCs w:val="0"/>
          <w:caps w:val="0"/>
          <w:color w:val="auto"/>
          <w:szCs w:val="20"/>
          <w:lang w:eastAsia="en-GB"/>
        </w:rPr>
        <w:t>a number of</w:t>
      </w:r>
      <w:proofErr w:type="gramEnd"/>
      <w:r w:rsidRPr="00735726">
        <w:rPr>
          <w:rFonts w:eastAsiaTheme="majorEastAsia"/>
          <w:b w:val="0"/>
          <w:bCs w:val="0"/>
          <w:caps w:val="0"/>
          <w:color w:val="auto"/>
          <w:szCs w:val="20"/>
          <w:lang w:eastAsia="en-GB"/>
        </w:rPr>
        <w:t xml:space="preserve"> positions within engineering, operations and HR. He was appointed to his current role as Chief Engineering Officer in July 2024 and has full responsibility for the timely and efficient delivery of the </w:t>
      </w:r>
      <w:proofErr w:type="gramStart"/>
      <w:r w:rsidRPr="00735726">
        <w:rPr>
          <w:rFonts w:eastAsiaTheme="majorEastAsia"/>
          <w:b w:val="0"/>
          <w:bCs w:val="0"/>
          <w:caps w:val="0"/>
          <w:color w:val="auto"/>
          <w:szCs w:val="20"/>
          <w:lang w:eastAsia="en-GB"/>
        </w:rPr>
        <w:t>South West</w:t>
      </w:r>
      <w:proofErr w:type="gramEnd"/>
      <w:r w:rsidRPr="00735726">
        <w:rPr>
          <w:rFonts w:eastAsiaTheme="majorEastAsia"/>
          <w:b w:val="0"/>
          <w:bCs w:val="0"/>
          <w:caps w:val="0"/>
          <w:color w:val="auto"/>
          <w:szCs w:val="20"/>
          <w:lang w:eastAsia="en-GB"/>
        </w:rPr>
        <w:t xml:space="preserve"> Water’s capital investment programme. Prior to joining </w:t>
      </w:r>
      <w:proofErr w:type="gramStart"/>
      <w:r w:rsidRPr="00735726">
        <w:rPr>
          <w:rFonts w:eastAsiaTheme="majorEastAsia"/>
          <w:b w:val="0"/>
          <w:bCs w:val="0"/>
          <w:caps w:val="0"/>
          <w:color w:val="auto"/>
          <w:szCs w:val="20"/>
          <w:lang w:eastAsia="en-GB"/>
        </w:rPr>
        <w:t>South West</w:t>
      </w:r>
      <w:proofErr w:type="gramEnd"/>
      <w:r w:rsidRPr="00735726">
        <w:rPr>
          <w:rFonts w:eastAsiaTheme="majorEastAsia"/>
          <w:b w:val="0"/>
          <w:bCs w:val="0"/>
          <w:caps w:val="0"/>
          <w:color w:val="auto"/>
          <w:szCs w:val="20"/>
          <w:lang w:eastAsia="en-GB"/>
        </w:rPr>
        <w:t xml:space="preserve"> Water, he undertook a variety of operational management roles within British Gas.</w:t>
      </w:r>
      <w:r w:rsidR="00744D10" w:rsidRPr="00735726">
        <w:rPr>
          <w:rFonts w:ascii="Calibre-Light" w:hAnsi="Calibre-Light" w:cs="Calibre-Light"/>
          <w:color w:val="414142"/>
          <w:sz w:val="16"/>
          <w:szCs w:val="16"/>
        </w:rPr>
        <w:t xml:space="preserve"> </w:t>
      </w:r>
      <w:r w:rsidR="00744D10" w:rsidRPr="00735726">
        <w:rPr>
          <w:rFonts w:eastAsiaTheme="majorEastAsia"/>
          <w:b w:val="0"/>
          <w:bCs w:val="0"/>
          <w:caps w:val="0"/>
          <w:color w:val="auto"/>
          <w:szCs w:val="20"/>
          <w:lang w:eastAsia="en-GB"/>
        </w:rPr>
        <w:t xml:space="preserve">Graham will retire from the Company on 30 June </w:t>
      </w:r>
      <w:proofErr w:type="gramStart"/>
      <w:r w:rsidR="00744D10" w:rsidRPr="00735726">
        <w:rPr>
          <w:rFonts w:eastAsiaTheme="majorEastAsia"/>
          <w:b w:val="0"/>
          <w:bCs w:val="0"/>
          <w:caps w:val="0"/>
          <w:color w:val="auto"/>
          <w:szCs w:val="20"/>
          <w:lang w:eastAsia="en-GB"/>
        </w:rPr>
        <w:t>2026</w:t>
      </w:r>
      <w:proofErr w:type="gramEnd"/>
      <w:r w:rsidR="00744D10" w:rsidRPr="00735726">
        <w:rPr>
          <w:rFonts w:eastAsiaTheme="majorEastAsia"/>
          <w:b w:val="0"/>
          <w:bCs w:val="0"/>
          <w:caps w:val="0"/>
          <w:color w:val="auto"/>
          <w:szCs w:val="20"/>
          <w:lang w:eastAsia="en-GB"/>
        </w:rPr>
        <w:t xml:space="preserve"> and we thank Graham for his commitment and significant contribution to </w:t>
      </w:r>
      <w:proofErr w:type="gramStart"/>
      <w:r w:rsidR="00744D10" w:rsidRPr="00735726">
        <w:rPr>
          <w:rFonts w:eastAsiaTheme="majorEastAsia"/>
          <w:b w:val="0"/>
          <w:bCs w:val="0"/>
          <w:caps w:val="0"/>
          <w:color w:val="auto"/>
          <w:szCs w:val="20"/>
          <w:lang w:eastAsia="en-GB"/>
        </w:rPr>
        <w:t>South West</w:t>
      </w:r>
      <w:proofErr w:type="gramEnd"/>
      <w:r w:rsidR="00744D10" w:rsidRPr="00735726">
        <w:rPr>
          <w:rFonts w:eastAsiaTheme="majorEastAsia"/>
          <w:b w:val="0"/>
          <w:bCs w:val="0"/>
          <w:caps w:val="0"/>
          <w:color w:val="auto"/>
          <w:szCs w:val="20"/>
          <w:lang w:eastAsia="en-GB"/>
        </w:rPr>
        <w:t xml:space="preserve"> Water over his career.</w:t>
      </w:r>
    </w:p>
    <w:p w14:paraId="7A2AF746" w14:textId="77777777" w:rsidR="004400E8" w:rsidRPr="00735726" w:rsidRDefault="004400E8" w:rsidP="00791FBE">
      <w:pPr>
        <w:pStyle w:val="Headinglevel4"/>
        <w:tabs>
          <w:tab w:val="clear" w:pos="340"/>
          <w:tab w:val="left" w:pos="851"/>
        </w:tabs>
        <w:spacing w:line="276" w:lineRule="auto"/>
        <w:ind w:left="851"/>
        <w:jc w:val="both"/>
        <w:outlineLvl w:val="0"/>
        <w:rPr>
          <w:rFonts w:eastAsiaTheme="majorEastAsia"/>
          <w:b w:val="0"/>
          <w:bCs w:val="0"/>
          <w:caps w:val="0"/>
          <w:color w:val="auto"/>
          <w:sz w:val="10"/>
          <w:szCs w:val="12"/>
          <w:lang w:eastAsia="en-GB"/>
        </w:rPr>
      </w:pPr>
    </w:p>
    <w:p w14:paraId="4B7652DF" w14:textId="599E930D" w:rsidR="00DE1B2C" w:rsidRPr="00735726" w:rsidRDefault="00744D10" w:rsidP="00646F4F">
      <w:pPr>
        <w:pStyle w:val="Headinglevel4"/>
        <w:numPr>
          <w:ilvl w:val="0"/>
          <w:numId w:val="33"/>
        </w:numPr>
        <w:tabs>
          <w:tab w:val="left" w:pos="851"/>
        </w:tabs>
        <w:spacing w:line="276" w:lineRule="auto"/>
        <w:ind w:left="851" w:hanging="426"/>
        <w:jc w:val="both"/>
        <w:outlineLvl w:val="0"/>
        <w:rPr>
          <w:rFonts w:eastAsiaTheme="majorEastAsia"/>
          <w:b w:val="0"/>
          <w:bCs w:val="0"/>
          <w:caps w:val="0"/>
          <w:color w:val="auto"/>
          <w:szCs w:val="20"/>
          <w:lang w:eastAsia="en-GB"/>
        </w:rPr>
      </w:pPr>
      <w:r w:rsidRPr="00735726">
        <w:rPr>
          <w:rFonts w:eastAsiaTheme="majorEastAsia"/>
          <w:caps w:val="0"/>
          <w:color w:val="auto"/>
          <w:szCs w:val="20"/>
          <w:lang w:eastAsia="en-GB"/>
        </w:rPr>
        <w:t xml:space="preserve">Sarah Heald </w:t>
      </w:r>
      <w:r w:rsidR="006C1BA9" w:rsidRPr="00735726">
        <w:rPr>
          <w:rFonts w:eastAsiaTheme="majorEastAsia"/>
          <w:caps w:val="0"/>
          <w:color w:val="auto"/>
          <w:szCs w:val="20"/>
          <w:lang w:eastAsia="en-GB"/>
        </w:rPr>
        <w:t xml:space="preserve">- </w:t>
      </w:r>
      <w:r w:rsidRPr="00735726">
        <w:rPr>
          <w:rFonts w:eastAsiaTheme="majorEastAsia"/>
          <w:b w:val="0"/>
          <w:bCs w:val="0"/>
          <w:caps w:val="0"/>
          <w:color w:val="auto"/>
          <w:szCs w:val="20"/>
          <w:lang w:eastAsia="en-GB"/>
        </w:rPr>
        <w:t>Chief Strategy</w:t>
      </w:r>
      <w:r w:rsidR="00676871" w:rsidRPr="00735726">
        <w:rPr>
          <w:rFonts w:eastAsiaTheme="majorEastAsia"/>
          <w:b w:val="0"/>
          <w:bCs w:val="0"/>
          <w:caps w:val="0"/>
          <w:color w:val="auto"/>
          <w:szCs w:val="20"/>
          <w:lang w:eastAsia="en-GB"/>
        </w:rPr>
        <w:t xml:space="preserve"> and</w:t>
      </w:r>
      <w:r w:rsidRPr="00735726">
        <w:rPr>
          <w:rFonts w:eastAsiaTheme="majorEastAsia"/>
          <w:b w:val="0"/>
          <w:bCs w:val="0"/>
          <w:caps w:val="0"/>
          <w:color w:val="auto"/>
          <w:szCs w:val="20"/>
          <w:lang w:eastAsia="en-GB"/>
        </w:rPr>
        <w:t xml:space="preserve"> Regulatory Affairs Officer </w:t>
      </w:r>
      <w:r w:rsidR="006C1BA9" w:rsidRPr="00735726">
        <w:rPr>
          <w:rFonts w:eastAsiaTheme="majorEastAsia"/>
          <w:b w:val="0"/>
          <w:bCs w:val="0"/>
          <w:caps w:val="0"/>
          <w:color w:val="auto"/>
          <w:szCs w:val="20"/>
          <w:lang w:eastAsia="en-GB"/>
        </w:rPr>
        <w:t xml:space="preserve">- </w:t>
      </w:r>
      <w:r w:rsidR="0093722B" w:rsidRPr="00735726">
        <w:rPr>
          <w:rFonts w:eastAsiaTheme="majorEastAsia"/>
          <w:b w:val="0"/>
          <w:bCs w:val="0"/>
          <w:caps w:val="0"/>
          <w:color w:val="auto"/>
          <w:szCs w:val="20"/>
          <w:lang w:eastAsia="en-GB"/>
        </w:rPr>
        <w:t>Sarah was appointed Chief Strategy, Regulatory Affairs, and Investor Relations Officer in July 2025. Sarah is an experienced executive with over 17 years’ experience spanning corporate strategy, stakeholder engagement, sustainability and investor relations across regulated industries including the water sector, infrastructure, and financial services. She leads the Company’s strategy, regulatory and external affairs, and investor relations functions, shaping the Company’s direction and positioning amid the most significant re-examination of the water sector. Previously, Sarah served on the Executive Committee at Aberdeen plc, where she led sustainability, corporate affairs, marketing, and investor relations. She chaired Aberdeen’s executive sustainability committee, the Charitable Foundation, and was a Non-Executive Director of the Aberdeen Financial Fairness Trust. Prior to that, Sarah was Corporate Affairs and Investor Relations Director at Pennon Group</w:t>
      </w:r>
      <w:r w:rsidR="0078265F" w:rsidRPr="00735726">
        <w:rPr>
          <w:rFonts w:eastAsiaTheme="majorEastAsia"/>
          <w:b w:val="0"/>
          <w:bCs w:val="0"/>
          <w:caps w:val="0"/>
          <w:color w:val="auto"/>
          <w:szCs w:val="20"/>
          <w:lang w:eastAsia="en-GB"/>
        </w:rPr>
        <w:t xml:space="preserve"> plc</w:t>
      </w:r>
      <w:r w:rsidR="0093722B" w:rsidRPr="00735726">
        <w:rPr>
          <w:rFonts w:eastAsiaTheme="majorEastAsia"/>
          <w:b w:val="0"/>
          <w:bCs w:val="0"/>
          <w:caps w:val="0"/>
          <w:color w:val="auto"/>
          <w:szCs w:val="20"/>
          <w:lang w:eastAsia="en-GB"/>
        </w:rPr>
        <w:t xml:space="preserve"> 2015</w:t>
      </w:r>
      <w:r w:rsidR="006C1BA9" w:rsidRPr="00735726">
        <w:rPr>
          <w:rFonts w:eastAsiaTheme="majorEastAsia"/>
          <w:b w:val="0"/>
          <w:bCs w:val="0"/>
          <w:caps w:val="0"/>
          <w:color w:val="auto"/>
          <w:szCs w:val="20"/>
          <w:lang w:eastAsia="en-GB"/>
        </w:rPr>
        <w:t>-</w:t>
      </w:r>
      <w:r w:rsidR="0093722B" w:rsidRPr="00735726">
        <w:rPr>
          <w:rFonts w:eastAsiaTheme="majorEastAsia"/>
          <w:b w:val="0"/>
          <w:bCs w:val="0"/>
          <w:caps w:val="0"/>
          <w:color w:val="auto"/>
          <w:szCs w:val="20"/>
          <w:lang w:eastAsia="en-GB"/>
        </w:rPr>
        <w:t>2020 and was on the Executive Leadership Team that sold Viridor to KKR in July 2020. Earlier in her career, Sarah worked at FGS Global and she started her career in investment banking at Bank of America Merrill Lynch.</w:t>
      </w:r>
    </w:p>
    <w:p w14:paraId="3E3D0BE7" w14:textId="77777777" w:rsidR="0093722B" w:rsidRPr="00735726" w:rsidRDefault="0093722B" w:rsidP="0093722B">
      <w:pPr>
        <w:pStyle w:val="Headinglevel4"/>
        <w:tabs>
          <w:tab w:val="clear" w:pos="340"/>
          <w:tab w:val="left" w:pos="851"/>
        </w:tabs>
        <w:spacing w:line="276" w:lineRule="auto"/>
        <w:ind w:left="851"/>
        <w:jc w:val="both"/>
        <w:outlineLvl w:val="0"/>
        <w:rPr>
          <w:rFonts w:eastAsiaTheme="majorEastAsia"/>
          <w:caps w:val="0"/>
          <w:color w:val="auto"/>
          <w:sz w:val="10"/>
          <w:szCs w:val="12"/>
          <w:lang w:eastAsia="en-GB"/>
        </w:rPr>
      </w:pPr>
    </w:p>
    <w:p w14:paraId="28D08B03" w14:textId="3E01166D" w:rsidR="00DE1B2C" w:rsidRPr="00735726" w:rsidRDefault="004400E8" w:rsidP="00646F4F">
      <w:pPr>
        <w:pStyle w:val="Headinglevel4"/>
        <w:numPr>
          <w:ilvl w:val="0"/>
          <w:numId w:val="33"/>
        </w:numPr>
        <w:tabs>
          <w:tab w:val="left" w:pos="851"/>
        </w:tabs>
        <w:spacing w:line="276" w:lineRule="auto"/>
        <w:ind w:left="851" w:hanging="426"/>
        <w:jc w:val="both"/>
        <w:outlineLvl w:val="0"/>
        <w:rPr>
          <w:rFonts w:eastAsiaTheme="majorEastAsia"/>
          <w:b w:val="0"/>
          <w:bCs w:val="0"/>
          <w:caps w:val="0"/>
          <w:color w:val="auto"/>
          <w:szCs w:val="20"/>
          <w:lang w:eastAsia="en-GB"/>
        </w:rPr>
      </w:pPr>
      <w:r w:rsidRPr="00735726">
        <w:rPr>
          <w:rFonts w:eastAsiaTheme="majorEastAsia"/>
          <w:caps w:val="0"/>
          <w:color w:val="auto"/>
          <w:szCs w:val="20"/>
          <w:lang w:eastAsia="en-GB"/>
        </w:rPr>
        <w:t xml:space="preserve">Carolyn Cadman </w:t>
      </w:r>
      <w:r w:rsidR="006C1BA9" w:rsidRPr="00735726">
        <w:rPr>
          <w:rFonts w:eastAsiaTheme="majorEastAsia"/>
          <w:caps w:val="0"/>
          <w:color w:val="auto"/>
          <w:szCs w:val="20"/>
          <w:lang w:eastAsia="en-GB"/>
        </w:rPr>
        <w:t xml:space="preserve">- </w:t>
      </w:r>
      <w:r w:rsidRPr="00735726">
        <w:rPr>
          <w:rFonts w:eastAsiaTheme="majorEastAsia"/>
          <w:b w:val="0"/>
          <w:bCs w:val="0"/>
          <w:caps w:val="0"/>
          <w:color w:val="auto"/>
          <w:szCs w:val="20"/>
          <w:lang w:eastAsia="en-GB"/>
        </w:rPr>
        <w:t>Chief Sustainability and Natural Resources Officer</w:t>
      </w:r>
      <w:r w:rsidRPr="00735726">
        <w:rPr>
          <w:rFonts w:eastAsiaTheme="majorEastAsia"/>
          <w:caps w:val="0"/>
          <w:color w:val="auto"/>
          <w:szCs w:val="20"/>
          <w:lang w:eastAsia="en-GB"/>
        </w:rPr>
        <w:t xml:space="preserve"> </w:t>
      </w:r>
      <w:r w:rsidR="006C1BA9" w:rsidRPr="00735726">
        <w:rPr>
          <w:rFonts w:eastAsiaTheme="majorEastAsia"/>
          <w:caps w:val="0"/>
          <w:color w:val="auto"/>
          <w:szCs w:val="20"/>
          <w:lang w:eastAsia="en-GB"/>
        </w:rPr>
        <w:t xml:space="preserve">- </w:t>
      </w:r>
      <w:r w:rsidR="00DE1B2C" w:rsidRPr="00735726">
        <w:rPr>
          <w:rFonts w:eastAsiaTheme="majorEastAsia"/>
          <w:b w:val="0"/>
          <w:bCs w:val="0"/>
          <w:caps w:val="0"/>
          <w:color w:val="auto"/>
          <w:szCs w:val="20"/>
          <w:lang w:eastAsia="en-GB"/>
        </w:rPr>
        <w:t xml:space="preserve">Carolyn has recently been appointed Chief Sustainability and Natural Resources Officer, having joined </w:t>
      </w:r>
      <w:proofErr w:type="gramStart"/>
      <w:r w:rsidR="00DE1B2C" w:rsidRPr="00735726">
        <w:rPr>
          <w:rFonts w:eastAsiaTheme="majorEastAsia"/>
          <w:b w:val="0"/>
          <w:bCs w:val="0"/>
          <w:caps w:val="0"/>
          <w:color w:val="auto"/>
          <w:szCs w:val="20"/>
          <w:lang w:eastAsia="en-GB"/>
        </w:rPr>
        <w:t>S</w:t>
      </w:r>
      <w:r w:rsidR="00C300C4" w:rsidRPr="00735726">
        <w:rPr>
          <w:rFonts w:eastAsiaTheme="majorEastAsia"/>
          <w:b w:val="0"/>
          <w:bCs w:val="0"/>
          <w:caps w:val="0"/>
          <w:color w:val="auto"/>
          <w:szCs w:val="20"/>
          <w:lang w:eastAsia="en-GB"/>
        </w:rPr>
        <w:t xml:space="preserve">outh </w:t>
      </w:r>
      <w:r w:rsidR="00DE1B2C" w:rsidRPr="00735726">
        <w:rPr>
          <w:rFonts w:eastAsiaTheme="majorEastAsia"/>
          <w:b w:val="0"/>
          <w:bCs w:val="0"/>
          <w:caps w:val="0"/>
          <w:color w:val="auto"/>
          <w:szCs w:val="20"/>
          <w:lang w:eastAsia="en-GB"/>
        </w:rPr>
        <w:t>W</w:t>
      </w:r>
      <w:r w:rsidR="00C300C4" w:rsidRPr="00735726">
        <w:rPr>
          <w:rFonts w:eastAsiaTheme="majorEastAsia"/>
          <w:b w:val="0"/>
          <w:bCs w:val="0"/>
          <w:caps w:val="0"/>
          <w:color w:val="auto"/>
          <w:szCs w:val="20"/>
          <w:lang w:eastAsia="en-GB"/>
        </w:rPr>
        <w:t>est</w:t>
      </w:r>
      <w:proofErr w:type="gramEnd"/>
      <w:r w:rsidR="00C300C4" w:rsidRPr="00735726">
        <w:rPr>
          <w:rFonts w:eastAsiaTheme="majorEastAsia"/>
          <w:b w:val="0"/>
          <w:bCs w:val="0"/>
          <w:caps w:val="0"/>
          <w:color w:val="auto"/>
          <w:szCs w:val="20"/>
          <w:lang w:eastAsia="en-GB"/>
        </w:rPr>
        <w:t xml:space="preserve"> </w:t>
      </w:r>
      <w:r w:rsidR="00DE1B2C" w:rsidRPr="00735726">
        <w:rPr>
          <w:rFonts w:eastAsiaTheme="majorEastAsia"/>
          <w:b w:val="0"/>
          <w:bCs w:val="0"/>
          <w:caps w:val="0"/>
          <w:color w:val="auto"/>
          <w:szCs w:val="20"/>
          <w:lang w:eastAsia="en-GB"/>
        </w:rPr>
        <w:t>W</w:t>
      </w:r>
      <w:r w:rsidR="00C300C4" w:rsidRPr="00735726">
        <w:rPr>
          <w:rFonts w:eastAsiaTheme="majorEastAsia"/>
          <w:b w:val="0"/>
          <w:bCs w:val="0"/>
          <w:caps w:val="0"/>
          <w:color w:val="auto"/>
          <w:szCs w:val="20"/>
          <w:lang w:eastAsia="en-GB"/>
        </w:rPr>
        <w:t>ater</w:t>
      </w:r>
      <w:r w:rsidR="00DE1B2C" w:rsidRPr="00735726">
        <w:rPr>
          <w:rFonts w:eastAsiaTheme="majorEastAsia"/>
          <w:b w:val="0"/>
          <w:bCs w:val="0"/>
          <w:caps w:val="0"/>
          <w:color w:val="auto"/>
          <w:szCs w:val="20"/>
          <w:lang w:eastAsia="en-GB"/>
        </w:rPr>
        <w:t xml:space="preserve"> as Director of Natural Resources in May 2022. </w:t>
      </w:r>
      <w:r w:rsidR="0093722B" w:rsidRPr="00735726">
        <w:rPr>
          <w:rFonts w:eastAsiaTheme="majorEastAsia"/>
          <w:b w:val="0"/>
          <w:bCs w:val="0"/>
          <w:caps w:val="0"/>
          <w:color w:val="auto"/>
          <w:szCs w:val="20"/>
          <w:lang w:eastAsia="en-GB"/>
        </w:rPr>
        <w:t xml:space="preserve">Carolyn’s team are delivering projects to lower carbon emissions, increase nature recovery efforts and improve the sustainability of operations across the Company, including mainstreaming nature-based solutions. Carolyn’s team lead the Upstream Thinking catchment management programme, the </w:t>
      </w:r>
      <w:proofErr w:type="gramStart"/>
      <w:r w:rsidR="0093722B" w:rsidRPr="00735726">
        <w:rPr>
          <w:rFonts w:eastAsiaTheme="majorEastAsia"/>
          <w:b w:val="0"/>
          <w:bCs w:val="0"/>
          <w:caps w:val="0"/>
          <w:color w:val="auto"/>
          <w:szCs w:val="20"/>
          <w:lang w:eastAsia="en-GB"/>
        </w:rPr>
        <w:t>South West</w:t>
      </w:r>
      <w:proofErr w:type="gramEnd"/>
      <w:r w:rsidR="0093722B" w:rsidRPr="00735726">
        <w:rPr>
          <w:rFonts w:eastAsiaTheme="majorEastAsia"/>
          <w:b w:val="0"/>
          <w:bCs w:val="0"/>
          <w:caps w:val="0"/>
          <w:color w:val="auto"/>
          <w:szCs w:val="20"/>
          <w:lang w:eastAsia="en-GB"/>
        </w:rPr>
        <w:t xml:space="preserve"> Peatland Partnership and are part of the </w:t>
      </w:r>
      <w:proofErr w:type="gramStart"/>
      <w:r w:rsidR="0093722B" w:rsidRPr="00735726">
        <w:rPr>
          <w:rFonts w:eastAsiaTheme="majorEastAsia"/>
          <w:b w:val="0"/>
          <w:bCs w:val="0"/>
          <w:caps w:val="0"/>
          <w:color w:val="auto"/>
          <w:szCs w:val="20"/>
          <w:lang w:eastAsia="en-GB"/>
        </w:rPr>
        <w:t>South West</w:t>
      </w:r>
      <w:proofErr w:type="gramEnd"/>
      <w:r w:rsidR="0093722B" w:rsidRPr="00735726">
        <w:rPr>
          <w:rFonts w:eastAsiaTheme="majorEastAsia"/>
          <w:b w:val="0"/>
          <w:bCs w:val="0"/>
          <w:caps w:val="0"/>
          <w:color w:val="auto"/>
          <w:szCs w:val="20"/>
          <w:lang w:eastAsia="en-GB"/>
        </w:rPr>
        <w:t xml:space="preserve"> Invasives Forum. Prior to joining </w:t>
      </w:r>
      <w:proofErr w:type="gramStart"/>
      <w:r w:rsidR="0093722B" w:rsidRPr="00735726">
        <w:rPr>
          <w:rFonts w:eastAsiaTheme="majorEastAsia"/>
          <w:b w:val="0"/>
          <w:bCs w:val="0"/>
          <w:caps w:val="0"/>
          <w:color w:val="auto"/>
          <w:szCs w:val="20"/>
          <w:lang w:eastAsia="en-GB"/>
        </w:rPr>
        <w:t>South West</w:t>
      </w:r>
      <w:proofErr w:type="gramEnd"/>
      <w:r w:rsidR="0093722B" w:rsidRPr="00735726">
        <w:rPr>
          <w:rFonts w:eastAsiaTheme="majorEastAsia"/>
          <w:b w:val="0"/>
          <w:bCs w:val="0"/>
          <w:caps w:val="0"/>
          <w:color w:val="auto"/>
          <w:szCs w:val="20"/>
          <w:lang w:eastAsia="en-GB"/>
        </w:rPr>
        <w:t xml:space="preserve"> Water, Carolyn was Chief Executive of Cornwall Wildlife Trust, and has served in national roles for Natural England and the Marine Management Organisation, and in the </w:t>
      </w:r>
      <w:proofErr w:type="gramStart"/>
      <w:r w:rsidR="0093722B" w:rsidRPr="00735726">
        <w:rPr>
          <w:rFonts w:eastAsiaTheme="majorEastAsia"/>
          <w:b w:val="0"/>
          <w:bCs w:val="0"/>
          <w:caps w:val="0"/>
          <w:color w:val="auto"/>
          <w:szCs w:val="20"/>
          <w:lang w:eastAsia="en-GB"/>
        </w:rPr>
        <w:t>South West</w:t>
      </w:r>
      <w:proofErr w:type="gramEnd"/>
      <w:r w:rsidR="0093722B" w:rsidRPr="00735726">
        <w:rPr>
          <w:rFonts w:eastAsiaTheme="majorEastAsia"/>
          <w:b w:val="0"/>
          <w:bCs w:val="0"/>
          <w:caps w:val="0"/>
          <w:color w:val="auto"/>
          <w:szCs w:val="20"/>
          <w:lang w:eastAsia="en-GB"/>
        </w:rPr>
        <w:t xml:space="preserve"> region for Cornwall Council. Carolyn is a Director of </w:t>
      </w:r>
      <w:proofErr w:type="gramStart"/>
      <w:r w:rsidR="0093722B" w:rsidRPr="00735726">
        <w:rPr>
          <w:rFonts w:eastAsiaTheme="majorEastAsia"/>
          <w:b w:val="0"/>
          <w:bCs w:val="0"/>
          <w:caps w:val="0"/>
          <w:color w:val="auto"/>
          <w:szCs w:val="20"/>
          <w:lang w:eastAsia="en-GB"/>
        </w:rPr>
        <w:t>South West</w:t>
      </w:r>
      <w:proofErr w:type="gramEnd"/>
      <w:r w:rsidR="0093722B" w:rsidRPr="00735726">
        <w:rPr>
          <w:rFonts w:eastAsiaTheme="majorEastAsia"/>
          <w:b w:val="0"/>
          <w:bCs w:val="0"/>
          <w:caps w:val="0"/>
          <w:color w:val="auto"/>
          <w:szCs w:val="20"/>
          <w:lang w:eastAsia="en-GB"/>
        </w:rPr>
        <w:t xml:space="preserve"> Water’s partnership with Exeter University, the Centre for Resilience, Environment, Waste and Water, which undertakes innovative research in catchment management, microplastics, peatland restoration, AI, engineering and water management. Carolyn sits on the Board of the Devon Local Nature </w:t>
      </w:r>
      <w:proofErr w:type="gramStart"/>
      <w:r w:rsidR="0093722B" w:rsidRPr="00735726">
        <w:rPr>
          <w:rFonts w:eastAsiaTheme="majorEastAsia"/>
          <w:b w:val="0"/>
          <w:bCs w:val="0"/>
          <w:caps w:val="0"/>
          <w:color w:val="auto"/>
          <w:szCs w:val="20"/>
          <w:lang w:eastAsia="en-GB"/>
        </w:rPr>
        <w:t>Partnership</w:t>
      </w:r>
      <w:proofErr w:type="gramEnd"/>
      <w:r w:rsidR="0093722B" w:rsidRPr="00735726">
        <w:rPr>
          <w:rFonts w:eastAsiaTheme="majorEastAsia"/>
          <w:b w:val="0"/>
          <w:bCs w:val="0"/>
          <w:caps w:val="0"/>
          <w:color w:val="auto"/>
          <w:szCs w:val="20"/>
          <w:lang w:eastAsia="en-GB"/>
        </w:rPr>
        <w:t xml:space="preserve"> and she chairs the Cornwall Catchment Partnership.</w:t>
      </w:r>
    </w:p>
    <w:p w14:paraId="592D256F" w14:textId="77777777" w:rsidR="00DE1B2C" w:rsidRPr="009A2CAE" w:rsidRDefault="00DE1B2C" w:rsidP="00791FBE">
      <w:pPr>
        <w:pStyle w:val="Headinglevel4"/>
        <w:tabs>
          <w:tab w:val="clear" w:pos="340"/>
          <w:tab w:val="left" w:pos="851"/>
        </w:tabs>
        <w:spacing w:line="276" w:lineRule="auto"/>
        <w:jc w:val="both"/>
        <w:outlineLvl w:val="0"/>
        <w:rPr>
          <w:rFonts w:eastAsiaTheme="majorEastAsia"/>
          <w:sz w:val="16"/>
          <w:lang w:eastAsia="en-GB"/>
        </w:rPr>
      </w:pPr>
    </w:p>
    <w:p w14:paraId="08EF8A3A" w14:textId="415FF22C" w:rsidR="0093722B" w:rsidRPr="00735726" w:rsidRDefault="0093722B" w:rsidP="0093722B">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EXECUTIVE TEAM CHANGES 2025/26:</w:t>
      </w:r>
    </w:p>
    <w:p w14:paraId="0112FB79" w14:textId="268F5367" w:rsidR="0093722B" w:rsidRPr="00735726" w:rsidRDefault="0093722B" w:rsidP="0093722B">
      <w:pPr>
        <w:spacing w:after="160" w:line="259" w:lineRule="auto"/>
        <w:rPr>
          <w:rFonts w:ascii="Arial" w:eastAsiaTheme="majorEastAsia" w:hAnsi="Arial" w:cs="Arial"/>
          <w:sz w:val="18"/>
          <w:szCs w:val="20"/>
          <w:lang w:eastAsia="en-GB"/>
        </w:rPr>
      </w:pPr>
      <w:r w:rsidRPr="00735726">
        <w:rPr>
          <w:rFonts w:ascii="Arial" w:eastAsiaTheme="majorEastAsia" w:hAnsi="Arial" w:cs="Arial"/>
          <w:sz w:val="18"/>
          <w:szCs w:val="20"/>
          <w:lang w:eastAsia="en-GB"/>
        </w:rPr>
        <w:t>Adele Barker was Chief People Officer and was a member of the Executive during 2025/26.</w:t>
      </w:r>
    </w:p>
    <w:p w14:paraId="0D20F265" w14:textId="29927634" w:rsidR="0093722B" w:rsidRPr="00735726" w:rsidRDefault="0093722B" w:rsidP="0093722B">
      <w:pPr>
        <w:spacing w:after="160" w:line="259" w:lineRule="auto"/>
        <w:rPr>
          <w:rFonts w:ascii="Arial" w:eastAsiaTheme="majorEastAsia" w:hAnsi="Arial" w:cs="Arial"/>
          <w:sz w:val="18"/>
          <w:szCs w:val="20"/>
          <w:lang w:eastAsia="en-GB"/>
        </w:rPr>
      </w:pPr>
      <w:r w:rsidRPr="00735726">
        <w:rPr>
          <w:rFonts w:ascii="Arial" w:eastAsiaTheme="majorEastAsia" w:hAnsi="Arial" w:cs="Arial"/>
          <w:sz w:val="18"/>
          <w:szCs w:val="20"/>
          <w:lang w:eastAsia="en-GB"/>
        </w:rPr>
        <w:t>Sharon Gathercole was appointed Chief People Officer in October 2025 and stepped down in May 2026.</w:t>
      </w:r>
    </w:p>
    <w:p w14:paraId="368687FE" w14:textId="2A2F22AF" w:rsidR="0093722B" w:rsidRPr="009A2CAE" w:rsidRDefault="0093722B">
      <w:pPr>
        <w:spacing w:after="160" w:line="259" w:lineRule="auto"/>
        <w:rPr>
          <w:rFonts w:ascii="Arial" w:eastAsiaTheme="majorEastAsia" w:hAnsi="Arial" w:cs="Arial"/>
          <w:b/>
          <w:bCs/>
          <w:caps/>
          <w:color w:val="000000"/>
          <w:sz w:val="18"/>
          <w:szCs w:val="20"/>
          <w:lang w:eastAsia="en-GB"/>
        </w:rPr>
      </w:pPr>
      <w:r w:rsidRPr="009A2CAE">
        <w:rPr>
          <w:rFonts w:eastAsiaTheme="majorEastAsia"/>
          <w:szCs w:val="20"/>
          <w:lang w:eastAsia="en-GB"/>
        </w:rPr>
        <w:br w:type="page"/>
      </w:r>
    </w:p>
    <w:p w14:paraId="48FE5288" w14:textId="1E74ACDA" w:rsidR="00011407" w:rsidRPr="00735726" w:rsidRDefault="00011407" w:rsidP="0045190C">
      <w:pPr>
        <w:pStyle w:val="AccountsHeading"/>
        <w:outlineLvl w:val="0"/>
      </w:pPr>
      <w:r w:rsidRPr="00735726">
        <w:lastRenderedPageBreak/>
        <w:t>MONITORING PURP</w:t>
      </w:r>
      <w:r w:rsidR="001E7F39" w:rsidRPr="00735726">
        <w:t>o</w:t>
      </w:r>
      <w:r w:rsidRPr="00735726">
        <w:t>SE AND CULTURE</w:t>
      </w:r>
    </w:p>
    <w:p w14:paraId="5FB11355" w14:textId="4AC626EB" w:rsidR="00011407" w:rsidRPr="00735726" w:rsidRDefault="00011407" w:rsidP="0045190C">
      <w:pPr>
        <w:autoSpaceDE w:val="0"/>
        <w:autoSpaceDN w:val="0"/>
        <w:adjustRightInd w:val="0"/>
        <w:spacing w:after="0"/>
        <w:rPr>
          <w:rFonts w:ascii="Arial" w:hAnsi="Arial" w:cs="Arial"/>
          <w:sz w:val="18"/>
          <w:szCs w:val="18"/>
        </w:rPr>
      </w:pPr>
      <w:r w:rsidRPr="00735726">
        <w:rPr>
          <w:rFonts w:ascii="Arial" w:hAnsi="Arial" w:cs="Arial"/>
          <w:b/>
          <w:bCs/>
          <w:sz w:val="18"/>
          <w:szCs w:val="18"/>
        </w:rPr>
        <w:t>PURPOSE, VALUES AND CULTURE</w:t>
      </w:r>
      <w:r w:rsidRPr="00735726">
        <w:rPr>
          <w:rFonts w:ascii="Arial" w:hAnsi="Arial" w:cs="Arial"/>
          <w:b/>
          <w:bCs/>
          <w:sz w:val="18"/>
          <w:szCs w:val="18"/>
        </w:rPr>
        <w:br/>
      </w:r>
      <w:r w:rsidRPr="00735726">
        <w:rPr>
          <w:rFonts w:ascii="Arial" w:hAnsi="Arial" w:cs="Arial"/>
          <w:sz w:val="18"/>
          <w:szCs w:val="18"/>
        </w:rPr>
        <w:t xml:space="preserve">Our purpose, </w:t>
      </w:r>
      <w:proofErr w:type="gramStart"/>
      <w:r w:rsidRPr="00735726">
        <w:rPr>
          <w:rFonts w:ascii="Arial" w:hAnsi="Arial" w:cs="Arial"/>
          <w:b/>
          <w:bCs/>
          <w:i/>
          <w:iCs/>
          <w:sz w:val="18"/>
          <w:szCs w:val="18"/>
        </w:rPr>
        <w:t>Bringing</w:t>
      </w:r>
      <w:proofErr w:type="gramEnd"/>
      <w:r w:rsidRPr="00735726">
        <w:rPr>
          <w:rFonts w:ascii="Arial" w:hAnsi="Arial" w:cs="Arial"/>
          <w:b/>
          <w:bCs/>
          <w:i/>
          <w:iCs/>
          <w:sz w:val="18"/>
          <w:szCs w:val="18"/>
        </w:rPr>
        <w:t xml:space="preserve"> water to life </w:t>
      </w:r>
      <w:r w:rsidR="006C1BA9" w:rsidRPr="00735726">
        <w:rPr>
          <w:rFonts w:ascii="Arial" w:hAnsi="Arial" w:cs="Arial"/>
          <w:b/>
          <w:bCs/>
          <w:i/>
          <w:iCs/>
          <w:sz w:val="18"/>
          <w:szCs w:val="18"/>
        </w:rPr>
        <w:t xml:space="preserve">- </w:t>
      </w:r>
      <w:r w:rsidRPr="00735726">
        <w:rPr>
          <w:rFonts w:ascii="Arial" w:hAnsi="Arial" w:cs="Arial"/>
          <w:b/>
          <w:bCs/>
          <w:i/>
          <w:iCs/>
          <w:sz w:val="18"/>
          <w:szCs w:val="18"/>
        </w:rPr>
        <w:t>supporting the lives of people and the places they love for generations to come</w:t>
      </w:r>
      <w:r w:rsidR="003868CA" w:rsidRPr="00735726">
        <w:rPr>
          <w:rFonts w:ascii="Arial" w:hAnsi="Arial" w:cs="Arial"/>
          <w:sz w:val="18"/>
          <w:szCs w:val="18"/>
        </w:rPr>
        <w:t>.</w:t>
      </w:r>
    </w:p>
    <w:p w14:paraId="273F7B3F" w14:textId="77777777" w:rsidR="00011407" w:rsidRPr="00735726" w:rsidRDefault="00011407" w:rsidP="0045190C">
      <w:pPr>
        <w:autoSpaceDE w:val="0"/>
        <w:autoSpaceDN w:val="0"/>
        <w:adjustRightInd w:val="0"/>
        <w:spacing w:after="0"/>
        <w:rPr>
          <w:rFonts w:ascii="Arial" w:hAnsi="Arial" w:cs="Arial"/>
          <w:sz w:val="18"/>
          <w:szCs w:val="18"/>
        </w:rPr>
      </w:pPr>
    </w:p>
    <w:p w14:paraId="4D7DCCBB" w14:textId="76922744" w:rsidR="003868CA" w:rsidRPr="00735726" w:rsidRDefault="003868CA" w:rsidP="003868CA">
      <w:pPr>
        <w:autoSpaceDE w:val="0"/>
        <w:autoSpaceDN w:val="0"/>
        <w:adjustRightInd w:val="0"/>
        <w:spacing w:after="0"/>
        <w:rPr>
          <w:rFonts w:ascii="Arial" w:hAnsi="Arial" w:cs="Arial"/>
          <w:sz w:val="18"/>
          <w:szCs w:val="18"/>
        </w:rPr>
      </w:pPr>
      <w:r w:rsidRPr="00735726">
        <w:rPr>
          <w:rFonts w:ascii="Arial" w:hAnsi="Arial" w:cs="Arial"/>
          <w:sz w:val="18"/>
          <w:szCs w:val="18"/>
        </w:rPr>
        <w:t>Our values:</w:t>
      </w:r>
    </w:p>
    <w:p w14:paraId="6E24068F" w14:textId="77777777" w:rsidR="003868CA" w:rsidRPr="00735726" w:rsidRDefault="003868CA" w:rsidP="003868CA">
      <w:pPr>
        <w:autoSpaceDE w:val="0"/>
        <w:autoSpaceDN w:val="0"/>
        <w:adjustRightInd w:val="0"/>
        <w:spacing w:after="0"/>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3868CA" w:rsidRPr="00735726" w14:paraId="08CA5E23" w14:textId="77777777" w:rsidTr="003F488A">
        <w:tc>
          <w:tcPr>
            <w:tcW w:w="3005" w:type="dxa"/>
          </w:tcPr>
          <w:p w14:paraId="771C99FA" w14:textId="77777777" w:rsidR="003868CA" w:rsidRPr="00735726" w:rsidRDefault="003868CA" w:rsidP="003F488A">
            <w:pPr>
              <w:pStyle w:val="NormalWeb"/>
              <w:rPr>
                <w:rFonts w:ascii="Arial" w:hAnsi="Arial" w:cs="Arial"/>
                <w:sz w:val="18"/>
                <w:szCs w:val="18"/>
              </w:rPr>
            </w:pPr>
            <w:r w:rsidRPr="00735726">
              <w:rPr>
                <w:noProof/>
              </w:rPr>
              <w:drawing>
                <wp:inline distT="0" distB="0" distL="0" distR="0" wp14:anchorId="568A2022" wp14:editId="0BFF93C5">
                  <wp:extent cx="773971" cy="476250"/>
                  <wp:effectExtent l="0" t="0" r="7620" b="0"/>
                  <wp:docPr id="1772277576" name="Picture 177227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4745" cy="482879"/>
                          </a:xfrm>
                          <a:prstGeom prst="rect">
                            <a:avLst/>
                          </a:prstGeom>
                          <a:noFill/>
                          <a:ln>
                            <a:noFill/>
                          </a:ln>
                        </pic:spPr>
                      </pic:pic>
                    </a:graphicData>
                  </a:graphic>
                </wp:inline>
              </w:drawing>
            </w:r>
          </w:p>
        </w:tc>
        <w:tc>
          <w:tcPr>
            <w:tcW w:w="3005" w:type="dxa"/>
          </w:tcPr>
          <w:p w14:paraId="1F4BF9BE" w14:textId="77777777" w:rsidR="003868CA" w:rsidRPr="00735726" w:rsidRDefault="003868CA" w:rsidP="003F488A">
            <w:pPr>
              <w:pStyle w:val="NormalWeb"/>
              <w:rPr>
                <w:rFonts w:ascii="Arial" w:hAnsi="Arial" w:cs="Arial"/>
                <w:sz w:val="18"/>
                <w:szCs w:val="18"/>
              </w:rPr>
            </w:pPr>
            <w:r w:rsidRPr="00735726">
              <w:rPr>
                <w:noProof/>
              </w:rPr>
              <w:drawing>
                <wp:inline distT="0" distB="0" distL="0" distR="0" wp14:anchorId="66D490C1" wp14:editId="03C2320E">
                  <wp:extent cx="773970" cy="476250"/>
                  <wp:effectExtent l="0" t="0" r="7620" b="0"/>
                  <wp:docPr id="1682658285" name="Picture 168265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2930" cy="481764"/>
                          </a:xfrm>
                          <a:prstGeom prst="rect">
                            <a:avLst/>
                          </a:prstGeom>
                          <a:noFill/>
                          <a:ln>
                            <a:noFill/>
                          </a:ln>
                        </pic:spPr>
                      </pic:pic>
                    </a:graphicData>
                  </a:graphic>
                </wp:inline>
              </w:drawing>
            </w:r>
          </w:p>
        </w:tc>
        <w:tc>
          <w:tcPr>
            <w:tcW w:w="3006" w:type="dxa"/>
          </w:tcPr>
          <w:p w14:paraId="40B8B37B" w14:textId="77777777" w:rsidR="003868CA" w:rsidRPr="00735726" w:rsidRDefault="003868CA" w:rsidP="003F488A">
            <w:pPr>
              <w:pStyle w:val="NormalWeb"/>
              <w:rPr>
                <w:rFonts w:ascii="Arial" w:hAnsi="Arial" w:cs="Arial"/>
                <w:sz w:val="18"/>
                <w:szCs w:val="18"/>
              </w:rPr>
            </w:pPr>
            <w:r w:rsidRPr="00735726">
              <w:rPr>
                <w:noProof/>
              </w:rPr>
              <w:drawing>
                <wp:inline distT="0" distB="0" distL="0" distR="0" wp14:anchorId="4C06F2D1" wp14:editId="419E0A73">
                  <wp:extent cx="1151218" cy="386715"/>
                  <wp:effectExtent l="0" t="0" r="0" b="0"/>
                  <wp:docPr id="1969591409" name="Picture 196959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155252" cy="3880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B8E247" w14:textId="77777777" w:rsidR="003868CA" w:rsidRPr="009A2CAE" w:rsidRDefault="003868CA" w:rsidP="005A5668">
      <w:pPr>
        <w:rPr>
          <w:rFonts w:ascii="Arial" w:hAnsi="Arial" w:cs="Arial"/>
          <w:sz w:val="18"/>
          <w:szCs w:val="18"/>
        </w:rPr>
      </w:pPr>
    </w:p>
    <w:p w14:paraId="0829E8F7" w14:textId="0549716A" w:rsidR="003C76D5" w:rsidRPr="00735726" w:rsidRDefault="003C76D5" w:rsidP="003C76D5">
      <w:pPr>
        <w:rPr>
          <w:rFonts w:ascii="Arial" w:hAnsi="Arial" w:cs="Arial"/>
          <w:sz w:val="18"/>
          <w:szCs w:val="18"/>
        </w:rPr>
      </w:pPr>
      <w:r w:rsidRPr="00735726">
        <w:rPr>
          <w:rFonts w:ascii="Arial" w:hAnsi="Arial" w:cs="Arial"/>
          <w:sz w:val="18"/>
          <w:szCs w:val="18"/>
        </w:rPr>
        <w:t>As a dedicated business, working round the clock to deliver our essential water services for our customers, we are influenced by our values and culture to be effective stewards of the environment and our communities.</w:t>
      </w:r>
      <w:r w:rsidRPr="00735726">
        <w:rPr>
          <w:rFonts w:ascii="Calibre-Light" w:hAnsi="Calibre-Light" w:cs="Calibre-Light"/>
          <w:color w:val="414142"/>
          <w:sz w:val="16"/>
          <w:szCs w:val="16"/>
        </w:rPr>
        <w:t xml:space="preserve"> </w:t>
      </w:r>
      <w:r w:rsidRPr="00735726">
        <w:rPr>
          <w:rFonts w:ascii="Arial" w:hAnsi="Arial" w:cs="Arial"/>
          <w:sz w:val="18"/>
          <w:szCs w:val="18"/>
        </w:rPr>
        <w:t xml:space="preserve">We know that it’s not only what we do, but how we do it that is important for our customers, communities and ourselves. That’s why we will keep our focus on living our values across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every day.</w:t>
      </w:r>
    </w:p>
    <w:p w14:paraId="33C1CDE8" w14:textId="47C26859" w:rsidR="001963FE" w:rsidRPr="00735726" w:rsidRDefault="001963FE" w:rsidP="003C76D5">
      <w:pPr>
        <w:rPr>
          <w:rFonts w:ascii="Arial" w:hAnsi="Arial" w:cs="Arial"/>
          <w:sz w:val="18"/>
          <w:szCs w:val="18"/>
        </w:rPr>
      </w:pPr>
      <w:r w:rsidRPr="00735726">
        <w:rPr>
          <w:rFonts w:ascii="Arial" w:hAnsi="Arial" w:cs="Arial"/>
          <w:sz w:val="18"/>
          <w:szCs w:val="18"/>
        </w:rPr>
        <w:t xml:space="preserve">We want our values and our behaviours to be the golden thread across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 all businesses within our Company to have the same values and therefore the same way of being.</w:t>
      </w:r>
    </w:p>
    <w:p w14:paraId="2D050510" w14:textId="09D46230" w:rsidR="001963FE" w:rsidRPr="00735726" w:rsidRDefault="001963FE" w:rsidP="005A5668">
      <w:pPr>
        <w:rPr>
          <w:rFonts w:ascii="Arial" w:hAnsi="Arial" w:cs="Arial"/>
          <w:sz w:val="18"/>
          <w:szCs w:val="18"/>
        </w:rPr>
      </w:pPr>
      <w:r w:rsidRPr="00735726">
        <w:rPr>
          <w:rFonts w:ascii="Arial" w:hAnsi="Arial" w:cs="Arial"/>
          <w:sz w:val="18"/>
          <w:szCs w:val="18"/>
        </w:rPr>
        <w:t>Our values were developed after intensive involvement and listening sessions with the Executive Board, the larger leadership group, colleague organisations such as the employee forum, and comprehensive colleague listening groups.</w:t>
      </w:r>
    </w:p>
    <w:p w14:paraId="59A50A1A" w14:textId="19D30554" w:rsidR="00011407" w:rsidRPr="00735726" w:rsidRDefault="00011407" w:rsidP="00277639">
      <w:pPr>
        <w:spacing w:after="160"/>
        <w:rPr>
          <w:rFonts w:ascii="Arial" w:hAnsi="Arial" w:cs="Arial"/>
          <w:sz w:val="18"/>
          <w:szCs w:val="18"/>
        </w:rPr>
      </w:pPr>
      <w:r w:rsidRPr="00735726">
        <w:rPr>
          <w:rFonts w:ascii="Arial" w:hAnsi="Arial" w:cs="Arial"/>
          <w:b/>
          <w:bCs/>
          <w:sz w:val="18"/>
          <w:szCs w:val="18"/>
        </w:rPr>
        <w:t>HOW THE BOARD MONITORS CULTURE</w:t>
      </w:r>
      <w:r w:rsidR="00057D91" w:rsidRPr="00735726">
        <w:rPr>
          <w:rFonts w:ascii="Arial" w:hAnsi="Arial" w:cs="Arial"/>
          <w:sz w:val="18"/>
          <w:szCs w:val="18"/>
        </w:rPr>
        <w:br/>
      </w:r>
      <w:r w:rsidRPr="00735726">
        <w:rPr>
          <w:rFonts w:ascii="Arial" w:hAnsi="Arial" w:cs="Arial"/>
          <w:sz w:val="18"/>
          <w:szCs w:val="18"/>
        </w:rPr>
        <w:t xml:space="preserve">The Board plays a vital role in monitoring and assessing the culture of the Company and its alignment with the Company’s purpose, values and strategy. During the year, the Board considered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areas that helped them to assess the development of the Company’s culture.</w:t>
      </w:r>
    </w:p>
    <w:tbl>
      <w:tblPr>
        <w:tblStyle w:val="TableGrid"/>
        <w:tblW w:w="0" w:type="auto"/>
        <w:tblLook w:val="04A0" w:firstRow="1" w:lastRow="0" w:firstColumn="1" w:lastColumn="0" w:noHBand="0" w:noVBand="1"/>
      </w:tblPr>
      <w:tblGrid>
        <w:gridCol w:w="1838"/>
        <w:gridCol w:w="7178"/>
      </w:tblGrid>
      <w:tr w:rsidR="004F030D" w:rsidRPr="00735726" w14:paraId="390CCAE2" w14:textId="77777777" w:rsidTr="00676871">
        <w:trPr>
          <w:tblHeader/>
        </w:trPr>
        <w:tc>
          <w:tcPr>
            <w:tcW w:w="1838" w:type="dxa"/>
            <w:shd w:val="clear" w:color="auto" w:fill="002060"/>
          </w:tcPr>
          <w:p w14:paraId="2100A407" w14:textId="77777777" w:rsidR="004F030D" w:rsidRPr="00735726" w:rsidRDefault="004F030D" w:rsidP="00881565">
            <w:pPr>
              <w:autoSpaceDE w:val="0"/>
              <w:autoSpaceDN w:val="0"/>
              <w:adjustRightInd w:val="0"/>
              <w:spacing w:after="0"/>
              <w:rPr>
                <w:rFonts w:ascii="Arial" w:eastAsiaTheme="minorHAnsi" w:hAnsi="Arial" w:cs="Arial"/>
                <w:b/>
                <w:bCs/>
                <w:color w:val="FFFFFF" w:themeColor="background1"/>
                <w:sz w:val="18"/>
                <w:szCs w:val="18"/>
              </w:rPr>
            </w:pPr>
            <w:r w:rsidRPr="00735726">
              <w:rPr>
                <w:rFonts w:ascii="Arial" w:eastAsiaTheme="minorHAnsi" w:hAnsi="Arial" w:cs="Arial"/>
                <w:b/>
                <w:bCs/>
                <w:color w:val="FFFFFF" w:themeColor="background1"/>
                <w:sz w:val="18"/>
                <w:szCs w:val="18"/>
              </w:rPr>
              <w:t>Area assessed</w:t>
            </w:r>
          </w:p>
        </w:tc>
        <w:tc>
          <w:tcPr>
            <w:tcW w:w="7178" w:type="dxa"/>
            <w:shd w:val="clear" w:color="auto" w:fill="002060"/>
          </w:tcPr>
          <w:p w14:paraId="30A15A2A" w14:textId="77777777" w:rsidR="004F030D" w:rsidRPr="00735726" w:rsidRDefault="004F030D" w:rsidP="00881565">
            <w:pPr>
              <w:autoSpaceDE w:val="0"/>
              <w:autoSpaceDN w:val="0"/>
              <w:adjustRightInd w:val="0"/>
              <w:spacing w:after="0"/>
              <w:rPr>
                <w:rFonts w:ascii="Arial" w:eastAsiaTheme="minorHAnsi" w:hAnsi="Arial" w:cs="Arial"/>
                <w:b/>
                <w:bCs/>
                <w:color w:val="FFFFFF" w:themeColor="background1"/>
                <w:sz w:val="18"/>
                <w:szCs w:val="18"/>
              </w:rPr>
            </w:pPr>
            <w:r w:rsidRPr="00735726">
              <w:rPr>
                <w:rFonts w:ascii="Arial" w:eastAsiaTheme="minorHAnsi" w:hAnsi="Arial" w:cs="Arial"/>
                <w:b/>
                <w:bCs/>
                <w:color w:val="FFFFFF" w:themeColor="background1"/>
                <w:sz w:val="18"/>
                <w:szCs w:val="18"/>
              </w:rPr>
              <w:t>How the Board monitors the culture</w:t>
            </w:r>
          </w:p>
        </w:tc>
      </w:tr>
      <w:tr w:rsidR="004F030D" w:rsidRPr="00735726" w14:paraId="40E64EDD" w14:textId="77777777" w:rsidTr="00676871">
        <w:tc>
          <w:tcPr>
            <w:tcW w:w="1838" w:type="dxa"/>
          </w:tcPr>
          <w:p w14:paraId="3AD020D6" w14:textId="77777777" w:rsidR="004F030D" w:rsidRPr="00735726" w:rsidRDefault="004F030D" w:rsidP="00881565">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Employee engagement</w:t>
            </w:r>
          </w:p>
        </w:tc>
        <w:tc>
          <w:tcPr>
            <w:tcW w:w="7178" w:type="dxa"/>
          </w:tcPr>
          <w:p w14:paraId="0FFCBC41" w14:textId="2ECFDE9D" w:rsidR="00652F46" w:rsidRPr="00735726" w:rsidRDefault="00652F46" w:rsidP="00652F46">
            <w:pPr>
              <w:rPr>
                <w:rFonts w:ascii="Arial" w:hAnsi="Arial" w:cs="Arial"/>
                <w:sz w:val="18"/>
                <w:szCs w:val="18"/>
              </w:rPr>
            </w:pPr>
            <w:r w:rsidRPr="00735726">
              <w:rPr>
                <w:rFonts w:ascii="Arial" w:hAnsi="Arial" w:cs="Arial"/>
                <w:sz w:val="18"/>
                <w:szCs w:val="18"/>
              </w:rPr>
              <w:t xml:space="preserve">Appointment of a designated Non-Executive Director for workforce engagement </w:t>
            </w:r>
            <w:r w:rsidR="006C1BA9" w:rsidRPr="00735726">
              <w:rPr>
                <w:rFonts w:ascii="Arial" w:hAnsi="Arial" w:cs="Arial"/>
                <w:sz w:val="18"/>
                <w:szCs w:val="18"/>
              </w:rPr>
              <w:t xml:space="preserve">- </w:t>
            </w:r>
            <w:r w:rsidRPr="00735726">
              <w:rPr>
                <w:rFonts w:ascii="Arial" w:hAnsi="Arial" w:cs="Arial"/>
                <w:sz w:val="18"/>
                <w:szCs w:val="18"/>
              </w:rPr>
              <w:t>The Board approved the appointment of the designated Non-Executive Director, giving the employees a meaningful voice and representation in Board discussions.</w:t>
            </w:r>
          </w:p>
          <w:p w14:paraId="30751ECE" w14:textId="4337F1DE" w:rsidR="00652F46" w:rsidRPr="00735726" w:rsidRDefault="00652F46" w:rsidP="00652F46">
            <w:pPr>
              <w:rPr>
                <w:rFonts w:ascii="Arial" w:hAnsi="Arial" w:cs="Arial"/>
                <w:sz w:val="18"/>
                <w:szCs w:val="18"/>
              </w:rPr>
            </w:pPr>
            <w:r w:rsidRPr="00735726">
              <w:rPr>
                <w:rFonts w:ascii="Arial" w:hAnsi="Arial" w:cs="Arial"/>
                <w:sz w:val="18"/>
                <w:szCs w:val="18"/>
              </w:rPr>
              <w:t xml:space="preserve">Site visits - the Board attended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site visits and other office locations to meet operational colleagues in their day-to-day environment to hear from them.</w:t>
            </w:r>
          </w:p>
          <w:p w14:paraId="7A9F0095" w14:textId="779BED52" w:rsidR="004F030D" w:rsidRPr="00735726" w:rsidRDefault="00652F46" w:rsidP="00652F46">
            <w:pPr>
              <w:rPr>
                <w:rFonts w:ascii="Arial" w:eastAsiaTheme="minorHAnsi" w:hAnsi="Arial" w:cs="Arial"/>
                <w:sz w:val="18"/>
                <w:szCs w:val="18"/>
              </w:rPr>
            </w:pPr>
            <w:r w:rsidRPr="00735726">
              <w:rPr>
                <w:rFonts w:ascii="Arial" w:hAnsi="Arial" w:cs="Arial"/>
                <w:sz w:val="18"/>
                <w:szCs w:val="18"/>
              </w:rPr>
              <w:t xml:space="preserve">Big Chat and Be the Future Forum </w:t>
            </w:r>
            <w:r w:rsidR="006C1BA9" w:rsidRPr="00735726">
              <w:rPr>
                <w:rFonts w:ascii="Arial" w:hAnsi="Arial" w:cs="Arial"/>
                <w:sz w:val="18"/>
                <w:szCs w:val="18"/>
              </w:rPr>
              <w:t xml:space="preserve">- </w:t>
            </w:r>
            <w:r w:rsidRPr="00735726">
              <w:rPr>
                <w:rFonts w:ascii="Arial" w:hAnsi="Arial" w:cs="Arial"/>
                <w:sz w:val="18"/>
                <w:szCs w:val="18"/>
              </w:rPr>
              <w:t xml:space="preserve">The Executive team engages with all employees on all business topics and ensures that their views and </w:t>
            </w:r>
            <w:r w:rsidRPr="00735726">
              <w:rPr>
                <w:rFonts w:ascii="Arial" w:eastAsiaTheme="minorHAnsi" w:hAnsi="Arial" w:cs="Arial"/>
                <w:sz w:val="18"/>
                <w:szCs w:val="18"/>
              </w:rPr>
              <w:t>opinions are shared with the Board.</w:t>
            </w:r>
          </w:p>
        </w:tc>
      </w:tr>
      <w:tr w:rsidR="004F030D" w:rsidRPr="00735726" w14:paraId="33229159" w14:textId="77777777" w:rsidTr="00676871">
        <w:tc>
          <w:tcPr>
            <w:tcW w:w="1838" w:type="dxa"/>
          </w:tcPr>
          <w:p w14:paraId="5E6C3C24" w14:textId="77777777" w:rsidR="004F030D" w:rsidRPr="00735726" w:rsidRDefault="004F030D" w:rsidP="00881565">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Workforce policies and practices</w:t>
            </w:r>
          </w:p>
        </w:tc>
        <w:tc>
          <w:tcPr>
            <w:tcW w:w="7178" w:type="dxa"/>
          </w:tcPr>
          <w:p w14:paraId="5BB36341" w14:textId="26A59DFA" w:rsidR="00046EC7" w:rsidRPr="00735726" w:rsidRDefault="00046EC7" w:rsidP="00046EC7">
            <w:pPr>
              <w:rPr>
                <w:rFonts w:ascii="Arial" w:eastAsiaTheme="minorHAnsi" w:hAnsi="Arial" w:cs="Arial"/>
                <w:sz w:val="18"/>
                <w:szCs w:val="18"/>
              </w:rPr>
            </w:pPr>
            <w:r w:rsidRPr="00735726">
              <w:rPr>
                <w:rFonts w:ascii="Arial" w:eastAsiaTheme="minorHAnsi" w:hAnsi="Arial" w:cs="Arial"/>
                <w:sz w:val="18"/>
                <w:szCs w:val="18"/>
              </w:rPr>
              <w:t xml:space="preserve">The Board formally reviews the Company’s workforce policies and practices to ensure these remain consistent with the Company’s </w:t>
            </w:r>
            <w:r w:rsidR="00652F46" w:rsidRPr="00735726">
              <w:rPr>
                <w:rFonts w:ascii="Arial" w:eastAsiaTheme="minorHAnsi" w:hAnsi="Arial" w:cs="Arial"/>
                <w:sz w:val="18"/>
                <w:szCs w:val="18"/>
              </w:rPr>
              <w:t>p</w:t>
            </w:r>
            <w:r w:rsidRPr="00735726">
              <w:rPr>
                <w:rFonts w:ascii="Arial" w:eastAsiaTheme="minorHAnsi" w:hAnsi="Arial" w:cs="Arial"/>
                <w:sz w:val="18"/>
                <w:szCs w:val="18"/>
              </w:rPr>
              <w:t xml:space="preserve">urpose and </w:t>
            </w:r>
            <w:r w:rsidR="00652F46" w:rsidRPr="00735726">
              <w:rPr>
                <w:rFonts w:ascii="Arial" w:eastAsiaTheme="minorHAnsi" w:hAnsi="Arial" w:cs="Arial"/>
                <w:sz w:val="18"/>
                <w:szCs w:val="18"/>
              </w:rPr>
              <w:t>v</w:t>
            </w:r>
            <w:r w:rsidRPr="00735726">
              <w:rPr>
                <w:rFonts w:ascii="Arial" w:eastAsiaTheme="minorHAnsi" w:hAnsi="Arial" w:cs="Arial"/>
                <w:sz w:val="18"/>
                <w:szCs w:val="18"/>
              </w:rPr>
              <w:t xml:space="preserve">alues and support the </w:t>
            </w:r>
            <w:r w:rsidR="0036323F" w:rsidRPr="00735726">
              <w:rPr>
                <w:rFonts w:ascii="Arial" w:eastAsiaTheme="minorHAnsi" w:hAnsi="Arial" w:cs="Arial"/>
                <w:sz w:val="18"/>
                <w:szCs w:val="18"/>
              </w:rPr>
              <w:t>Company’s</w:t>
            </w:r>
            <w:r w:rsidRPr="00735726">
              <w:rPr>
                <w:rFonts w:ascii="Arial" w:eastAsiaTheme="minorHAnsi" w:hAnsi="Arial" w:cs="Arial"/>
                <w:sz w:val="18"/>
                <w:szCs w:val="18"/>
              </w:rPr>
              <w:t xml:space="preserve"> long-term sustainable success.</w:t>
            </w:r>
          </w:p>
          <w:p w14:paraId="0BF396C6" w14:textId="77777777" w:rsidR="00046EC7" w:rsidRPr="00735726" w:rsidRDefault="00046EC7" w:rsidP="00046EC7">
            <w:pPr>
              <w:rPr>
                <w:rFonts w:ascii="Arial" w:eastAsiaTheme="minorHAnsi" w:hAnsi="Arial" w:cs="Arial"/>
                <w:sz w:val="18"/>
                <w:szCs w:val="18"/>
              </w:rPr>
            </w:pPr>
            <w:r w:rsidRPr="00735726">
              <w:rPr>
                <w:rFonts w:ascii="Arial" w:eastAsiaTheme="minorHAnsi" w:hAnsi="Arial" w:cs="Arial"/>
                <w:sz w:val="18"/>
                <w:szCs w:val="18"/>
              </w:rPr>
              <w:t>Gender and ethnicity pay gap - The Board monitors the culture on gender and ethnicity pay through review, assessment, and approval of the Gender and ethnicity pay gap report.</w:t>
            </w:r>
          </w:p>
          <w:p w14:paraId="1AEBE9D9" w14:textId="3AAA34CC" w:rsidR="00046EC7" w:rsidRPr="00735726" w:rsidRDefault="00046EC7" w:rsidP="00046EC7">
            <w:pPr>
              <w:rPr>
                <w:rFonts w:ascii="Arial" w:eastAsiaTheme="minorHAnsi" w:hAnsi="Arial" w:cs="Arial"/>
                <w:sz w:val="18"/>
                <w:szCs w:val="18"/>
              </w:rPr>
            </w:pPr>
            <w:r w:rsidRPr="00735726">
              <w:rPr>
                <w:rFonts w:ascii="Arial" w:eastAsiaTheme="minorHAnsi" w:hAnsi="Arial" w:cs="Arial"/>
                <w:sz w:val="18"/>
                <w:szCs w:val="18"/>
              </w:rPr>
              <w:t>Diversity and inclusion - The Nomination Committee monitors diversity and inclusion through regular updates</w:t>
            </w:r>
            <w:r w:rsidR="00652F46" w:rsidRPr="00735726">
              <w:rPr>
                <w:rFonts w:ascii="Arial" w:eastAsiaTheme="minorHAnsi" w:hAnsi="Arial" w:cs="Arial"/>
                <w:sz w:val="18"/>
                <w:szCs w:val="18"/>
              </w:rPr>
              <w:t>,</w:t>
            </w:r>
            <w:r w:rsidRPr="00735726">
              <w:rPr>
                <w:rFonts w:ascii="Arial" w:eastAsiaTheme="minorHAnsi" w:hAnsi="Arial" w:cs="Arial"/>
                <w:sz w:val="18"/>
                <w:szCs w:val="18"/>
              </w:rPr>
              <w:t xml:space="preserve"> and the Board fosters the Company’s culture on diversity and inclusion through the review and approval of the Diversity, Respect and Inclusion policy.</w:t>
            </w:r>
          </w:p>
          <w:p w14:paraId="6029800E" w14:textId="4F802A34" w:rsidR="004F030D" w:rsidRPr="00735726" w:rsidRDefault="00046EC7" w:rsidP="00A26928">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 xml:space="preserve">General pay conditions - </w:t>
            </w:r>
            <w:r w:rsidR="00652F46" w:rsidRPr="00735726">
              <w:rPr>
                <w:rFonts w:ascii="Arial" w:hAnsi="Arial" w:cs="Arial"/>
                <w:sz w:val="18"/>
                <w:szCs w:val="18"/>
              </w:rPr>
              <w:t>The Remuneration Committee ensures that reward and pay arrangements support a culture that is transparent, fair,</w:t>
            </w:r>
            <w:r w:rsidR="00A26928" w:rsidRPr="00735726">
              <w:rPr>
                <w:rFonts w:ascii="Arial" w:eastAsiaTheme="minorHAnsi" w:hAnsi="Arial" w:cs="Arial"/>
                <w:sz w:val="18"/>
                <w:szCs w:val="18"/>
              </w:rPr>
              <w:t xml:space="preserve"> </w:t>
            </w:r>
            <w:r w:rsidR="00652F46" w:rsidRPr="00735726">
              <w:rPr>
                <w:rFonts w:ascii="Arial" w:eastAsiaTheme="minorHAnsi" w:hAnsi="Arial" w:cs="Arial"/>
                <w:sz w:val="18"/>
                <w:szCs w:val="18"/>
              </w:rPr>
              <w:t>and consistent to ensure that employees’ trust is maintained and that talent is attracted and retained.</w:t>
            </w:r>
          </w:p>
        </w:tc>
      </w:tr>
      <w:tr w:rsidR="004F030D" w:rsidRPr="00735726" w14:paraId="4AE70CFF" w14:textId="77777777" w:rsidTr="00676871">
        <w:tc>
          <w:tcPr>
            <w:tcW w:w="1838" w:type="dxa"/>
          </w:tcPr>
          <w:p w14:paraId="502ECB43" w14:textId="2BF39D22" w:rsidR="004F030D" w:rsidRPr="00735726" w:rsidRDefault="003D4C72" w:rsidP="00881565">
            <w:pPr>
              <w:autoSpaceDE w:val="0"/>
              <w:autoSpaceDN w:val="0"/>
              <w:adjustRightInd w:val="0"/>
              <w:spacing w:after="0"/>
              <w:rPr>
                <w:rFonts w:ascii="Arial" w:eastAsiaTheme="minorHAnsi" w:hAnsi="Arial" w:cs="Arial"/>
                <w:sz w:val="18"/>
                <w:szCs w:val="18"/>
              </w:rPr>
            </w:pPr>
            <w:r w:rsidRPr="00735726">
              <w:br w:type="page"/>
            </w:r>
            <w:r w:rsidR="004F030D" w:rsidRPr="00735726">
              <w:rPr>
                <w:rFonts w:ascii="Arial" w:eastAsiaTheme="minorHAnsi" w:hAnsi="Arial" w:cs="Arial"/>
                <w:sz w:val="18"/>
                <w:szCs w:val="18"/>
              </w:rPr>
              <w:t>Whistleblowing</w:t>
            </w:r>
          </w:p>
        </w:tc>
        <w:tc>
          <w:tcPr>
            <w:tcW w:w="7178" w:type="dxa"/>
          </w:tcPr>
          <w:p w14:paraId="5000D48D" w14:textId="6390B353" w:rsidR="004F030D" w:rsidRPr="00735726" w:rsidRDefault="00046EC7" w:rsidP="00881565">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 xml:space="preserve">Speak Up - Employees raise concerns anonymously without fear of reprisal. Any significant concerns, following formal investigation, are shared with the Audit </w:t>
            </w:r>
            <w:r w:rsidRPr="00735726">
              <w:rPr>
                <w:rFonts w:ascii="Arial" w:eastAsiaTheme="minorHAnsi" w:hAnsi="Arial" w:cs="Arial"/>
                <w:sz w:val="18"/>
                <w:szCs w:val="18"/>
              </w:rPr>
              <w:lastRenderedPageBreak/>
              <w:t>Committee through the Ethics Management Committee and ultimately, shared with the Board.</w:t>
            </w:r>
          </w:p>
        </w:tc>
      </w:tr>
      <w:tr w:rsidR="004F030D" w:rsidRPr="00735726" w14:paraId="388F6178" w14:textId="77777777" w:rsidTr="00676871">
        <w:tc>
          <w:tcPr>
            <w:tcW w:w="1838" w:type="dxa"/>
          </w:tcPr>
          <w:p w14:paraId="1CEA826F" w14:textId="77777777" w:rsidR="004F030D" w:rsidRPr="00735726" w:rsidRDefault="004F030D" w:rsidP="00881565">
            <w:pPr>
              <w:autoSpaceDE w:val="0"/>
              <w:autoSpaceDN w:val="0"/>
              <w:adjustRightInd w:val="0"/>
              <w:spacing w:after="0"/>
              <w:rPr>
                <w:rFonts w:ascii="Arial" w:eastAsiaTheme="minorHAnsi" w:hAnsi="Arial" w:cs="Arial"/>
                <w:sz w:val="18"/>
                <w:szCs w:val="18"/>
              </w:rPr>
            </w:pPr>
            <w:bookmarkStart w:id="27" w:name="_Hlk165458530"/>
            <w:r w:rsidRPr="00735726">
              <w:rPr>
                <w:rFonts w:ascii="Arial" w:eastAsiaTheme="minorHAnsi" w:hAnsi="Arial" w:cs="Arial"/>
                <w:sz w:val="18"/>
                <w:szCs w:val="18"/>
              </w:rPr>
              <w:lastRenderedPageBreak/>
              <w:t>Health and Safety</w:t>
            </w:r>
          </w:p>
        </w:tc>
        <w:tc>
          <w:tcPr>
            <w:tcW w:w="7178" w:type="dxa"/>
          </w:tcPr>
          <w:p w14:paraId="44FC7D62" w14:textId="33EC5D26" w:rsidR="00652F46" w:rsidRPr="00735726" w:rsidRDefault="00652F46" w:rsidP="00652F46">
            <w:pPr>
              <w:rPr>
                <w:rFonts w:ascii="Arial" w:hAnsi="Arial" w:cs="Arial"/>
                <w:sz w:val="18"/>
                <w:szCs w:val="18"/>
              </w:rPr>
            </w:pPr>
            <w:proofErr w:type="spellStart"/>
            <w:r w:rsidRPr="00735726">
              <w:rPr>
                <w:rFonts w:ascii="Arial" w:hAnsi="Arial" w:cs="Arial"/>
                <w:sz w:val="18"/>
                <w:szCs w:val="18"/>
              </w:rPr>
              <w:t>HomeSafe</w:t>
            </w:r>
            <w:proofErr w:type="spellEnd"/>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 xml:space="preserve">This remains a standing agenda item at every Board meeting in 2025/26. The regular updates on safety initiatives adopted for the achievement of the Company’s 2025 strategic plan to be health and safety leaders in the water sector. The Board also conducted an assessment and approval of the </w:t>
            </w:r>
            <w:proofErr w:type="spellStart"/>
            <w:r w:rsidRPr="00735726">
              <w:rPr>
                <w:rFonts w:ascii="Arial" w:hAnsi="Arial" w:cs="Arial"/>
                <w:sz w:val="18"/>
                <w:szCs w:val="18"/>
              </w:rPr>
              <w:t>HomeSafe</w:t>
            </w:r>
            <w:proofErr w:type="spellEnd"/>
            <w:r w:rsidRPr="00735726">
              <w:rPr>
                <w:rFonts w:ascii="Arial" w:hAnsi="Arial" w:cs="Arial"/>
                <w:sz w:val="18"/>
                <w:szCs w:val="18"/>
              </w:rPr>
              <w:t xml:space="preserve"> strategic plan to 2030.</w:t>
            </w:r>
          </w:p>
          <w:p w14:paraId="5FB83328" w14:textId="0DBE461C" w:rsidR="004F030D" w:rsidRPr="00735726" w:rsidRDefault="00652F46" w:rsidP="00652F46">
            <w:pPr>
              <w:rPr>
                <w:rFonts w:ascii="Arial" w:eastAsiaTheme="minorHAnsi" w:hAnsi="Arial" w:cs="Arial"/>
                <w:sz w:val="18"/>
                <w:szCs w:val="18"/>
              </w:rPr>
            </w:pPr>
            <w:r w:rsidRPr="00735726">
              <w:rPr>
                <w:rFonts w:ascii="Arial" w:hAnsi="Arial" w:cs="Arial"/>
                <w:sz w:val="18"/>
                <w:szCs w:val="18"/>
              </w:rPr>
              <w:t xml:space="preserve">Lost time injuries </w:t>
            </w:r>
            <w:r w:rsidR="006C1BA9" w:rsidRPr="00735726">
              <w:rPr>
                <w:rFonts w:ascii="Arial" w:hAnsi="Arial" w:cs="Arial"/>
                <w:sz w:val="18"/>
                <w:szCs w:val="18"/>
              </w:rPr>
              <w:t xml:space="preserve">- </w:t>
            </w:r>
            <w:r w:rsidRPr="00735726">
              <w:rPr>
                <w:rFonts w:ascii="Arial" w:hAnsi="Arial" w:cs="Arial"/>
                <w:sz w:val="18"/>
                <w:szCs w:val="18"/>
              </w:rPr>
              <w:t xml:space="preserve">Updates on efforts to reduce injuries of our staff across all Company are assessed at every Executive meeting and </w:t>
            </w:r>
            <w:r w:rsidRPr="00735726">
              <w:rPr>
                <w:rFonts w:ascii="Arial" w:eastAsiaTheme="minorHAnsi" w:hAnsi="Arial" w:cs="Arial"/>
                <w:sz w:val="18"/>
                <w:szCs w:val="18"/>
              </w:rPr>
              <w:t>further presented for assessment at the Health and Safety Committee.</w:t>
            </w:r>
          </w:p>
        </w:tc>
      </w:tr>
      <w:bookmarkEnd w:id="27"/>
      <w:tr w:rsidR="004F030D" w:rsidRPr="00735726" w14:paraId="5EF9126A" w14:textId="77777777" w:rsidTr="00676871">
        <w:tc>
          <w:tcPr>
            <w:tcW w:w="1838" w:type="dxa"/>
          </w:tcPr>
          <w:p w14:paraId="6F9B0D8F" w14:textId="77777777" w:rsidR="004F030D" w:rsidRPr="00735726" w:rsidRDefault="004F030D" w:rsidP="00881565">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Remuneration</w:t>
            </w:r>
          </w:p>
        </w:tc>
        <w:tc>
          <w:tcPr>
            <w:tcW w:w="7178" w:type="dxa"/>
          </w:tcPr>
          <w:p w14:paraId="05B7D32F" w14:textId="3DA1CBBA" w:rsidR="00046EC7" w:rsidRPr="00735726" w:rsidRDefault="00046EC7" w:rsidP="00046EC7">
            <w:pPr>
              <w:rPr>
                <w:rFonts w:ascii="Arial" w:eastAsiaTheme="minorHAnsi" w:hAnsi="Arial" w:cs="Arial"/>
                <w:sz w:val="18"/>
                <w:szCs w:val="18"/>
              </w:rPr>
            </w:pPr>
            <w:r w:rsidRPr="00735726">
              <w:rPr>
                <w:rFonts w:ascii="Arial" w:eastAsiaTheme="minorHAnsi" w:hAnsi="Arial" w:cs="Arial"/>
                <w:sz w:val="18"/>
                <w:szCs w:val="18"/>
              </w:rPr>
              <w:t xml:space="preserve">The Remuneration Committee is regularly provided with feedback from shareholder consultations and customer engagement which helps the Committee and the Board to monitor the culture on wider workforce pay, and </w:t>
            </w:r>
            <w:r w:rsidR="00652F46" w:rsidRPr="00735726">
              <w:rPr>
                <w:rFonts w:ascii="Arial" w:eastAsiaTheme="minorHAnsi" w:hAnsi="Arial" w:cs="Arial"/>
                <w:sz w:val="18"/>
                <w:szCs w:val="18"/>
              </w:rPr>
              <w:t>E</w:t>
            </w:r>
            <w:r w:rsidRPr="00735726">
              <w:rPr>
                <w:rFonts w:ascii="Arial" w:eastAsiaTheme="minorHAnsi" w:hAnsi="Arial" w:cs="Arial"/>
                <w:sz w:val="18"/>
                <w:szCs w:val="18"/>
              </w:rPr>
              <w:t>xecutive and C</w:t>
            </w:r>
            <w:r w:rsidR="00676871" w:rsidRPr="00735726">
              <w:rPr>
                <w:rFonts w:ascii="Arial" w:eastAsiaTheme="minorHAnsi" w:hAnsi="Arial" w:cs="Arial"/>
                <w:sz w:val="18"/>
                <w:szCs w:val="18"/>
              </w:rPr>
              <w:t xml:space="preserve">hief </w:t>
            </w:r>
            <w:r w:rsidRPr="00735726">
              <w:rPr>
                <w:rFonts w:ascii="Arial" w:eastAsiaTheme="minorHAnsi" w:hAnsi="Arial" w:cs="Arial"/>
                <w:sz w:val="18"/>
                <w:szCs w:val="18"/>
              </w:rPr>
              <w:t>E</w:t>
            </w:r>
            <w:r w:rsidR="00676871" w:rsidRPr="00735726">
              <w:rPr>
                <w:rFonts w:ascii="Arial" w:eastAsiaTheme="minorHAnsi" w:hAnsi="Arial" w:cs="Arial"/>
                <w:sz w:val="18"/>
                <w:szCs w:val="18"/>
              </w:rPr>
              <w:t xml:space="preserve">xecutive </w:t>
            </w:r>
            <w:r w:rsidR="00A26928" w:rsidRPr="00735726">
              <w:rPr>
                <w:rFonts w:ascii="Arial" w:eastAsiaTheme="minorHAnsi" w:hAnsi="Arial" w:cs="Arial"/>
                <w:sz w:val="18"/>
                <w:szCs w:val="18"/>
              </w:rPr>
              <w:t>Officer remuneration</w:t>
            </w:r>
            <w:r w:rsidRPr="00735726">
              <w:rPr>
                <w:rFonts w:ascii="Arial" w:eastAsiaTheme="minorHAnsi" w:hAnsi="Arial" w:cs="Arial"/>
                <w:sz w:val="18"/>
                <w:szCs w:val="18"/>
              </w:rPr>
              <w:t>.</w:t>
            </w:r>
          </w:p>
          <w:p w14:paraId="782D554A" w14:textId="1175F174" w:rsidR="00046EC7" w:rsidRPr="00735726" w:rsidRDefault="00046EC7" w:rsidP="00046EC7">
            <w:pPr>
              <w:rPr>
                <w:rFonts w:ascii="Arial" w:eastAsiaTheme="minorHAnsi" w:hAnsi="Arial" w:cs="Arial"/>
                <w:sz w:val="18"/>
                <w:szCs w:val="18"/>
              </w:rPr>
            </w:pPr>
            <w:r w:rsidRPr="00735726">
              <w:rPr>
                <w:rFonts w:ascii="Arial" w:eastAsiaTheme="minorHAnsi" w:hAnsi="Arial" w:cs="Arial"/>
                <w:sz w:val="18"/>
                <w:szCs w:val="18"/>
              </w:rPr>
              <w:t xml:space="preserve">The Committee reviews and approves the wider workforce Reward Framework and relevant </w:t>
            </w:r>
            <w:proofErr w:type="gramStart"/>
            <w:r w:rsidRPr="00735726">
              <w:rPr>
                <w:rFonts w:ascii="Arial" w:eastAsiaTheme="minorHAnsi" w:hAnsi="Arial" w:cs="Arial"/>
                <w:sz w:val="18"/>
                <w:szCs w:val="18"/>
              </w:rPr>
              <w:t>policies, and</w:t>
            </w:r>
            <w:proofErr w:type="gramEnd"/>
            <w:r w:rsidRPr="00735726">
              <w:rPr>
                <w:rFonts w:ascii="Arial" w:eastAsiaTheme="minorHAnsi" w:hAnsi="Arial" w:cs="Arial"/>
                <w:sz w:val="18"/>
                <w:szCs w:val="18"/>
              </w:rPr>
              <w:t xml:space="preserve"> ensures that incentives and rewards align with culture.</w:t>
            </w:r>
          </w:p>
          <w:p w14:paraId="693CDD0C" w14:textId="031168FA" w:rsidR="004F030D" w:rsidRPr="00735726" w:rsidRDefault="00A26928" w:rsidP="00046EC7">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 xml:space="preserve">Chief </w:t>
            </w:r>
            <w:r w:rsidR="00046EC7" w:rsidRPr="00735726">
              <w:rPr>
                <w:rFonts w:ascii="Arial" w:eastAsiaTheme="minorHAnsi" w:hAnsi="Arial" w:cs="Arial"/>
                <w:sz w:val="18"/>
                <w:szCs w:val="18"/>
              </w:rPr>
              <w:t>E</w:t>
            </w:r>
            <w:r w:rsidRPr="00735726">
              <w:rPr>
                <w:rFonts w:ascii="Arial" w:eastAsiaTheme="minorHAnsi" w:hAnsi="Arial" w:cs="Arial"/>
                <w:sz w:val="18"/>
                <w:szCs w:val="18"/>
              </w:rPr>
              <w:t xml:space="preserve">xecutive </w:t>
            </w:r>
            <w:r w:rsidR="00046EC7" w:rsidRPr="00735726">
              <w:rPr>
                <w:rFonts w:ascii="Arial" w:eastAsiaTheme="minorHAnsi" w:hAnsi="Arial" w:cs="Arial"/>
                <w:sz w:val="18"/>
                <w:szCs w:val="18"/>
              </w:rPr>
              <w:t>O</w:t>
            </w:r>
            <w:r w:rsidRPr="00735726">
              <w:rPr>
                <w:rFonts w:ascii="Arial" w:eastAsiaTheme="minorHAnsi" w:hAnsi="Arial" w:cs="Arial"/>
                <w:sz w:val="18"/>
                <w:szCs w:val="18"/>
              </w:rPr>
              <w:t>fficer</w:t>
            </w:r>
            <w:r w:rsidR="00046EC7" w:rsidRPr="00735726">
              <w:rPr>
                <w:rFonts w:ascii="Arial" w:eastAsiaTheme="minorHAnsi" w:hAnsi="Arial" w:cs="Arial"/>
                <w:sz w:val="18"/>
                <w:szCs w:val="18"/>
              </w:rPr>
              <w:t xml:space="preserve"> pay ratio - The Board ensures that the C</w:t>
            </w:r>
            <w:r w:rsidRPr="00735726">
              <w:rPr>
                <w:rFonts w:ascii="Arial" w:eastAsiaTheme="minorHAnsi" w:hAnsi="Arial" w:cs="Arial"/>
                <w:sz w:val="18"/>
                <w:szCs w:val="18"/>
              </w:rPr>
              <w:t xml:space="preserve">hief </w:t>
            </w:r>
            <w:r w:rsidR="00046EC7" w:rsidRPr="00735726">
              <w:rPr>
                <w:rFonts w:ascii="Arial" w:eastAsiaTheme="minorHAnsi" w:hAnsi="Arial" w:cs="Arial"/>
                <w:sz w:val="18"/>
                <w:szCs w:val="18"/>
              </w:rPr>
              <w:t>E</w:t>
            </w:r>
            <w:r w:rsidRPr="00735726">
              <w:rPr>
                <w:rFonts w:ascii="Arial" w:eastAsiaTheme="minorHAnsi" w:hAnsi="Arial" w:cs="Arial"/>
                <w:sz w:val="18"/>
                <w:szCs w:val="18"/>
              </w:rPr>
              <w:t xml:space="preserve">xecutive </w:t>
            </w:r>
            <w:r w:rsidR="00046EC7" w:rsidRPr="00735726">
              <w:rPr>
                <w:rFonts w:ascii="Arial" w:eastAsiaTheme="minorHAnsi" w:hAnsi="Arial" w:cs="Arial"/>
                <w:sz w:val="18"/>
                <w:szCs w:val="18"/>
              </w:rPr>
              <w:t>O</w:t>
            </w:r>
            <w:r w:rsidRPr="00735726">
              <w:rPr>
                <w:rFonts w:ascii="Arial" w:eastAsiaTheme="minorHAnsi" w:hAnsi="Arial" w:cs="Arial"/>
                <w:sz w:val="18"/>
                <w:szCs w:val="18"/>
              </w:rPr>
              <w:t>fficer</w:t>
            </w:r>
            <w:r w:rsidR="00046EC7" w:rsidRPr="00735726">
              <w:rPr>
                <w:rFonts w:ascii="Arial" w:eastAsiaTheme="minorHAnsi" w:hAnsi="Arial" w:cs="Arial"/>
                <w:sz w:val="18"/>
                <w:szCs w:val="18"/>
              </w:rPr>
              <w:t xml:space="preserve"> pay ratio is fair, balancing stakeholder expectations while rewarding leadership success.</w:t>
            </w:r>
          </w:p>
        </w:tc>
      </w:tr>
    </w:tbl>
    <w:p w14:paraId="14444C6B" w14:textId="77777777" w:rsidR="004F030D" w:rsidRPr="009A2CAE" w:rsidRDefault="004F030D" w:rsidP="004F030D">
      <w:pPr>
        <w:autoSpaceDE w:val="0"/>
        <w:autoSpaceDN w:val="0"/>
        <w:adjustRightInd w:val="0"/>
        <w:spacing w:after="0"/>
      </w:pPr>
    </w:p>
    <w:p w14:paraId="1B346B88" w14:textId="77777777" w:rsidR="004F030D" w:rsidRPr="009A2CAE" w:rsidRDefault="004F030D" w:rsidP="004F030D">
      <w:pPr>
        <w:autoSpaceDE w:val="0"/>
        <w:autoSpaceDN w:val="0"/>
        <w:adjustRightInd w:val="0"/>
        <w:spacing w:after="0"/>
        <w:rPr>
          <w:rFonts w:ascii="Arial" w:eastAsia="Times New Roman" w:hAnsi="Arial" w:cs="DINOT"/>
          <w:caps/>
          <w:color w:val="000000"/>
          <w:sz w:val="32"/>
          <w:szCs w:val="32"/>
        </w:rPr>
      </w:pPr>
      <w:r w:rsidRPr="009A2CAE">
        <w:br w:type="page"/>
      </w:r>
    </w:p>
    <w:p w14:paraId="02B85155" w14:textId="77777777" w:rsidR="00721274" w:rsidRPr="00735726" w:rsidRDefault="00721274" w:rsidP="00721274">
      <w:pPr>
        <w:pStyle w:val="AccountsHeading"/>
        <w:outlineLvl w:val="0"/>
      </w:pPr>
      <w:bookmarkStart w:id="28" w:name="_Hlk199154617"/>
      <w:r w:rsidRPr="00735726">
        <w:lastRenderedPageBreak/>
        <w:t xml:space="preserve">Board leadership </w:t>
      </w:r>
    </w:p>
    <w:p w14:paraId="7414E020" w14:textId="77777777" w:rsidR="00721274" w:rsidRPr="009A2CAE" w:rsidRDefault="00721274" w:rsidP="00721274">
      <w:pPr>
        <w:pStyle w:val="AccountsHeading"/>
        <w:outlineLvl w:val="0"/>
        <w:rPr>
          <w:rFonts w:eastAsiaTheme="minorHAnsi" w:cs="Arial"/>
          <w:b/>
          <w:bCs/>
          <w:caps w:val="0"/>
          <w:color w:val="auto"/>
          <w:sz w:val="18"/>
          <w:szCs w:val="18"/>
        </w:rPr>
      </w:pPr>
      <w:r w:rsidRPr="00735726">
        <w:rPr>
          <w:noProof/>
        </w:rPr>
        <mc:AlternateContent>
          <mc:Choice Requires="wps">
            <w:drawing>
              <wp:anchor distT="0" distB="0" distL="114300" distR="114300" simplePos="0" relativeHeight="251702272" behindDoc="0" locked="0" layoutInCell="1" allowOverlap="1" wp14:anchorId="3FB4ED48" wp14:editId="2FD89328">
                <wp:simplePos x="0" y="0"/>
                <wp:positionH relativeFrom="margin">
                  <wp:posOffset>-266700</wp:posOffset>
                </wp:positionH>
                <wp:positionV relativeFrom="paragraph">
                  <wp:posOffset>195580</wp:posOffset>
                </wp:positionV>
                <wp:extent cx="6324600" cy="1085850"/>
                <wp:effectExtent l="0" t="0" r="19050" b="19050"/>
                <wp:wrapNone/>
                <wp:docPr id="1589872562" name="Text Box 1589872562"/>
                <wp:cNvGraphicFramePr/>
                <a:graphic xmlns:a="http://schemas.openxmlformats.org/drawingml/2006/main">
                  <a:graphicData uri="http://schemas.microsoft.com/office/word/2010/wordprocessingShape">
                    <wps:wsp>
                      <wps:cNvSpPr txBox="1"/>
                      <wps:spPr>
                        <a:xfrm>
                          <a:off x="0" y="0"/>
                          <a:ext cx="6324600" cy="1085850"/>
                        </a:xfrm>
                        <a:prstGeom prst="rect">
                          <a:avLst/>
                        </a:prstGeom>
                        <a:solidFill>
                          <a:schemeClr val="lt1"/>
                        </a:solidFill>
                        <a:ln w="6350">
                          <a:solidFill>
                            <a:prstClr val="black"/>
                          </a:solidFill>
                        </a:ln>
                      </wps:spPr>
                      <wps:txbx>
                        <w:txbxContent>
                          <w:p w14:paraId="3BC4A884" w14:textId="77777777" w:rsidR="00721274" w:rsidRPr="00F41398" w:rsidRDefault="00721274" w:rsidP="00721274">
                            <w:pPr>
                              <w:pStyle w:val="Pa19"/>
                              <w:spacing w:before="40"/>
                              <w:rPr>
                                <w:rFonts w:ascii="Arial" w:hAnsi="Arial" w:cs="Arial"/>
                                <w:color w:val="000000"/>
                                <w:sz w:val="16"/>
                                <w:szCs w:val="16"/>
                              </w:rPr>
                            </w:pPr>
                            <w:r w:rsidRPr="00F41398">
                              <w:rPr>
                                <w:rFonts w:ascii="Arial" w:hAnsi="Arial" w:cs="Arial"/>
                                <w:b/>
                                <w:bCs/>
                                <w:color w:val="000000"/>
                                <w:sz w:val="16"/>
                                <w:szCs w:val="16"/>
                              </w:rPr>
                              <w:t xml:space="preserve">South West Water Limited - Board of Directors </w:t>
                            </w:r>
                          </w:p>
                          <w:p w14:paraId="45278DBA" w14:textId="27FEC5B2" w:rsidR="00721274" w:rsidRPr="00046EC7" w:rsidRDefault="00721274" w:rsidP="00D80F41">
                            <w:pPr>
                              <w:pStyle w:val="Pa13"/>
                              <w:spacing w:after="40"/>
                              <w:rPr>
                                <w:rFonts w:ascii="Arial" w:hAnsi="Arial" w:cs="Arial"/>
                                <w:color w:val="000000"/>
                                <w:sz w:val="16"/>
                                <w:szCs w:val="16"/>
                              </w:rPr>
                            </w:pPr>
                            <w:r w:rsidRPr="00F41398">
                              <w:rPr>
                                <w:rFonts w:ascii="Arial" w:hAnsi="Arial" w:cs="Arial"/>
                                <w:color w:val="000000"/>
                                <w:sz w:val="16"/>
                                <w:szCs w:val="16"/>
                              </w:rPr>
                              <w:t>An independent, separate Board from the Pennon Group plc Board, responsible for decisions relating to the business and strategy of South West Water Limited.</w:t>
                            </w:r>
                            <w:r w:rsidR="00D80F41" w:rsidRPr="00F41398">
                              <w:rPr>
                                <w:rFonts w:ascii="Arial" w:hAnsi="Arial" w:cs="Arial"/>
                                <w:color w:val="000000"/>
                                <w:sz w:val="16"/>
                                <w:szCs w:val="16"/>
                              </w:rPr>
                              <w:t xml:space="preserve"> </w:t>
                            </w:r>
                            <w:r w:rsidR="00652F46" w:rsidRPr="00652F46">
                              <w:rPr>
                                <w:rFonts w:ascii="Arial" w:hAnsi="Arial" w:cs="Arial"/>
                                <w:color w:val="000000"/>
                                <w:sz w:val="16"/>
                                <w:szCs w:val="16"/>
                              </w:rPr>
                              <w:t xml:space="preserve">The Board’s role is to foster the long-term success and sustainability of the </w:t>
                            </w:r>
                            <w:r w:rsidR="00D80F41" w:rsidRPr="00F41398">
                              <w:rPr>
                                <w:rFonts w:ascii="Arial" w:hAnsi="Arial" w:cs="Arial"/>
                                <w:color w:val="000000"/>
                                <w:sz w:val="16"/>
                                <w:szCs w:val="16"/>
                              </w:rPr>
                              <w:t>Company</w:t>
                            </w:r>
                            <w:r w:rsidR="00652F46" w:rsidRPr="00652F46">
                              <w:rPr>
                                <w:rFonts w:ascii="Arial" w:hAnsi="Arial" w:cs="Arial"/>
                                <w:color w:val="000000"/>
                                <w:sz w:val="16"/>
                                <w:szCs w:val="16"/>
                              </w:rPr>
                              <w:t>, while establishing value for all its</w:t>
                            </w:r>
                            <w:r w:rsidR="00652F46" w:rsidRPr="00F41398">
                              <w:rPr>
                                <w:rFonts w:ascii="Arial" w:hAnsi="Arial" w:cs="Arial"/>
                                <w:color w:val="000000"/>
                                <w:sz w:val="16"/>
                                <w:szCs w:val="16"/>
                              </w:rPr>
                              <w:t xml:space="preserve"> </w:t>
                            </w:r>
                            <w:r w:rsidR="00652F46" w:rsidRPr="00652F46">
                              <w:rPr>
                                <w:rFonts w:ascii="Arial" w:hAnsi="Arial" w:cs="Arial"/>
                                <w:color w:val="000000"/>
                                <w:sz w:val="16"/>
                                <w:szCs w:val="16"/>
                              </w:rPr>
                              <w:t>stakeholders, customers, employees and the communities it serves, by providing robust</w:t>
                            </w:r>
                            <w:r w:rsidR="00652F46" w:rsidRPr="00F41398">
                              <w:rPr>
                                <w:rFonts w:ascii="Arial" w:hAnsi="Arial" w:cs="Arial"/>
                                <w:color w:val="000000"/>
                                <w:sz w:val="16"/>
                                <w:szCs w:val="16"/>
                              </w:rPr>
                              <w:t xml:space="preserve"> leadership and effective direction to the business as a whole.</w:t>
                            </w:r>
                            <w:r w:rsidR="00D80F41" w:rsidRPr="00F41398">
                              <w:rPr>
                                <w:rFonts w:ascii="Calibre-Light" w:hAnsi="Calibre-Light" w:cs="Calibre-Light"/>
                                <w:color w:val="FFFFFF"/>
                                <w:sz w:val="16"/>
                                <w:szCs w:val="16"/>
                              </w:rPr>
                              <w:t xml:space="preserve"> </w:t>
                            </w:r>
                            <w:r w:rsidR="00D80F41" w:rsidRPr="00F41398">
                              <w:rPr>
                                <w:rFonts w:ascii="Arial" w:hAnsi="Arial" w:cs="Arial"/>
                                <w:color w:val="000000"/>
                                <w:sz w:val="16"/>
                                <w:szCs w:val="16"/>
                              </w:rPr>
                              <w:t xml:space="preserve">It sets the Company’s strategy and sustainability strategy, considering stakeholders, while maintaining a balanced approach </w:t>
                            </w:r>
                            <w:r w:rsidR="00D80F41" w:rsidRPr="00D80F41">
                              <w:rPr>
                                <w:rFonts w:ascii="Arial" w:hAnsi="Arial" w:cs="Arial"/>
                                <w:color w:val="000000"/>
                                <w:sz w:val="16"/>
                                <w:szCs w:val="16"/>
                              </w:rPr>
                              <w:t>to risk within a framework of effective controls for the mutual benefit of customers</w:t>
                            </w:r>
                            <w:r w:rsidR="00D80F41" w:rsidRPr="00F41398">
                              <w:rPr>
                                <w:rFonts w:ascii="Arial" w:hAnsi="Arial" w:cs="Arial"/>
                                <w:color w:val="000000"/>
                                <w:sz w:val="16"/>
                                <w:szCs w:val="16"/>
                              </w:rPr>
                              <w:t xml:space="preserve"> </w:t>
                            </w:r>
                            <w:r w:rsidR="00D80F41" w:rsidRPr="00D80F41">
                              <w:rPr>
                                <w:rFonts w:ascii="Arial" w:hAnsi="Arial" w:cs="Arial"/>
                                <w:color w:val="000000"/>
                                <w:sz w:val="16"/>
                                <w:szCs w:val="16"/>
                              </w:rPr>
                              <w:t>and employees.</w:t>
                            </w:r>
                            <w:r w:rsidR="00D80F41" w:rsidRPr="00F41398">
                              <w:rPr>
                                <w:rFonts w:ascii="Arial" w:hAnsi="Arial" w:cs="Arial"/>
                                <w:color w:val="000000"/>
                                <w:sz w:val="16"/>
                                <w:szCs w:val="16"/>
                              </w:rPr>
                              <w:t xml:space="preserve"> </w:t>
                            </w:r>
                            <w:r w:rsidR="00D80F41" w:rsidRPr="00D80F41">
                              <w:rPr>
                                <w:rFonts w:ascii="Arial" w:hAnsi="Arial" w:cs="Arial"/>
                                <w:color w:val="000000"/>
                                <w:sz w:val="16"/>
                                <w:szCs w:val="16"/>
                              </w:rPr>
                              <w:t xml:space="preserve">It has also established the </w:t>
                            </w:r>
                            <w:r w:rsidR="00D80F41" w:rsidRPr="00F41398">
                              <w:rPr>
                                <w:rFonts w:ascii="Arial" w:hAnsi="Arial" w:cs="Arial"/>
                                <w:color w:val="000000"/>
                                <w:sz w:val="16"/>
                                <w:szCs w:val="16"/>
                              </w:rPr>
                              <w:t xml:space="preserve">Company’s </w:t>
                            </w:r>
                            <w:r w:rsidR="00D80F41" w:rsidRPr="00D80F41">
                              <w:rPr>
                                <w:rFonts w:ascii="Arial" w:hAnsi="Arial" w:cs="Arial"/>
                                <w:color w:val="000000"/>
                                <w:sz w:val="16"/>
                                <w:szCs w:val="16"/>
                              </w:rPr>
                              <w:t>purpose and values and monitors culture to ensure alignment. It sets the tone and</w:t>
                            </w:r>
                            <w:r w:rsidR="00D80F41" w:rsidRPr="00F41398">
                              <w:rPr>
                                <w:rFonts w:ascii="Arial" w:hAnsi="Arial" w:cs="Arial"/>
                                <w:color w:val="000000"/>
                                <w:sz w:val="16"/>
                                <w:szCs w:val="16"/>
                              </w:rPr>
                              <w:t xml:space="preserve"> approach to corporate governance and is responsible for the overall financial performance of the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4ED48" id="_x0000_t202" coordsize="21600,21600" o:spt="202" path="m,l,21600r21600,l21600,xe">
                <v:stroke joinstyle="miter"/>
                <v:path gradientshapeok="t" o:connecttype="rect"/>
              </v:shapetype>
              <v:shape id="Text Box 1589872562" o:spid="_x0000_s1026" type="#_x0000_t202" style="position:absolute;margin-left:-21pt;margin-top:15.4pt;width:498pt;height:8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" fillcolor="white [3201]" strokeweight=".5pt">
                <v:textbox>
                  <w:txbxContent>
                    <w:p w14:paraId="3BC4A884" w14:textId="77777777" w:rsidR="00721274" w:rsidRPr="00F41398" w:rsidRDefault="00721274" w:rsidP="00721274">
                      <w:pPr>
                        <w:pStyle w:val="Pa19"/>
                        <w:spacing w:before="40"/>
                        <w:rPr>
                          <w:rFonts w:ascii="Arial" w:hAnsi="Arial" w:cs="Arial"/>
                          <w:color w:val="000000"/>
                          <w:sz w:val="16"/>
                          <w:szCs w:val="16"/>
                        </w:rPr>
                      </w:pPr>
                      <w:r w:rsidRPr="00F41398">
                        <w:rPr>
                          <w:rFonts w:ascii="Arial" w:hAnsi="Arial" w:cs="Arial"/>
                          <w:b/>
                          <w:bCs/>
                          <w:color w:val="000000"/>
                          <w:sz w:val="16"/>
                          <w:szCs w:val="16"/>
                        </w:rPr>
                        <w:t xml:space="preserve">South West Water Limited - Board of Directors </w:t>
                      </w:r>
                    </w:p>
                    <w:p w14:paraId="45278DBA" w14:textId="27FEC5B2" w:rsidR="00721274" w:rsidRPr="00046EC7" w:rsidRDefault="00721274" w:rsidP="00D80F41">
                      <w:pPr>
                        <w:pStyle w:val="Pa13"/>
                        <w:spacing w:after="40"/>
                        <w:rPr>
                          <w:rFonts w:ascii="Arial" w:hAnsi="Arial" w:cs="Arial"/>
                          <w:color w:val="000000"/>
                          <w:sz w:val="16"/>
                          <w:szCs w:val="16"/>
                        </w:rPr>
                      </w:pPr>
                      <w:r w:rsidRPr="00F41398">
                        <w:rPr>
                          <w:rFonts w:ascii="Arial" w:hAnsi="Arial" w:cs="Arial"/>
                          <w:color w:val="000000"/>
                          <w:sz w:val="16"/>
                          <w:szCs w:val="16"/>
                        </w:rPr>
                        <w:t>An independent, separate Board from the Pennon Group plc Board, responsible for decisions relating to the business and strategy of South West Water Limited.</w:t>
                      </w:r>
                      <w:r w:rsidR="00D80F41" w:rsidRPr="00F41398">
                        <w:rPr>
                          <w:rFonts w:ascii="Arial" w:hAnsi="Arial" w:cs="Arial"/>
                          <w:color w:val="000000"/>
                          <w:sz w:val="16"/>
                          <w:szCs w:val="16"/>
                        </w:rPr>
                        <w:t xml:space="preserve"> </w:t>
                      </w:r>
                      <w:r w:rsidR="00652F46" w:rsidRPr="00652F46">
                        <w:rPr>
                          <w:rFonts w:ascii="Arial" w:hAnsi="Arial" w:cs="Arial"/>
                          <w:color w:val="000000"/>
                          <w:sz w:val="16"/>
                          <w:szCs w:val="16"/>
                        </w:rPr>
                        <w:t xml:space="preserve">The Board’s role is to foster the long-term success and sustainability of the </w:t>
                      </w:r>
                      <w:r w:rsidR="00D80F41" w:rsidRPr="00F41398">
                        <w:rPr>
                          <w:rFonts w:ascii="Arial" w:hAnsi="Arial" w:cs="Arial"/>
                          <w:color w:val="000000"/>
                          <w:sz w:val="16"/>
                          <w:szCs w:val="16"/>
                        </w:rPr>
                        <w:t>Company</w:t>
                      </w:r>
                      <w:r w:rsidR="00652F46" w:rsidRPr="00652F46">
                        <w:rPr>
                          <w:rFonts w:ascii="Arial" w:hAnsi="Arial" w:cs="Arial"/>
                          <w:color w:val="000000"/>
                          <w:sz w:val="16"/>
                          <w:szCs w:val="16"/>
                        </w:rPr>
                        <w:t>, while establishing value for all its</w:t>
                      </w:r>
                      <w:r w:rsidR="00652F46" w:rsidRPr="00F41398">
                        <w:rPr>
                          <w:rFonts w:ascii="Arial" w:hAnsi="Arial" w:cs="Arial"/>
                          <w:color w:val="000000"/>
                          <w:sz w:val="16"/>
                          <w:szCs w:val="16"/>
                        </w:rPr>
                        <w:t xml:space="preserve"> </w:t>
                      </w:r>
                      <w:r w:rsidR="00652F46" w:rsidRPr="00652F46">
                        <w:rPr>
                          <w:rFonts w:ascii="Arial" w:hAnsi="Arial" w:cs="Arial"/>
                          <w:color w:val="000000"/>
                          <w:sz w:val="16"/>
                          <w:szCs w:val="16"/>
                        </w:rPr>
                        <w:t>stakeholders, customers, employees and the communities it serves, by providing robust</w:t>
                      </w:r>
                      <w:r w:rsidR="00652F46" w:rsidRPr="00F41398">
                        <w:rPr>
                          <w:rFonts w:ascii="Arial" w:hAnsi="Arial" w:cs="Arial"/>
                          <w:color w:val="000000"/>
                          <w:sz w:val="16"/>
                          <w:szCs w:val="16"/>
                        </w:rPr>
                        <w:t xml:space="preserve"> leadership and effective direction to the business as a whole.</w:t>
                      </w:r>
                      <w:r w:rsidR="00D80F41" w:rsidRPr="00F41398">
                        <w:rPr>
                          <w:rFonts w:ascii="Calibre-Light" w:hAnsi="Calibre-Light" w:cs="Calibre-Light"/>
                          <w:color w:val="FFFFFF"/>
                          <w:sz w:val="16"/>
                          <w:szCs w:val="16"/>
                        </w:rPr>
                        <w:t xml:space="preserve"> </w:t>
                      </w:r>
                      <w:r w:rsidR="00D80F41" w:rsidRPr="00F41398">
                        <w:rPr>
                          <w:rFonts w:ascii="Arial" w:hAnsi="Arial" w:cs="Arial"/>
                          <w:color w:val="000000"/>
                          <w:sz w:val="16"/>
                          <w:szCs w:val="16"/>
                        </w:rPr>
                        <w:t xml:space="preserve">It sets the Company’s strategy and sustainability strategy, considering stakeholders, while maintaining a balanced approach </w:t>
                      </w:r>
                      <w:r w:rsidR="00D80F41" w:rsidRPr="00D80F41">
                        <w:rPr>
                          <w:rFonts w:ascii="Arial" w:hAnsi="Arial" w:cs="Arial"/>
                          <w:color w:val="000000"/>
                          <w:sz w:val="16"/>
                          <w:szCs w:val="16"/>
                        </w:rPr>
                        <w:t>to risk within a framework of effective controls for the mutual benefit of customers</w:t>
                      </w:r>
                      <w:r w:rsidR="00D80F41" w:rsidRPr="00F41398">
                        <w:rPr>
                          <w:rFonts w:ascii="Arial" w:hAnsi="Arial" w:cs="Arial"/>
                          <w:color w:val="000000"/>
                          <w:sz w:val="16"/>
                          <w:szCs w:val="16"/>
                        </w:rPr>
                        <w:t xml:space="preserve"> </w:t>
                      </w:r>
                      <w:r w:rsidR="00D80F41" w:rsidRPr="00D80F41">
                        <w:rPr>
                          <w:rFonts w:ascii="Arial" w:hAnsi="Arial" w:cs="Arial"/>
                          <w:color w:val="000000"/>
                          <w:sz w:val="16"/>
                          <w:szCs w:val="16"/>
                        </w:rPr>
                        <w:t>and employees.</w:t>
                      </w:r>
                      <w:r w:rsidR="00D80F41" w:rsidRPr="00F41398">
                        <w:rPr>
                          <w:rFonts w:ascii="Arial" w:hAnsi="Arial" w:cs="Arial"/>
                          <w:color w:val="000000"/>
                          <w:sz w:val="16"/>
                          <w:szCs w:val="16"/>
                        </w:rPr>
                        <w:t xml:space="preserve"> </w:t>
                      </w:r>
                      <w:r w:rsidR="00D80F41" w:rsidRPr="00D80F41">
                        <w:rPr>
                          <w:rFonts w:ascii="Arial" w:hAnsi="Arial" w:cs="Arial"/>
                          <w:color w:val="000000"/>
                          <w:sz w:val="16"/>
                          <w:szCs w:val="16"/>
                        </w:rPr>
                        <w:t xml:space="preserve">It has also established the </w:t>
                      </w:r>
                      <w:r w:rsidR="00D80F41" w:rsidRPr="00F41398">
                        <w:rPr>
                          <w:rFonts w:ascii="Arial" w:hAnsi="Arial" w:cs="Arial"/>
                          <w:color w:val="000000"/>
                          <w:sz w:val="16"/>
                          <w:szCs w:val="16"/>
                        </w:rPr>
                        <w:t xml:space="preserve">Company’s </w:t>
                      </w:r>
                      <w:r w:rsidR="00D80F41" w:rsidRPr="00D80F41">
                        <w:rPr>
                          <w:rFonts w:ascii="Arial" w:hAnsi="Arial" w:cs="Arial"/>
                          <w:color w:val="000000"/>
                          <w:sz w:val="16"/>
                          <w:szCs w:val="16"/>
                        </w:rPr>
                        <w:t>purpose and values and monitors culture to ensure alignment. It sets the tone and</w:t>
                      </w:r>
                      <w:r w:rsidR="00D80F41" w:rsidRPr="00F41398">
                        <w:rPr>
                          <w:rFonts w:ascii="Arial" w:hAnsi="Arial" w:cs="Arial"/>
                          <w:color w:val="000000"/>
                          <w:sz w:val="16"/>
                          <w:szCs w:val="16"/>
                        </w:rPr>
                        <w:t xml:space="preserve"> approach to corporate governance and is responsible for the overall financial performance of the Company.</w:t>
                      </w:r>
                    </w:p>
                  </w:txbxContent>
                </v:textbox>
                <w10:wrap anchorx="margin"/>
              </v:shape>
            </w:pict>
          </mc:Fallback>
        </mc:AlternateContent>
      </w:r>
      <w:r w:rsidRPr="00735726">
        <w:rPr>
          <w:rFonts w:eastAsiaTheme="minorHAnsi" w:cs="Arial"/>
          <w:b/>
          <w:bCs/>
          <w:caps w:val="0"/>
          <w:color w:val="auto"/>
          <w:sz w:val="18"/>
          <w:szCs w:val="18"/>
        </w:rPr>
        <w:t>GOVERNANCE STRUCTURE AND FRAMEWORK</w:t>
      </w:r>
      <w:r w:rsidRPr="00735726">
        <w:rPr>
          <w:rFonts w:eastAsiaTheme="minorHAnsi" w:cs="Arial"/>
          <w:b/>
          <w:bCs/>
          <w:caps w:val="0"/>
          <w:color w:val="auto"/>
          <w:sz w:val="18"/>
          <w:szCs w:val="18"/>
        </w:rPr>
        <w:tab/>
      </w:r>
    </w:p>
    <w:p w14:paraId="5FE718F2" w14:textId="31957AF2" w:rsidR="00721274" w:rsidRPr="009A2CAE" w:rsidRDefault="00721274" w:rsidP="00721274">
      <w:pPr>
        <w:spacing w:after="160" w:line="259" w:lineRule="auto"/>
        <w:rPr>
          <w:rFonts w:ascii="Arial" w:hAnsi="Arial" w:cs="Arial"/>
          <w:b/>
          <w:bCs/>
          <w:sz w:val="18"/>
          <w:szCs w:val="18"/>
        </w:rPr>
      </w:pPr>
      <w:r w:rsidRPr="009A2CAE">
        <w:rPr>
          <w:noProof/>
        </w:rPr>
        <mc:AlternateContent>
          <mc:Choice Requires="wps">
            <w:drawing>
              <wp:anchor distT="0" distB="0" distL="114300" distR="114300" simplePos="0" relativeHeight="251706368" behindDoc="0" locked="0" layoutInCell="1" allowOverlap="1" wp14:anchorId="5557C3AF" wp14:editId="1639AB3A">
                <wp:simplePos x="0" y="0"/>
                <wp:positionH relativeFrom="column">
                  <wp:posOffset>10995660</wp:posOffset>
                </wp:positionH>
                <wp:positionV relativeFrom="paragraph">
                  <wp:posOffset>2486025</wp:posOffset>
                </wp:positionV>
                <wp:extent cx="0" cy="106045"/>
                <wp:effectExtent l="0" t="0" r="38100" b="27305"/>
                <wp:wrapNone/>
                <wp:docPr id="1792858715" name="Straight Connector 1792858715"/>
                <wp:cNvGraphicFramePr/>
                <a:graphic xmlns:a="http://schemas.openxmlformats.org/drawingml/2006/main">
                  <a:graphicData uri="http://schemas.microsoft.com/office/word/2010/wordprocessingShape">
                    <wps:wsp>
                      <wps:cNvCnPr/>
                      <wps:spPr>
                        <a:xfrm>
                          <a:off x="0" y="0"/>
                          <a:ext cx="0" cy="106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0223E" id="Straight Connector 179285871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8pt,195.75pt" to="865.8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ZrwEAANMDAAAOAAAAZHJzL2Uyb0RvYy54bWysU01v2zAMvQ/ofxB0X2wXWzE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" strokecolor="black [3213]" strokeweight=".5pt">
                <v:stroke joinstyle="miter"/>
              </v:line>
            </w:pict>
          </mc:Fallback>
        </mc:AlternateContent>
      </w:r>
      <w:r w:rsidRPr="009A2CAE">
        <w:rPr>
          <w:noProof/>
        </w:rPr>
        <mc:AlternateContent>
          <mc:Choice Requires="wps">
            <w:drawing>
              <wp:anchor distT="0" distB="0" distL="114300" distR="114300" simplePos="0" relativeHeight="251712512" behindDoc="0" locked="0" layoutInCell="1" allowOverlap="1" wp14:anchorId="0DE8E2BA" wp14:editId="3A4EBCB5">
                <wp:simplePos x="0" y="0"/>
                <wp:positionH relativeFrom="margin">
                  <wp:posOffset>10110544</wp:posOffset>
                </wp:positionH>
                <wp:positionV relativeFrom="paragraph">
                  <wp:posOffset>2736481</wp:posOffset>
                </wp:positionV>
                <wp:extent cx="924560" cy="5007610"/>
                <wp:effectExtent l="0" t="0" r="27940" b="21590"/>
                <wp:wrapNone/>
                <wp:docPr id="366131239" name="Text Box 366131239"/>
                <wp:cNvGraphicFramePr/>
                <a:graphic xmlns:a="http://schemas.openxmlformats.org/drawingml/2006/main">
                  <a:graphicData uri="http://schemas.microsoft.com/office/word/2010/wordprocessingShape">
                    <wps:wsp>
                      <wps:cNvSpPr txBox="1"/>
                      <wps:spPr>
                        <a:xfrm>
                          <a:off x="0" y="0"/>
                          <a:ext cx="924560" cy="5007610"/>
                        </a:xfrm>
                        <a:prstGeom prst="rect">
                          <a:avLst/>
                        </a:prstGeom>
                        <a:solidFill>
                          <a:schemeClr val="lt1"/>
                        </a:solidFill>
                        <a:ln w="6350">
                          <a:solidFill>
                            <a:prstClr val="black"/>
                          </a:solidFill>
                        </a:ln>
                      </wps:spPr>
                      <wps:txbx>
                        <w:txbxContent>
                          <w:p w14:paraId="23FB33AD" w14:textId="77777777" w:rsidR="00721274" w:rsidRPr="00DC34FF" w:rsidRDefault="00721274" w:rsidP="00721274">
                            <w:pPr>
                              <w:pStyle w:val="Pa13"/>
                              <w:rPr>
                                <w:rFonts w:ascii="Arial" w:hAnsi="Arial" w:cs="Arial"/>
                                <w:color w:val="000000"/>
                                <w:sz w:val="16"/>
                                <w:szCs w:val="16"/>
                              </w:rPr>
                            </w:pPr>
                            <w:r w:rsidRPr="00DC34FF">
                              <w:rPr>
                                <w:rFonts w:ascii="Arial" w:hAnsi="Arial" w:cs="Arial"/>
                                <w:b/>
                                <w:bCs/>
                                <w:color w:val="000000"/>
                                <w:sz w:val="16"/>
                                <w:szCs w:val="16"/>
                              </w:rPr>
                              <w:t>Remuneration Committee</w:t>
                            </w:r>
                            <w:r>
                              <w:rPr>
                                <w:rFonts w:cs="Calibre Semibold"/>
                                <w:b/>
                                <w:bCs/>
                                <w:color w:val="000000"/>
                                <w:sz w:val="20"/>
                                <w:szCs w:val="20"/>
                              </w:rPr>
                              <w:br/>
                            </w:r>
                            <w:r w:rsidRPr="00DC34FF">
                              <w:rPr>
                                <w:rFonts w:ascii="Arial" w:hAnsi="Arial" w:cs="Arial"/>
                                <w:color w:val="000000"/>
                                <w:sz w:val="16"/>
                                <w:szCs w:val="16"/>
                              </w:rPr>
                              <w:t xml:space="preserve">Ensure remuneration is aligned strategy and reflects the values of South West Water. </w:t>
                            </w:r>
                          </w:p>
                          <w:p w14:paraId="76FA3688" w14:textId="77777777" w:rsidR="00721274" w:rsidRPr="00DC34FF" w:rsidRDefault="00721274" w:rsidP="00721274">
                            <w:pPr>
                              <w:rPr>
                                <w:rFonts w:ascii="Arial" w:hAnsi="Arial" w:cs="Arial"/>
                                <w:color w:val="000000"/>
                                <w:sz w:val="16"/>
                                <w:szCs w:val="16"/>
                              </w:rPr>
                            </w:pPr>
                            <w:r w:rsidRPr="00DC34FF">
                              <w:rPr>
                                <w:rFonts w:ascii="Arial" w:hAnsi="Arial" w:cs="Arial"/>
                                <w:color w:val="000000"/>
                                <w:sz w:val="16"/>
                                <w:szCs w:val="16"/>
                              </w:rPr>
                              <w:t>Advise the Board on the framework of executive remuneration and remuneration for the wider workforce.</w:t>
                            </w:r>
                          </w:p>
                          <w:p w14:paraId="780AF291" w14:textId="77777777" w:rsidR="00721274" w:rsidRDefault="00721274" w:rsidP="0072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8E2BA" id="Text Box 366131239" o:spid="_x0000_s1027" type="#_x0000_t202" style="position:absolute;margin-left:796.1pt;margin-top:215.45pt;width:72.8pt;height:394.3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nnOAIAAIM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" fillcolor="white [3201]" strokeweight=".5pt">
                <v:textbox>
                  <w:txbxContent>
                    <w:p w14:paraId="23FB33AD" w14:textId="77777777" w:rsidR="00721274" w:rsidRPr="00DC34FF" w:rsidRDefault="00721274" w:rsidP="00721274">
                      <w:pPr>
                        <w:pStyle w:val="Pa13"/>
                        <w:rPr>
                          <w:rFonts w:ascii="Arial" w:hAnsi="Arial" w:cs="Arial"/>
                          <w:color w:val="000000"/>
                          <w:sz w:val="16"/>
                          <w:szCs w:val="16"/>
                        </w:rPr>
                      </w:pPr>
                      <w:r w:rsidRPr="00DC34FF">
                        <w:rPr>
                          <w:rFonts w:ascii="Arial" w:hAnsi="Arial" w:cs="Arial"/>
                          <w:b/>
                          <w:bCs/>
                          <w:color w:val="000000"/>
                          <w:sz w:val="16"/>
                          <w:szCs w:val="16"/>
                        </w:rPr>
                        <w:t>Remuneration Committee</w:t>
                      </w:r>
                      <w:r>
                        <w:rPr>
                          <w:rFonts w:cs="Calibre Semibold"/>
                          <w:b/>
                          <w:bCs/>
                          <w:color w:val="000000"/>
                          <w:sz w:val="20"/>
                          <w:szCs w:val="20"/>
                        </w:rPr>
                        <w:br/>
                      </w:r>
                      <w:r w:rsidRPr="00DC34FF">
                        <w:rPr>
                          <w:rFonts w:ascii="Arial" w:hAnsi="Arial" w:cs="Arial"/>
                          <w:color w:val="000000"/>
                          <w:sz w:val="16"/>
                          <w:szCs w:val="16"/>
                        </w:rPr>
                        <w:t xml:space="preserve">Ensure remuneration is aligned strategy and reflects the values of South West Water. </w:t>
                      </w:r>
                    </w:p>
                    <w:p w14:paraId="76FA3688" w14:textId="77777777" w:rsidR="00721274" w:rsidRPr="00DC34FF" w:rsidRDefault="00721274" w:rsidP="00721274">
                      <w:pPr>
                        <w:rPr>
                          <w:rFonts w:ascii="Arial" w:hAnsi="Arial" w:cs="Arial"/>
                          <w:color w:val="000000"/>
                          <w:sz w:val="16"/>
                          <w:szCs w:val="16"/>
                        </w:rPr>
                      </w:pPr>
                      <w:r w:rsidRPr="00DC34FF">
                        <w:rPr>
                          <w:rFonts w:ascii="Arial" w:hAnsi="Arial" w:cs="Arial"/>
                          <w:color w:val="000000"/>
                          <w:sz w:val="16"/>
                          <w:szCs w:val="16"/>
                        </w:rPr>
                        <w:t>Advise the Board on the framework of executive remuneration and remuneration for the wider workforce.</w:t>
                      </w:r>
                    </w:p>
                    <w:p w14:paraId="780AF291" w14:textId="77777777" w:rsidR="00721274" w:rsidRDefault="00721274" w:rsidP="00721274"/>
                  </w:txbxContent>
                </v:textbox>
                <w10:wrap anchorx="margin"/>
              </v:shape>
            </w:pict>
          </mc:Fallback>
        </mc:AlternateContent>
      </w:r>
    </w:p>
    <w:p w14:paraId="2D734FAF" w14:textId="20785564" w:rsidR="00721274" w:rsidRPr="009A2CAE" w:rsidRDefault="00E400F5">
      <w:pPr>
        <w:spacing w:after="160" w:line="259" w:lineRule="auto"/>
        <w:rPr>
          <w:rFonts w:ascii="Arial" w:eastAsia="Times New Roman" w:hAnsi="Arial" w:cs="DINOT"/>
          <w:caps/>
          <w:color w:val="000000"/>
          <w:sz w:val="32"/>
          <w:szCs w:val="32"/>
        </w:rPr>
      </w:pPr>
      <w:r w:rsidRPr="009A2CAE">
        <w:rPr>
          <w:noProof/>
        </w:rPr>
        <mc:AlternateContent>
          <mc:Choice Requires="wps">
            <w:drawing>
              <wp:anchor distT="0" distB="0" distL="114300" distR="114300" simplePos="0" relativeHeight="251711488" behindDoc="0" locked="0" layoutInCell="1" allowOverlap="1" wp14:anchorId="7B3BB314" wp14:editId="67EC3703">
                <wp:simplePos x="0" y="0"/>
                <wp:positionH relativeFrom="column">
                  <wp:posOffset>4839419</wp:posOffset>
                </wp:positionH>
                <wp:positionV relativeFrom="paragraph">
                  <wp:posOffset>2012244</wp:posOffset>
                </wp:positionV>
                <wp:extent cx="1230630" cy="4237954"/>
                <wp:effectExtent l="0" t="0" r="26670" b="10795"/>
                <wp:wrapNone/>
                <wp:docPr id="586586405" name="Text Box 586586405"/>
                <wp:cNvGraphicFramePr/>
                <a:graphic xmlns:a="http://schemas.openxmlformats.org/drawingml/2006/main">
                  <a:graphicData uri="http://schemas.microsoft.com/office/word/2010/wordprocessingShape">
                    <wps:wsp>
                      <wps:cNvSpPr txBox="1"/>
                      <wps:spPr>
                        <a:xfrm>
                          <a:off x="0" y="0"/>
                          <a:ext cx="1230630" cy="4237954"/>
                        </a:xfrm>
                        <a:prstGeom prst="rect">
                          <a:avLst/>
                        </a:prstGeom>
                        <a:solidFill>
                          <a:schemeClr val="lt1"/>
                        </a:solidFill>
                        <a:ln w="6350">
                          <a:solidFill>
                            <a:prstClr val="black"/>
                          </a:solidFill>
                        </a:ln>
                      </wps:spPr>
                      <wps:txbx>
                        <w:txbxContent>
                          <w:p w14:paraId="79173303" w14:textId="1A1EBC21" w:rsidR="007B4512" w:rsidRPr="00721274" w:rsidRDefault="00721274" w:rsidP="007B4512">
                            <w:pPr>
                              <w:pStyle w:val="Pa13"/>
                              <w:spacing w:after="40"/>
                              <w:rPr>
                                <w:b/>
                                <w:bCs/>
                              </w:rPr>
                            </w:pPr>
                            <w:r w:rsidRPr="008F5F5B">
                              <w:rPr>
                                <w:rFonts w:ascii="Arial" w:hAnsi="Arial" w:cs="Arial"/>
                                <w:b/>
                                <w:bCs/>
                                <w:color w:val="000000"/>
                                <w:sz w:val="16"/>
                                <w:szCs w:val="16"/>
                              </w:rPr>
                              <w:t>Health and Safety Committee</w:t>
                            </w:r>
                            <w:r w:rsidRPr="008F5F5B">
                              <w:rPr>
                                <w:rFonts w:cs="Calibre Semibold"/>
                                <w:b/>
                                <w:bCs/>
                                <w:color w:val="000000"/>
                                <w:sz w:val="20"/>
                                <w:szCs w:val="20"/>
                              </w:rPr>
                              <w:br/>
                            </w:r>
                            <w:r w:rsidRPr="008F5F5B">
                              <w:rPr>
                                <w:rFonts w:ascii="Arial" w:hAnsi="Arial" w:cs="Arial"/>
                                <w:color w:val="000000"/>
                                <w:sz w:val="16"/>
                                <w:szCs w:val="16"/>
                              </w:rPr>
                              <w:t>Provide a ‘review and challenge’ function to support the Board and the Executive on all matters connected to health and safety including the deployment of the health and safety strategy, resilience and process safety.</w:t>
                            </w:r>
                            <w:r w:rsidR="00F41398">
                              <w:rPr>
                                <w:rFonts w:ascii="Arial" w:hAnsi="Arial" w:cs="Arial"/>
                                <w:color w:val="000000"/>
                                <w:sz w:val="16"/>
                                <w:szCs w:val="16"/>
                              </w:rPr>
                              <w:br/>
                            </w:r>
                            <w:r w:rsidRPr="008F5F5B">
                              <w:rPr>
                                <w:rFonts w:ascii="Arial" w:hAnsi="Arial" w:cs="Arial"/>
                                <w:color w:val="000000"/>
                                <w:sz w:val="16"/>
                                <w:szCs w:val="16"/>
                              </w:rPr>
                              <w:br/>
                            </w:r>
                            <w:r w:rsidR="007B4512" w:rsidRPr="00735726">
                              <w:rPr>
                                <w:rFonts w:ascii="Arial" w:hAnsi="Arial" w:cs="Arial"/>
                                <w:b/>
                                <w:bCs/>
                                <w:color w:val="000000"/>
                                <w:sz w:val="16"/>
                                <w:szCs w:val="16"/>
                              </w:rPr>
                              <w:t xml:space="preserve">Health and Safety Committee Report on </w:t>
                            </w:r>
                            <w:r w:rsidR="00F41398" w:rsidRPr="00735726">
                              <w:rPr>
                                <w:rFonts w:ascii="Arial" w:hAnsi="Arial" w:cs="Arial"/>
                                <w:b/>
                                <w:bCs/>
                                <w:color w:val="000000"/>
                                <w:sz w:val="16"/>
                                <w:szCs w:val="16"/>
                              </w:rPr>
                              <w:t xml:space="preserve">page </w:t>
                            </w:r>
                            <w:r w:rsidR="00704734" w:rsidRPr="009A2CAE">
                              <w:rPr>
                                <w:rFonts w:ascii="Arial" w:hAnsi="Arial" w:cs="Arial"/>
                                <w:b/>
                                <w:bCs/>
                                <w:color w:val="000000"/>
                                <w:sz w:val="16"/>
                                <w:szCs w:val="16"/>
                              </w:rPr>
                              <w:t>144</w:t>
                            </w:r>
                            <w:r w:rsidR="00F41398" w:rsidRPr="009A2CAE">
                              <w:rPr>
                                <w:rFonts w:ascii="Arial" w:hAnsi="Arial" w:cs="Arial"/>
                                <w:b/>
                                <w:bCs/>
                                <w:color w:val="000000"/>
                                <w:sz w:val="16"/>
                                <w:szCs w:val="16"/>
                              </w:rPr>
                              <w:t>.</w:t>
                            </w:r>
                          </w:p>
                          <w:p w14:paraId="2F2D223B" w14:textId="0A0CF679" w:rsidR="00721274" w:rsidRDefault="00721274" w:rsidP="00721274"/>
                          <w:p w14:paraId="7186EE0C" w14:textId="77777777" w:rsidR="00721274" w:rsidRDefault="00721274" w:rsidP="0072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BB314" id="Text Box 586586405" o:spid="_x0000_s1028" type="#_x0000_t202" style="position:absolute;margin-left:381.05pt;margin-top:158.45pt;width:96.9pt;height:33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" fillcolor="white [3201]" strokeweight=".5pt">
                <v:textbox>
                  <w:txbxContent>
                    <w:p w14:paraId="79173303" w14:textId="1A1EBC21" w:rsidR="007B4512" w:rsidRPr="00721274" w:rsidRDefault="00721274" w:rsidP="007B4512">
                      <w:pPr>
                        <w:pStyle w:val="Pa13"/>
                        <w:spacing w:after="40"/>
                        <w:rPr>
                          <w:b/>
                          <w:bCs/>
                        </w:rPr>
                      </w:pPr>
                      <w:r w:rsidRPr="008F5F5B">
                        <w:rPr>
                          <w:rFonts w:ascii="Arial" w:hAnsi="Arial" w:cs="Arial"/>
                          <w:b/>
                          <w:bCs/>
                          <w:color w:val="000000"/>
                          <w:sz w:val="16"/>
                          <w:szCs w:val="16"/>
                        </w:rPr>
                        <w:t>Health and Safety Committee</w:t>
                      </w:r>
                      <w:r w:rsidRPr="008F5F5B">
                        <w:rPr>
                          <w:rFonts w:cs="Calibre Semibold"/>
                          <w:b/>
                          <w:bCs/>
                          <w:color w:val="000000"/>
                          <w:sz w:val="20"/>
                          <w:szCs w:val="20"/>
                        </w:rPr>
                        <w:br/>
                      </w:r>
                      <w:r w:rsidRPr="008F5F5B">
                        <w:rPr>
                          <w:rFonts w:ascii="Arial" w:hAnsi="Arial" w:cs="Arial"/>
                          <w:color w:val="000000"/>
                          <w:sz w:val="16"/>
                          <w:szCs w:val="16"/>
                        </w:rPr>
                        <w:t>Provide a ‘review and challenge’ function to support the Board and the Executive on all matters connected to health and safety including the deployment of the health and safety strategy, resilience and process safety.</w:t>
                      </w:r>
                      <w:r w:rsidR="00F41398">
                        <w:rPr>
                          <w:rFonts w:ascii="Arial" w:hAnsi="Arial" w:cs="Arial"/>
                          <w:color w:val="000000"/>
                          <w:sz w:val="16"/>
                          <w:szCs w:val="16"/>
                        </w:rPr>
                        <w:br/>
                      </w:r>
                      <w:r w:rsidRPr="008F5F5B">
                        <w:rPr>
                          <w:rFonts w:ascii="Arial" w:hAnsi="Arial" w:cs="Arial"/>
                          <w:color w:val="000000"/>
                          <w:sz w:val="16"/>
                          <w:szCs w:val="16"/>
                        </w:rPr>
                        <w:br/>
                      </w:r>
                      <w:r w:rsidR="007B4512" w:rsidRPr="00735726">
                        <w:rPr>
                          <w:rFonts w:ascii="Arial" w:hAnsi="Arial" w:cs="Arial"/>
                          <w:b/>
                          <w:bCs/>
                          <w:color w:val="000000"/>
                          <w:sz w:val="16"/>
                          <w:szCs w:val="16"/>
                        </w:rPr>
                        <w:t xml:space="preserve">Health and Safety Committee Report on </w:t>
                      </w:r>
                      <w:r w:rsidR="00F41398" w:rsidRPr="00735726">
                        <w:rPr>
                          <w:rFonts w:ascii="Arial" w:hAnsi="Arial" w:cs="Arial"/>
                          <w:b/>
                          <w:bCs/>
                          <w:color w:val="000000"/>
                          <w:sz w:val="16"/>
                          <w:szCs w:val="16"/>
                        </w:rPr>
                        <w:t xml:space="preserve">page </w:t>
                      </w:r>
                      <w:r w:rsidR="00704734" w:rsidRPr="009A2CAE">
                        <w:rPr>
                          <w:rFonts w:ascii="Arial" w:hAnsi="Arial" w:cs="Arial"/>
                          <w:b/>
                          <w:bCs/>
                          <w:color w:val="000000"/>
                          <w:sz w:val="16"/>
                          <w:szCs w:val="16"/>
                        </w:rPr>
                        <w:t>144</w:t>
                      </w:r>
                      <w:r w:rsidR="00F41398" w:rsidRPr="009A2CAE">
                        <w:rPr>
                          <w:rFonts w:ascii="Arial" w:hAnsi="Arial" w:cs="Arial"/>
                          <w:b/>
                          <w:bCs/>
                          <w:color w:val="000000"/>
                          <w:sz w:val="16"/>
                          <w:szCs w:val="16"/>
                        </w:rPr>
                        <w:t>.</w:t>
                      </w:r>
                    </w:p>
                    <w:p w14:paraId="2F2D223B" w14:textId="0A0CF679" w:rsidR="00721274" w:rsidRDefault="00721274" w:rsidP="00721274"/>
                    <w:p w14:paraId="7186EE0C" w14:textId="77777777" w:rsidR="00721274" w:rsidRDefault="00721274" w:rsidP="00721274"/>
                  </w:txbxContent>
                </v:textbox>
              </v:shape>
            </w:pict>
          </mc:Fallback>
        </mc:AlternateContent>
      </w:r>
      <w:r w:rsidRPr="009A2CAE">
        <w:rPr>
          <w:noProof/>
          <w14:ligatures w14:val="standardContextual"/>
        </w:rPr>
        <mc:AlternateContent>
          <mc:Choice Requires="wps">
            <w:drawing>
              <wp:anchor distT="0" distB="0" distL="114300" distR="114300" simplePos="0" relativeHeight="251718656" behindDoc="0" locked="0" layoutInCell="1" allowOverlap="1" wp14:anchorId="07044DC6" wp14:editId="403A47DC">
                <wp:simplePos x="0" y="0"/>
                <wp:positionH relativeFrom="column">
                  <wp:posOffset>5457825</wp:posOffset>
                </wp:positionH>
                <wp:positionV relativeFrom="paragraph">
                  <wp:posOffset>1900819</wp:posOffset>
                </wp:positionV>
                <wp:extent cx="0" cy="114300"/>
                <wp:effectExtent l="0" t="0" r="38100" b="19050"/>
                <wp:wrapNone/>
                <wp:docPr id="1533409023" name="Straight Connector 21"/>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4AAEB" id="Straight Connector 21"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75pt,149.65pt" to="429.7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" strokecolor="black [3200]" strokeweight=".5pt">
                <v:stroke joinstyle="miter"/>
              </v:line>
            </w:pict>
          </mc:Fallback>
        </mc:AlternateContent>
      </w:r>
      <w:r w:rsidRPr="009A2CAE">
        <w:rPr>
          <w:noProof/>
        </w:rPr>
        <mc:AlternateContent>
          <mc:Choice Requires="wps">
            <w:drawing>
              <wp:anchor distT="0" distB="0" distL="114300" distR="114300" simplePos="0" relativeHeight="251708416" behindDoc="0" locked="0" layoutInCell="1" allowOverlap="1" wp14:anchorId="2E3495E2" wp14:editId="51ED4066">
                <wp:simplePos x="0" y="0"/>
                <wp:positionH relativeFrom="column">
                  <wp:posOffset>1121434</wp:posOffset>
                </wp:positionH>
                <wp:positionV relativeFrom="paragraph">
                  <wp:posOffset>2044592</wp:posOffset>
                </wp:positionV>
                <wp:extent cx="1191260" cy="4204707"/>
                <wp:effectExtent l="0" t="0" r="27940" b="24765"/>
                <wp:wrapNone/>
                <wp:docPr id="1653437802" name="Text Box 1653437802"/>
                <wp:cNvGraphicFramePr/>
                <a:graphic xmlns:a="http://schemas.openxmlformats.org/drawingml/2006/main">
                  <a:graphicData uri="http://schemas.microsoft.com/office/word/2010/wordprocessingShape">
                    <wps:wsp>
                      <wps:cNvSpPr txBox="1"/>
                      <wps:spPr>
                        <a:xfrm>
                          <a:off x="0" y="0"/>
                          <a:ext cx="1191260" cy="4204707"/>
                        </a:xfrm>
                        <a:prstGeom prst="rect">
                          <a:avLst/>
                        </a:prstGeom>
                        <a:solidFill>
                          <a:schemeClr val="lt1"/>
                        </a:solidFill>
                        <a:ln w="6350">
                          <a:solidFill>
                            <a:prstClr val="black"/>
                          </a:solidFill>
                        </a:ln>
                      </wps:spPr>
                      <wps:txbx>
                        <w:txbxContent>
                          <w:p w14:paraId="3C7B2AD7" w14:textId="61C276D3" w:rsidR="00F41398" w:rsidRPr="00F41398" w:rsidRDefault="00721274" w:rsidP="00F41398">
                            <w:pPr>
                              <w:pStyle w:val="Pa13"/>
                              <w:spacing w:after="40"/>
                              <w:rPr>
                                <w:rFonts w:ascii="Arial" w:hAnsi="Arial" w:cs="Arial"/>
                                <w:color w:val="000000"/>
                                <w:sz w:val="16"/>
                                <w:szCs w:val="16"/>
                              </w:rPr>
                            </w:pPr>
                            <w:r w:rsidRPr="00A9557A">
                              <w:rPr>
                                <w:rFonts w:ascii="Arial" w:hAnsi="Arial" w:cs="Arial"/>
                                <w:b/>
                                <w:bCs/>
                                <w:color w:val="000000"/>
                                <w:sz w:val="16"/>
                                <w:szCs w:val="16"/>
                              </w:rPr>
                              <w:t>Nomination Committee</w:t>
                            </w:r>
                            <w:r w:rsidRPr="00A9557A">
                              <w:rPr>
                                <w:rFonts w:cs="Calibre Semibold"/>
                                <w:b/>
                                <w:bCs/>
                                <w:color w:val="000000"/>
                                <w:sz w:val="20"/>
                                <w:szCs w:val="20"/>
                              </w:rPr>
                              <w:br/>
                            </w:r>
                            <w:r w:rsidR="00F41398" w:rsidRPr="00F41398">
                              <w:rPr>
                                <w:rFonts w:ascii="Arial" w:hAnsi="Arial" w:cs="Arial"/>
                                <w:color w:val="000000"/>
                                <w:sz w:val="16"/>
                                <w:szCs w:val="16"/>
                              </w:rPr>
                              <w:t>Regularly reviews the structure, size</w:t>
                            </w:r>
                            <w:r w:rsidR="00F41398">
                              <w:rPr>
                                <w:rFonts w:ascii="Arial" w:hAnsi="Arial" w:cs="Arial"/>
                                <w:color w:val="000000"/>
                                <w:sz w:val="16"/>
                                <w:szCs w:val="16"/>
                              </w:rPr>
                              <w:t xml:space="preserve"> </w:t>
                            </w:r>
                            <w:r w:rsidR="00F41398" w:rsidRPr="00F41398">
                              <w:rPr>
                                <w:rFonts w:ascii="Arial" w:hAnsi="Arial" w:cs="Arial"/>
                                <w:color w:val="000000"/>
                                <w:sz w:val="16"/>
                                <w:szCs w:val="16"/>
                              </w:rPr>
                              <w:t>and composition</w:t>
                            </w:r>
                            <w:r w:rsidR="00F41398">
                              <w:rPr>
                                <w:rFonts w:ascii="Arial" w:hAnsi="Arial" w:cs="Arial"/>
                                <w:color w:val="000000"/>
                                <w:sz w:val="16"/>
                                <w:szCs w:val="16"/>
                              </w:rPr>
                              <w:t xml:space="preserve"> </w:t>
                            </w:r>
                            <w:r w:rsidR="00F41398" w:rsidRPr="00F41398">
                              <w:rPr>
                                <w:rFonts w:ascii="Arial" w:hAnsi="Arial" w:cs="Arial"/>
                                <w:color w:val="000000"/>
                                <w:sz w:val="16"/>
                                <w:szCs w:val="16"/>
                              </w:rPr>
                              <w:t>(including the skills,</w:t>
                            </w:r>
                          </w:p>
                          <w:p w14:paraId="7DEDFAAF" w14:textId="071733DD" w:rsidR="00F41398" w:rsidRPr="00F41398"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knowledge, independence, diversity</w:t>
                            </w:r>
                            <w:r>
                              <w:rPr>
                                <w:rFonts w:ascii="Arial" w:hAnsi="Arial" w:cs="Arial"/>
                                <w:color w:val="000000"/>
                                <w:sz w:val="16"/>
                                <w:szCs w:val="16"/>
                              </w:rPr>
                              <w:t xml:space="preserve"> </w:t>
                            </w:r>
                            <w:r w:rsidRPr="00F41398">
                              <w:rPr>
                                <w:rFonts w:ascii="Arial" w:hAnsi="Arial" w:cs="Arial"/>
                                <w:color w:val="000000"/>
                                <w:sz w:val="16"/>
                                <w:szCs w:val="16"/>
                              </w:rPr>
                              <w:t>and experience required) of the Board,</w:t>
                            </w:r>
                            <w:r>
                              <w:rPr>
                                <w:rFonts w:ascii="Arial" w:hAnsi="Arial" w:cs="Arial"/>
                                <w:color w:val="000000"/>
                                <w:sz w:val="16"/>
                                <w:szCs w:val="16"/>
                              </w:rPr>
                              <w:t xml:space="preserve"> </w:t>
                            </w:r>
                            <w:r w:rsidRPr="00F41398">
                              <w:rPr>
                                <w:rFonts w:ascii="Arial" w:hAnsi="Arial" w:cs="Arial"/>
                                <w:color w:val="000000"/>
                                <w:sz w:val="16"/>
                                <w:szCs w:val="16"/>
                              </w:rPr>
                              <w:t>comparing it to its current position and</w:t>
                            </w:r>
                          </w:p>
                          <w:p w14:paraId="51676706" w14:textId="77777777" w:rsidR="00F41398" w:rsidRPr="00735726"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the skills and</w:t>
                            </w:r>
                            <w:r>
                              <w:rPr>
                                <w:rFonts w:ascii="Arial" w:hAnsi="Arial" w:cs="Arial"/>
                                <w:color w:val="000000"/>
                                <w:sz w:val="16"/>
                                <w:szCs w:val="16"/>
                              </w:rPr>
                              <w:t xml:space="preserve"> </w:t>
                            </w:r>
                            <w:r w:rsidRPr="00735726">
                              <w:rPr>
                                <w:rFonts w:ascii="Arial" w:hAnsi="Arial" w:cs="Arial"/>
                                <w:color w:val="000000"/>
                                <w:sz w:val="16"/>
                                <w:szCs w:val="16"/>
                              </w:rPr>
                              <w:t>expertise needed in the future.</w:t>
                            </w:r>
                          </w:p>
                          <w:p w14:paraId="1E9A4C2E" w14:textId="18E765B0" w:rsidR="00721274" w:rsidRPr="00721274" w:rsidRDefault="00721274" w:rsidP="00F41398">
                            <w:pPr>
                              <w:pStyle w:val="Pa13"/>
                              <w:spacing w:after="40"/>
                              <w:rPr>
                                <w:b/>
                                <w:bCs/>
                              </w:rPr>
                            </w:pPr>
                            <w:r w:rsidRPr="00735726">
                              <w:rPr>
                                <w:rFonts w:ascii="Arial" w:hAnsi="Arial" w:cs="Arial"/>
                                <w:color w:val="000000"/>
                                <w:sz w:val="16"/>
                                <w:szCs w:val="16"/>
                              </w:rPr>
                              <w:br/>
                            </w:r>
                            <w:r w:rsidRPr="00735726">
                              <w:rPr>
                                <w:rFonts w:ascii="Arial" w:hAnsi="Arial" w:cs="Arial"/>
                                <w:b/>
                                <w:bCs/>
                                <w:color w:val="000000"/>
                                <w:sz w:val="16"/>
                                <w:szCs w:val="16"/>
                              </w:rPr>
                              <w:t xml:space="preserve">Nomination Committee Report on pages </w:t>
                            </w:r>
                            <w:r w:rsidR="00704734" w:rsidRPr="009A2CAE">
                              <w:rPr>
                                <w:rFonts w:ascii="Arial" w:hAnsi="Arial" w:cs="Arial"/>
                                <w:b/>
                                <w:bCs/>
                                <w:color w:val="000000"/>
                                <w:sz w:val="16"/>
                                <w:szCs w:val="16"/>
                              </w:rPr>
                              <w:t xml:space="preserve">125 </w:t>
                            </w:r>
                            <w:r w:rsidR="00F41398" w:rsidRPr="009A2CAE">
                              <w:rPr>
                                <w:rFonts w:ascii="Arial" w:hAnsi="Arial" w:cs="Arial"/>
                                <w:b/>
                                <w:bCs/>
                                <w:color w:val="000000"/>
                                <w:sz w:val="16"/>
                                <w:szCs w:val="16"/>
                              </w:rPr>
                              <w:t xml:space="preserve">to </w:t>
                            </w:r>
                            <w:r w:rsidR="00704734" w:rsidRPr="009A2CAE">
                              <w:rPr>
                                <w:rFonts w:ascii="Arial" w:hAnsi="Arial" w:cs="Arial"/>
                                <w:b/>
                                <w:bCs/>
                                <w:color w:val="000000"/>
                                <w:sz w:val="16"/>
                                <w:szCs w:val="16"/>
                              </w:rPr>
                              <w:t>12</w:t>
                            </w:r>
                            <w:r w:rsidRPr="009A2CAE">
                              <w:rPr>
                                <w:rFonts w:ascii="Arial" w:hAnsi="Arial" w:cs="Arial"/>
                                <w:b/>
                                <w:bCs/>
                                <w:color w:val="000000"/>
                                <w:sz w:val="16"/>
                                <w:szCs w:val="16"/>
                              </w:rPr>
                              <w:t>.</w:t>
                            </w:r>
                            <w:r w:rsidRPr="00721274">
                              <w:rPr>
                                <w:rFonts w:ascii="Arial" w:hAnsi="Arial" w:cs="Arial"/>
                                <w:b/>
                                <w:bCs/>
                                <w:color w:val="000000"/>
                                <w:sz w:val="16"/>
                                <w:szCs w:val="16"/>
                              </w:rPr>
                              <w:t xml:space="preserve"> </w:t>
                            </w:r>
                          </w:p>
                          <w:p w14:paraId="31AA9A32" w14:textId="20693769" w:rsidR="00721274" w:rsidRDefault="00721274" w:rsidP="00721274">
                            <w:pPr>
                              <w:pStyle w:val="Pa13"/>
                              <w:spacing w:after="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495E2" id="Text Box 1653437802" o:spid="_x0000_s1029" type="#_x0000_t202" style="position:absolute;margin-left:88.3pt;margin-top:161pt;width:93.8pt;height:33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" fillcolor="white [3201]" strokeweight=".5pt">
                <v:textbox>
                  <w:txbxContent>
                    <w:p w14:paraId="3C7B2AD7" w14:textId="61C276D3" w:rsidR="00F41398" w:rsidRPr="00F41398" w:rsidRDefault="00721274" w:rsidP="00F41398">
                      <w:pPr>
                        <w:pStyle w:val="Pa13"/>
                        <w:spacing w:after="40"/>
                        <w:rPr>
                          <w:rFonts w:ascii="Arial" w:hAnsi="Arial" w:cs="Arial"/>
                          <w:color w:val="000000"/>
                          <w:sz w:val="16"/>
                          <w:szCs w:val="16"/>
                        </w:rPr>
                      </w:pPr>
                      <w:r w:rsidRPr="00A9557A">
                        <w:rPr>
                          <w:rFonts w:ascii="Arial" w:hAnsi="Arial" w:cs="Arial"/>
                          <w:b/>
                          <w:bCs/>
                          <w:color w:val="000000"/>
                          <w:sz w:val="16"/>
                          <w:szCs w:val="16"/>
                        </w:rPr>
                        <w:t>Nomination Committee</w:t>
                      </w:r>
                      <w:r w:rsidRPr="00A9557A">
                        <w:rPr>
                          <w:rFonts w:cs="Calibre Semibold"/>
                          <w:b/>
                          <w:bCs/>
                          <w:color w:val="000000"/>
                          <w:sz w:val="20"/>
                          <w:szCs w:val="20"/>
                        </w:rPr>
                        <w:br/>
                      </w:r>
                      <w:r w:rsidR="00F41398" w:rsidRPr="00F41398">
                        <w:rPr>
                          <w:rFonts w:ascii="Arial" w:hAnsi="Arial" w:cs="Arial"/>
                          <w:color w:val="000000"/>
                          <w:sz w:val="16"/>
                          <w:szCs w:val="16"/>
                        </w:rPr>
                        <w:t>Regularly reviews the structure, size</w:t>
                      </w:r>
                      <w:r w:rsidR="00F41398">
                        <w:rPr>
                          <w:rFonts w:ascii="Arial" w:hAnsi="Arial" w:cs="Arial"/>
                          <w:color w:val="000000"/>
                          <w:sz w:val="16"/>
                          <w:szCs w:val="16"/>
                        </w:rPr>
                        <w:t xml:space="preserve"> </w:t>
                      </w:r>
                      <w:r w:rsidR="00F41398" w:rsidRPr="00F41398">
                        <w:rPr>
                          <w:rFonts w:ascii="Arial" w:hAnsi="Arial" w:cs="Arial"/>
                          <w:color w:val="000000"/>
                          <w:sz w:val="16"/>
                          <w:szCs w:val="16"/>
                        </w:rPr>
                        <w:t>and composition</w:t>
                      </w:r>
                      <w:r w:rsidR="00F41398">
                        <w:rPr>
                          <w:rFonts w:ascii="Arial" w:hAnsi="Arial" w:cs="Arial"/>
                          <w:color w:val="000000"/>
                          <w:sz w:val="16"/>
                          <w:szCs w:val="16"/>
                        </w:rPr>
                        <w:t xml:space="preserve"> </w:t>
                      </w:r>
                      <w:r w:rsidR="00F41398" w:rsidRPr="00F41398">
                        <w:rPr>
                          <w:rFonts w:ascii="Arial" w:hAnsi="Arial" w:cs="Arial"/>
                          <w:color w:val="000000"/>
                          <w:sz w:val="16"/>
                          <w:szCs w:val="16"/>
                        </w:rPr>
                        <w:t>(including the skills,</w:t>
                      </w:r>
                    </w:p>
                    <w:p w14:paraId="7DEDFAAF" w14:textId="071733DD" w:rsidR="00F41398" w:rsidRPr="00F41398"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knowledge, independence, diversity</w:t>
                      </w:r>
                      <w:r>
                        <w:rPr>
                          <w:rFonts w:ascii="Arial" w:hAnsi="Arial" w:cs="Arial"/>
                          <w:color w:val="000000"/>
                          <w:sz w:val="16"/>
                          <w:szCs w:val="16"/>
                        </w:rPr>
                        <w:t xml:space="preserve"> </w:t>
                      </w:r>
                      <w:r w:rsidRPr="00F41398">
                        <w:rPr>
                          <w:rFonts w:ascii="Arial" w:hAnsi="Arial" w:cs="Arial"/>
                          <w:color w:val="000000"/>
                          <w:sz w:val="16"/>
                          <w:szCs w:val="16"/>
                        </w:rPr>
                        <w:t>and experience required) of the Board,</w:t>
                      </w:r>
                      <w:r>
                        <w:rPr>
                          <w:rFonts w:ascii="Arial" w:hAnsi="Arial" w:cs="Arial"/>
                          <w:color w:val="000000"/>
                          <w:sz w:val="16"/>
                          <w:szCs w:val="16"/>
                        </w:rPr>
                        <w:t xml:space="preserve"> </w:t>
                      </w:r>
                      <w:r w:rsidRPr="00F41398">
                        <w:rPr>
                          <w:rFonts w:ascii="Arial" w:hAnsi="Arial" w:cs="Arial"/>
                          <w:color w:val="000000"/>
                          <w:sz w:val="16"/>
                          <w:szCs w:val="16"/>
                        </w:rPr>
                        <w:t>comparing it to its current position and</w:t>
                      </w:r>
                    </w:p>
                    <w:p w14:paraId="51676706" w14:textId="77777777" w:rsidR="00F41398" w:rsidRPr="00735726"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the skills and</w:t>
                      </w:r>
                      <w:r>
                        <w:rPr>
                          <w:rFonts w:ascii="Arial" w:hAnsi="Arial" w:cs="Arial"/>
                          <w:color w:val="000000"/>
                          <w:sz w:val="16"/>
                          <w:szCs w:val="16"/>
                        </w:rPr>
                        <w:t xml:space="preserve"> </w:t>
                      </w:r>
                      <w:r w:rsidRPr="00735726">
                        <w:rPr>
                          <w:rFonts w:ascii="Arial" w:hAnsi="Arial" w:cs="Arial"/>
                          <w:color w:val="000000"/>
                          <w:sz w:val="16"/>
                          <w:szCs w:val="16"/>
                        </w:rPr>
                        <w:t>expertise needed in the future.</w:t>
                      </w:r>
                    </w:p>
                    <w:p w14:paraId="1E9A4C2E" w14:textId="18E765B0" w:rsidR="00721274" w:rsidRPr="00721274" w:rsidRDefault="00721274" w:rsidP="00F41398">
                      <w:pPr>
                        <w:pStyle w:val="Pa13"/>
                        <w:spacing w:after="40"/>
                        <w:rPr>
                          <w:b/>
                          <w:bCs/>
                        </w:rPr>
                      </w:pPr>
                      <w:r w:rsidRPr="00735726">
                        <w:rPr>
                          <w:rFonts w:ascii="Arial" w:hAnsi="Arial" w:cs="Arial"/>
                          <w:color w:val="000000"/>
                          <w:sz w:val="16"/>
                          <w:szCs w:val="16"/>
                        </w:rPr>
                        <w:br/>
                      </w:r>
                      <w:r w:rsidRPr="00735726">
                        <w:rPr>
                          <w:rFonts w:ascii="Arial" w:hAnsi="Arial" w:cs="Arial"/>
                          <w:b/>
                          <w:bCs/>
                          <w:color w:val="000000"/>
                          <w:sz w:val="16"/>
                          <w:szCs w:val="16"/>
                        </w:rPr>
                        <w:t xml:space="preserve">Nomination Committee Report on pages </w:t>
                      </w:r>
                      <w:r w:rsidR="00704734" w:rsidRPr="009A2CAE">
                        <w:rPr>
                          <w:rFonts w:ascii="Arial" w:hAnsi="Arial" w:cs="Arial"/>
                          <w:b/>
                          <w:bCs/>
                          <w:color w:val="000000"/>
                          <w:sz w:val="16"/>
                          <w:szCs w:val="16"/>
                        </w:rPr>
                        <w:t xml:space="preserve">125 </w:t>
                      </w:r>
                      <w:r w:rsidR="00F41398" w:rsidRPr="009A2CAE">
                        <w:rPr>
                          <w:rFonts w:ascii="Arial" w:hAnsi="Arial" w:cs="Arial"/>
                          <w:b/>
                          <w:bCs/>
                          <w:color w:val="000000"/>
                          <w:sz w:val="16"/>
                          <w:szCs w:val="16"/>
                        </w:rPr>
                        <w:t xml:space="preserve">to </w:t>
                      </w:r>
                      <w:r w:rsidR="00704734" w:rsidRPr="009A2CAE">
                        <w:rPr>
                          <w:rFonts w:ascii="Arial" w:hAnsi="Arial" w:cs="Arial"/>
                          <w:b/>
                          <w:bCs/>
                          <w:color w:val="000000"/>
                          <w:sz w:val="16"/>
                          <w:szCs w:val="16"/>
                        </w:rPr>
                        <w:t>12</w:t>
                      </w:r>
                      <w:r w:rsidRPr="009A2CAE">
                        <w:rPr>
                          <w:rFonts w:ascii="Arial" w:hAnsi="Arial" w:cs="Arial"/>
                          <w:b/>
                          <w:bCs/>
                          <w:color w:val="000000"/>
                          <w:sz w:val="16"/>
                          <w:szCs w:val="16"/>
                        </w:rPr>
                        <w:t>.</w:t>
                      </w:r>
                      <w:r w:rsidRPr="00721274">
                        <w:rPr>
                          <w:rFonts w:ascii="Arial" w:hAnsi="Arial" w:cs="Arial"/>
                          <w:b/>
                          <w:bCs/>
                          <w:color w:val="000000"/>
                          <w:sz w:val="16"/>
                          <w:szCs w:val="16"/>
                        </w:rPr>
                        <w:t xml:space="preserve"> </w:t>
                      </w:r>
                    </w:p>
                    <w:p w14:paraId="31AA9A32" w14:textId="20693769" w:rsidR="00721274" w:rsidRDefault="00721274" w:rsidP="00721274">
                      <w:pPr>
                        <w:pStyle w:val="Pa13"/>
                        <w:spacing w:after="40"/>
                      </w:pPr>
                    </w:p>
                  </w:txbxContent>
                </v:textbox>
              </v:shape>
            </w:pict>
          </mc:Fallback>
        </mc:AlternateContent>
      </w:r>
      <w:r w:rsidRPr="009A2CAE">
        <w:rPr>
          <w:noProof/>
          <w14:ligatures w14:val="standardContextual"/>
        </w:rPr>
        <mc:AlternateContent>
          <mc:Choice Requires="wps">
            <w:drawing>
              <wp:anchor distT="0" distB="0" distL="114300" distR="114300" simplePos="0" relativeHeight="251715584" behindDoc="0" locked="0" layoutInCell="1" allowOverlap="1" wp14:anchorId="21B18DF1" wp14:editId="2F36EFC3">
                <wp:simplePos x="0" y="0"/>
                <wp:positionH relativeFrom="column">
                  <wp:posOffset>1704975</wp:posOffset>
                </wp:positionH>
                <wp:positionV relativeFrom="paragraph">
                  <wp:posOffset>1900555</wp:posOffset>
                </wp:positionV>
                <wp:extent cx="0" cy="133350"/>
                <wp:effectExtent l="0" t="0" r="38100" b="19050"/>
                <wp:wrapNone/>
                <wp:docPr id="759634616" name="Straight Connector 18"/>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16BB5" id="Straight Connector 1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149.65pt" to="134.2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" strokecolor="black [3200]" strokeweight=".5pt">
                <v:stroke joinstyle="miter"/>
              </v:line>
            </w:pict>
          </mc:Fallback>
        </mc:AlternateContent>
      </w:r>
      <w:r w:rsidRPr="009A2CAE">
        <w:rPr>
          <w:noProof/>
        </w:rPr>
        <mc:AlternateContent>
          <mc:Choice Requires="wps">
            <w:drawing>
              <wp:anchor distT="0" distB="0" distL="114300" distR="114300" simplePos="0" relativeHeight="251705344" behindDoc="0" locked="0" layoutInCell="1" allowOverlap="1" wp14:anchorId="22E16898" wp14:editId="3B3E68F4">
                <wp:simplePos x="0" y="0"/>
                <wp:positionH relativeFrom="column">
                  <wp:posOffset>-258792</wp:posOffset>
                </wp:positionH>
                <wp:positionV relativeFrom="paragraph">
                  <wp:posOffset>2044592</wp:posOffset>
                </wp:positionV>
                <wp:extent cx="1266825" cy="4221959"/>
                <wp:effectExtent l="0" t="0" r="28575" b="26670"/>
                <wp:wrapNone/>
                <wp:docPr id="572134519" name="Text Box 572134519"/>
                <wp:cNvGraphicFramePr/>
                <a:graphic xmlns:a="http://schemas.openxmlformats.org/drawingml/2006/main">
                  <a:graphicData uri="http://schemas.microsoft.com/office/word/2010/wordprocessingShape">
                    <wps:wsp>
                      <wps:cNvSpPr txBox="1"/>
                      <wps:spPr>
                        <a:xfrm>
                          <a:off x="0" y="0"/>
                          <a:ext cx="1266825" cy="4221959"/>
                        </a:xfrm>
                        <a:prstGeom prst="rect">
                          <a:avLst/>
                        </a:prstGeom>
                        <a:solidFill>
                          <a:schemeClr val="lt1"/>
                        </a:solidFill>
                        <a:ln w="6350">
                          <a:solidFill>
                            <a:prstClr val="black"/>
                          </a:solidFill>
                        </a:ln>
                      </wps:spPr>
                      <wps:txbx>
                        <w:txbxContent>
                          <w:p w14:paraId="59580672" w14:textId="304C32BB" w:rsidR="00F41398" w:rsidRPr="00F41398" w:rsidRDefault="00721274" w:rsidP="00F41398">
                            <w:pPr>
                              <w:pStyle w:val="Pa13"/>
                              <w:spacing w:after="40"/>
                              <w:rPr>
                                <w:rFonts w:ascii="Arial" w:hAnsi="Arial" w:cs="Arial"/>
                                <w:color w:val="000000"/>
                                <w:sz w:val="16"/>
                                <w:szCs w:val="16"/>
                              </w:rPr>
                            </w:pPr>
                            <w:r w:rsidRPr="00A9557A">
                              <w:rPr>
                                <w:rFonts w:ascii="Arial" w:hAnsi="Arial" w:cs="Arial"/>
                                <w:b/>
                                <w:bCs/>
                                <w:color w:val="000000"/>
                                <w:sz w:val="16"/>
                                <w:szCs w:val="16"/>
                              </w:rPr>
                              <w:t>Audit Committee</w:t>
                            </w:r>
                            <w:r w:rsidRPr="00A9557A">
                              <w:rPr>
                                <w:rFonts w:ascii="Arial" w:hAnsi="Arial" w:cs="Arial"/>
                                <w:b/>
                                <w:bCs/>
                                <w:color w:val="000000"/>
                                <w:sz w:val="20"/>
                                <w:szCs w:val="20"/>
                              </w:rPr>
                              <w:br/>
                            </w:r>
                            <w:r w:rsidR="00F41398" w:rsidRPr="00F41398">
                              <w:rPr>
                                <w:rFonts w:ascii="Arial" w:hAnsi="Arial" w:cs="Arial"/>
                                <w:color w:val="000000"/>
                                <w:sz w:val="16"/>
                                <w:szCs w:val="16"/>
                              </w:rPr>
                              <w:t>Ensures the quality and integrity of the</w:t>
                            </w:r>
                            <w:r w:rsidR="00F41398">
                              <w:rPr>
                                <w:rFonts w:ascii="Arial" w:hAnsi="Arial" w:cs="Arial"/>
                                <w:color w:val="000000"/>
                                <w:sz w:val="16"/>
                                <w:szCs w:val="16"/>
                              </w:rPr>
                              <w:t xml:space="preserve"> Company’s</w:t>
                            </w:r>
                            <w:r w:rsidR="00F41398" w:rsidRPr="00F41398">
                              <w:rPr>
                                <w:rFonts w:ascii="Arial" w:hAnsi="Arial" w:cs="Arial"/>
                                <w:color w:val="000000"/>
                                <w:sz w:val="16"/>
                                <w:szCs w:val="16"/>
                              </w:rPr>
                              <w:t xml:space="preserve"> financial reporting, assesses the</w:t>
                            </w:r>
                          </w:p>
                          <w:p w14:paraId="659EFA88" w14:textId="2372A1F6" w:rsidR="00F41398" w:rsidRPr="00F41398"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application of</w:t>
                            </w:r>
                            <w:r>
                              <w:rPr>
                                <w:rFonts w:ascii="Arial" w:hAnsi="Arial" w:cs="Arial"/>
                                <w:color w:val="000000"/>
                                <w:sz w:val="16"/>
                                <w:szCs w:val="16"/>
                              </w:rPr>
                              <w:t xml:space="preserve"> </w:t>
                            </w:r>
                            <w:r w:rsidRPr="00F41398">
                              <w:rPr>
                                <w:rFonts w:ascii="Arial" w:hAnsi="Arial" w:cs="Arial"/>
                                <w:color w:val="000000"/>
                                <w:sz w:val="16"/>
                                <w:szCs w:val="16"/>
                              </w:rPr>
                              <w:t>accounting policies given</w:t>
                            </w:r>
                            <w:r>
                              <w:rPr>
                                <w:rFonts w:ascii="Arial" w:hAnsi="Arial" w:cs="Arial"/>
                                <w:color w:val="000000"/>
                                <w:sz w:val="16"/>
                                <w:szCs w:val="16"/>
                              </w:rPr>
                              <w:t xml:space="preserve"> </w:t>
                            </w:r>
                            <w:r w:rsidRPr="00F41398">
                              <w:rPr>
                                <w:rFonts w:ascii="Arial" w:hAnsi="Arial" w:cs="Arial"/>
                                <w:color w:val="000000"/>
                                <w:sz w:val="16"/>
                                <w:szCs w:val="16"/>
                              </w:rPr>
                              <w:t>underlying standards, probes and tests the</w:t>
                            </w:r>
                            <w:r>
                              <w:rPr>
                                <w:rFonts w:ascii="Arial" w:hAnsi="Arial" w:cs="Arial"/>
                                <w:color w:val="000000"/>
                                <w:sz w:val="16"/>
                                <w:szCs w:val="16"/>
                              </w:rPr>
                              <w:t xml:space="preserve"> </w:t>
                            </w:r>
                            <w:r w:rsidRPr="00F41398">
                              <w:rPr>
                                <w:rFonts w:ascii="Arial" w:hAnsi="Arial" w:cs="Arial"/>
                                <w:color w:val="000000"/>
                                <w:sz w:val="16"/>
                                <w:szCs w:val="16"/>
                              </w:rPr>
                              <w:t>accounting judgements made in preparing</w:t>
                            </w:r>
                            <w:r>
                              <w:rPr>
                                <w:rFonts w:ascii="Arial" w:hAnsi="Arial" w:cs="Arial"/>
                                <w:color w:val="000000"/>
                                <w:sz w:val="16"/>
                                <w:szCs w:val="16"/>
                              </w:rPr>
                              <w:t xml:space="preserve"> </w:t>
                            </w:r>
                            <w:r w:rsidRPr="00F41398">
                              <w:rPr>
                                <w:rFonts w:ascii="Arial" w:hAnsi="Arial" w:cs="Arial"/>
                                <w:color w:val="000000"/>
                                <w:sz w:val="16"/>
                                <w:szCs w:val="16"/>
                              </w:rPr>
                              <w:t>financial reporting and evaluates whether</w:t>
                            </w:r>
                            <w:r>
                              <w:rPr>
                                <w:rFonts w:ascii="Arial" w:hAnsi="Arial" w:cs="Arial"/>
                                <w:color w:val="000000"/>
                                <w:sz w:val="16"/>
                                <w:szCs w:val="16"/>
                              </w:rPr>
                              <w:t xml:space="preserve"> </w:t>
                            </w:r>
                            <w:r w:rsidRPr="00F41398">
                              <w:rPr>
                                <w:rFonts w:ascii="Arial" w:hAnsi="Arial" w:cs="Arial"/>
                                <w:color w:val="000000"/>
                                <w:sz w:val="16"/>
                                <w:szCs w:val="16"/>
                              </w:rPr>
                              <w:t xml:space="preserve">the presentation of the </w:t>
                            </w:r>
                            <w:r>
                              <w:rPr>
                                <w:rFonts w:ascii="Arial" w:hAnsi="Arial" w:cs="Arial"/>
                                <w:color w:val="000000"/>
                                <w:sz w:val="16"/>
                                <w:szCs w:val="16"/>
                              </w:rPr>
                              <w:t>Company’s</w:t>
                            </w:r>
                            <w:r w:rsidRPr="00F41398">
                              <w:rPr>
                                <w:rFonts w:ascii="Arial" w:hAnsi="Arial" w:cs="Arial"/>
                                <w:color w:val="000000"/>
                                <w:sz w:val="16"/>
                                <w:szCs w:val="16"/>
                              </w:rPr>
                              <w:t xml:space="preserve"> activities is</w:t>
                            </w:r>
                          </w:p>
                          <w:p w14:paraId="1EFE31AA" w14:textId="173FE6CF" w:rsidR="00F41398" w:rsidRPr="00F41398"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 xml:space="preserve">fair, balanced and </w:t>
                            </w:r>
                            <w:r>
                              <w:rPr>
                                <w:rFonts w:ascii="Arial" w:hAnsi="Arial" w:cs="Arial"/>
                                <w:color w:val="000000"/>
                                <w:sz w:val="16"/>
                                <w:szCs w:val="16"/>
                              </w:rPr>
                              <w:t>understandable</w:t>
                            </w:r>
                            <w:r w:rsidRPr="00F41398">
                              <w:rPr>
                                <w:rFonts w:ascii="Arial" w:hAnsi="Arial" w:cs="Arial"/>
                                <w:color w:val="000000"/>
                                <w:sz w:val="16"/>
                                <w:szCs w:val="16"/>
                              </w:rPr>
                              <w:t>.</w:t>
                            </w:r>
                          </w:p>
                          <w:p w14:paraId="18C3FCB5" w14:textId="439068ED" w:rsidR="00F41398" w:rsidRPr="00F41398"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 xml:space="preserve">Reviews and </w:t>
                            </w:r>
                            <w:r>
                              <w:rPr>
                                <w:rFonts w:ascii="Arial" w:hAnsi="Arial" w:cs="Arial"/>
                                <w:color w:val="000000"/>
                                <w:sz w:val="16"/>
                                <w:szCs w:val="16"/>
                              </w:rPr>
                              <w:t xml:space="preserve"> </w:t>
                            </w:r>
                            <w:r w:rsidRPr="00F41398">
                              <w:rPr>
                                <w:rFonts w:ascii="Arial" w:hAnsi="Arial" w:cs="Arial"/>
                                <w:color w:val="000000"/>
                                <w:sz w:val="16"/>
                                <w:szCs w:val="16"/>
                              </w:rPr>
                              <w:t>challenges the ongoing</w:t>
                            </w:r>
                          </w:p>
                          <w:p w14:paraId="0D49F861" w14:textId="6C77D3AC" w:rsidR="00F41398" w:rsidRPr="00735726"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effectiveness of the internal control</w:t>
                            </w:r>
                            <w:r>
                              <w:rPr>
                                <w:rFonts w:ascii="Arial" w:hAnsi="Arial" w:cs="Arial"/>
                                <w:color w:val="000000"/>
                                <w:sz w:val="16"/>
                                <w:szCs w:val="16"/>
                              </w:rPr>
                              <w:t xml:space="preserve"> </w:t>
                            </w:r>
                            <w:r w:rsidRPr="00F41398">
                              <w:rPr>
                                <w:rFonts w:ascii="Arial" w:hAnsi="Arial" w:cs="Arial"/>
                                <w:color w:val="000000"/>
                                <w:sz w:val="16"/>
                                <w:szCs w:val="16"/>
                              </w:rPr>
                              <w:t xml:space="preserve">environment and the </w:t>
                            </w:r>
                            <w:r w:rsidRPr="00735726">
                              <w:rPr>
                                <w:rFonts w:ascii="Arial" w:hAnsi="Arial" w:cs="Arial"/>
                                <w:color w:val="000000"/>
                                <w:sz w:val="16"/>
                                <w:szCs w:val="16"/>
                              </w:rPr>
                              <w:t>scope and adequacy of</w:t>
                            </w:r>
                          </w:p>
                          <w:p w14:paraId="14318BB5" w14:textId="05789234" w:rsidR="00F41398" w:rsidRPr="00735726" w:rsidRDefault="00F41398" w:rsidP="00F41398">
                            <w:pPr>
                              <w:pStyle w:val="Pa13"/>
                              <w:spacing w:after="40"/>
                              <w:rPr>
                                <w:rFonts w:ascii="Arial" w:hAnsi="Arial" w:cs="Arial"/>
                                <w:color w:val="000000"/>
                                <w:sz w:val="16"/>
                                <w:szCs w:val="16"/>
                              </w:rPr>
                            </w:pPr>
                            <w:r w:rsidRPr="00735726">
                              <w:rPr>
                                <w:rFonts w:ascii="Arial" w:hAnsi="Arial" w:cs="Arial"/>
                                <w:color w:val="000000"/>
                                <w:sz w:val="16"/>
                                <w:szCs w:val="16"/>
                              </w:rPr>
                              <w:t>risk management processes across the Company.</w:t>
                            </w:r>
                            <w:r w:rsidRPr="00735726">
                              <w:rPr>
                                <w:rFonts w:ascii="Arial" w:hAnsi="Arial" w:cs="Arial"/>
                                <w:color w:val="000000"/>
                                <w:sz w:val="16"/>
                                <w:szCs w:val="16"/>
                              </w:rPr>
                              <w:br/>
                            </w:r>
                          </w:p>
                          <w:p w14:paraId="3E7A0048" w14:textId="2D80709F" w:rsidR="00721274" w:rsidRPr="00721274" w:rsidRDefault="00721274" w:rsidP="00721274">
                            <w:pPr>
                              <w:pStyle w:val="Pa13"/>
                              <w:spacing w:after="40"/>
                              <w:rPr>
                                <w:b/>
                                <w:bCs/>
                              </w:rPr>
                            </w:pPr>
                            <w:r w:rsidRPr="00735726">
                              <w:rPr>
                                <w:rFonts w:ascii="Arial" w:hAnsi="Arial" w:cs="Arial"/>
                                <w:b/>
                                <w:bCs/>
                                <w:color w:val="000000"/>
                                <w:sz w:val="16"/>
                                <w:szCs w:val="16"/>
                              </w:rPr>
                              <w:t xml:space="preserve">Audit Committee Report on </w:t>
                            </w:r>
                            <w:r w:rsidRPr="009A2CAE">
                              <w:rPr>
                                <w:rFonts w:ascii="Arial" w:hAnsi="Arial" w:cs="Arial"/>
                                <w:b/>
                                <w:bCs/>
                                <w:color w:val="000000"/>
                                <w:sz w:val="16"/>
                                <w:szCs w:val="16"/>
                              </w:rPr>
                              <w:t xml:space="preserve">pages </w:t>
                            </w:r>
                            <w:r w:rsidR="00704734" w:rsidRPr="009A2CAE">
                              <w:rPr>
                                <w:rFonts w:ascii="Arial" w:hAnsi="Arial" w:cs="Arial"/>
                                <w:b/>
                                <w:bCs/>
                                <w:color w:val="000000"/>
                                <w:sz w:val="16"/>
                                <w:szCs w:val="16"/>
                              </w:rPr>
                              <w:t xml:space="preserve">130 </w:t>
                            </w:r>
                            <w:r w:rsidR="00F41398" w:rsidRPr="009A2CAE">
                              <w:rPr>
                                <w:rFonts w:ascii="Arial" w:hAnsi="Arial" w:cs="Arial"/>
                                <w:b/>
                                <w:bCs/>
                                <w:color w:val="000000"/>
                                <w:sz w:val="16"/>
                                <w:szCs w:val="16"/>
                              </w:rPr>
                              <w:t xml:space="preserve">to </w:t>
                            </w:r>
                            <w:r w:rsidR="00704734" w:rsidRPr="009A2CAE">
                              <w:rPr>
                                <w:rFonts w:ascii="Arial" w:hAnsi="Arial" w:cs="Arial"/>
                                <w:b/>
                                <w:bCs/>
                                <w:color w:val="000000"/>
                                <w:sz w:val="16"/>
                                <w:szCs w:val="16"/>
                              </w:rPr>
                              <w:t>139</w:t>
                            </w:r>
                            <w:r w:rsidRPr="009A2CAE">
                              <w:rPr>
                                <w:rFonts w:ascii="Arial" w:hAnsi="Arial" w:cs="Arial"/>
                                <w:b/>
                                <w:bCs/>
                                <w:color w:val="000000"/>
                                <w:sz w:val="16"/>
                                <w:szCs w:val="16"/>
                              </w:rPr>
                              <w:t>.</w:t>
                            </w:r>
                            <w:r w:rsidRPr="00721274">
                              <w:rPr>
                                <w:rFonts w:ascii="Arial" w:hAnsi="Arial" w:cs="Arial"/>
                                <w:b/>
                                <w:bCs/>
                                <w:color w:val="00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6898" id="Text Box 572134519" o:spid="_x0000_s1030" type="#_x0000_t202" style="position:absolute;margin-left:-20.4pt;margin-top:161pt;width:99.75pt;height:33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" fillcolor="white [3201]" strokeweight=".5pt">
                <v:textbox>
                  <w:txbxContent>
                    <w:p w14:paraId="59580672" w14:textId="304C32BB" w:rsidR="00F41398" w:rsidRPr="00F41398" w:rsidRDefault="00721274" w:rsidP="00F41398">
                      <w:pPr>
                        <w:pStyle w:val="Pa13"/>
                        <w:spacing w:after="40"/>
                        <w:rPr>
                          <w:rFonts w:ascii="Arial" w:hAnsi="Arial" w:cs="Arial"/>
                          <w:color w:val="000000"/>
                          <w:sz w:val="16"/>
                          <w:szCs w:val="16"/>
                        </w:rPr>
                      </w:pPr>
                      <w:r w:rsidRPr="00A9557A">
                        <w:rPr>
                          <w:rFonts w:ascii="Arial" w:hAnsi="Arial" w:cs="Arial"/>
                          <w:b/>
                          <w:bCs/>
                          <w:color w:val="000000"/>
                          <w:sz w:val="16"/>
                          <w:szCs w:val="16"/>
                        </w:rPr>
                        <w:t>Audit Committee</w:t>
                      </w:r>
                      <w:r w:rsidRPr="00A9557A">
                        <w:rPr>
                          <w:rFonts w:ascii="Arial" w:hAnsi="Arial" w:cs="Arial"/>
                          <w:b/>
                          <w:bCs/>
                          <w:color w:val="000000"/>
                          <w:sz w:val="20"/>
                          <w:szCs w:val="20"/>
                        </w:rPr>
                        <w:br/>
                      </w:r>
                      <w:r w:rsidR="00F41398" w:rsidRPr="00F41398">
                        <w:rPr>
                          <w:rFonts w:ascii="Arial" w:hAnsi="Arial" w:cs="Arial"/>
                          <w:color w:val="000000"/>
                          <w:sz w:val="16"/>
                          <w:szCs w:val="16"/>
                        </w:rPr>
                        <w:t>Ensures the quality and integrity of the</w:t>
                      </w:r>
                      <w:r w:rsidR="00F41398">
                        <w:rPr>
                          <w:rFonts w:ascii="Arial" w:hAnsi="Arial" w:cs="Arial"/>
                          <w:color w:val="000000"/>
                          <w:sz w:val="16"/>
                          <w:szCs w:val="16"/>
                        </w:rPr>
                        <w:t xml:space="preserve"> Company’s</w:t>
                      </w:r>
                      <w:r w:rsidR="00F41398" w:rsidRPr="00F41398">
                        <w:rPr>
                          <w:rFonts w:ascii="Arial" w:hAnsi="Arial" w:cs="Arial"/>
                          <w:color w:val="000000"/>
                          <w:sz w:val="16"/>
                          <w:szCs w:val="16"/>
                        </w:rPr>
                        <w:t xml:space="preserve"> financial reporting, assesses the</w:t>
                      </w:r>
                    </w:p>
                    <w:p w14:paraId="659EFA88" w14:textId="2372A1F6" w:rsidR="00F41398" w:rsidRPr="00F41398"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application of</w:t>
                      </w:r>
                      <w:r>
                        <w:rPr>
                          <w:rFonts w:ascii="Arial" w:hAnsi="Arial" w:cs="Arial"/>
                          <w:color w:val="000000"/>
                          <w:sz w:val="16"/>
                          <w:szCs w:val="16"/>
                        </w:rPr>
                        <w:t xml:space="preserve"> </w:t>
                      </w:r>
                      <w:r w:rsidRPr="00F41398">
                        <w:rPr>
                          <w:rFonts w:ascii="Arial" w:hAnsi="Arial" w:cs="Arial"/>
                          <w:color w:val="000000"/>
                          <w:sz w:val="16"/>
                          <w:szCs w:val="16"/>
                        </w:rPr>
                        <w:t>accounting policies given</w:t>
                      </w:r>
                      <w:r>
                        <w:rPr>
                          <w:rFonts w:ascii="Arial" w:hAnsi="Arial" w:cs="Arial"/>
                          <w:color w:val="000000"/>
                          <w:sz w:val="16"/>
                          <w:szCs w:val="16"/>
                        </w:rPr>
                        <w:t xml:space="preserve"> </w:t>
                      </w:r>
                      <w:r w:rsidRPr="00F41398">
                        <w:rPr>
                          <w:rFonts w:ascii="Arial" w:hAnsi="Arial" w:cs="Arial"/>
                          <w:color w:val="000000"/>
                          <w:sz w:val="16"/>
                          <w:szCs w:val="16"/>
                        </w:rPr>
                        <w:t>underlying standards, probes and tests the</w:t>
                      </w:r>
                      <w:r>
                        <w:rPr>
                          <w:rFonts w:ascii="Arial" w:hAnsi="Arial" w:cs="Arial"/>
                          <w:color w:val="000000"/>
                          <w:sz w:val="16"/>
                          <w:szCs w:val="16"/>
                        </w:rPr>
                        <w:t xml:space="preserve"> </w:t>
                      </w:r>
                      <w:r w:rsidRPr="00F41398">
                        <w:rPr>
                          <w:rFonts w:ascii="Arial" w:hAnsi="Arial" w:cs="Arial"/>
                          <w:color w:val="000000"/>
                          <w:sz w:val="16"/>
                          <w:szCs w:val="16"/>
                        </w:rPr>
                        <w:t>accounting judgements made in preparing</w:t>
                      </w:r>
                      <w:r>
                        <w:rPr>
                          <w:rFonts w:ascii="Arial" w:hAnsi="Arial" w:cs="Arial"/>
                          <w:color w:val="000000"/>
                          <w:sz w:val="16"/>
                          <w:szCs w:val="16"/>
                        </w:rPr>
                        <w:t xml:space="preserve"> </w:t>
                      </w:r>
                      <w:r w:rsidRPr="00F41398">
                        <w:rPr>
                          <w:rFonts w:ascii="Arial" w:hAnsi="Arial" w:cs="Arial"/>
                          <w:color w:val="000000"/>
                          <w:sz w:val="16"/>
                          <w:szCs w:val="16"/>
                        </w:rPr>
                        <w:t>financial reporting and evaluates whether</w:t>
                      </w:r>
                      <w:r>
                        <w:rPr>
                          <w:rFonts w:ascii="Arial" w:hAnsi="Arial" w:cs="Arial"/>
                          <w:color w:val="000000"/>
                          <w:sz w:val="16"/>
                          <w:szCs w:val="16"/>
                        </w:rPr>
                        <w:t xml:space="preserve"> </w:t>
                      </w:r>
                      <w:r w:rsidRPr="00F41398">
                        <w:rPr>
                          <w:rFonts w:ascii="Arial" w:hAnsi="Arial" w:cs="Arial"/>
                          <w:color w:val="000000"/>
                          <w:sz w:val="16"/>
                          <w:szCs w:val="16"/>
                        </w:rPr>
                        <w:t xml:space="preserve">the presentation of the </w:t>
                      </w:r>
                      <w:r>
                        <w:rPr>
                          <w:rFonts w:ascii="Arial" w:hAnsi="Arial" w:cs="Arial"/>
                          <w:color w:val="000000"/>
                          <w:sz w:val="16"/>
                          <w:szCs w:val="16"/>
                        </w:rPr>
                        <w:t>Company’s</w:t>
                      </w:r>
                      <w:r w:rsidRPr="00F41398">
                        <w:rPr>
                          <w:rFonts w:ascii="Arial" w:hAnsi="Arial" w:cs="Arial"/>
                          <w:color w:val="000000"/>
                          <w:sz w:val="16"/>
                          <w:szCs w:val="16"/>
                        </w:rPr>
                        <w:t xml:space="preserve"> activities is</w:t>
                      </w:r>
                    </w:p>
                    <w:p w14:paraId="1EFE31AA" w14:textId="173FE6CF" w:rsidR="00F41398" w:rsidRPr="00F41398"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 xml:space="preserve">fair, balanced and </w:t>
                      </w:r>
                      <w:r>
                        <w:rPr>
                          <w:rFonts w:ascii="Arial" w:hAnsi="Arial" w:cs="Arial"/>
                          <w:color w:val="000000"/>
                          <w:sz w:val="16"/>
                          <w:szCs w:val="16"/>
                        </w:rPr>
                        <w:t>understandable</w:t>
                      </w:r>
                      <w:r w:rsidRPr="00F41398">
                        <w:rPr>
                          <w:rFonts w:ascii="Arial" w:hAnsi="Arial" w:cs="Arial"/>
                          <w:color w:val="000000"/>
                          <w:sz w:val="16"/>
                          <w:szCs w:val="16"/>
                        </w:rPr>
                        <w:t>.</w:t>
                      </w:r>
                    </w:p>
                    <w:p w14:paraId="18C3FCB5" w14:textId="439068ED" w:rsidR="00F41398" w:rsidRPr="00F41398"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 xml:space="preserve">Reviews and </w:t>
                      </w:r>
                      <w:r>
                        <w:rPr>
                          <w:rFonts w:ascii="Arial" w:hAnsi="Arial" w:cs="Arial"/>
                          <w:color w:val="000000"/>
                          <w:sz w:val="16"/>
                          <w:szCs w:val="16"/>
                        </w:rPr>
                        <w:t xml:space="preserve"> </w:t>
                      </w:r>
                      <w:r w:rsidRPr="00F41398">
                        <w:rPr>
                          <w:rFonts w:ascii="Arial" w:hAnsi="Arial" w:cs="Arial"/>
                          <w:color w:val="000000"/>
                          <w:sz w:val="16"/>
                          <w:szCs w:val="16"/>
                        </w:rPr>
                        <w:t>challenges the ongoing</w:t>
                      </w:r>
                    </w:p>
                    <w:p w14:paraId="0D49F861" w14:textId="6C77D3AC" w:rsidR="00F41398" w:rsidRPr="00735726" w:rsidRDefault="00F41398" w:rsidP="00F41398">
                      <w:pPr>
                        <w:pStyle w:val="Pa13"/>
                        <w:spacing w:after="40"/>
                        <w:rPr>
                          <w:rFonts w:ascii="Arial" w:hAnsi="Arial" w:cs="Arial"/>
                          <w:color w:val="000000"/>
                          <w:sz w:val="16"/>
                          <w:szCs w:val="16"/>
                        </w:rPr>
                      </w:pPr>
                      <w:r w:rsidRPr="00F41398">
                        <w:rPr>
                          <w:rFonts w:ascii="Arial" w:hAnsi="Arial" w:cs="Arial"/>
                          <w:color w:val="000000"/>
                          <w:sz w:val="16"/>
                          <w:szCs w:val="16"/>
                        </w:rPr>
                        <w:t>effectiveness of the internal control</w:t>
                      </w:r>
                      <w:r>
                        <w:rPr>
                          <w:rFonts w:ascii="Arial" w:hAnsi="Arial" w:cs="Arial"/>
                          <w:color w:val="000000"/>
                          <w:sz w:val="16"/>
                          <w:szCs w:val="16"/>
                        </w:rPr>
                        <w:t xml:space="preserve"> </w:t>
                      </w:r>
                      <w:r w:rsidRPr="00F41398">
                        <w:rPr>
                          <w:rFonts w:ascii="Arial" w:hAnsi="Arial" w:cs="Arial"/>
                          <w:color w:val="000000"/>
                          <w:sz w:val="16"/>
                          <w:szCs w:val="16"/>
                        </w:rPr>
                        <w:t xml:space="preserve">environment and the </w:t>
                      </w:r>
                      <w:r w:rsidRPr="00735726">
                        <w:rPr>
                          <w:rFonts w:ascii="Arial" w:hAnsi="Arial" w:cs="Arial"/>
                          <w:color w:val="000000"/>
                          <w:sz w:val="16"/>
                          <w:szCs w:val="16"/>
                        </w:rPr>
                        <w:t>scope and adequacy of</w:t>
                      </w:r>
                    </w:p>
                    <w:p w14:paraId="14318BB5" w14:textId="05789234" w:rsidR="00F41398" w:rsidRPr="00735726" w:rsidRDefault="00F41398" w:rsidP="00F41398">
                      <w:pPr>
                        <w:pStyle w:val="Pa13"/>
                        <w:spacing w:after="40"/>
                        <w:rPr>
                          <w:rFonts w:ascii="Arial" w:hAnsi="Arial" w:cs="Arial"/>
                          <w:color w:val="000000"/>
                          <w:sz w:val="16"/>
                          <w:szCs w:val="16"/>
                        </w:rPr>
                      </w:pPr>
                      <w:r w:rsidRPr="00735726">
                        <w:rPr>
                          <w:rFonts w:ascii="Arial" w:hAnsi="Arial" w:cs="Arial"/>
                          <w:color w:val="000000"/>
                          <w:sz w:val="16"/>
                          <w:szCs w:val="16"/>
                        </w:rPr>
                        <w:t>risk management processes across the Company.</w:t>
                      </w:r>
                      <w:r w:rsidRPr="00735726">
                        <w:rPr>
                          <w:rFonts w:ascii="Arial" w:hAnsi="Arial" w:cs="Arial"/>
                          <w:color w:val="000000"/>
                          <w:sz w:val="16"/>
                          <w:szCs w:val="16"/>
                        </w:rPr>
                        <w:br/>
                      </w:r>
                    </w:p>
                    <w:p w14:paraId="3E7A0048" w14:textId="2D80709F" w:rsidR="00721274" w:rsidRPr="00721274" w:rsidRDefault="00721274" w:rsidP="00721274">
                      <w:pPr>
                        <w:pStyle w:val="Pa13"/>
                        <w:spacing w:after="40"/>
                        <w:rPr>
                          <w:b/>
                          <w:bCs/>
                        </w:rPr>
                      </w:pPr>
                      <w:r w:rsidRPr="00735726">
                        <w:rPr>
                          <w:rFonts w:ascii="Arial" w:hAnsi="Arial" w:cs="Arial"/>
                          <w:b/>
                          <w:bCs/>
                          <w:color w:val="000000"/>
                          <w:sz w:val="16"/>
                          <w:szCs w:val="16"/>
                        </w:rPr>
                        <w:t xml:space="preserve">Audit Committee Report on </w:t>
                      </w:r>
                      <w:r w:rsidRPr="009A2CAE">
                        <w:rPr>
                          <w:rFonts w:ascii="Arial" w:hAnsi="Arial" w:cs="Arial"/>
                          <w:b/>
                          <w:bCs/>
                          <w:color w:val="000000"/>
                          <w:sz w:val="16"/>
                          <w:szCs w:val="16"/>
                        </w:rPr>
                        <w:t xml:space="preserve">pages </w:t>
                      </w:r>
                      <w:r w:rsidR="00704734" w:rsidRPr="009A2CAE">
                        <w:rPr>
                          <w:rFonts w:ascii="Arial" w:hAnsi="Arial" w:cs="Arial"/>
                          <w:b/>
                          <w:bCs/>
                          <w:color w:val="000000"/>
                          <w:sz w:val="16"/>
                          <w:szCs w:val="16"/>
                        </w:rPr>
                        <w:t xml:space="preserve">130 </w:t>
                      </w:r>
                      <w:r w:rsidR="00F41398" w:rsidRPr="009A2CAE">
                        <w:rPr>
                          <w:rFonts w:ascii="Arial" w:hAnsi="Arial" w:cs="Arial"/>
                          <w:b/>
                          <w:bCs/>
                          <w:color w:val="000000"/>
                          <w:sz w:val="16"/>
                          <w:szCs w:val="16"/>
                        </w:rPr>
                        <w:t xml:space="preserve">to </w:t>
                      </w:r>
                      <w:r w:rsidR="00704734" w:rsidRPr="009A2CAE">
                        <w:rPr>
                          <w:rFonts w:ascii="Arial" w:hAnsi="Arial" w:cs="Arial"/>
                          <w:b/>
                          <w:bCs/>
                          <w:color w:val="000000"/>
                          <w:sz w:val="16"/>
                          <w:szCs w:val="16"/>
                        </w:rPr>
                        <w:t>139</w:t>
                      </w:r>
                      <w:r w:rsidRPr="009A2CAE">
                        <w:rPr>
                          <w:rFonts w:ascii="Arial" w:hAnsi="Arial" w:cs="Arial"/>
                          <w:b/>
                          <w:bCs/>
                          <w:color w:val="000000"/>
                          <w:sz w:val="16"/>
                          <w:szCs w:val="16"/>
                        </w:rPr>
                        <w:t>.</w:t>
                      </w:r>
                      <w:r w:rsidRPr="00721274">
                        <w:rPr>
                          <w:rFonts w:ascii="Arial" w:hAnsi="Arial" w:cs="Arial"/>
                          <w:b/>
                          <w:bCs/>
                          <w:color w:val="000000"/>
                          <w:sz w:val="16"/>
                          <w:szCs w:val="16"/>
                        </w:rPr>
                        <w:t xml:space="preserve"> </w:t>
                      </w:r>
                    </w:p>
                  </w:txbxContent>
                </v:textbox>
              </v:shape>
            </w:pict>
          </mc:Fallback>
        </mc:AlternateContent>
      </w:r>
      <w:r w:rsidRPr="009A2CAE">
        <w:rPr>
          <w:noProof/>
        </w:rPr>
        <mc:AlternateContent>
          <mc:Choice Requires="wps">
            <w:drawing>
              <wp:anchor distT="0" distB="0" distL="114300" distR="114300" simplePos="0" relativeHeight="251707392" behindDoc="0" locked="0" layoutInCell="1" allowOverlap="1" wp14:anchorId="2C16A453" wp14:editId="0D0CA139">
                <wp:simplePos x="0" y="0"/>
                <wp:positionH relativeFrom="column">
                  <wp:posOffset>323850</wp:posOffset>
                </wp:positionH>
                <wp:positionV relativeFrom="paragraph">
                  <wp:posOffset>1891401</wp:posOffset>
                </wp:positionV>
                <wp:extent cx="0" cy="133350"/>
                <wp:effectExtent l="0" t="0" r="38100" b="19050"/>
                <wp:wrapNone/>
                <wp:docPr id="1266561262" name="Straight Connector 1266561262"/>
                <wp:cNvGraphicFramePr/>
                <a:graphic xmlns:a="http://schemas.openxmlformats.org/drawingml/2006/main">
                  <a:graphicData uri="http://schemas.microsoft.com/office/word/2010/wordprocessingShape">
                    <wps:wsp>
                      <wps:cNvCnPr/>
                      <wps:spPr>
                        <a:xfrm flipH="1">
                          <a:off x="0" y="0"/>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C73BD" id="Straight Connector 1266561262"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48.95pt" to="25.5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" strokecolor="black [3213]" strokeweight=".5pt">
                <v:stroke joinstyle="miter"/>
              </v:line>
            </w:pict>
          </mc:Fallback>
        </mc:AlternateContent>
      </w:r>
      <w:r w:rsidR="008E0BB1" w:rsidRPr="009A2CAE">
        <w:rPr>
          <w:noProof/>
        </w:rPr>
        <mc:AlternateContent>
          <mc:Choice Requires="wps">
            <w:drawing>
              <wp:anchor distT="0" distB="0" distL="114300" distR="114300" simplePos="0" relativeHeight="251713536" behindDoc="0" locked="0" layoutInCell="1" allowOverlap="1" wp14:anchorId="36DFA221" wp14:editId="522D6AD5">
                <wp:simplePos x="0" y="0"/>
                <wp:positionH relativeFrom="margin">
                  <wp:posOffset>-257175</wp:posOffset>
                </wp:positionH>
                <wp:positionV relativeFrom="paragraph">
                  <wp:posOffset>6519544</wp:posOffset>
                </wp:positionV>
                <wp:extent cx="6315075" cy="1266825"/>
                <wp:effectExtent l="0" t="0" r="28575" b="28575"/>
                <wp:wrapNone/>
                <wp:docPr id="1067196688" name="Text Box 1067196688"/>
                <wp:cNvGraphicFramePr/>
                <a:graphic xmlns:a="http://schemas.openxmlformats.org/drawingml/2006/main">
                  <a:graphicData uri="http://schemas.microsoft.com/office/word/2010/wordprocessingShape">
                    <wps:wsp>
                      <wps:cNvSpPr txBox="1"/>
                      <wps:spPr>
                        <a:xfrm>
                          <a:off x="0" y="0"/>
                          <a:ext cx="6315075" cy="1266825"/>
                        </a:xfrm>
                        <a:prstGeom prst="rect">
                          <a:avLst/>
                        </a:prstGeom>
                        <a:solidFill>
                          <a:schemeClr val="lt1"/>
                        </a:solidFill>
                        <a:ln w="6350">
                          <a:solidFill>
                            <a:prstClr val="black"/>
                          </a:solidFill>
                        </a:ln>
                      </wps:spPr>
                      <wps:txbx>
                        <w:txbxContent>
                          <w:p w14:paraId="72ED1EC8" w14:textId="2215CEBF" w:rsidR="008E0BB1" w:rsidRPr="009A2CAE" w:rsidRDefault="00721274" w:rsidP="008E0BB1">
                            <w:pPr>
                              <w:rPr>
                                <w:rFonts w:ascii="Arial" w:hAnsi="Arial" w:cs="Arial"/>
                                <w:color w:val="000000"/>
                                <w:sz w:val="16"/>
                                <w:szCs w:val="16"/>
                              </w:rPr>
                            </w:pPr>
                            <w:r w:rsidRPr="009A2CAE">
                              <w:rPr>
                                <w:rFonts w:ascii="Arial" w:hAnsi="Arial" w:cs="Arial"/>
                                <w:b/>
                                <w:bCs/>
                                <w:color w:val="000000"/>
                                <w:sz w:val="16"/>
                                <w:szCs w:val="16"/>
                              </w:rPr>
                              <w:t>Chief Executive Officer and Executive Board</w:t>
                            </w:r>
                            <w:r w:rsidRPr="009A2CAE">
                              <w:rPr>
                                <w:rFonts w:cs="Calibre Semibold"/>
                                <w:b/>
                                <w:bCs/>
                                <w:color w:val="000000"/>
                                <w:sz w:val="20"/>
                                <w:szCs w:val="20"/>
                              </w:rPr>
                              <w:br/>
                            </w:r>
                            <w:r w:rsidR="00F41398" w:rsidRPr="009A2CAE">
                              <w:rPr>
                                <w:rFonts w:ascii="Arial" w:hAnsi="Arial" w:cs="Arial"/>
                                <w:color w:val="000000"/>
                                <w:sz w:val="16"/>
                                <w:szCs w:val="16"/>
                              </w:rPr>
                              <w:t xml:space="preserve">Responsible for framing and navigating the business objectives to achieve delivery of the </w:t>
                            </w:r>
                            <w:r w:rsidR="008E0BB1" w:rsidRPr="009A2CAE">
                              <w:rPr>
                                <w:rFonts w:ascii="Arial" w:hAnsi="Arial" w:cs="Arial"/>
                                <w:color w:val="000000"/>
                                <w:sz w:val="16"/>
                                <w:szCs w:val="16"/>
                              </w:rPr>
                              <w:t>Company’s</w:t>
                            </w:r>
                            <w:r w:rsidR="00F41398" w:rsidRPr="009A2CAE">
                              <w:rPr>
                                <w:rFonts w:ascii="Arial" w:hAnsi="Arial" w:cs="Arial"/>
                                <w:color w:val="000000"/>
                                <w:sz w:val="16"/>
                                <w:szCs w:val="16"/>
                              </w:rPr>
                              <w:t xml:space="preserve"> strategy. To the extent of the authority delegated by the Board, ensuring the proper and prudent management of </w:t>
                            </w:r>
                            <w:r w:rsidR="008E0BB1" w:rsidRPr="009A2CAE">
                              <w:rPr>
                                <w:rFonts w:ascii="Arial" w:hAnsi="Arial" w:cs="Arial"/>
                                <w:color w:val="000000"/>
                                <w:sz w:val="16"/>
                                <w:szCs w:val="16"/>
                              </w:rPr>
                              <w:t>Company</w:t>
                            </w:r>
                            <w:r w:rsidR="00F41398" w:rsidRPr="009A2CAE">
                              <w:rPr>
                                <w:rFonts w:ascii="Arial" w:hAnsi="Arial" w:cs="Arial"/>
                                <w:color w:val="000000"/>
                                <w:sz w:val="16"/>
                                <w:szCs w:val="16"/>
                              </w:rPr>
                              <w:t xml:space="preserve"> resources to create and maximise value while protecting the interests of the wider stakeholder group.</w:t>
                            </w:r>
                            <w:r w:rsidR="008E0BB1" w:rsidRPr="009A2CAE">
                              <w:rPr>
                                <w:rFonts w:ascii="Calibre-Light" w:hAnsi="Calibre-Light" w:cs="Calibre-Light"/>
                                <w:color w:val="414142"/>
                                <w:sz w:val="16"/>
                                <w:szCs w:val="16"/>
                              </w:rPr>
                              <w:t xml:space="preserve"> </w:t>
                            </w:r>
                            <w:r w:rsidR="008E0BB1" w:rsidRPr="009A2CAE">
                              <w:rPr>
                                <w:rFonts w:ascii="Arial" w:hAnsi="Arial" w:cs="Arial"/>
                                <w:color w:val="000000"/>
                                <w:sz w:val="16"/>
                                <w:szCs w:val="16"/>
                              </w:rPr>
                              <w:t>Chaired by the Chief Executive Officer, the Executive Board meets regularly to receive reports from the management committees and to ratify recommendations to be presented to the Board.</w:t>
                            </w:r>
                          </w:p>
                          <w:p w14:paraId="355F5C03" w14:textId="56F2222C" w:rsidR="00721274" w:rsidRPr="00E400F5" w:rsidRDefault="008E0BB1" w:rsidP="008E0BB1">
                            <w:pPr>
                              <w:rPr>
                                <w:rFonts w:ascii="Arial" w:hAnsi="Arial" w:cs="Arial"/>
                                <w:color w:val="000000"/>
                                <w:sz w:val="16"/>
                                <w:szCs w:val="16"/>
                              </w:rPr>
                            </w:pPr>
                            <w:r w:rsidRPr="009A2CAE">
                              <w:rPr>
                                <w:rFonts w:ascii="Arial" w:hAnsi="Arial" w:cs="Arial"/>
                                <w:color w:val="000000"/>
                                <w:sz w:val="16"/>
                                <w:szCs w:val="16"/>
                              </w:rPr>
                              <w:t>* An Operating Committee headed by the Chair acted in the absence of the Chief Executive Officer between 1 January 2026 to 31 March 2026 to ensure continuity and stability in delivery of the business strategy.</w:t>
                            </w:r>
                          </w:p>
                          <w:p w14:paraId="2659ADC4" w14:textId="77777777" w:rsidR="00721274" w:rsidRPr="0077359F" w:rsidRDefault="00721274" w:rsidP="00721274">
                            <w:pPr>
                              <w:rPr>
                                <w:rFonts w:ascii="Arial" w:hAnsi="Arial" w:cs="Arial"/>
                                <w:color w:val="000000"/>
                                <w:sz w:val="16"/>
                                <w:szCs w:val="16"/>
                                <w:highlight w:val="yellow"/>
                              </w:rPr>
                            </w:pPr>
                          </w:p>
                          <w:p w14:paraId="596C0767" w14:textId="77777777" w:rsidR="00721274" w:rsidRDefault="00721274" w:rsidP="0072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A221" id="Text Box 1067196688" o:spid="_x0000_s1031" type="#_x0000_t202" style="position:absolute;margin-left:-20.25pt;margin-top:513.35pt;width:497.25pt;height:99.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" fillcolor="white [3201]" strokeweight=".5pt">
                <v:textbox>
                  <w:txbxContent>
                    <w:p w14:paraId="72ED1EC8" w14:textId="2215CEBF" w:rsidR="008E0BB1" w:rsidRPr="009A2CAE" w:rsidRDefault="00721274" w:rsidP="008E0BB1">
                      <w:pPr>
                        <w:rPr>
                          <w:rFonts w:ascii="Arial" w:hAnsi="Arial" w:cs="Arial"/>
                          <w:color w:val="000000"/>
                          <w:sz w:val="16"/>
                          <w:szCs w:val="16"/>
                        </w:rPr>
                      </w:pPr>
                      <w:r w:rsidRPr="009A2CAE">
                        <w:rPr>
                          <w:rFonts w:ascii="Arial" w:hAnsi="Arial" w:cs="Arial"/>
                          <w:b/>
                          <w:bCs/>
                          <w:color w:val="000000"/>
                          <w:sz w:val="16"/>
                          <w:szCs w:val="16"/>
                        </w:rPr>
                        <w:t>Chief Executive Officer and Executive Board</w:t>
                      </w:r>
                      <w:r w:rsidRPr="009A2CAE">
                        <w:rPr>
                          <w:rFonts w:cs="Calibre Semibold"/>
                          <w:b/>
                          <w:bCs/>
                          <w:color w:val="000000"/>
                          <w:sz w:val="20"/>
                          <w:szCs w:val="20"/>
                        </w:rPr>
                        <w:br/>
                      </w:r>
                      <w:r w:rsidR="00F41398" w:rsidRPr="009A2CAE">
                        <w:rPr>
                          <w:rFonts w:ascii="Arial" w:hAnsi="Arial" w:cs="Arial"/>
                          <w:color w:val="000000"/>
                          <w:sz w:val="16"/>
                          <w:szCs w:val="16"/>
                        </w:rPr>
                        <w:t xml:space="preserve">Responsible for framing and navigating the business objectives to achieve delivery of the </w:t>
                      </w:r>
                      <w:r w:rsidR="008E0BB1" w:rsidRPr="009A2CAE">
                        <w:rPr>
                          <w:rFonts w:ascii="Arial" w:hAnsi="Arial" w:cs="Arial"/>
                          <w:color w:val="000000"/>
                          <w:sz w:val="16"/>
                          <w:szCs w:val="16"/>
                        </w:rPr>
                        <w:t>Company’s</w:t>
                      </w:r>
                      <w:r w:rsidR="00F41398" w:rsidRPr="009A2CAE">
                        <w:rPr>
                          <w:rFonts w:ascii="Arial" w:hAnsi="Arial" w:cs="Arial"/>
                          <w:color w:val="000000"/>
                          <w:sz w:val="16"/>
                          <w:szCs w:val="16"/>
                        </w:rPr>
                        <w:t xml:space="preserve"> strategy. To the extent of the authority delegated by the Board, ensuring the proper and prudent management of </w:t>
                      </w:r>
                      <w:r w:rsidR="008E0BB1" w:rsidRPr="009A2CAE">
                        <w:rPr>
                          <w:rFonts w:ascii="Arial" w:hAnsi="Arial" w:cs="Arial"/>
                          <w:color w:val="000000"/>
                          <w:sz w:val="16"/>
                          <w:szCs w:val="16"/>
                        </w:rPr>
                        <w:t>Company</w:t>
                      </w:r>
                      <w:r w:rsidR="00F41398" w:rsidRPr="009A2CAE">
                        <w:rPr>
                          <w:rFonts w:ascii="Arial" w:hAnsi="Arial" w:cs="Arial"/>
                          <w:color w:val="000000"/>
                          <w:sz w:val="16"/>
                          <w:szCs w:val="16"/>
                        </w:rPr>
                        <w:t xml:space="preserve"> resources to create and maximise value while protecting the interests of the wider stakeholder group.</w:t>
                      </w:r>
                      <w:r w:rsidR="008E0BB1" w:rsidRPr="009A2CAE">
                        <w:rPr>
                          <w:rFonts w:ascii="Calibre-Light" w:hAnsi="Calibre-Light" w:cs="Calibre-Light"/>
                          <w:color w:val="414142"/>
                          <w:sz w:val="16"/>
                          <w:szCs w:val="16"/>
                        </w:rPr>
                        <w:t xml:space="preserve"> </w:t>
                      </w:r>
                      <w:r w:rsidR="008E0BB1" w:rsidRPr="009A2CAE">
                        <w:rPr>
                          <w:rFonts w:ascii="Arial" w:hAnsi="Arial" w:cs="Arial"/>
                          <w:color w:val="000000"/>
                          <w:sz w:val="16"/>
                          <w:szCs w:val="16"/>
                        </w:rPr>
                        <w:t>Chaired by the Chief Executive Officer, the Executive Board meets regularly to receive reports from the management committees and to ratify recommendations to be presented to the Board.</w:t>
                      </w:r>
                    </w:p>
                    <w:p w14:paraId="355F5C03" w14:textId="56F2222C" w:rsidR="00721274" w:rsidRPr="00E400F5" w:rsidRDefault="008E0BB1" w:rsidP="008E0BB1">
                      <w:pPr>
                        <w:rPr>
                          <w:rFonts w:ascii="Arial" w:hAnsi="Arial" w:cs="Arial"/>
                          <w:color w:val="000000"/>
                          <w:sz w:val="16"/>
                          <w:szCs w:val="16"/>
                        </w:rPr>
                      </w:pPr>
                      <w:r w:rsidRPr="009A2CAE">
                        <w:rPr>
                          <w:rFonts w:ascii="Arial" w:hAnsi="Arial" w:cs="Arial"/>
                          <w:color w:val="000000"/>
                          <w:sz w:val="16"/>
                          <w:szCs w:val="16"/>
                        </w:rPr>
                        <w:t>* An Operating Committee headed by the Chair acted in the absence of the Chief Executive Officer between 1 January 2026 to 31 March 2026 to ensure continuity and stability in delivery of the business strategy.</w:t>
                      </w:r>
                    </w:p>
                    <w:p w14:paraId="2659ADC4" w14:textId="77777777" w:rsidR="00721274" w:rsidRPr="0077359F" w:rsidRDefault="00721274" w:rsidP="00721274">
                      <w:pPr>
                        <w:rPr>
                          <w:rFonts w:ascii="Arial" w:hAnsi="Arial" w:cs="Arial"/>
                          <w:color w:val="000000"/>
                          <w:sz w:val="16"/>
                          <w:szCs w:val="16"/>
                          <w:highlight w:val="yellow"/>
                        </w:rPr>
                      </w:pPr>
                    </w:p>
                    <w:p w14:paraId="596C0767" w14:textId="77777777" w:rsidR="00721274" w:rsidRDefault="00721274" w:rsidP="00721274"/>
                  </w:txbxContent>
                </v:textbox>
                <w10:wrap anchorx="margin"/>
              </v:shape>
            </w:pict>
          </mc:Fallback>
        </mc:AlternateContent>
      </w:r>
      <w:r w:rsidR="00F41398" w:rsidRPr="009A2CAE">
        <w:rPr>
          <w:noProof/>
        </w:rPr>
        <mc:AlternateContent>
          <mc:Choice Requires="wps">
            <w:drawing>
              <wp:anchor distT="0" distB="0" distL="114300" distR="114300" simplePos="0" relativeHeight="251704320" behindDoc="0" locked="0" layoutInCell="1" allowOverlap="1" wp14:anchorId="603C42AF" wp14:editId="078AE974">
                <wp:simplePos x="0" y="0"/>
                <wp:positionH relativeFrom="column">
                  <wp:posOffset>-266700</wp:posOffset>
                </wp:positionH>
                <wp:positionV relativeFrom="paragraph">
                  <wp:posOffset>995045</wp:posOffset>
                </wp:positionV>
                <wp:extent cx="6336030" cy="895350"/>
                <wp:effectExtent l="0" t="0" r="26670" b="19050"/>
                <wp:wrapNone/>
                <wp:docPr id="1085518883" name="Text Box 1085518883"/>
                <wp:cNvGraphicFramePr/>
                <a:graphic xmlns:a="http://schemas.openxmlformats.org/drawingml/2006/main">
                  <a:graphicData uri="http://schemas.microsoft.com/office/word/2010/wordprocessingShape">
                    <wps:wsp>
                      <wps:cNvSpPr txBox="1"/>
                      <wps:spPr>
                        <a:xfrm>
                          <a:off x="0" y="0"/>
                          <a:ext cx="6336030" cy="895350"/>
                        </a:xfrm>
                        <a:prstGeom prst="rect">
                          <a:avLst/>
                        </a:prstGeom>
                        <a:solidFill>
                          <a:schemeClr val="lt1"/>
                        </a:solidFill>
                        <a:ln w="6350">
                          <a:solidFill>
                            <a:prstClr val="black"/>
                          </a:solidFill>
                        </a:ln>
                      </wps:spPr>
                      <wps:txbx>
                        <w:txbxContent>
                          <w:p w14:paraId="4B23A834" w14:textId="48D45C75" w:rsidR="00721274" w:rsidRPr="00AB2770" w:rsidRDefault="00721274" w:rsidP="00D80F41">
                            <w:pPr>
                              <w:rPr>
                                <w:rFonts w:ascii="Arial" w:hAnsi="Arial" w:cs="Arial"/>
                                <w:color w:val="000000"/>
                                <w:sz w:val="16"/>
                                <w:szCs w:val="16"/>
                              </w:rPr>
                            </w:pPr>
                            <w:r w:rsidRPr="00046EC7">
                              <w:rPr>
                                <w:rFonts w:ascii="Arial" w:hAnsi="Arial" w:cs="Arial"/>
                                <w:b/>
                                <w:bCs/>
                                <w:color w:val="000000"/>
                                <w:sz w:val="16"/>
                                <w:szCs w:val="16"/>
                              </w:rPr>
                              <w:t>The Board Committees</w:t>
                            </w:r>
                            <w:r w:rsidRPr="00046EC7">
                              <w:rPr>
                                <w:rFonts w:cs="Calibre Semibold"/>
                                <w:b/>
                                <w:bCs/>
                                <w:color w:val="000000"/>
                                <w:sz w:val="20"/>
                                <w:szCs w:val="20"/>
                              </w:rPr>
                              <w:br/>
                            </w:r>
                            <w:r w:rsidR="00D80F41" w:rsidRPr="00D80F41">
                              <w:rPr>
                                <w:rFonts w:ascii="Arial" w:hAnsi="Arial" w:cs="Arial"/>
                                <w:color w:val="000000"/>
                                <w:sz w:val="16"/>
                                <w:szCs w:val="16"/>
                              </w:rPr>
                              <w:t>The Chair of each Committee formally reports to the Board and meets three or more times a year as necessary.</w:t>
                            </w:r>
                            <w:r w:rsidR="00D80F41">
                              <w:rPr>
                                <w:rFonts w:ascii="Arial" w:hAnsi="Arial" w:cs="Arial"/>
                                <w:color w:val="000000"/>
                                <w:sz w:val="16"/>
                                <w:szCs w:val="16"/>
                              </w:rPr>
                              <w:t xml:space="preserve"> </w:t>
                            </w:r>
                            <w:r w:rsidR="00D80F41" w:rsidRPr="00D80F41">
                              <w:rPr>
                                <w:rFonts w:ascii="Arial" w:hAnsi="Arial" w:cs="Arial"/>
                                <w:color w:val="000000"/>
                                <w:sz w:val="16"/>
                                <w:szCs w:val="16"/>
                              </w:rPr>
                              <w:t>Committee members have the essential skills and experience to execute the specific area of focus delegated by the</w:t>
                            </w:r>
                            <w:r w:rsidR="00D80F41">
                              <w:rPr>
                                <w:rFonts w:ascii="Arial" w:hAnsi="Arial" w:cs="Arial"/>
                                <w:color w:val="000000"/>
                                <w:sz w:val="16"/>
                                <w:szCs w:val="16"/>
                              </w:rPr>
                              <w:t xml:space="preserve"> </w:t>
                            </w:r>
                            <w:r w:rsidR="00D80F41" w:rsidRPr="00D80F41">
                              <w:rPr>
                                <w:rFonts w:ascii="Arial" w:hAnsi="Arial" w:cs="Arial"/>
                                <w:color w:val="000000"/>
                                <w:sz w:val="16"/>
                                <w:szCs w:val="16"/>
                              </w:rPr>
                              <w:t>Board. Demonstrating accountability for Committee recommendations by reporting to the Board and ensuring the Board has</w:t>
                            </w:r>
                            <w:r w:rsidR="00D80F41">
                              <w:rPr>
                                <w:rFonts w:ascii="Arial" w:hAnsi="Arial" w:cs="Arial"/>
                                <w:color w:val="000000"/>
                                <w:sz w:val="16"/>
                                <w:szCs w:val="16"/>
                              </w:rPr>
                              <w:t xml:space="preserve"> </w:t>
                            </w:r>
                            <w:r w:rsidR="00D80F41" w:rsidRPr="00D80F41">
                              <w:rPr>
                                <w:rFonts w:ascii="Arial" w:hAnsi="Arial" w:cs="Arial"/>
                                <w:color w:val="000000"/>
                                <w:sz w:val="16"/>
                                <w:szCs w:val="16"/>
                              </w:rPr>
                              <w:t>oversight of Committee matter</w:t>
                            </w:r>
                            <w:r w:rsidR="00991401">
                              <w:rPr>
                                <w:rFonts w:ascii="Arial" w:hAnsi="Arial" w:cs="Arial"/>
                                <w:color w:val="000000"/>
                                <w:sz w:val="16"/>
                                <w:szCs w:val="16"/>
                              </w:rPr>
                              <w:t>s.</w:t>
                            </w:r>
                            <w:r w:rsidR="00D80F41" w:rsidRPr="00D80F41">
                              <w:rPr>
                                <w:rFonts w:ascii="Arial" w:hAnsi="Arial" w:cs="Arial"/>
                                <w:color w:val="000000"/>
                                <w:sz w:val="16"/>
                                <w:szCs w:val="16"/>
                              </w:rPr>
                              <w:t xml:space="preserve"> </w:t>
                            </w:r>
                            <w:r w:rsidR="00991401">
                              <w:rPr>
                                <w:rFonts w:ascii="Arial" w:hAnsi="Arial" w:cs="Arial"/>
                                <w:color w:val="000000"/>
                                <w:sz w:val="16"/>
                                <w:szCs w:val="16"/>
                              </w:rPr>
                              <w:t>T</w:t>
                            </w:r>
                            <w:r w:rsidRPr="00046EC7">
                              <w:rPr>
                                <w:rFonts w:ascii="Arial" w:hAnsi="Arial" w:cs="Arial"/>
                                <w:color w:val="000000"/>
                                <w:sz w:val="16"/>
                                <w:szCs w:val="16"/>
                              </w:rPr>
                              <w:t>he terms of reference for each Committee are agreed by Board and can be found at https://www.southwestwater.co.uk/about-us/governance/board-governance/.</w:t>
                            </w:r>
                            <w:r w:rsidRPr="00860C41">
                              <w:rPr>
                                <w:rFonts w:ascii="Arial" w:hAnsi="Arial" w:cs="Arial"/>
                                <w:color w:val="000000"/>
                                <w:sz w:val="16"/>
                                <w:szCs w:val="16"/>
                              </w:rPr>
                              <w:t xml:space="preserve"> </w:t>
                            </w:r>
                          </w:p>
                          <w:p w14:paraId="31F8B9C5" w14:textId="77777777" w:rsidR="00721274" w:rsidRDefault="00721274" w:rsidP="0072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42AF" id="Text Box 1085518883" o:spid="_x0000_s1032" type="#_x0000_t202" style="position:absolute;margin-left:-21pt;margin-top:78.35pt;width:498.9pt;height: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" fillcolor="white [3201]" strokeweight=".5pt">
                <v:textbox>
                  <w:txbxContent>
                    <w:p w14:paraId="4B23A834" w14:textId="48D45C75" w:rsidR="00721274" w:rsidRPr="00AB2770" w:rsidRDefault="00721274" w:rsidP="00D80F41">
                      <w:pPr>
                        <w:rPr>
                          <w:rFonts w:ascii="Arial" w:hAnsi="Arial" w:cs="Arial"/>
                          <w:color w:val="000000"/>
                          <w:sz w:val="16"/>
                          <w:szCs w:val="16"/>
                        </w:rPr>
                      </w:pPr>
                      <w:r w:rsidRPr="00046EC7">
                        <w:rPr>
                          <w:rFonts w:ascii="Arial" w:hAnsi="Arial" w:cs="Arial"/>
                          <w:b/>
                          <w:bCs/>
                          <w:color w:val="000000"/>
                          <w:sz w:val="16"/>
                          <w:szCs w:val="16"/>
                        </w:rPr>
                        <w:t>The Board Committees</w:t>
                      </w:r>
                      <w:r w:rsidRPr="00046EC7">
                        <w:rPr>
                          <w:rFonts w:cs="Calibre Semibold"/>
                          <w:b/>
                          <w:bCs/>
                          <w:color w:val="000000"/>
                          <w:sz w:val="20"/>
                          <w:szCs w:val="20"/>
                        </w:rPr>
                        <w:br/>
                      </w:r>
                      <w:r w:rsidR="00D80F41" w:rsidRPr="00D80F41">
                        <w:rPr>
                          <w:rFonts w:ascii="Arial" w:hAnsi="Arial" w:cs="Arial"/>
                          <w:color w:val="000000"/>
                          <w:sz w:val="16"/>
                          <w:szCs w:val="16"/>
                        </w:rPr>
                        <w:t>The Chair of each Committee formally reports to the Board and meets three or more times a year as necessary.</w:t>
                      </w:r>
                      <w:r w:rsidR="00D80F41">
                        <w:rPr>
                          <w:rFonts w:ascii="Arial" w:hAnsi="Arial" w:cs="Arial"/>
                          <w:color w:val="000000"/>
                          <w:sz w:val="16"/>
                          <w:szCs w:val="16"/>
                        </w:rPr>
                        <w:t xml:space="preserve"> </w:t>
                      </w:r>
                      <w:r w:rsidR="00D80F41" w:rsidRPr="00D80F41">
                        <w:rPr>
                          <w:rFonts w:ascii="Arial" w:hAnsi="Arial" w:cs="Arial"/>
                          <w:color w:val="000000"/>
                          <w:sz w:val="16"/>
                          <w:szCs w:val="16"/>
                        </w:rPr>
                        <w:t>Committee members have the essential skills and experience to execute the specific area of focus delegated by the</w:t>
                      </w:r>
                      <w:r w:rsidR="00D80F41">
                        <w:rPr>
                          <w:rFonts w:ascii="Arial" w:hAnsi="Arial" w:cs="Arial"/>
                          <w:color w:val="000000"/>
                          <w:sz w:val="16"/>
                          <w:szCs w:val="16"/>
                        </w:rPr>
                        <w:t xml:space="preserve"> </w:t>
                      </w:r>
                      <w:r w:rsidR="00D80F41" w:rsidRPr="00D80F41">
                        <w:rPr>
                          <w:rFonts w:ascii="Arial" w:hAnsi="Arial" w:cs="Arial"/>
                          <w:color w:val="000000"/>
                          <w:sz w:val="16"/>
                          <w:szCs w:val="16"/>
                        </w:rPr>
                        <w:t>Board. Demonstrating accountability for Committee recommendations by reporting to the Board and ensuring the Board has</w:t>
                      </w:r>
                      <w:r w:rsidR="00D80F41">
                        <w:rPr>
                          <w:rFonts w:ascii="Arial" w:hAnsi="Arial" w:cs="Arial"/>
                          <w:color w:val="000000"/>
                          <w:sz w:val="16"/>
                          <w:szCs w:val="16"/>
                        </w:rPr>
                        <w:t xml:space="preserve"> </w:t>
                      </w:r>
                      <w:r w:rsidR="00D80F41" w:rsidRPr="00D80F41">
                        <w:rPr>
                          <w:rFonts w:ascii="Arial" w:hAnsi="Arial" w:cs="Arial"/>
                          <w:color w:val="000000"/>
                          <w:sz w:val="16"/>
                          <w:szCs w:val="16"/>
                        </w:rPr>
                        <w:t>oversight of Committee matter</w:t>
                      </w:r>
                      <w:r w:rsidR="00991401">
                        <w:rPr>
                          <w:rFonts w:ascii="Arial" w:hAnsi="Arial" w:cs="Arial"/>
                          <w:color w:val="000000"/>
                          <w:sz w:val="16"/>
                          <w:szCs w:val="16"/>
                        </w:rPr>
                        <w:t>s.</w:t>
                      </w:r>
                      <w:r w:rsidR="00D80F41" w:rsidRPr="00D80F41">
                        <w:rPr>
                          <w:rFonts w:ascii="Arial" w:hAnsi="Arial" w:cs="Arial"/>
                          <w:color w:val="000000"/>
                          <w:sz w:val="16"/>
                          <w:szCs w:val="16"/>
                        </w:rPr>
                        <w:t xml:space="preserve"> </w:t>
                      </w:r>
                      <w:r w:rsidR="00991401">
                        <w:rPr>
                          <w:rFonts w:ascii="Arial" w:hAnsi="Arial" w:cs="Arial"/>
                          <w:color w:val="000000"/>
                          <w:sz w:val="16"/>
                          <w:szCs w:val="16"/>
                        </w:rPr>
                        <w:t>T</w:t>
                      </w:r>
                      <w:r w:rsidRPr="00046EC7">
                        <w:rPr>
                          <w:rFonts w:ascii="Arial" w:hAnsi="Arial" w:cs="Arial"/>
                          <w:color w:val="000000"/>
                          <w:sz w:val="16"/>
                          <w:szCs w:val="16"/>
                        </w:rPr>
                        <w:t>he terms of reference for each Committee are agreed by Board and can be found at https://www.southwestwater.co.uk/about-us/governance/board-governance/.</w:t>
                      </w:r>
                      <w:r w:rsidRPr="00860C41">
                        <w:rPr>
                          <w:rFonts w:ascii="Arial" w:hAnsi="Arial" w:cs="Arial"/>
                          <w:color w:val="000000"/>
                          <w:sz w:val="16"/>
                          <w:szCs w:val="16"/>
                        </w:rPr>
                        <w:t xml:space="preserve"> </w:t>
                      </w:r>
                    </w:p>
                    <w:p w14:paraId="31F8B9C5" w14:textId="77777777" w:rsidR="00721274" w:rsidRDefault="00721274" w:rsidP="00721274"/>
                  </w:txbxContent>
                </v:textbox>
              </v:shape>
            </w:pict>
          </mc:Fallback>
        </mc:AlternateContent>
      </w:r>
      <w:r w:rsidR="00D80F41" w:rsidRPr="009A2CAE">
        <w:rPr>
          <w:noProof/>
          <w14:ligatures w14:val="standardContextual"/>
        </w:rPr>
        <mc:AlternateContent>
          <mc:Choice Requires="wps">
            <w:drawing>
              <wp:anchor distT="0" distB="0" distL="114300" distR="114300" simplePos="0" relativeHeight="251717632" behindDoc="0" locked="0" layoutInCell="1" allowOverlap="1" wp14:anchorId="6724B052" wp14:editId="27D40B78">
                <wp:simplePos x="0" y="0"/>
                <wp:positionH relativeFrom="column">
                  <wp:posOffset>4191000</wp:posOffset>
                </wp:positionH>
                <wp:positionV relativeFrom="paragraph">
                  <wp:posOffset>1890395</wp:posOffset>
                </wp:positionV>
                <wp:extent cx="0" cy="133350"/>
                <wp:effectExtent l="0" t="0" r="38100" b="19050"/>
                <wp:wrapNone/>
                <wp:docPr id="1854953732" name="Straight Connector 20"/>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28E85" id="Straight Connector 2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148.85pt" to="330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" strokecolor="black [3200]" strokeweight=".5pt">
                <v:stroke joinstyle="miter"/>
              </v:line>
            </w:pict>
          </mc:Fallback>
        </mc:AlternateContent>
      </w:r>
      <w:r w:rsidR="00D80F41" w:rsidRPr="009A2CAE">
        <w:rPr>
          <w:noProof/>
          <w14:ligatures w14:val="standardContextual"/>
        </w:rPr>
        <mc:AlternateContent>
          <mc:Choice Requires="wps">
            <w:drawing>
              <wp:anchor distT="0" distB="0" distL="114300" distR="114300" simplePos="0" relativeHeight="251716608" behindDoc="0" locked="0" layoutInCell="1" allowOverlap="1" wp14:anchorId="280EC157" wp14:editId="54F39E34">
                <wp:simplePos x="0" y="0"/>
                <wp:positionH relativeFrom="column">
                  <wp:posOffset>3028950</wp:posOffset>
                </wp:positionH>
                <wp:positionV relativeFrom="paragraph">
                  <wp:posOffset>1890395</wp:posOffset>
                </wp:positionV>
                <wp:extent cx="0" cy="133350"/>
                <wp:effectExtent l="0" t="0" r="38100" b="19050"/>
                <wp:wrapNone/>
                <wp:docPr id="1141370799" name="Straight Connector 19"/>
                <wp:cNvGraphicFramePr/>
                <a:graphic xmlns:a="http://schemas.openxmlformats.org/drawingml/2006/main">
                  <a:graphicData uri="http://schemas.microsoft.com/office/word/2010/wordprocessingShape">
                    <wps:wsp>
                      <wps:cNvCnPr/>
                      <wps:spPr>
                        <a:xfrm flipH="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452F9" id="Straight Connector 19"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148.85pt" to="238.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" strokecolor="black [3200]" strokeweight=".5pt">
                <v:stroke joinstyle="miter"/>
              </v:line>
            </w:pict>
          </mc:Fallback>
        </mc:AlternateContent>
      </w:r>
      <w:r w:rsidR="00D80F41" w:rsidRPr="009A2CAE">
        <w:rPr>
          <w:noProof/>
          <w14:ligatures w14:val="standardContextual"/>
        </w:rPr>
        <mc:AlternateContent>
          <mc:Choice Requires="wps">
            <w:drawing>
              <wp:anchor distT="0" distB="0" distL="114300" distR="114300" simplePos="0" relativeHeight="251722752" behindDoc="0" locked="0" layoutInCell="1" allowOverlap="1" wp14:anchorId="242AE753" wp14:editId="35C8EAC4">
                <wp:simplePos x="0" y="0"/>
                <wp:positionH relativeFrom="column">
                  <wp:posOffset>4171950</wp:posOffset>
                </wp:positionH>
                <wp:positionV relativeFrom="paragraph">
                  <wp:posOffset>6252845</wp:posOffset>
                </wp:positionV>
                <wp:extent cx="0" cy="257175"/>
                <wp:effectExtent l="0" t="0" r="38100" b="28575"/>
                <wp:wrapNone/>
                <wp:docPr id="1006227116" name="Straight Connector 25"/>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80693A" id="Straight Connector 2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28.5pt,492.35pt" to="328.5pt,5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" strokecolor="black [3200]" strokeweight=".5pt">
                <v:stroke joinstyle="miter"/>
              </v:line>
            </w:pict>
          </mc:Fallback>
        </mc:AlternateContent>
      </w:r>
      <w:r w:rsidR="00D80F41" w:rsidRPr="009A2CAE">
        <w:rPr>
          <w:noProof/>
        </w:rPr>
        <mc:AlternateContent>
          <mc:Choice Requires="wps">
            <w:drawing>
              <wp:anchor distT="0" distB="0" distL="114300" distR="114300" simplePos="0" relativeHeight="251710464" behindDoc="0" locked="0" layoutInCell="1" allowOverlap="1" wp14:anchorId="1AAD6B9E" wp14:editId="6B3648A2">
                <wp:simplePos x="0" y="0"/>
                <wp:positionH relativeFrom="column">
                  <wp:posOffset>3638550</wp:posOffset>
                </wp:positionH>
                <wp:positionV relativeFrom="paragraph">
                  <wp:posOffset>2033270</wp:posOffset>
                </wp:positionV>
                <wp:extent cx="1086485" cy="4205605"/>
                <wp:effectExtent l="0" t="0" r="18415" b="23495"/>
                <wp:wrapNone/>
                <wp:docPr id="1325587491" name="Text Box 1325587491"/>
                <wp:cNvGraphicFramePr/>
                <a:graphic xmlns:a="http://schemas.openxmlformats.org/drawingml/2006/main">
                  <a:graphicData uri="http://schemas.microsoft.com/office/word/2010/wordprocessingShape">
                    <wps:wsp>
                      <wps:cNvSpPr txBox="1"/>
                      <wps:spPr>
                        <a:xfrm>
                          <a:off x="0" y="0"/>
                          <a:ext cx="1086485" cy="4205605"/>
                        </a:xfrm>
                        <a:prstGeom prst="rect">
                          <a:avLst/>
                        </a:prstGeom>
                        <a:solidFill>
                          <a:schemeClr val="lt1"/>
                        </a:solidFill>
                        <a:ln w="6350">
                          <a:solidFill>
                            <a:prstClr val="black"/>
                          </a:solidFill>
                        </a:ln>
                      </wps:spPr>
                      <wps:txbx>
                        <w:txbxContent>
                          <w:p w14:paraId="53705DB8" w14:textId="319D7EBA" w:rsidR="00F41398" w:rsidRPr="00735726" w:rsidRDefault="00721274" w:rsidP="007B4512">
                            <w:pPr>
                              <w:pStyle w:val="Pa13"/>
                              <w:spacing w:after="40"/>
                              <w:rPr>
                                <w:rFonts w:ascii="Arial" w:hAnsi="Arial" w:cs="Arial"/>
                                <w:color w:val="000000"/>
                                <w:sz w:val="16"/>
                                <w:szCs w:val="16"/>
                              </w:rPr>
                            </w:pPr>
                            <w:r w:rsidRPr="008F5F5B">
                              <w:rPr>
                                <w:rFonts w:ascii="Arial" w:hAnsi="Arial" w:cs="Arial"/>
                                <w:b/>
                                <w:bCs/>
                                <w:color w:val="000000"/>
                                <w:sz w:val="16"/>
                                <w:szCs w:val="16"/>
                              </w:rPr>
                              <w:t>ESG Committee</w:t>
                            </w:r>
                            <w:r w:rsidRPr="008F5F5B">
                              <w:rPr>
                                <w:rFonts w:cs="Calibre Semibold"/>
                                <w:b/>
                                <w:bCs/>
                                <w:color w:val="000000"/>
                                <w:sz w:val="20"/>
                                <w:szCs w:val="20"/>
                              </w:rPr>
                              <w:br/>
                            </w:r>
                            <w:r w:rsidRPr="008F5F5B">
                              <w:rPr>
                                <w:rFonts w:ascii="Arial" w:hAnsi="Arial" w:cs="Arial"/>
                                <w:color w:val="000000"/>
                                <w:sz w:val="16"/>
                                <w:szCs w:val="16"/>
                              </w:rPr>
                              <w:t xml:space="preserve">Ensure robust scrutiny of key aspects of </w:t>
                            </w:r>
                            <w:r w:rsidR="00F41398">
                              <w:rPr>
                                <w:rFonts w:ascii="Arial" w:hAnsi="Arial" w:cs="Arial"/>
                                <w:color w:val="000000"/>
                                <w:sz w:val="16"/>
                                <w:szCs w:val="16"/>
                              </w:rPr>
                              <w:t>E</w:t>
                            </w:r>
                            <w:r w:rsidRPr="008F5F5B">
                              <w:rPr>
                                <w:rFonts w:ascii="Arial" w:hAnsi="Arial" w:cs="Arial"/>
                                <w:color w:val="000000"/>
                                <w:sz w:val="16"/>
                                <w:szCs w:val="16"/>
                              </w:rPr>
                              <w:t xml:space="preserve">nvironmental, </w:t>
                            </w:r>
                            <w:r w:rsidR="00F41398">
                              <w:rPr>
                                <w:rFonts w:ascii="Arial" w:hAnsi="Arial" w:cs="Arial"/>
                                <w:color w:val="000000"/>
                                <w:sz w:val="16"/>
                                <w:szCs w:val="16"/>
                              </w:rPr>
                              <w:t>S</w:t>
                            </w:r>
                            <w:r w:rsidRPr="008F5F5B">
                              <w:rPr>
                                <w:rFonts w:ascii="Arial" w:hAnsi="Arial" w:cs="Arial"/>
                                <w:color w:val="000000"/>
                                <w:sz w:val="16"/>
                                <w:szCs w:val="16"/>
                              </w:rPr>
                              <w:t xml:space="preserve">ocial and </w:t>
                            </w:r>
                            <w:r w:rsidR="00F41398">
                              <w:rPr>
                                <w:rFonts w:ascii="Arial" w:hAnsi="Arial" w:cs="Arial"/>
                                <w:color w:val="000000"/>
                                <w:sz w:val="16"/>
                                <w:szCs w:val="16"/>
                              </w:rPr>
                              <w:t>G</w:t>
                            </w:r>
                            <w:r w:rsidRPr="008F5F5B">
                              <w:rPr>
                                <w:rFonts w:ascii="Arial" w:hAnsi="Arial" w:cs="Arial"/>
                                <w:color w:val="000000"/>
                                <w:sz w:val="16"/>
                                <w:szCs w:val="16"/>
                              </w:rPr>
                              <w:t xml:space="preserve">overnance (ESG) performance </w:t>
                            </w:r>
                            <w:r w:rsidR="00F41398">
                              <w:rPr>
                                <w:rFonts w:ascii="Arial" w:hAnsi="Arial" w:cs="Arial"/>
                                <w:color w:val="000000"/>
                                <w:sz w:val="16"/>
                                <w:szCs w:val="16"/>
                              </w:rPr>
                              <w:t>and oversees</w:t>
                            </w:r>
                            <w:r w:rsidRPr="008F5F5B">
                              <w:rPr>
                                <w:rFonts w:ascii="Arial" w:hAnsi="Arial" w:cs="Arial"/>
                                <w:color w:val="000000"/>
                                <w:sz w:val="16"/>
                                <w:szCs w:val="16"/>
                              </w:rPr>
                              <w:t xml:space="preserve"> performance against our ESG strategy and strategic sustainability </w:t>
                            </w:r>
                            <w:r w:rsidRPr="00735726">
                              <w:rPr>
                                <w:rFonts w:ascii="Arial" w:hAnsi="Arial" w:cs="Arial"/>
                                <w:color w:val="000000"/>
                                <w:sz w:val="16"/>
                                <w:szCs w:val="16"/>
                              </w:rPr>
                              <w:t>objectives.</w:t>
                            </w:r>
                          </w:p>
                          <w:p w14:paraId="45EC4427" w14:textId="0498BB09" w:rsidR="00F41398" w:rsidRPr="00721274" w:rsidRDefault="00721274" w:rsidP="00F41398">
                            <w:pPr>
                              <w:pStyle w:val="Pa13"/>
                              <w:spacing w:after="40"/>
                              <w:rPr>
                                <w:b/>
                                <w:bCs/>
                              </w:rPr>
                            </w:pPr>
                            <w:r w:rsidRPr="00735726">
                              <w:rPr>
                                <w:rFonts w:ascii="Arial" w:hAnsi="Arial" w:cs="Arial"/>
                                <w:color w:val="000000"/>
                                <w:sz w:val="16"/>
                                <w:szCs w:val="16"/>
                              </w:rPr>
                              <w:br/>
                            </w:r>
                            <w:r w:rsidR="007B4512" w:rsidRPr="00735726">
                              <w:rPr>
                                <w:rFonts w:ascii="Arial" w:hAnsi="Arial" w:cs="Arial"/>
                                <w:b/>
                                <w:bCs/>
                                <w:color w:val="000000"/>
                                <w:sz w:val="16"/>
                                <w:szCs w:val="16"/>
                              </w:rPr>
                              <w:t xml:space="preserve">ESG Committee Report on </w:t>
                            </w:r>
                            <w:r w:rsidR="00F41398" w:rsidRPr="00735726">
                              <w:rPr>
                                <w:rFonts w:ascii="Arial" w:hAnsi="Arial" w:cs="Arial"/>
                                <w:b/>
                                <w:bCs/>
                                <w:color w:val="000000"/>
                                <w:sz w:val="16"/>
                                <w:szCs w:val="16"/>
                              </w:rPr>
                              <w:t xml:space="preserve">pages </w:t>
                            </w:r>
                            <w:r w:rsidR="00704734" w:rsidRPr="009A2CAE">
                              <w:rPr>
                                <w:rFonts w:ascii="Arial" w:hAnsi="Arial" w:cs="Arial"/>
                                <w:b/>
                                <w:bCs/>
                                <w:color w:val="000000"/>
                                <w:sz w:val="16"/>
                                <w:szCs w:val="16"/>
                              </w:rPr>
                              <w:t xml:space="preserve">140 </w:t>
                            </w:r>
                            <w:r w:rsidR="00F41398" w:rsidRPr="009A2CAE">
                              <w:rPr>
                                <w:rFonts w:ascii="Arial" w:hAnsi="Arial" w:cs="Arial"/>
                                <w:b/>
                                <w:bCs/>
                                <w:color w:val="000000"/>
                                <w:sz w:val="16"/>
                                <w:szCs w:val="16"/>
                              </w:rPr>
                              <w:t xml:space="preserve">to </w:t>
                            </w:r>
                            <w:r w:rsidR="00704734" w:rsidRPr="009A2CAE">
                              <w:rPr>
                                <w:rFonts w:ascii="Arial" w:hAnsi="Arial" w:cs="Arial"/>
                                <w:b/>
                                <w:bCs/>
                                <w:color w:val="000000"/>
                                <w:sz w:val="16"/>
                                <w:szCs w:val="16"/>
                              </w:rPr>
                              <w:t>143</w:t>
                            </w:r>
                            <w:r w:rsidR="00F41398" w:rsidRPr="009A2CAE">
                              <w:rPr>
                                <w:rFonts w:ascii="Arial" w:hAnsi="Arial" w:cs="Arial"/>
                                <w:b/>
                                <w:bCs/>
                                <w:color w:val="000000"/>
                                <w:sz w:val="16"/>
                                <w:szCs w:val="16"/>
                              </w:rPr>
                              <w:t>.</w:t>
                            </w:r>
                          </w:p>
                          <w:p w14:paraId="322F5C81" w14:textId="13FF5AFF" w:rsidR="007B4512" w:rsidRPr="00721274" w:rsidRDefault="007B4512" w:rsidP="007B4512">
                            <w:pPr>
                              <w:pStyle w:val="Pa13"/>
                              <w:spacing w:after="40"/>
                              <w:rPr>
                                <w:b/>
                                <w:bCs/>
                              </w:rPr>
                            </w:pPr>
                          </w:p>
                          <w:p w14:paraId="42356A42" w14:textId="5DFC8306" w:rsidR="00721274" w:rsidRDefault="00721274" w:rsidP="007B4512">
                            <w:pPr>
                              <w:pStyle w:val="Pa13"/>
                              <w:spacing w:after="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D6B9E" id="Text Box 1325587491" o:spid="_x0000_s1033" type="#_x0000_t202" style="position:absolute;margin-left:286.5pt;margin-top:160.1pt;width:85.55pt;height:33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yuPQIAAIQ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" fillcolor="white [3201]" strokeweight=".5pt">
                <v:textbox>
                  <w:txbxContent>
                    <w:p w14:paraId="53705DB8" w14:textId="319D7EBA" w:rsidR="00F41398" w:rsidRPr="00735726" w:rsidRDefault="00721274" w:rsidP="007B4512">
                      <w:pPr>
                        <w:pStyle w:val="Pa13"/>
                        <w:spacing w:after="40"/>
                        <w:rPr>
                          <w:rFonts w:ascii="Arial" w:hAnsi="Arial" w:cs="Arial"/>
                          <w:color w:val="000000"/>
                          <w:sz w:val="16"/>
                          <w:szCs w:val="16"/>
                        </w:rPr>
                      </w:pPr>
                      <w:r w:rsidRPr="008F5F5B">
                        <w:rPr>
                          <w:rFonts w:ascii="Arial" w:hAnsi="Arial" w:cs="Arial"/>
                          <w:b/>
                          <w:bCs/>
                          <w:color w:val="000000"/>
                          <w:sz w:val="16"/>
                          <w:szCs w:val="16"/>
                        </w:rPr>
                        <w:t>ESG Committee</w:t>
                      </w:r>
                      <w:r w:rsidRPr="008F5F5B">
                        <w:rPr>
                          <w:rFonts w:cs="Calibre Semibold"/>
                          <w:b/>
                          <w:bCs/>
                          <w:color w:val="000000"/>
                          <w:sz w:val="20"/>
                          <w:szCs w:val="20"/>
                        </w:rPr>
                        <w:br/>
                      </w:r>
                      <w:r w:rsidRPr="008F5F5B">
                        <w:rPr>
                          <w:rFonts w:ascii="Arial" w:hAnsi="Arial" w:cs="Arial"/>
                          <w:color w:val="000000"/>
                          <w:sz w:val="16"/>
                          <w:szCs w:val="16"/>
                        </w:rPr>
                        <w:t xml:space="preserve">Ensure robust scrutiny of key aspects of </w:t>
                      </w:r>
                      <w:r w:rsidR="00F41398">
                        <w:rPr>
                          <w:rFonts w:ascii="Arial" w:hAnsi="Arial" w:cs="Arial"/>
                          <w:color w:val="000000"/>
                          <w:sz w:val="16"/>
                          <w:szCs w:val="16"/>
                        </w:rPr>
                        <w:t>E</w:t>
                      </w:r>
                      <w:r w:rsidRPr="008F5F5B">
                        <w:rPr>
                          <w:rFonts w:ascii="Arial" w:hAnsi="Arial" w:cs="Arial"/>
                          <w:color w:val="000000"/>
                          <w:sz w:val="16"/>
                          <w:szCs w:val="16"/>
                        </w:rPr>
                        <w:t xml:space="preserve">nvironmental, </w:t>
                      </w:r>
                      <w:r w:rsidR="00F41398">
                        <w:rPr>
                          <w:rFonts w:ascii="Arial" w:hAnsi="Arial" w:cs="Arial"/>
                          <w:color w:val="000000"/>
                          <w:sz w:val="16"/>
                          <w:szCs w:val="16"/>
                        </w:rPr>
                        <w:t>S</w:t>
                      </w:r>
                      <w:r w:rsidRPr="008F5F5B">
                        <w:rPr>
                          <w:rFonts w:ascii="Arial" w:hAnsi="Arial" w:cs="Arial"/>
                          <w:color w:val="000000"/>
                          <w:sz w:val="16"/>
                          <w:szCs w:val="16"/>
                        </w:rPr>
                        <w:t xml:space="preserve">ocial and </w:t>
                      </w:r>
                      <w:r w:rsidR="00F41398">
                        <w:rPr>
                          <w:rFonts w:ascii="Arial" w:hAnsi="Arial" w:cs="Arial"/>
                          <w:color w:val="000000"/>
                          <w:sz w:val="16"/>
                          <w:szCs w:val="16"/>
                        </w:rPr>
                        <w:t>G</w:t>
                      </w:r>
                      <w:r w:rsidRPr="008F5F5B">
                        <w:rPr>
                          <w:rFonts w:ascii="Arial" w:hAnsi="Arial" w:cs="Arial"/>
                          <w:color w:val="000000"/>
                          <w:sz w:val="16"/>
                          <w:szCs w:val="16"/>
                        </w:rPr>
                        <w:t xml:space="preserve">overnance (ESG) performance </w:t>
                      </w:r>
                      <w:r w:rsidR="00F41398">
                        <w:rPr>
                          <w:rFonts w:ascii="Arial" w:hAnsi="Arial" w:cs="Arial"/>
                          <w:color w:val="000000"/>
                          <w:sz w:val="16"/>
                          <w:szCs w:val="16"/>
                        </w:rPr>
                        <w:t>and oversees</w:t>
                      </w:r>
                      <w:r w:rsidRPr="008F5F5B">
                        <w:rPr>
                          <w:rFonts w:ascii="Arial" w:hAnsi="Arial" w:cs="Arial"/>
                          <w:color w:val="000000"/>
                          <w:sz w:val="16"/>
                          <w:szCs w:val="16"/>
                        </w:rPr>
                        <w:t xml:space="preserve"> performance against our ESG strategy and strategic sustainability </w:t>
                      </w:r>
                      <w:r w:rsidRPr="00735726">
                        <w:rPr>
                          <w:rFonts w:ascii="Arial" w:hAnsi="Arial" w:cs="Arial"/>
                          <w:color w:val="000000"/>
                          <w:sz w:val="16"/>
                          <w:szCs w:val="16"/>
                        </w:rPr>
                        <w:t>objectives.</w:t>
                      </w:r>
                    </w:p>
                    <w:p w14:paraId="45EC4427" w14:textId="0498BB09" w:rsidR="00F41398" w:rsidRPr="00721274" w:rsidRDefault="00721274" w:rsidP="00F41398">
                      <w:pPr>
                        <w:pStyle w:val="Pa13"/>
                        <w:spacing w:after="40"/>
                        <w:rPr>
                          <w:b/>
                          <w:bCs/>
                        </w:rPr>
                      </w:pPr>
                      <w:r w:rsidRPr="00735726">
                        <w:rPr>
                          <w:rFonts w:ascii="Arial" w:hAnsi="Arial" w:cs="Arial"/>
                          <w:color w:val="000000"/>
                          <w:sz w:val="16"/>
                          <w:szCs w:val="16"/>
                        </w:rPr>
                        <w:br/>
                      </w:r>
                      <w:r w:rsidR="007B4512" w:rsidRPr="00735726">
                        <w:rPr>
                          <w:rFonts w:ascii="Arial" w:hAnsi="Arial" w:cs="Arial"/>
                          <w:b/>
                          <w:bCs/>
                          <w:color w:val="000000"/>
                          <w:sz w:val="16"/>
                          <w:szCs w:val="16"/>
                        </w:rPr>
                        <w:t xml:space="preserve">ESG Committee Report on </w:t>
                      </w:r>
                      <w:r w:rsidR="00F41398" w:rsidRPr="00735726">
                        <w:rPr>
                          <w:rFonts w:ascii="Arial" w:hAnsi="Arial" w:cs="Arial"/>
                          <w:b/>
                          <w:bCs/>
                          <w:color w:val="000000"/>
                          <w:sz w:val="16"/>
                          <w:szCs w:val="16"/>
                        </w:rPr>
                        <w:t xml:space="preserve">pages </w:t>
                      </w:r>
                      <w:r w:rsidR="00704734" w:rsidRPr="009A2CAE">
                        <w:rPr>
                          <w:rFonts w:ascii="Arial" w:hAnsi="Arial" w:cs="Arial"/>
                          <w:b/>
                          <w:bCs/>
                          <w:color w:val="000000"/>
                          <w:sz w:val="16"/>
                          <w:szCs w:val="16"/>
                        </w:rPr>
                        <w:t xml:space="preserve">140 </w:t>
                      </w:r>
                      <w:r w:rsidR="00F41398" w:rsidRPr="009A2CAE">
                        <w:rPr>
                          <w:rFonts w:ascii="Arial" w:hAnsi="Arial" w:cs="Arial"/>
                          <w:b/>
                          <w:bCs/>
                          <w:color w:val="000000"/>
                          <w:sz w:val="16"/>
                          <w:szCs w:val="16"/>
                        </w:rPr>
                        <w:t xml:space="preserve">to </w:t>
                      </w:r>
                      <w:r w:rsidR="00704734" w:rsidRPr="009A2CAE">
                        <w:rPr>
                          <w:rFonts w:ascii="Arial" w:hAnsi="Arial" w:cs="Arial"/>
                          <w:b/>
                          <w:bCs/>
                          <w:color w:val="000000"/>
                          <w:sz w:val="16"/>
                          <w:szCs w:val="16"/>
                        </w:rPr>
                        <w:t>143</w:t>
                      </w:r>
                      <w:r w:rsidR="00F41398" w:rsidRPr="009A2CAE">
                        <w:rPr>
                          <w:rFonts w:ascii="Arial" w:hAnsi="Arial" w:cs="Arial"/>
                          <w:b/>
                          <w:bCs/>
                          <w:color w:val="000000"/>
                          <w:sz w:val="16"/>
                          <w:szCs w:val="16"/>
                        </w:rPr>
                        <w:t>.</w:t>
                      </w:r>
                    </w:p>
                    <w:p w14:paraId="322F5C81" w14:textId="13FF5AFF" w:rsidR="007B4512" w:rsidRPr="00721274" w:rsidRDefault="007B4512" w:rsidP="007B4512">
                      <w:pPr>
                        <w:pStyle w:val="Pa13"/>
                        <w:spacing w:after="40"/>
                        <w:rPr>
                          <w:b/>
                          <w:bCs/>
                        </w:rPr>
                      </w:pPr>
                    </w:p>
                    <w:p w14:paraId="42356A42" w14:textId="5DFC8306" w:rsidR="00721274" w:rsidRDefault="00721274" w:rsidP="007B4512">
                      <w:pPr>
                        <w:pStyle w:val="Pa13"/>
                        <w:spacing w:after="40"/>
                      </w:pPr>
                    </w:p>
                  </w:txbxContent>
                </v:textbox>
              </v:shape>
            </w:pict>
          </mc:Fallback>
        </mc:AlternateContent>
      </w:r>
      <w:r w:rsidR="00D80F41" w:rsidRPr="009A2CAE">
        <w:rPr>
          <w:noProof/>
        </w:rPr>
        <mc:AlternateContent>
          <mc:Choice Requires="wps">
            <w:drawing>
              <wp:anchor distT="0" distB="0" distL="114300" distR="114300" simplePos="0" relativeHeight="251709440" behindDoc="0" locked="0" layoutInCell="1" allowOverlap="1" wp14:anchorId="2EEC3CA7" wp14:editId="093A956C">
                <wp:simplePos x="0" y="0"/>
                <wp:positionH relativeFrom="column">
                  <wp:posOffset>2447925</wp:posOffset>
                </wp:positionH>
                <wp:positionV relativeFrom="paragraph">
                  <wp:posOffset>2033270</wp:posOffset>
                </wp:positionV>
                <wp:extent cx="1105535" cy="4205605"/>
                <wp:effectExtent l="0" t="0" r="18415" b="23495"/>
                <wp:wrapNone/>
                <wp:docPr id="2142055136" name="Text Box 2142055136"/>
                <wp:cNvGraphicFramePr/>
                <a:graphic xmlns:a="http://schemas.openxmlformats.org/drawingml/2006/main">
                  <a:graphicData uri="http://schemas.microsoft.com/office/word/2010/wordprocessingShape">
                    <wps:wsp>
                      <wps:cNvSpPr txBox="1"/>
                      <wps:spPr>
                        <a:xfrm>
                          <a:off x="0" y="0"/>
                          <a:ext cx="1105535" cy="4205605"/>
                        </a:xfrm>
                        <a:prstGeom prst="rect">
                          <a:avLst/>
                        </a:prstGeom>
                        <a:solidFill>
                          <a:schemeClr val="lt1"/>
                        </a:solidFill>
                        <a:ln w="6350">
                          <a:solidFill>
                            <a:prstClr val="black"/>
                          </a:solidFill>
                        </a:ln>
                      </wps:spPr>
                      <wps:txbx>
                        <w:txbxContent>
                          <w:p w14:paraId="7423C379" w14:textId="77777777" w:rsidR="00721274" w:rsidRPr="00A9557A" w:rsidRDefault="00721274" w:rsidP="00721274">
                            <w:pPr>
                              <w:pStyle w:val="Pa13"/>
                              <w:spacing w:after="40"/>
                              <w:rPr>
                                <w:rFonts w:ascii="Arial" w:hAnsi="Arial" w:cs="Arial"/>
                                <w:color w:val="000000"/>
                                <w:sz w:val="16"/>
                                <w:szCs w:val="16"/>
                              </w:rPr>
                            </w:pPr>
                            <w:r w:rsidRPr="00A9557A">
                              <w:rPr>
                                <w:rFonts w:ascii="Arial" w:hAnsi="Arial" w:cs="Arial"/>
                                <w:b/>
                                <w:bCs/>
                                <w:color w:val="000000"/>
                                <w:sz w:val="16"/>
                                <w:szCs w:val="16"/>
                              </w:rPr>
                              <w:t>Remuneration Committee</w:t>
                            </w:r>
                            <w:r w:rsidRPr="00A9557A">
                              <w:rPr>
                                <w:rFonts w:cs="Calibre Semibold"/>
                                <w:b/>
                                <w:bCs/>
                                <w:color w:val="000000"/>
                                <w:sz w:val="20"/>
                                <w:szCs w:val="20"/>
                              </w:rPr>
                              <w:br/>
                            </w:r>
                            <w:r w:rsidRPr="00A9557A">
                              <w:rPr>
                                <w:rFonts w:ascii="Arial" w:hAnsi="Arial" w:cs="Arial"/>
                                <w:color w:val="000000"/>
                                <w:sz w:val="16"/>
                                <w:szCs w:val="16"/>
                              </w:rPr>
                              <w:t>Ensures remuneration is aligned with the Company’s strategy and reflects the values of the Company.</w:t>
                            </w:r>
                          </w:p>
                          <w:p w14:paraId="3B11202C" w14:textId="77777777" w:rsidR="00F41398" w:rsidRPr="00735726" w:rsidRDefault="00721274" w:rsidP="00721274">
                            <w:pPr>
                              <w:pStyle w:val="Pa13"/>
                              <w:spacing w:after="40"/>
                              <w:rPr>
                                <w:rFonts w:ascii="Arial" w:hAnsi="Arial" w:cs="Arial"/>
                                <w:color w:val="000000"/>
                                <w:sz w:val="16"/>
                                <w:szCs w:val="16"/>
                              </w:rPr>
                            </w:pPr>
                            <w:r w:rsidRPr="00A9557A">
                              <w:rPr>
                                <w:rFonts w:ascii="Arial" w:hAnsi="Arial" w:cs="Arial"/>
                                <w:color w:val="000000"/>
                                <w:sz w:val="16"/>
                                <w:szCs w:val="16"/>
                              </w:rPr>
                              <w:t xml:space="preserve">Advises the Board </w:t>
                            </w:r>
                            <w:r w:rsidRPr="00735726">
                              <w:rPr>
                                <w:rFonts w:ascii="Arial" w:hAnsi="Arial" w:cs="Arial"/>
                                <w:color w:val="000000"/>
                                <w:sz w:val="16"/>
                                <w:szCs w:val="16"/>
                              </w:rPr>
                              <w:t>on the framework of executive remuneration for the Company and for the wider workforce.</w:t>
                            </w:r>
                          </w:p>
                          <w:p w14:paraId="56B71009" w14:textId="69C04C24" w:rsidR="00721274" w:rsidRPr="00721274" w:rsidRDefault="00721274" w:rsidP="00721274">
                            <w:pPr>
                              <w:pStyle w:val="Pa13"/>
                              <w:spacing w:after="40"/>
                              <w:rPr>
                                <w:b/>
                                <w:bCs/>
                              </w:rPr>
                            </w:pPr>
                            <w:r w:rsidRPr="00735726">
                              <w:rPr>
                                <w:rFonts w:ascii="Arial" w:hAnsi="Arial" w:cs="Arial"/>
                                <w:color w:val="000000"/>
                                <w:sz w:val="16"/>
                                <w:szCs w:val="16"/>
                              </w:rPr>
                              <w:br/>
                            </w:r>
                            <w:r w:rsidRPr="00735726">
                              <w:rPr>
                                <w:rFonts w:ascii="Arial" w:hAnsi="Arial" w:cs="Arial"/>
                                <w:b/>
                                <w:bCs/>
                                <w:color w:val="000000"/>
                                <w:sz w:val="16"/>
                                <w:szCs w:val="16"/>
                              </w:rPr>
                              <w:t xml:space="preserve">Remuneration Committee Report on </w:t>
                            </w:r>
                            <w:r w:rsidR="00F41398" w:rsidRPr="00735726">
                              <w:rPr>
                                <w:rFonts w:ascii="Arial" w:hAnsi="Arial" w:cs="Arial"/>
                                <w:b/>
                                <w:bCs/>
                                <w:color w:val="000000"/>
                                <w:sz w:val="16"/>
                                <w:szCs w:val="16"/>
                              </w:rPr>
                              <w:t xml:space="preserve">pages </w:t>
                            </w:r>
                            <w:r w:rsidR="00704734" w:rsidRPr="009A2CAE">
                              <w:rPr>
                                <w:rFonts w:ascii="Arial" w:hAnsi="Arial" w:cs="Arial"/>
                                <w:b/>
                                <w:bCs/>
                                <w:color w:val="000000"/>
                                <w:sz w:val="16"/>
                                <w:szCs w:val="16"/>
                              </w:rPr>
                              <w:t xml:space="preserve">145 </w:t>
                            </w:r>
                            <w:r w:rsidR="00F41398" w:rsidRPr="009A2CAE">
                              <w:rPr>
                                <w:rFonts w:ascii="Arial" w:hAnsi="Arial" w:cs="Arial"/>
                                <w:b/>
                                <w:bCs/>
                                <w:color w:val="000000"/>
                                <w:sz w:val="16"/>
                                <w:szCs w:val="16"/>
                              </w:rPr>
                              <w:t xml:space="preserve">to </w:t>
                            </w:r>
                            <w:r w:rsidR="00704734" w:rsidRPr="009A2CAE">
                              <w:rPr>
                                <w:rFonts w:ascii="Arial" w:hAnsi="Arial" w:cs="Arial"/>
                                <w:b/>
                                <w:bCs/>
                                <w:color w:val="000000"/>
                                <w:sz w:val="16"/>
                                <w:szCs w:val="16"/>
                              </w:rPr>
                              <w:t>149</w:t>
                            </w:r>
                            <w:r w:rsidR="00F41398" w:rsidRPr="009A2CAE">
                              <w:rPr>
                                <w:rFonts w:ascii="Arial" w:hAnsi="Arial" w:cs="Arial"/>
                                <w:b/>
                                <w:bCs/>
                                <w:color w:val="000000"/>
                                <w:sz w:val="16"/>
                                <w:szCs w:val="16"/>
                              </w:rPr>
                              <w:t>.</w:t>
                            </w:r>
                          </w:p>
                          <w:p w14:paraId="1B0EF4E4" w14:textId="3817B22E" w:rsidR="00721274" w:rsidRPr="0077359F" w:rsidRDefault="00721274" w:rsidP="00721274">
                            <w:pPr>
                              <w:rPr>
                                <w:rFonts w:ascii="Arial" w:hAnsi="Arial" w:cs="Arial"/>
                                <w:color w:val="000000"/>
                                <w:sz w:val="16"/>
                                <w:szCs w:val="16"/>
                                <w:highlight w:val="yellow"/>
                              </w:rPr>
                            </w:pPr>
                          </w:p>
                          <w:p w14:paraId="27D59317" w14:textId="77777777" w:rsidR="00721274" w:rsidRDefault="00721274" w:rsidP="00721274">
                            <w:pPr>
                              <w:rPr>
                                <w:rFonts w:ascii="Arial" w:hAnsi="Arial" w:cs="Arial"/>
                                <w:color w:val="000000"/>
                                <w:sz w:val="16"/>
                                <w:szCs w:val="16"/>
                              </w:rPr>
                            </w:pPr>
                          </w:p>
                          <w:p w14:paraId="47789F0A" w14:textId="77777777" w:rsidR="00721274" w:rsidRDefault="00721274" w:rsidP="00721274"/>
                          <w:p w14:paraId="797A199F" w14:textId="77777777" w:rsidR="00721274" w:rsidRDefault="00721274" w:rsidP="0072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3CA7" id="Text Box 2142055136" o:spid="_x0000_s1034" type="#_x0000_t202" style="position:absolute;margin-left:192.75pt;margin-top:160.1pt;width:87.05pt;height:33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" fillcolor="white [3201]" strokeweight=".5pt">
                <v:textbox>
                  <w:txbxContent>
                    <w:p w14:paraId="7423C379" w14:textId="77777777" w:rsidR="00721274" w:rsidRPr="00A9557A" w:rsidRDefault="00721274" w:rsidP="00721274">
                      <w:pPr>
                        <w:pStyle w:val="Pa13"/>
                        <w:spacing w:after="40"/>
                        <w:rPr>
                          <w:rFonts w:ascii="Arial" w:hAnsi="Arial" w:cs="Arial"/>
                          <w:color w:val="000000"/>
                          <w:sz w:val="16"/>
                          <w:szCs w:val="16"/>
                        </w:rPr>
                      </w:pPr>
                      <w:r w:rsidRPr="00A9557A">
                        <w:rPr>
                          <w:rFonts w:ascii="Arial" w:hAnsi="Arial" w:cs="Arial"/>
                          <w:b/>
                          <w:bCs/>
                          <w:color w:val="000000"/>
                          <w:sz w:val="16"/>
                          <w:szCs w:val="16"/>
                        </w:rPr>
                        <w:t>Remuneration Committee</w:t>
                      </w:r>
                      <w:r w:rsidRPr="00A9557A">
                        <w:rPr>
                          <w:rFonts w:cs="Calibre Semibold"/>
                          <w:b/>
                          <w:bCs/>
                          <w:color w:val="000000"/>
                          <w:sz w:val="20"/>
                          <w:szCs w:val="20"/>
                        </w:rPr>
                        <w:br/>
                      </w:r>
                      <w:r w:rsidRPr="00A9557A">
                        <w:rPr>
                          <w:rFonts w:ascii="Arial" w:hAnsi="Arial" w:cs="Arial"/>
                          <w:color w:val="000000"/>
                          <w:sz w:val="16"/>
                          <w:szCs w:val="16"/>
                        </w:rPr>
                        <w:t>Ensures remuneration is aligned with the Company’s strategy and reflects the values of the Company.</w:t>
                      </w:r>
                    </w:p>
                    <w:p w14:paraId="3B11202C" w14:textId="77777777" w:rsidR="00F41398" w:rsidRPr="00735726" w:rsidRDefault="00721274" w:rsidP="00721274">
                      <w:pPr>
                        <w:pStyle w:val="Pa13"/>
                        <w:spacing w:after="40"/>
                        <w:rPr>
                          <w:rFonts w:ascii="Arial" w:hAnsi="Arial" w:cs="Arial"/>
                          <w:color w:val="000000"/>
                          <w:sz w:val="16"/>
                          <w:szCs w:val="16"/>
                        </w:rPr>
                      </w:pPr>
                      <w:r w:rsidRPr="00A9557A">
                        <w:rPr>
                          <w:rFonts w:ascii="Arial" w:hAnsi="Arial" w:cs="Arial"/>
                          <w:color w:val="000000"/>
                          <w:sz w:val="16"/>
                          <w:szCs w:val="16"/>
                        </w:rPr>
                        <w:t xml:space="preserve">Advises the Board </w:t>
                      </w:r>
                      <w:r w:rsidRPr="00735726">
                        <w:rPr>
                          <w:rFonts w:ascii="Arial" w:hAnsi="Arial" w:cs="Arial"/>
                          <w:color w:val="000000"/>
                          <w:sz w:val="16"/>
                          <w:szCs w:val="16"/>
                        </w:rPr>
                        <w:t>on the framework of executive remuneration for the Company and for the wider workforce.</w:t>
                      </w:r>
                    </w:p>
                    <w:p w14:paraId="56B71009" w14:textId="69C04C24" w:rsidR="00721274" w:rsidRPr="00721274" w:rsidRDefault="00721274" w:rsidP="00721274">
                      <w:pPr>
                        <w:pStyle w:val="Pa13"/>
                        <w:spacing w:after="40"/>
                        <w:rPr>
                          <w:b/>
                          <w:bCs/>
                        </w:rPr>
                      </w:pPr>
                      <w:r w:rsidRPr="00735726">
                        <w:rPr>
                          <w:rFonts w:ascii="Arial" w:hAnsi="Arial" w:cs="Arial"/>
                          <w:color w:val="000000"/>
                          <w:sz w:val="16"/>
                          <w:szCs w:val="16"/>
                        </w:rPr>
                        <w:br/>
                      </w:r>
                      <w:r w:rsidRPr="00735726">
                        <w:rPr>
                          <w:rFonts w:ascii="Arial" w:hAnsi="Arial" w:cs="Arial"/>
                          <w:b/>
                          <w:bCs/>
                          <w:color w:val="000000"/>
                          <w:sz w:val="16"/>
                          <w:szCs w:val="16"/>
                        </w:rPr>
                        <w:t xml:space="preserve">Remuneration Committee Report on </w:t>
                      </w:r>
                      <w:r w:rsidR="00F41398" w:rsidRPr="00735726">
                        <w:rPr>
                          <w:rFonts w:ascii="Arial" w:hAnsi="Arial" w:cs="Arial"/>
                          <w:b/>
                          <w:bCs/>
                          <w:color w:val="000000"/>
                          <w:sz w:val="16"/>
                          <w:szCs w:val="16"/>
                        </w:rPr>
                        <w:t xml:space="preserve">pages </w:t>
                      </w:r>
                      <w:r w:rsidR="00704734" w:rsidRPr="009A2CAE">
                        <w:rPr>
                          <w:rFonts w:ascii="Arial" w:hAnsi="Arial" w:cs="Arial"/>
                          <w:b/>
                          <w:bCs/>
                          <w:color w:val="000000"/>
                          <w:sz w:val="16"/>
                          <w:szCs w:val="16"/>
                        </w:rPr>
                        <w:t xml:space="preserve">145 </w:t>
                      </w:r>
                      <w:r w:rsidR="00F41398" w:rsidRPr="009A2CAE">
                        <w:rPr>
                          <w:rFonts w:ascii="Arial" w:hAnsi="Arial" w:cs="Arial"/>
                          <w:b/>
                          <w:bCs/>
                          <w:color w:val="000000"/>
                          <w:sz w:val="16"/>
                          <w:szCs w:val="16"/>
                        </w:rPr>
                        <w:t xml:space="preserve">to </w:t>
                      </w:r>
                      <w:r w:rsidR="00704734" w:rsidRPr="009A2CAE">
                        <w:rPr>
                          <w:rFonts w:ascii="Arial" w:hAnsi="Arial" w:cs="Arial"/>
                          <w:b/>
                          <w:bCs/>
                          <w:color w:val="000000"/>
                          <w:sz w:val="16"/>
                          <w:szCs w:val="16"/>
                        </w:rPr>
                        <w:t>149</w:t>
                      </w:r>
                      <w:r w:rsidR="00F41398" w:rsidRPr="009A2CAE">
                        <w:rPr>
                          <w:rFonts w:ascii="Arial" w:hAnsi="Arial" w:cs="Arial"/>
                          <w:b/>
                          <w:bCs/>
                          <w:color w:val="000000"/>
                          <w:sz w:val="16"/>
                          <w:szCs w:val="16"/>
                        </w:rPr>
                        <w:t>.</w:t>
                      </w:r>
                    </w:p>
                    <w:p w14:paraId="1B0EF4E4" w14:textId="3817B22E" w:rsidR="00721274" w:rsidRPr="0077359F" w:rsidRDefault="00721274" w:rsidP="00721274">
                      <w:pPr>
                        <w:rPr>
                          <w:rFonts w:ascii="Arial" w:hAnsi="Arial" w:cs="Arial"/>
                          <w:color w:val="000000"/>
                          <w:sz w:val="16"/>
                          <w:szCs w:val="16"/>
                          <w:highlight w:val="yellow"/>
                        </w:rPr>
                      </w:pPr>
                    </w:p>
                    <w:p w14:paraId="27D59317" w14:textId="77777777" w:rsidR="00721274" w:rsidRDefault="00721274" w:rsidP="00721274">
                      <w:pPr>
                        <w:rPr>
                          <w:rFonts w:ascii="Arial" w:hAnsi="Arial" w:cs="Arial"/>
                          <w:color w:val="000000"/>
                          <w:sz w:val="16"/>
                          <w:szCs w:val="16"/>
                        </w:rPr>
                      </w:pPr>
                    </w:p>
                    <w:p w14:paraId="47789F0A" w14:textId="77777777" w:rsidR="00721274" w:rsidRDefault="00721274" w:rsidP="00721274"/>
                    <w:p w14:paraId="797A199F" w14:textId="77777777" w:rsidR="00721274" w:rsidRDefault="00721274" w:rsidP="00721274"/>
                  </w:txbxContent>
                </v:textbox>
              </v:shape>
            </w:pict>
          </mc:Fallback>
        </mc:AlternateContent>
      </w:r>
      <w:r w:rsidR="00D80F41" w:rsidRPr="009A2CAE">
        <w:rPr>
          <w:noProof/>
          <w14:ligatures w14:val="standardContextual"/>
        </w:rPr>
        <mc:AlternateContent>
          <mc:Choice Requires="wps">
            <w:drawing>
              <wp:anchor distT="0" distB="0" distL="114300" distR="114300" simplePos="0" relativeHeight="251723776" behindDoc="0" locked="0" layoutInCell="1" allowOverlap="1" wp14:anchorId="5EFCC013" wp14:editId="408C4F07">
                <wp:simplePos x="0" y="0"/>
                <wp:positionH relativeFrom="column">
                  <wp:posOffset>5514975</wp:posOffset>
                </wp:positionH>
                <wp:positionV relativeFrom="paragraph">
                  <wp:posOffset>6252845</wp:posOffset>
                </wp:positionV>
                <wp:extent cx="0" cy="266700"/>
                <wp:effectExtent l="0" t="0" r="38100" b="19050"/>
                <wp:wrapNone/>
                <wp:docPr id="482309084" name="Straight Connector 27"/>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857E4" id="Straight Connector 2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25pt,492.35pt" to="434.25pt,5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" strokecolor="black [3200]" strokeweight=".5pt">
                <v:stroke joinstyle="miter"/>
              </v:line>
            </w:pict>
          </mc:Fallback>
        </mc:AlternateContent>
      </w:r>
      <w:r w:rsidR="00D80F41" w:rsidRPr="009A2CAE">
        <w:rPr>
          <w:noProof/>
          <w14:ligatures w14:val="standardContextual"/>
        </w:rPr>
        <mc:AlternateContent>
          <mc:Choice Requires="wps">
            <w:drawing>
              <wp:anchor distT="0" distB="0" distL="114300" distR="114300" simplePos="0" relativeHeight="251720704" behindDoc="0" locked="0" layoutInCell="1" allowOverlap="1" wp14:anchorId="66337955" wp14:editId="26540A40">
                <wp:simplePos x="0" y="0"/>
                <wp:positionH relativeFrom="column">
                  <wp:posOffset>1676400</wp:posOffset>
                </wp:positionH>
                <wp:positionV relativeFrom="paragraph">
                  <wp:posOffset>6271895</wp:posOffset>
                </wp:positionV>
                <wp:extent cx="0" cy="242570"/>
                <wp:effectExtent l="0" t="0" r="38100" b="24130"/>
                <wp:wrapNone/>
                <wp:docPr id="939906962" name="Straight Connector 23"/>
                <wp:cNvGraphicFramePr/>
                <a:graphic xmlns:a="http://schemas.openxmlformats.org/drawingml/2006/main">
                  <a:graphicData uri="http://schemas.microsoft.com/office/word/2010/wordprocessingShape">
                    <wps:wsp>
                      <wps:cNvCnPr/>
                      <wps:spPr>
                        <a:xfrm>
                          <a:off x="0" y="0"/>
                          <a:ext cx="0" cy="242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BEFE58" id="Straight Connector 2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32pt,493.85pt" to="132pt,5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" strokecolor="black [3200]" strokeweight=".5pt">
                <v:stroke joinstyle="miter"/>
              </v:line>
            </w:pict>
          </mc:Fallback>
        </mc:AlternateContent>
      </w:r>
      <w:r w:rsidR="00D80F41" w:rsidRPr="009A2CAE">
        <w:rPr>
          <w:noProof/>
          <w14:ligatures w14:val="standardContextual"/>
        </w:rPr>
        <mc:AlternateContent>
          <mc:Choice Requires="wps">
            <w:drawing>
              <wp:anchor distT="0" distB="0" distL="114300" distR="114300" simplePos="0" relativeHeight="251721728" behindDoc="0" locked="0" layoutInCell="1" allowOverlap="1" wp14:anchorId="1B4855EE" wp14:editId="5F1E735A">
                <wp:simplePos x="0" y="0"/>
                <wp:positionH relativeFrom="column">
                  <wp:posOffset>2990215</wp:posOffset>
                </wp:positionH>
                <wp:positionV relativeFrom="paragraph">
                  <wp:posOffset>6252845</wp:posOffset>
                </wp:positionV>
                <wp:extent cx="0" cy="266700"/>
                <wp:effectExtent l="0" t="0" r="38100" b="19050"/>
                <wp:wrapNone/>
                <wp:docPr id="961892572" name="Straight Connector 24"/>
                <wp:cNvGraphicFramePr/>
                <a:graphic xmlns:a="http://schemas.openxmlformats.org/drawingml/2006/main">
                  <a:graphicData uri="http://schemas.microsoft.com/office/word/2010/wordprocessingShape">
                    <wps:wsp>
                      <wps:cNvCnPr/>
                      <wps:spPr>
                        <a:xfrm flipH="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C617B" id="Straight Connector 24"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492.35pt" to="235.45pt,5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" strokecolor="black [3200]" strokeweight=".5pt">
                <v:stroke joinstyle="miter"/>
              </v:line>
            </w:pict>
          </mc:Fallback>
        </mc:AlternateContent>
      </w:r>
      <w:r w:rsidR="00D80F41" w:rsidRPr="009A2CAE">
        <w:rPr>
          <w:noProof/>
          <w14:ligatures w14:val="standardContextual"/>
        </w:rPr>
        <mc:AlternateContent>
          <mc:Choice Requires="wps">
            <w:drawing>
              <wp:anchor distT="0" distB="0" distL="114300" distR="114300" simplePos="0" relativeHeight="251719680" behindDoc="0" locked="0" layoutInCell="1" allowOverlap="1" wp14:anchorId="496D95DD" wp14:editId="5006A048">
                <wp:simplePos x="0" y="0"/>
                <wp:positionH relativeFrom="column">
                  <wp:posOffset>314325</wp:posOffset>
                </wp:positionH>
                <wp:positionV relativeFrom="paragraph">
                  <wp:posOffset>6267450</wp:posOffset>
                </wp:positionV>
                <wp:extent cx="0" cy="252095"/>
                <wp:effectExtent l="0" t="0" r="38100" b="33655"/>
                <wp:wrapNone/>
                <wp:docPr id="1908492171" name="Straight Connector 22"/>
                <wp:cNvGraphicFramePr/>
                <a:graphic xmlns:a="http://schemas.openxmlformats.org/drawingml/2006/main">
                  <a:graphicData uri="http://schemas.microsoft.com/office/word/2010/wordprocessingShape">
                    <wps:wsp>
                      <wps:cNvCnPr/>
                      <wps:spPr>
                        <a:xfrm>
                          <a:off x="0" y="0"/>
                          <a:ext cx="0" cy="252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A5219" id="Straight Connector 2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493.5pt" to="24.75pt,5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" strokecolor="black [3200]" strokeweight=".5pt">
                <v:stroke joinstyle="miter"/>
              </v:line>
            </w:pict>
          </mc:Fallback>
        </mc:AlternateContent>
      </w:r>
      <w:r w:rsidR="00D80F41" w:rsidRPr="009A2CAE">
        <w:rPr>
          <w:noProof/>
        </w:rPr>
        <mc:AlternateContent>
          <mc:Choice Requires="wps">
            <w:drawing>
              <wp:anchor distT="0" distB="0" distL="114300" distR="114300" simplePos="0" relativeHeight="251703296" behindDoc="0" locked="0" layoutInCell="1" allowOverlap="1" wp14:anchorId="10D3DA0B" wp14:editId="6EBAE79A">
                <wp:simplePos x="0" y="0"/>
                <wp:positionH relativeFrom="column">
                  <wp:posOffset>4583430</wp:posOffset>
                </wp:positionH>
                <wp:positionV relativeFrom="paragraph">
                  <wp:posOffset>893445</wp:posOffset>
                </wp:positionV>
                <wp:extent cx="0" cy="106045"/>
                <wp:effectExtent l="0" t="0" r="38100" b="27305"/>
                <wp:wrapNone/>
                <wp:docPr id="450629284" name="Straight Connector 450629284"/>
                <wp:cNvGraphicFramePr/>
                <a:graphic xmlns:a="http://schemas.openxmlformats.org/drawingml/2006/main">
                  <a:graphicData uri="http://schemas.microsoft.com/office/word/2010/wordprocessingShape">
                    <wps:wsp>
                      <wps:cNvCnPr/>
                      <wps:spPr>
                        <a:xfrm>
                          <a:off x="0" y="0"/>
                          <a:ext cx="0" cy="106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BCB4C" id="Straight Connector 45062928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9pt,70.35pt" to="360.9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ZrwEAANMDAAAOAAAAZHJzL2Uyb0RvYy54bWysU01v2zAMvQ/ofxB0X2wXWzE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" strokecolor="black [3213]" strokeweight=".5pt">
                <v:stroke joinstyle="miter"/>
              </v:line>
            </w:pict>
          </mc:Fallback>
        </mc:AlternateContent>
      </w:r>
      <w:r w:rsidR="00D80F41" w:rsidRPr="009A2CAE">
        <w:rPr>
          <w:noProof/>
          <w14:ligatures w14:val="standardContextual"/>
        </w:rPr>
        <mc:AlternateContent>
          <mc:Choice Requires="wps">
            <w:drawing>
              <wp:anchor distT="0" distB="0" distL="114300" distR="114300" simplePos="0" relativeHeight="251714560" behindDoc="0" locked="0" layoutInCell="1" allowOverlap="1" wp14:anchorId="12A0DD5C" wp14:editId="48568627">
                <wp:simplePos x="0" y="0"/>
                <wp:positionH relativeFrom="column">
                  <wp:posOffset>390525</wp:posOffset>
                </wp:positionH>
                <wp:positionV relativeFrom="paragraph">
                  <wp:posOffset>880745</wp:posOffset>
                </wp:positionV>
                <wp:extent cx="0" cy="115570"/>
                <wp:effectExtent l="0" t="0" r="38100" b="36830"/>
                <wp:wrapNone/>
                <wp:docPr id="114454032" name="Straight Connector 16"/>
                <wp:cNvGraphicFramePr/>
                <a:graphic xmlns:a="http://schemas.openxmlformats.org/drawingml/2006/main">
                  <a:graphicData uri="http://schemas.microsoft.com/office/word/2010/wordprocessingShape">
                    <wps:wsp>
                      <wps:cNvCnPr/>
                      <wps:spPr>
                        <a:xfrm>
                          <a:off x="0" y="0"/>
                          <a:ext cx="0" cy="115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1FED8" id="Straight Connector 1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69.35pt" to="30.7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" strokecolor="black [3200]" strokeweight=".5pt">
                <v:stroke joinstyle="miter"/>
              </v:line>
            </w:pict>
          </mc:Fallback>
        </mc:AlternateContent>
      </w:r>
      <w:r w:rsidR="00721274" w:rsidRPr="009A2CAE">
        <w:br w:type="page"/>
      </w:r>
    </w:p>
    <w:bookmarkEnd w:id="28"/>
    <w:p w14:paraId="16139CD3" w14:textId="77777777" w:rsidR="004F030D" w:rsidRPr="00764217" w:rsidRDefault="004F030D" w:rsidP="008A4B89">
      <w:pPr>
        <w:spacing w:after="120"/>
        <w:outlineLvl w:val="0"/>
        <w:rPr>
          <w:rFonts w:ascii="Arial" w:hAnsi="Arial" w:cs="Arial"/>
          <w:sz w:val="32"/>
          <w:szCs w:val="32"/>
        </w:rPr>
      </w:pPr>
      <w:r w:rsidRPr="00764217">
        <w:rPr>
          <w:rFonts w:ascii="Arial" w:hAnsi="Arial" w:cs="Arial"/>
          <w:sz w:val="32"/>
          <w:szCs w:val="32"/>
        </w:rPr>
        <w:lastRenderedPageBreak/>
        <w:t>DIVISION OF RESPONSIBILITIES</w:t>
      </w:r>
    </w:p>
    <w:p w14:paraId="09740374" w14:textId="1BDFDFDA" w:rsidR="004F030D" w:rsidRPr="00764217" w:rsidRDefault="004F030D" w:rsidP="0024293B">
      <w:pPr>
        <w:spacing w:after="120"/>
        <w:rPr>
          <w:rFonts w:ascii="Arial" w:hAnsi="Arial" w:cs="Arial"/>
          <w:sz w:val="18"/>
          <w:szCs w:val="18"/>
        </w:rPr>
      </w:pPr>
      <w:r w:rsidRPr="00764217">
        <w:rPr>
          <w:rFonts w:ascii="Arial" w:hAnsi="Arial" w:cs="Arial"/>
          <w:sz w:val="18"/>
          <w:szCs w:val="18"/>
        </w:rPr>
        <w:t>There is a clear separation of responsibilities between the Chair and the Chief Executive Officer, divided between managing the Board and the business, while maintaining a close working relationship.</w:t>
      </w:r>
    </w:p>
    <w:p w14:paraId="42B5207A" w14:textId="77777777" w:rsidR="004F030D" w:rsidRPr="00764217" w:rsidRDefault="004F030D" w:rsidP="0024293B">
      <w:pPr>
        <w:spacing w:after="0"/>
        <w:rPr>
          <w:rFonts w:ascii="Arial" w:hAnsi="Arial" w:cs="Arial"/>
          <w:sz w:val="18"/>
          <w:szCs w:val="18"/>
        </w:rPr>
      </w:pPr>
      <w:r w:rsidRPr="00764217">
        <w:rPr>
          <w:rFonts w:ascii="Arial" w:hAnsi="Arial" w:cs="Arial"/>
          <w:sz w:val="18"/>
          <w:szCs w:val="18"/>
        </w:rPr>
        <w:t xml:space="preserve">All the Directors are equally accountable for the proper stewardship of the </w:t>
      </w:r>
      <w:r w:rsidRPr="00764217">
        <w:rPr>
          <w:rFonts w:ascii="Arial" w:eastAsiaTheme="majorEastAsia" w:hAnsi="Arial" w:cs="Arial"/>
          <w:sz w:val="18"/>
          <w:lang w:eastAsia="en-GB"/>
        </w:rPr>
        <w:t xml:space="preserve">Company’s </w:t>
      </w:r>
      <w:r w:rsidRPr="00764217">
        <w:rPr>
          <w:rFonts w:ascii="Arial" w:hAnsi="Arial" w:cs="Arial"/>
          <w:sz w:val="18"/>
          <w:szCs w:val="18"/>
        </w:rPr>
        <w:t xml:space="preserve">affairs </w:t>
      </w:r>
      <w:proofErr w:type="gramStart"/>
      <w:r w:rsidRPr="00764217">
        <w:rPr>
          <w:rFonts w:ascii="Arial" w:hAnsi="Arial" w:cs="Arial"/>
          <w:sz w:val="18"/>
          <w:szCs w:val="18"/>
        </w:rPr>
        <w:t>and also</w:t>
      </w:r>
      <w:proofErr w:type="gramEnd"/>
      <w:r w:rsidRPr="00764217">
        <w:rPr>
          <w:rFonts w:ascii="Arial" w:hAnsi="Arial" w:cs="Arial"/>
          <w:sz w:val="18"/>
          <w:szCs w:val="18"/>
        </w:rPr>
        <w:t xml:space="preserve"> have specific roles, which include those set out below:</w:t>
      </w:r>
    </w:p>
    <w:tbl>
      <w:tblPr>
        <w:tblW w:w="92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5588C9" w:fill="auto"/>
        <w:tblLayout w:type="fixed"/>
        <w:tblCellMar>
          <w:left w:w="0" w:type="dxa"/>
          <w:right w:w="0" w:type="dxa"/>
        </w:tblCellMar>
        <w:tblLook w:val="0000" w:firstRow="0" w:lastRow="0" w:firstColumn="0" w:lastColumn="0" w:noHBand="0" w:noVBand="0"/>
      </w:tblPr>
      <w:tblGrid>
        <w:gridCol w:w="1688"/>
        <w:gridCol w:w="1560"/>
        <w:gridCol w:w="5953"/>
      </w:tblGrid>
      <w:tr w:rsidR="004F030D" w:rsidRPr="00B318D0" w14:paraId="7C2903E9" w14:textId="77777777" w:rsidTr="007C7B40">
        <w:trPr>
          <w:trHeight w:val="295"/>
          <w:tblHeader/>
        </w:trPr>
        <w:tc>
          <w:tcPr>
            <w:tcW w:w="1688" w:type="dxa"/>
            <w:shd w:val="clear" w:color="auto" w:fill="002060"/>
            <w:tcMar>
              <w:top w:w="0" w:type="dxa"/>
              <w:left w:w="57" w:type="dxa"/>
              <w:bottom w:w="11" w:type="dxa"/>
              <w:right w:w="57" w:type="dxa"/>
            </w:tcMar>
          </w:tcPr>
          <w:p w14:paraId="39ABD006" w14:textId="77777777" w:rsidR="004F030D" w:rsidRPr="00764217" w:rsidRDefault="004F030D" w:rsidP="00881565">
            <w:pPr>
              <w:pStyle w:val="HeadingLevel5"/>
              <w:spacing w:line="240" w:lineRule="auto"/>
              <w:rPr>
                <w:color w:val="FFFFFF" w:themeColor="background1"/>
              </w:rPr>
            </w:pPr>
            <w:r w:rsidRPr="00764217">
              <w:rPr>
                <w:color w:val="FFFFFF" w:themeColor="background1"/>
              </w:rPr>
              <w:t>Position</w:t>
            </w:r>
          </w:p>
        </w:tc>
        <w:tc>
          <w:tcPr>
            <w:tcW w:w="1560" w:type="dxa"/>
            <w:shd w:val="clear" w:color="auto" w:fill="002060"/>
            <w:tcMar>
              <w:top w:w="0" w:type="dxa"/>
              <w:left w:w="57" w:type="dxa"/>
              <w:bottom w:w="11" w:type="dxa"/>
              <w:right w:w="57" w:type="dxa"/>
            </w:tcMar>
          </w:tcPr>
          <w:p w14:paraId="0F5838A5" w14:textId="1A1984EC" w:rsidR="004F030D" w:rsidRPr="00764217" w:rsidRDefault="004F030D" w:rsidP="00881565">
            <w:pPr>
              <w:pStyle w:val="HeadingLevel5"/>
              <w:spacing w:line="240" w:lineRule="auto"/>
              <w:rPr>
                <w:color w:val="FFFFFF" w:themeColor="background1"/>
              </w:rPr>
            </w:pPr>
            <w:r w:rsidRPr="00764217">
              <w:rPr>
                <w:color w:val="FFFFFF" w:themeColor="background1"/>
              </w:rPr>
              <w:t>Director</w:t>
            </w:r>
            <w:r w:rsidR="005E3E57">
              <w:rPr>
                <w:color w:val="FFFFFF" w:themeColor="background1"/>
              </w:rPr>
              <w:t>/</w:t>
            </w:r>
            <w:r w:rsidR="006B1746">
              <w:rPr>
                <w:color w:val="FFFFFF" w:themeColor="background1"/>
              </w:rPr>
              <w:t>s</w:t>
            </w:r>
          </w:p>
        </w:tc>
        <w:tc>
          <w:tcPr>
            <w:tcW w:w="5953" w:type="dxa"/>
            <w:shd w:val="clear" w:color="auto" w:fill="002060"/>
            <w:tcMar>
              <w:top w:w="0" w:type="dxa"/>
              <w:left w:w="57" w:type="dxa"/>
              <w:bottom w:w="11" w:type="dxa"/>
              <w:right w:w="57" w:type="dxa"/>
            </w:tcMar>
          </w:tcPr>
          <w:p w14:paraId="4681C9D6" w14:textId="77777777" w:rsidR="004F030D" w:rsidRPr="00764217" w:rsidRDefault="004F030D" w:rsidP="00881565">
            <w:pPr>
              <w:pStyle w:val="HeadingLevel5"/>
              <w:spacing w:line="240" w:lineRule="auto"/>
              <w:rPr>
                <w:color w:val="FFFFFF" w:themeColor="background1"/>
                <w:vertAlign w:val="superscript"/>
              </w:rPr>
            </w:pPr>
            <w:r w:rsidRPr="00764217">
              <w:rPr>
                <w:color w:val="FFFFFF" w:themeColor="background1"/>
              </w:rPr>
              <w:t>Role</w:t>
            </w:r>
          </w:p>
        </w:tc>
      </w:tr>
      <w:tr w:rsidR="00011407" w:rsidRPr="00B318D0" w14:paraId="339F5829" w14:textId="77777777" w:rsidTr="007C7B40">
        <w:trPr>
          <w:trHeight w:val="226"/>
        </w:trPr>
        <w:tc>
          <w:tcPr>
            <w:tcW w:w="1688" w:type="dxa"/>
            <w:tcMar>
              <w:top w:w="0" w:type="dxa"/>
              <w:left w:w="57" w:type="dxa"/>
              <w:bottom w:w="11" w:type="dxa"/>
              <w:right w:w="57" w:type="dxa"/>
            </w:tcMar>
          </w:tcPr>
          <w:p w14:paraId="4C87F46F" w14:textId="77777777" w:rsidR="00011407" w:rsidRPr="001E6C14" w:rsidRDefault="00011407" w:rsidP="00011407">
            <w:pPr>
              <w:pStyle w:val="03body"/>
              <w:spacing w:line="276" w:lineRule="auto"/>
            </w:pPr>
            <w:r w:rsidRPr="001E6C14">
              <w:t>Chair</w:t>
            </w:r>
          </w:p>
        </w:tc>
        <w:tc>
          <w:tcPr>
            <w:tcW w:w="1560" w:type="dxa"/>
            <w:tcMar>
              <w:top w:w="0" w:type="dxa"/>
              <w:left w:w="57" w:type="dxa"/>
              <w:bottom w:w="11" w:type="dxa"/>
              <w:right w:w="57" w:type="dxa"/>
            </w:tcMar>
          </w:tcPr>
          <w:p w14:paraId="16B92AA8" w14:textId="4D3A9897" w:rsidR="00011407" w:rsidRPr="001E6C14" w:rsidRDefault="008F5F5B" w:rsidP="00011407">
            <w:pPr>
              <w:pStyle w:val="03body"/>
              <w:spacing w:line="276" w:lineRule="auto"/>
            </w:pPr>
            <w:r w:rsidRPr="001E6C14">
              <w:t>David Sproul</w:t>
            </w:r>
          </w:p>
        </w:tc>
        <w:tc>
          <w:tcPr>
            <w:tcW w:w="5953" w:type="dxa"/>
            <w:tcMar>
              <w:top w:w="0" w:type="dxa"/>
              <w:left w:w="57" w:type="dxa"/>
              <w:bottom w:w="11" w:type="dxa"/>
              <w:right w:w="57" w:type="dxa"/>
            </w:tcMar>
          </w:tcPr>
          <w:p w14:paraId="40DE2C1A" w14:textId="61E1AAFC" w:rsidR="00011407" w:rsidRPr="001E6C14" w:rsidRDefault="00011407" w:rsidP="00646F4F">
            <w:pPr>
              <w:pStyle w:val="03body"/>
              <w:numPr>
                <w:ilvl w:val="0"/>
                <w:numId w:val="44"/>
              </w:numPr>
              <w:spacing w:line="276" w:lineRule="auto"/>
            </w:pPr>
            <w:r w:rsidRPr="001E6C14">
              <w:t xml:space="preserve">Lead the Board and </w:t>
            </w:r>
            <w:r w:rsidR="00764217" w:rsidRPr="001E6C14">
              <w:t>promote</w:t>
            </w:r>
            <w:r w:rsidRPr="001E6C14">
              <w:t xml:space="preserve"> a strong culture of openness and debate to facilitate constructive Board relations and effective contribution from all Non-Executive Directors</w:t>
            </w:r>
          </w:p>
          <w:p w14:paraId="7C76A35D" w14:textId="1C0EF793" w:rsidR="001E6C14" w:rsidRPr="001E6C14" w:rsidRDefault="001E6C14" w:rsidP="00646F4F">
            <w:pPr>
              <w:pStyle w:val="03body"/>
              <w:numPr>
                <w:ilvl w:val="0"/>
                <w:numId w:val="44"/>
              </w:numPr>
              <w:spacing w:line="276" w:lineRule="auto"/>
            </w:pPr>
            <w:r w:rsidRPr="001E6C14">
              <w:t>Ensure the Board holds itself to the highest standards of good and effective governance through integrity and credibility.</w:t>
            </w:r>
          </w:p>
          <w:p w14:paraId="52E66C08" w14:textId="40B4A3BD" w:rsidR="001E6C14" w:rsidRPr="001E6C14" w:rsidRDefault="001E6C14" w:rsidP="00646F4F">
            <w:pPr>
              <w:pStyle w:val="03body"/>
              <w:numPr>
                <w:ilvl w:val="0"/>
                <w:numId w:val="44"/>
              </w:numPr>
              <w:spacing w:line="276" w:lineRule="auto"/>
            </w:pPr>
            <w:r w:rsidRPr="001E6C14">
              <w:t>Maintain a ‘fit for purpose’ Board through ongoing skills assessment and training as required and proactively aligning Board composition, performance, and succession planning with future strategic needs.</w:t>
            </w:r>
          </w:p>
          <w:p w14:paraId="322D8086" w14:textId="6E85178A" w:rsidR="001E6C14" w:rsidRPr="001E6C14" w:rsidRDefault="001E6C14" w:rsidP="00646F4F">
            <w:pPr>
              <w:pStyle w:val="03body"/>
              <w:numPr>
                <w:ilvl w:val="0"/>
                <w:numId w:val="44"/>
              </w:numPr>
              <w:spacing w:line="276" w:lineRule="auto"/>
            </w:pPr>
            <w:r w:rsidRPr="001E6C14">
              <w:t>Setting the agenda and ensuring the timely dissemination of information to the Board to ensure all relevant information is provided in a timely manner before constructive discussion and decision-making.</w:t>
            </w:r>
          </w:p>
          <w:p w14:paraId="57B009F6" w14:textId="0D1709A5" w:rsidR="001E6C14" w:rsidRPr="001E6C14" w:rsidRDefault="001E6C14" w:rsidP="00646F4F">
            <w:pPr>
              <w:pStyle w:val="03body"/>
              <w:numPr>
                <w:ilvl w:val="0"/>
                <w:numId w:val="44"/>
              </w:numPr>
              <w:spacing w:line="276" w:lineRule="auto"/>
            </w:pPr>
            <w:r w:rsidRPr="001E6C14">
              <w:t>Exhibit the high standards and values of the Company and make certain that the views of all stakeholders are understood and considered.</w:t>
            </w:r>
          </w:p>
          <w:p w14:paraId="4B3461F9" w14:textId="1CCD2537" w:rsidR="00011407" w:rsidRPr="001E6C14" w:rsidRDefault="001E6C14" w:rsidP="00646F4F">
            <w:pPr>
              <w:pStyle w:val="03body"/>
              <w:numPr>
                <w:ilvl w:val="0"/>
                <w:numId w:val="44"/>
              </w:numPr>
              <w:spacing w:line="276" w:lineRule="auto"/>
            </w:pPr>
            <w:r w:rsidRPr="001E6C14">
              <w:t>Provide advice, support and guidance to the Chief Executive Officer thereby facilitating an open relationship.</w:t>
            </w:r>
          </w:p>
        </w:tc>
      </w:tr>
      <w:tr w:rsidR="00011407" w:rsidRPr="00B318D0" w14:paraId="3B73CE58" w14:textId="77777777" w:rsidTr="007C7B40">
        <w:trPr>
          <w:trHeight w:val="226"/>
        </w:trPr>
        <w:tc>
          <w:tcPr>
            <w:tcW w:w="1688" w:type="dxa"/>
            <w:tcMar>
              <w:top w:w="0" w:type="dxa"/>
              <w:left w:w="57" w:type="dxa"/>
              <w:bottom w:w="11" w:type="dxa"/>
              <w:right w:w="57" w:type="dxa"/>
            </w:tcMar>
          </w:tcPr>
          <w:p w14:paraId="0305FA69" w14:textId="05197365" w:rsidR="00011407" w:rsidRPr="001E6C14" w:rsidRDefault="00011407" w:rsidP="00011407">
            <w:pPr>
              <w:pStyle w:val="03body"/>
              <w:spacing w:line="276" w:lineRule="auto"/>
            </w:pPr>
            <w:r w:rsidRPr="001E6C14">
              <w:t>Chief Executive Officer</w:t>
            </w:r>
          </w:p>
        </w:tc>
        <w:tc>
          <w:tcPr>
            <w:tcW w:w="1560" w:type="dxa"/>
            <w:tcMar>
              <w:top w:w="0" w:type="dxa"/>
              <w:left w:w="57" w:type="dxa"/>
              <w:bottom w:w="11" w:type="dxa"/>
              <w:right w:w="57" w:type="dxa"/>
            </w:tcMar>
          </w:tcPr>
          <w:p w14:paraId="176435A2" w14:textId="6690FB82" w:rsidR="00011407" w:rsidRPr="001E6C14" w:rsidRDefault="001E6C14" w:rsidP="00011407">
            <w:pPr>
              <w:pStyle w:val="03body"/>
              <w:spacing w:line="276" w:lineRule="auto"/>
            </w:pPr>
            <w:r w:rsidRPr="001E6C14">
              <w:t>Keith Haslett</w:t>
            </w:r>
          </w:p>
        </w:tc>
        <w:tc>
          <w:tcPr>
            <w:tcW w:w="5953" w:type="dxa"/>
            <w:tcMar>
              <w:top w:w="0" w:type="dxa"/>
              <w:left w:w="57" w:type="dxa"/>
              <w:bottom w:w="11" w:type="dxa"/>
              <w:right w:w="57" w:type="dxa"/>
            </w:tcMar>
          </w:tcPr>
          <w:p w14:paraId="25408043" w14:textId="70ED2B44" w:rsidR="00011407" w:rsidRPr="001E6C14" w:rsidRDefault="00011407" w:rsidP="00646F4F">
            <w:pPr>
              <w:pStyle w:val="03body"/>
              <w:numPr>
                <w:ilvl w:val="0"/>
                <w:numId w:val="44"/>
              </w:numPr>
              <w:spacing w:line="276" w:lineRule="auto"/>
            </w:pPr>
            <w:r w:rsidRPr="001E6C14">
              <w:t xml:space="preserve">Managing the </w:t>
            </w:r>
            <w:r w:rsidR="00E87B5B" w:rsidRPr="001E6C14">
              <w:t>Company</w:t>
            </w:r>
            <w:r w:rsidRPr="001E6C14">
              <w:t xml:space="preserve"> and providing executive leadership</w:t>
            </w:r>
          </w:p>
          <w:p w14:paraId="36854F6D" w14:textId="0ED0CEC1" w:rsidR="00011407" w:rsidRPr="001E6C14" w:rsidRDefault="00011407" w:rsidP="00646F4F">
            <w:pPr>
              <w:pStyle w:val="03body"/>
              <w:numPr>
                <w:ilvl w:val="0"/>
                <w:numId w:val="44"/>
              </w:numPr>
              <w:spacing w:line="276" w:lineRule="auto"/>
            </w:pPr>
            <w:r w:rsidRPr="001E6C14">
              <w:t>Develop, propos</w:t>
            </w:r>
            <w:r w:rsidR="001E6C14" w:rsidRPr="001E6C14">
              <w:t>e</w:t>
            </w:r>
            <w:r w:rsidRPr="001E6C14">
              <w:t xml:space="preserve"> and implement Company strategy, as agreed by the Board and in line with the strategic framework</w:t>
            </w:r>
          </w:p>
          <w:p w14:paraId="18464A8B" w14:textId="4859BE41" w:rsidR="00E87B5B" w:rsidRPr="001E6C14" w:rsidRDefault="00E87B5B" w:rsidP="00646F4F">
            <w:pPr>
              <w:pStyle w:val="03body"/>
              <w:numPr>
                <w:ilvl w:val="0"/>
                <w:numId w:val="44"/>
              </w:numPr>
            </w:pPr>
            <w:r w:rsidRPr="001E6C14">
              <w:t>Lead on all regulatory and policy decisions</w:t>
            </w:r>
          </w:p>
          <w:p w14:paraId="3344CE35" w14:textId="440C416F" w:rsidR="00011407" w:rsidRPr="001E6C14" w:rsidRDefault="00011407" w:rsidP="00646F4F">
            <w:pPr>
              <w:pStyle w:val="03body"/>
              <w:numPr>
                <w:ilvl w:val="0"/>
                <w:numId w:val="44"/>
              </w:numPr>
            </w:pPr>
            <w:r w:rsidRPr="001E6C14">
              <w:t xml:space="preserve">Lead </w:t>
            </w:r>
            <w:r w:rsidR="001E6C14" w:rsidRPr="001E6C14">
              <w:t>t</w:t>
            </w:r>
            <w:r w:rsidRPr="001E6C14">
              <w:t xml:space="preserve">he </w:t>
            </w:r>
            <w:r w:rsidR="00E87B5B" w:rsidRPr="001E6C14">
              <w:t>Company</w:t>
            </w:r>
            <w:r w:rsidRPr="001E6C14">
              <w:t xml:space="preserve"> in accordance with the decisions of the Board</w:t>
            </w:r>
          </w:p>
          <w:p w14:paraId="45A59CE5" w14:textId="7004D9C5" w:rsidR="00E87B5B" w:rsidRPr="001E6C14" w:rsidRDefault="00E87B5B" w:rsidP="00646F4F">
            <w:pPr>
              <w:pStyle w:val="ListParagraph"/>
              <w:numPr>
                <w:ilvl w:val="0"/>
                <w:numId w:val="44"/>
              </w:numPr>
              <w:rPr>
                <w:rFonts w:ascii="Arial" w:eastAsia="Times New Roman" w:hAnsi="Arial" w:cs="DINOT-Light"/>
                <w:color w:val="000000"/>
                <w:sz w:val="18"/>
                <w:szCs w:val="18"/>
              </w:rPr>
            </w:pPr>
            <w:r w:rsidRPr="001E6C14">
              <w:rPr>
                <w:rFonts w:ascii="Arial" w:eastAsia="Times New Roman" w:hAnsi="Arial" w:cs="DINOT-Light"/>
                <w:color w:val="000000"/>
                <w:sz w:val="18"/>
                <w:szCs w:val="18"/>
              </w:rPr>
              <w:t>Ensur</w:t>
            </w:r>
            <w:r w:rsidR="001E6C14" w:rsidRPr="001E6C14">
              <w:rPr>
                <w:rFonts w:ascii="Arial" w:eastAsia="Times New Roman" w:hAnsi="Arial" w:cs="DINOT-Light"/>
                <w:color w:val="000000"/>
                <w:sz w:val="18"/>
                <w:szCs w:val="18"/>
              </w:rPr>
              <w:t>e</w:t>
            </w:r>
            <w:r w:rsidRPr="001E6C14">
              <w:rPr>
                <w:rFonts w:ascii="Arial" w:eastAsia="Times New Roman" w:hAnsi="Arial" w:cs="DINOT-Light"/>
                <w:color w:val="000000"/>
                <w:sz w:val="18"/>
                <w:szCs w:val="18"/>
              </w:rPr>
              <w:t xml:space="preserve"> financial and operational leadership</w:t>
            </w:r>
          </w:p>
          <w:p w14:paraId="71A79746" w14:textId="7EB69697" w:rsidR="00011407" w:rsidRPr="001E6C14" w:rsidRDefault="001E6C14" w:rsidP="00646F4F">
            <w:pPr>
              <w:pStyle w:val="ListParagraph"/>
              <w:numPr>
                <w:ilvl w:val="0"/>
                <w:numId w:val="44"/>
              </w:numPr>
              <w:rPr>
                <w:rFonts w:ascii="Arial" w:eastAsia="Times New Roman" w:hAnsi="Arial" w:cs="DINOT-Light"/>
                <w:color w:val="000000"/>
                <w:sz w:val="18"/>
                <w:szCs w:val="18"/>
              </w:rPr>
            </w:pPr>
            <w:r w:rsidRPr="001E6C14">
              <w:rPr>
                <w:rFonts w:ascii="Arial" w:eastAsia="Times New Roman" w:hAnsi="Arial" w:cs="DINOT-Light"/>
                <w:color w:val="000000"/>
                <w:sz w:val="18"/>
                <w:szCs w:val="18"/>
              </w:rPr>
              <w:t>Collaborate</w:t>
            </w:r>
            <w:r w:rsidR="00011407" w:rsidRPr="001E6C14">
              <w:rPr>
                <w:rFonts w:ascii="Arial" w:eastAsia="Times New Roman" w:hAnsi="Arial" w:cs="DINOT-Light"/>
                <w:color w:val="000000"/>
                <w:sz w:val="18"/>
                <w:szCs w:val="18"/>
              </w:rPr>
              <w:t xml:space="preserve"> with the Chair on important and strategic issues of the </w:t>
            </w:r>
            <w:r w:rsidR="006D5CF6" w:rsidRPr="001E6C14">
              <w:rPr>
                <w:rFonts w:ascii="Arial" w:eastAsia="Times New Roman" w:hAnsi="Arial" w:cs="DINOT-Light"/>
                <w:color w:val="000000"/>
                <w:sz w:val="18"/>
                <w:szCs w:val="18"/>
              </w:rPr>
              <w:t>company</w:t>
            </w:r>
            <w:r w:rsidR="00011407" w:rsidRPr="001E6C14">
              <w:rPr>
                <w:rFonts w:ascii="Arial" w:eastAsia="Times New Roman" w:hAnsi="Arial" w:cs="DINOT-Light"/>
                <w:color w:val="000000"/>
                <w:sz w:val="18"/>
                <w:szCs w:val="18"/>
              </w:rPr>
              <w:t xml:space="preserve"> and providing input to the Board’s agenda</w:t>
            </w:r>
          </w:p>
          <w:p w14:paraId="45635855" w14:textId="73695681" w:rsidR="00011407" w:rsidRPr="001E6C14" w:rsidRDefault="00011407" w:rsidP="00646F4F">
            <w:pPr>
              <w:pStyle w:val="ListParagraph"/>
              <w:numPr>
                <w:ilvl w:val="0"/>
                <w:numId w:val="44"/>
              </w:numPr>
              <w:rPr>
                <w:rFonts w:ascii="Arial" w:eastAsia="Times New Roman" w:hAnsi="Arial" w:cs="Arial"/>
                <w:color w:val="000000"/>
                <w:sz w:val="18"/>
                <w:szCs w:val="18"/>
              </w:rPr>
            </w:pPr>
            <w:r w:rsidRPr="001E6C14">
              <w:rPr>
                <w:rFonts w:ascii="Arial" w:hAnsi="Arial" w:cs="Arial"/>
                <w:sz w:val="18"/>
                <w:szCs w:val="18"/>
              </w:rPr>
              <w:t>Contribut</w:t>
            </w:r>
            <w:r w:rsidR="001E6C14" w:rsidRPr="001E6C14">
              <w:rPr>
                <w:rFonts w:ascii="Arial" w:hAnsi="Arial" w:cs="Arial"/>
                <w:sz w:val="18"/>
                <w:szCs w:val="18"/>
              </w:rPr>
              <w:t>e</w:t>
            </w:r>
            <w:r w:rsidRPr="001E6C14">
              <w:rPr>
                <w:rFonts w:ascii="Arial" w:hAnsi="Arial" w:cs="Arial"/>
                <w:sz w:val="18"/>
                <w:szCs w:val="18"/>
              </w:rPr>
              <w:t xml:space="preserve"> to succession planning and implement the organisational structure</w:t>
            </w:r>
          </w:p>
          <w:p w14:paraId="2333EE8A" w14:textId="205ED93D" w:rsidR="006D5CF6" w:rsidRPr="001E6C14" w:rsidRDefault="00011407" w:rsidP="00646F4F">
            <w:pPr>
              <w:pStyle w:val="ListParagraph"/>
              <w:numPr>
                <w:ilvl w:val="0"/>
                <w:numId w:val="44"/>
              </w:numPr>
            </w:pPr>
            <w:r w:rsidRPr="001E6C14">
              <w:rPr>
                <w:rFonts w:ascii="Arial" w:eastAsia="Times New Roman" w:hAnsi="Arial" w:cs="Arial"/>
                <w:color w:val="000000"/>
                <w:sz w:val="18"/>
                <w:szCs w:val="18"/>
              </w:rPr>
              <w:t>Lead on acquisitions, disposals, and business development</w:t>
            </w:r>
          </w:p>
          <w:p w14:paraId="5309D66C" w14:textId="44801010" w:rsidR="00011407" w:rsidRPr="001E6C14" w:rsidRDefault="00011407" w:rsidP="00646F4F">
            <w:pPr>
              <w:pStyle w:val="ListParagraph"/>
              <w:numPr>
                <w:ilvl w:val="0"/>
                <w:numId w:val="44"/>
              </w:numPr>
              <w:spacing w:after="0"/>
              <w:ind w:left="357" w:hanging="357"/>
            </w:pPr>
            <w:r w:rsidRPr="001E6C14">
              <w:rPr>
                <w:rFonts w:ascii="Arial" w:hAnsi="Arial" w:cs="Arial"/>
                <w:sz w:val="18"/>
                <w:szCs w:val="18"/>
              </w:rPr>
              <w:t>Develop and manag</w:t>
            </w:r>
            <w:r w:rsidR="001E6C14" w:rsidRPr="001E6C14">
              <w:rPr>
                <w:rFonts w:ascii="Arial" w:hAnsi="Arial" w:cs="Arial"/>
                <w:sz w:val="18"/>
                <w:szCs w:val="18"/>
              </w:rPr>
              <w:t>e</w:t>
            </w:r>
            <w:r w:rsidRPr="001E6C14">
              <w:rPr>
                <w:rFonts w:ascii="Arial" w:hAnsi="Arial" w:cs="Arial"/>
                <w:sz w:val="18"/>
                <w:szCs w:val="18"/>
              </w:rPr>
              <w:t xml:space="preserve"> relations with all stakeholders</w:t>
            </w:r>
            <w:r w:rsidRPr="001E6C14">
              <w:t xml:space="preserve"> </w:t>
            </w:r>
          </w:p>
        </w:tc>
      </w:tr>
      <w:tr w:rsidR="004F030D" w:rsidRPr="00B318D0" w14:paraId="3F9CB829" w14:textId="77777777" w:rsidTr="007C7B40">
        <w:trPr>
          <w:trHeight w:val="226"/>
        </w:trPr>
        <w:tc>
          <w:tcPr>
            <w:tcW w:w="1688" w:type="dxa"/>
            <w:tcMar>
              <w:top w:w="0" w:type="dxa"/>
              <w:left w:w="57" w:type="dxa"/>
              <w:bottom w:w="11" w:type="dxa"/>
              <w:right w:w="57" w:type="dxa"/>
            </w:tcMar>
          </w:tcPr>
          <w:p w14:paraId="64BFC907" w14:textId="77777777" w:rsidR="004F030D" w:rsidRPr="001E6C14" w:rsidRDefault="004F030D" w:rsidP="00881565">
            <w:pPr>
              <w:pStyle w:val="03body"/>
              <w:spacing w:line="276" w:lineRule="auto"/>
            </w:pPr>
            <w:r w:rsidRPr="001E6C14">
              <w:t>Senior Independent Director</w:t>
            </w:r>
          </w:p>
        </w:tc>
        <w:tc>
          <w:tcPr>
            <w:tcW w:w="1560" w:type="dxa"/>
            <w:tcMar>
              <w:top w:w="0" w:type="dxa"/>
              <w:left w:w="57" w:type="dxa"/>
              <w:bottom w:w="11" w:type="dxa"/>
              <w:right w:w="57" w:type="dxa"/>
            </w:tcMar>
          </w:tcPr>
          <w:p w14:paraId="2C900130" w14:textId="7EF65433" w:rsidR="004F030D" w:rsidRPr="001E6C14" w:rsidRDefault="001E6C14" w:rsidP="00881565">
            <w:pPr>
              <w:pStyle w:val="03body"/>
              <w:spacing w:line="276" w:lineRule="auto"/>
            </w:pPr>
            <w:r w:rsidRPr="001E6C14">
              <w:t>Sir Andrew Haines</w:t>
            </w:r>
          </w:p>
        </w:tc>
        <w:tc>
          <w:tcPr>
            <w:tcW w:w="5953" w:type="dxa"/>
            <w:tcMar>
              <w:top w:w="0" w:type="dxa"/>
              <w:left w:w="57" w:type="dxa"/>
              <w:bottom w:w="11" w:type="dxa"/>
              <w:right w:w="57" w:type="dxa"/>
            </w:tcMar>
          </w:tcPr>
          <w:p w14:paraId="2B8A5AA4" w14:textId="500EED60" w:rsidR="004F030D" w:rsidRPr="001E6C14" w:rsidRDefault="004F030D" w:rsidP="00881565">
            <w:pPr>
              <w:pStyle w:val="03body"/>
              <w:numPr>
                <w:ilvl w:val="0"/>
                <w:numId w:val="8"/>
              </w:numPr>
              <w:spacing w:line="276" w:lineRule="auto"/>
            </w:pPr>
            <w:r w:rsidRPr="001E6C14">
              <w:t>Assist the Chair with stakeholder communications and being an additional point of contact for stakeholders</w:t>
            </w:r>
          </w:p>
          <w:p w14:paraId="75C41500" w14:textId="77777777" w:rsidR="004F030D" w:rsidRPr="001E6C14" w:rsidRDefault="004F030D" w:rsidP="00881565">
            <w:pPr>
              <w:pStyle w:val="03body"/>
              <w:numPr>
                <w:ilvl w:val="0"/>
                <w:numId w:val="8"/>
              </w:numPr>
              <w:spacing w:line="276" w:lineRule="auto"/>
            </w:pPr>
            <w:r w:rsidRPr="001E6C14">
              <w:t>Being available to other Non-Executive Directors if they have any concerns that are not satisfactorily resolved by the Chair</w:t>
            </w:r>
          </w:p>
          <w:p w14:paraId="7E668F84" w14:textId="15D88C93" w:rsidR="004F030D" w:rsidRPr="001E6C14" w:rsidRDefault="004F030D" w:rsidP="00881565">
            <w:pPr>
              <w:pStyle w:val="03body"/>
              <w:numPr>
                <w:ilvl w:val="0"/>
                <w:numId w:val="8"/>
              </w:numPr>
              <w:spacing w:line="276" w:lineRule="auto"/>
            </w:pPr>
            <w:r w:rsidRPr="001E6C14">
              <w:t>Ensur</w:t>
            </w:r>
            <w:r w:rsidR="001E6C14" w:rsidRPr="001E6C14">
              <w:t>e</w:t>
            </w:r>
            <w:r w:rsidRPr="001E6C14">
              <w:t xml:space="preserve"> an annual performance evaluation of the Chair, with the support of the other Non-Executive Directors and ensur</w:t>
            </w:r>
            <w:r w:rsidR="001E6C14" w:rsidRPr="001E6C14">
              <w:t>e</w:t>
            </w:r>
            <w:r w:rsidRPr="001E6C14">
              <w:t xml:space="preserve"> effective succession planning for the Board</w:t>
            </w:r>
          </w:p>
        </w:tc>
      </w:tr>
      <w:tr w:rsidR="004F030D" w:rsidRPr="00B318D0" w14:paraId="69BAAC49" w14:textId="77777777" w:rsidTr="007C7B40">
        <w:trPr>
          <w:trHeight w:val="226"/>
        </w:trPr>
        <w:tc>
          <w:tcPr>
            <w:tcW w:w="1688" w:type="dxa"/>
            <w:tcMar>
              <w:top w:w="0" w:type="dxa"/>
              <w:left w:w="57" w:type="dxa"/>
              <w:bottom w:w="11" w:type="dxa"/>
              <w:right w:w="57" w:type="dxa"/>
            </w:tcMar>
          </w:tcPr>
          <w:p w14:paraId="7A51C473" w14:textId="08EB4E14" w:rsidR="004F030D" w:rsidRPr="007C7B40" w:rsidRDefault="004F030D" w:rsidP="00881565">
            <w:pPr>
              <w:pStyle w:val="03body"/>
              <w:spacing w:line="276" w:lineRule="auto"/>
            </w:pPr>
            <w:r w:rsidRPr="007C7B40">
              <w:t>Chief Financial Officer</w:t>
            </w:r>
          </w:p>
        </w:tc>
        <w:tc>
          <w:tcPr>
            <w:tcW w:w="1560" w:type="dxa"/>
            <w:tcMar>
              <w:top w:w="0" w:type="dxa"/>
              <w:left w:w="57" w:type="dxa"/>
              <w:bottom w:w="11" w:type="dxa"/>
              <w:right w:w="57" w:type="dxa"/>
            </w:tcMar>
          </w:tcPr>
          <w:p w14:paraId="2DEA5B87" w14:textId="7BA51873" w:rsidR="004F030D" w:rsidRPr="007C7B40" w:rsidRDefault="006D5CF6" w:rsidP="00881565">
            <w:pPr>
              <w:pStyle w:val="03body"/>
              <w:spacing w:line="276" w:lineRule="auto"/>
            </w:pPr>
            <w:r w:rsidRPr="007C7B40">
              <w:t>Laura Flowerdew</w:t>
            </w:r>
          </w:p>
        </w:tc>
        <w:tc>
          <w:tcPr>
            <w:tcW w:w="5953" w:type="dxa"/>
            <w:tcMar>
              <w:top w:w="0" w:type="dxa"/>
              <w:left w:w="57" w:type="dxa"/>
              <w:bottom w:w="11" w:type="dxa"/>
              <w:right w:w="57" w:type="dxa"/>
            </w:tcMar>
          </w:tcPr>
          <w:p w14:paraId="12C60550" w14:textId="5C867225" w:rsidR="004F030D" w:rsidRPr="007C7B40" w:rsidRDefault="004F030D" w:rsidP="00881565">
            <w:pPr>
              <w:pStyle w:val="03body"/>
              <w:numPr>
                <w:ilvl w:val="0"/>
                <w:numId w:val="8"/>
              </w:numPr>
              <w:spacing w:line="276" w:lineRule="auto"/>
            </w:pPr>
            <w:r w:rsidRPr="007C7B40">
              <w:t>Manag</w:t>
            </w:r>
            <w:r w:rsidR="007C7B40" w:rsidRPr="007C7B40">
              <w:t>e</w:t>
            </w:r>
            <w:r w:rsidRPr="007C7B40">
              <w:t xml:space="preserve"> the Company’s financial affairs and supporting the Chief Executive in providing executive leadership and </w:t>
            </w:r>
            <w:r w:rsidR="006D5CF6" w:rsidRPr="007C7B40">
              <w:t>implementing the Company</w:t>
            </w:r>
            <w:r w:rsidRPr="007C7B40">
              <w:t xml:space="preserve"> strategy</w:t>
            </w:r>
          </w:p>
          <w:p w14:paraId="51C69B8A" w14:textId="1F2BDABB" w:rsidR="004F030D" w:rsidRPr="007C7B40" w:rsidRDefault="004F030D" w:rsidP="00881565">
            <w:pPr>
              <w:pStyle w:val="03body"/>
              <w:numPr>
                <w:ilvl w:val="0"/>
                <w:numId w:val="8"/>
              </w:numPr>
              <w:spacing w:line="276" w:lineRule="auto"/>
            </w:pPr>
            <w:r w:rsidRPr="007C7B40">
              <w:t>Report accurate and detailed financial information to the Board on performance and developments across the business</w:t>
            </w:r>
          </w:p>
          <w:p w14:paraId="4B49CFEE" w14:textId="3104002B" w:rsidR="004F030D" w:rsidRPr="007C7B40" w:rsidRDefault="004F030D" w:rsidP="00881565">
            <w:pPr>
              <w:pStyle w:val="03body"/>
              <w:numPr>
                <w:ilvl w:val="0"/>
                <w:numId w:val="8"/>
              </w:numPr>
              <w:spacing w:line="276" w:lineRule="auto"/>
            </w:pPr>
            <w:r w:rsidRPr="007C7B40">
              <w:t>Manag</w:t>
            </w:r>
            <w:r w:rsidR="007C7B40" w:rsidRPr="007C7B40">
              <w:t>e</w:t>
            </w:r>
            <w:r w:rsidRPr="007C7B40">
              <w:t xml:space="preserve"> and balanc</w:t>
            </w:r>
            <w:r w:rsidR="007C7B40" w:rsidRPr="007C7B40">
              <w:t>e</w:t>
            </w:r>
            <w:r w:rsidRPr="007C7B40">
              <w:t xml:space="preserve"> relationships with areas of the Company, such as finance and treasury, as well as external stakeholders</w:t>
            </w:r>
          </w:p>
        </w:tc>
      </w:tr>
      <w:tr w:rsidR="00011407" w:rsidRPr="00B318D0" w14:paraId="532E7594" w14:textId="77777777" w:rsidTr="007C7B40">
        <w:trPr>
          <w:trHeight w:val="226"/>
        </w:trPr>
        <w:tc>
          <w:tcPr>
            <w:tcW w:w="1688" w:type="dxa"/>
            <w:tcMar>
              <w:top w:w="0" w:type="dxa"/>
              <w:left w:w="57" w:type="dxa"/>
              <w:bottom w:w="11" w:type="dxa"/>
              <w:right w:w="57" w:type="dxa"/>
            </w:tcMar>
          </w:tcPr>
          <w:p w14:paraId="397049A8" w14:textId="77777777" w:rsidR="00011407" w:rsidRPr="00DA2583" w:rsidRDefault="00011407" w:rsidP="00011407">
            <w:pPr>
              <w:pStyle w:val="03body"/>
              <w:spacing w:line="276" w:lineRule="auto"/>
            </w:pPr>
            <w:r w:rsidRPr="00DA2583">
              <w:t>Non-Executive Directors</w:t>
            </w:r>
          </w:p>
        </w:tc>
        <w:tc>
          <w:tcPr>
            <w:tcW w:w="1560" w:type="dxa"/>
            <w:tcMar>
              <w:top w:w="0" w:type="dxa"/>
              <w:left w:w="57" w:type="dxa"/>
              <w:bottom w:w="11" w:type="dxa"/>
              <w:right w:w="57" w:type="dxa"/>
            </w:tcMar>
          </w:tcPr>
          <w:p w14:paraId="3B47A37E" w14:textId="47F52B7B" w:rsidR="007C7B40" w:rsidRPr="00DA2583" w:rsidRDefault="00011407" w:rsidP="00011407">
            <w:pPr>
              <w:pStyle w:val="03body"/>
              <w:spacing w:line="276" w:lineRule="auto"/>
            </w:pPr>
            <w:r w:rsidRPr="00DA2583">
              <w:t>Jon Butterworth</w:t>
            </w:r>
          </w:p>
          <w:p w14:paraId="3628D800" w14:textId="2391E5CD" w:rsidR="007C7B40" w:rsidRPr="00DA2583" w:rsidRDefault="006D5CF6" w:rsidP="006D5CF6">
            <w:pPr>
              <w:pStyle w:val="03body"/>
              <w:spacing w:line="276" w:lineRule="auto"/>
            </w:pPr>
            <w:r w:rsidRPr="00DA2583">
              <w:t>Loraine Woodhouse</w:t>
            </w:r>
          </w:p>
          <w:p w14:paraId="2C441A87" w14:textId="2F29B454" w:rsidR="007C7B40" w:rsidRPr="00DA2583" w:rsidRDefault="00011407" w:rsidP="00011407">
            <w:pPr>
              <w:pStyle w:val="03body"/>
              <w:spacing w:line="276" w:lineRule="auto"/>
            </w:pPr>
            <w:r w:rsidRPr="00DA2583">
              <w:t>Dorothy Burwell</w:t>
            </w:r>
          </w:p>
          <w:p w14:paraId="1E142810" w14:textId="4825A249" w:rsidR="00011407" w:rsidRPr="00DA2583" w:rsidRDefault="006D5CF6" w:rsidP="006D5CF6">
            <w:pPr>
              <w:pStyle w:val="03body"/>
              <w:spacing w:line="276" w:lineRule="auto"/>
            </w:pPr>
            <w:r w:rsidRPr="00DA2583">
              <w:t xml:space="preserve">Andrea </w:t>
            </w:r>
            <w:proofErr w:type="spellStart"/>
            <w:r w:rsidRPr="00DA2583">
              <w:t>Blance</w:t>
            </w:r>
            <w:proofErr w:type="spellEnd"/>
          </w:p>
        </w:tc>
        <w:tc>
          <w:tcPr>
            <w:tcW w:w="5953" w:type="dxa"/>
            <w:tcMar>
              <w:top w:w="0" w:type="dxa"/>
              <w:left w:w="57" w:type="dxa"/>
              <w:bottom w:w="11" w:type="dxa"/>
              <w:right w:w="57" w:type="dxa"/>
            </w:tcMar>
          </w:tcPr>
          <w:p w14:paraId="0651AE2E" w14:textId="10607E05" w:rsidR="00011407" w:rsidRPr="00DA2583" w:rsidRDefault="00011407" w:rsidP="00011407">
            <w:pPr>
              <w:pStyle w:val="03body"/>
              <w:numPr>
                <w:ilvl w:val="0"/>
                <w:numId w:val="8"/>
              </w:numPr>
              <w:spacing w:line="276" w:lineRule="auto"/>
            </w:pPr>
            <w:r w:rsidRPr="00DA2583">
              <w:t>Critically review the strategies, operational performance and financial reporting for the Company</w:t>
            </w:r>
          </w:p>
          <w:p w14:paraId="0693CF50" w14:textId="5D1EDF0A" w:rsidR="00011407" w:rsidRPr="00DA2583" w:rsidRDefault="00011407" w:rsidP="00011407">
            <w:pPr>
              <w:pStyle w:val="03body"/>
              <w:numPr>
                <w:ilvl w:val="0"/>
                <w:numId w:val="8"/>
              </w:numPr>
              <w:spacing w:line="276" w:lineRule="auto"/>
            </w:pPr>
            <w:r w:rsidRPr="00DA2583">
              <w:t>Evaluat</w:t>
            </w:r>
            <w:r w:rsidR="00DA2583" w:rsidRPr="00DA2583">
              <w:t>e</w:t>
            </w:r>
            <w:r w:rsidRPr="00DA2583">
              <w:t xml:space="preserve"> proposals from management and constructively challeng</w:t>
            </w:r>
            <w:r w:rsidR="00DA2583" w:rsidRPr="00DA2583">
              <w:t>e</w:t>
            </w:r>
            <w:r w:rsidRPr="00DA2583">
              <w:t xml:space="preserve"> its recommendations</w:t>
            </w:r>
          </w:p>
          <w:p w14:paraId="6F84F72B" w14:textId="1037693F" w:rsidR="00011407" w:rsidRPr="00DA2583" w:rsidRDefault="00011407" w:rsidP="00011407">
            <w:pPr>
              <w:pStyle w:val="03body"/>
              <w:numPr>
                <w:ilvl w:val="0"/>
                <w:numId w:val="8"/>
              </w:numPr>
              <w:spacing w:line="276" w:lineRule="auto"/>
            </w:pPr>
            <w:r w:rsidRPr="00DA2583">
              <w:t>Contribu</w:t>
            </w:r>
            <w:r w:rsidR="00DA2583" w:rsidRPr="00DA2583">
              <w:t>te</w:t>
            </w:r>
            <w:r w:rsidRPr="00DA2583">
              <w:t xml:space="preserve"> to corporate accountability and good governance through being active members of the Committees of the Board</w:t>
            </w:r>
          </w:p>
          <w:p w14:paraId="5B0B14EC" w14:textId="77777777" w:rsidR="00011407" w:rsidRPr="00DA2583" w:rsidRDefault="00011407" w:rsidP="00011407">
            <w:pPr>
              <w:pStyle w:val="03body"/>
              <w:numPr>
                <w:ilvl w:val="0"/>
                <w:numId w:val="8"/>
              </w:numPr>
              <w:spacing w:line="276" w:lineRule="auto"/>
            </w:pPr>
            <w:r w:rsidRPr="00DA2583">
              <w:lastRenderedPageBreak/>
              <w:t>Play a key role in succession planning of the Board and the annual Board and Committees evaluations</w:t>
            </w:r>
          </w:p>
        </w:tc>
      </w:tr>
      <w:tr w:rsidR="00011407" w:rsidRPr="00B318D0" w14:paraId="1FEA0454" w14:textId="77777777" w:rsidTr="007C7B40">
        <w:trPr>
          <w:trHeight w:val="226"/>
        </w:trPr>
        <w:tc>
          <w:tcPr>
            <w:tcW w:w="1688" w:type="dxa"/>
            <w:tcMar>
              <w:top w:w="0" w:type="dxa"/>
              <w:left w:w="57" w:type="dxa"/>
              <w:bottom w:w="11" w:type="dxa"/>
              <w:right w:w="57" w:type="dxa"/>
            </w:tcMar>
          </w:tcPr>
          <w:p w14:paraId="3861926C" w14:textId="0355FA36" w:rsidR="00011407" w:rsidRPr="00DA2583" w:rsidRDefault="00DE2C74" w:rsidP="00DA2583">
            <w:pPr>
              <w:pStyle w:val="03body"/>
              <w:spacing w:line="276" w:lineRule="auto"/>
            </w:pPr>
            <w:r w:rsidRPr="00DA2583">
              <w:lastRenderedPageBreak/>
              <w:t>General Counsel and C</w:t>
            </w:r>
            <w:r w:rsidR="00011407" w:rsidRPr="00DA2583">
              <w:t>ompany Secretary</w:t>
            </w:r>
          </w:p>
        </w:tc>
        <w:tc>
          <w:tcPr>
            <w:tcW w:w="1560" w:type="dxa"/>
            <w:tcMar>
              <w:top w:w="0" w:type="dxa"/>
              <w:left w:w="57" w:type="dxa"/>
              <w:bottom w:w="11" w:type="dxa"/>
              <w:right w:w="57" w:type="dxa"/>
            </w:tcMar>
          </w:tcPr>
          <w:p w14:paraId="123B030B" w14:textId="77777777" w:rsidR="00011407" w:rsidRPr="00DA2583" w:rsidRDefault="00011407" w:rsidP="00DA2583">
            <w:pPr>
              <w:pStyle w:val="03body"/>
              <w:spacing w:line="276" w:lineRule="auto"/>
            </w:pPr>
            <w:r w:rsidRPr="00DA2583">
              <w:t>Andrew Garard</w:t>
            </w:r>
          </w:p>
        </w:tc>
        <w:tc>
          <w:tcPr>
            <w:tcW w:w="5953" w:type="dxa"/>
            <w:tcMar>
              <w:top w:w="0" w:type="dxa"/>
              <w:left w:w="57" w:type="dxa"/>
              <w:bottom w:w="11" w:type="dxa"/>
              <w:right w:w="57" w:type="dxa"/>
            </w:tcMar>
          </w:tcPr>
          <w:p w14:paraId="7CF06D3F" w14:textId="4BE112A8" w:rsidR="00011407" w:rsidRPr="00DA2583" w:rsidRDefault="00011407" w:rsidP="00DA2583">
            <w:pPr>
              <w:pStyle w:val="03body"/>
              <w:numPr>
                <w:ilvl w:val="0"/>
                <w:numId w:val="8"/>
              </w:numPr>
              <w:spacing w:line="276" w:lineRule="auto"/>
            </w:pPr>
            <w:r w:rsidRPr="00DA2583">
              <w:t xml:space="preserve">Support the </w:t>
            </w:r>
            <w:r w:rsidR="00DE2C74" w:rsidRPr="00DA2583">
              <w:t>Chair, C</w:t>
            </w:r>
            <w:r w:rsidR="00DA2583" w:rsidRPr="00DA2583">
              <w:t xml:space="preserve">hief </w:t>
            </w:r>
            <w:r w:rsidR="00DE2C74" w:rsidRPr="00DA2583">
              <w:t>E</w:t>
            </w:r>
            <w:r w:rsidR="00DA2583" w:rsidRPr="00DA2583">
              <w:t xml:space="preserve">xecutive </w:t>
            </w:r>
            <w:r w:rsidR="00DE2C74" w:rsidRPr="00DA2583">
              <w:t>O</w:t>
            </w:r>
            <w:r w:rsidR="00DA2583" w:rsidRPr="00DA2583">
              <w:t>fficer</w:t>
            </w:r>
            <w:r w:rsidR="00DE2C74" w:rsidRPr="00DA2583">
              <w:t xml:space="preserve"> and </w:t>
            </w:r>
            <w:r w:rsidRPr="00DA2583">
              <w:t xml:space="preserve">Board in ensuring all policies, processes, information, and resources are </w:t>
            </w:r>
            <w:proofErr w:type="gramStart"/>
            <w:r w:rsidRPr="00DA2583">
              <w:t>in order to</w:t>
            </w:r>
            <w:proofErr w:type="gramEnd"/>
            <w:r w:rsidRPr="00DA2583">
              <w:t xml:space="preserve"> ensure the Board can operate effectively and efficiently.</w:t>
            </w:r>
          </w:p>
          <w:p w14:paraId="2E9C0931" w14:textId="1BF32308" w:rsidR="00011407" w:rsidRPr="00DA2583" w:rsidRDefault="00011407" w:rsidP="00DA2583">
            <w:pPr>
              <w:pStyle w:val="03body"/>
              <w:numPr>
                <w:ilvl w:val="0"/>
                <w:numId w:val="8"/>
              </w:numPr>
              <w:spacing w:line="276" w:lineRule="auto"/>
            </w:pPr>
            <w:r w:rsidRPr="00DA2583">
              <w:t>Advise and keep the Board updated on any changes to Listing and Transparency Rules and best corporate governance practices.</w:t>
            </w:r>
          </w:p>
          <w:p w14:paraId="331967A8" w14:textId="28A2C20A" w:rsidR="00011407" w:rsidRPr="00DA2583" w:rsidRDefault="00011407" w:rsidP="00DA2583">
            <w:pPr>
              <w:pStyle w:val="03body"/>
              <w:numPr>
                <w:ilvl w:val="0"/>
                <w:numId w:val="8"/>
              </w:numPr>
              <w:spacing w:line="276" w:lineRule="auto"/>
            </w:pPr>
            <w:r w:rsidRPr="00DA2583">
              <w:t xml:space="preserve">Facilitate a comprehensive induction for newly appointed </w:t>
            </w:r>
            <w:r w:rsidR="00DA2583" w:rsidRPr="00DA2583">
              <w:t>D</w:t>
            </w:r>
            <w:r w:rsidRPr="00DA2583">
              <w:t>irectors, that is tailored to the Company’s industry and strategy.</w:t>
            </w:r>
          </w:p>
          <w:p w14:paraId="70AA5D1D" w14:textId="4D213F5B" w:rsidR="00011407" w:rsidRPr="00DA2583" w:rsidRDefault="00011407" w:rsidP="00DA2583">
            <w:pPr>
              <w:pStyle w:val="03body"/>
              <w:numPr>
                <w:ilvl w:val="0"/>
                <w:numId w:val="8"/>
              </w:numPr>
              <w:spacing w:line="276" w:lineRule="auto"/>
            </w:pPr>
            <w:r w:rsidRPr="00DA2583">
              <w:t>Co-ordinate the annual Board and Committees evaluations in conjunction with the Chair</w:t>
            </w:r>
            <w:r w:rsidR="00DE2C74" w:rsidRPr="00DA2583">
              <w:t xml:space="preserve"> and C</w:t>
            </w:r>
            <w:r w:rsidR="00DA2583" w:rsidRPr="00DA2583">
              <w:t>hief Executive Officer</w:t>
            </w:r>
          </w:p>
          <w:p w14:paraId="52C30D82" w14:textId="0F88660C" w:rsidR="00011407" w:rsidRPr="00DA2583" w:rsidRDefault="00011407" w:rsidP="00DA2583">
            <w:pPr>
              <w:pStyle w:val="03body"/>
              <w:numPr>
                <w:ilvl w:val="0"/>
                <w:numId w:val="8"/>
              </w:numPr>
              <w:spacing w:line="276" w:lineRule="auto"/>
            </w:pPr>
            <w:r w:rsidRPr="00DA2583">
              <w:t>Provide advice and services to all Directors, as needed.</w:t>
            </w:r>
          </w:p>
        </w:tc>
      </w:tr>
    </w:tbl>
    <w:p w14:paraId="04E95F70" w14:textId="77777777" w:rsidR="004F030D" w:rsidRPr="00DA2583" w:rsidRDefault="004F030D" w:rsidP="00DA2583">
      <w:pPr>
        <w:pStyle w:val="03body"/>
        <w:numPr>
          <w:ilvl w:val="0"/>
          <w:numId w:val="8"/>
        </w:numPr>
        <w:spacing w:line="276" w:lineRule="auto"/>
      </w:pPr>
      <w:r w:rsidRPr="00DA2583">
        <w:rPr>
          <w:rFonts w:cs="DINOT"/>
          <w:caps/>
          <w:sz w:val="32"/>
          <w:szCs w:val="32"/>
          <w:highlight w:val="yellow"/>
        </w:rPr>
        <w:br w:type="page"/>
      </w:r>
    </w:p>
    <w:p w14:paraId="4713F010" w14:textId="3312DF3E" w:rsidR="001E7F39" w:rsidRPr="00735726" w:rsidRDefault="001E7F39" w:rsidP="001E7F39">
      <w:pPr>
        <w:spacing w:after="160" w:line="259" w:lineRule="auto"/>
        <w:rPr>
          <w:rFonts w:ascii="Arial" w:eastAsia="Times New Roman" w:hAnsi="Arial" w:cs="Arial"/>
          <w:b/>
          <w:bCs/>
          <w:caps/>
          <w:color w:val="000000"/>
          <w:sz w:val="18"/>
          <w:szCs w:val="18"/>
        </w:rPr>
      </w:pPr>
      <w:r w:rsidRPr="00735726">
        <w:rPr>
          <w:rFonts w:ascii="Arial" w:hAnsi="Arial" w:cs="Arial"/>
          <w:sz w:val="32"/>
          <w:szCs w:val="32"/>
        </w:rPr>
        <w:lastRenderedPageBreak/>
        <w:t>AN EFFECTIVE BOARD</w:t>
      </w:r>
    </w:p>
    <w:p w14:paraId="1830EFB2" w14:textId="738194A2" w:rsidR="00011407" w:rsidRPr="00735726" w:rsidRDefault="00011407" w:rsidP="0024293B">
      <w:pPr>
        <w:spacing w:after="160"/>
        <w:rPr>
          <w:rFonts w:ascii="Arial" w:hAnsi="Arial" w:cs="Arial"/>
          <w:sz w:val="18"/>
          <w:szCs w:val="18"/>
        </w:rPr>
      </w:pPr>
      <w:r w:rsidRPr="00735726">
        <w:rPr>
          <w:rFonts w:ascii="Arial" w:eastAsia="Times New Roman" w:hAnsi="Arial" w:cs="Arial"/>
          <w:b/>
          <w:bCs/>
          <w:caps/>
          <w:color w:val="000000"/>
          <w:sz w:val="18"/>
          <w:szCs w:val="18"/>
        </w:rPr>
        <w:t xml:space="preserve">managing </w:t>
      </w:r>
      <w:proofErr w:type="gramStart"/>
      <w:r w:rsidRPr="00735726">
        <w:rPr>
          <w:rFonts w:ascii="Arial" w:eastAsia="Times New Roman" w:hAnsi="Arial" w:cs="Arial"/>
          <w:b/>
          <w:bCs/>
          <w:caps/>
          <w:color w:val="000000"/>
          <w:sz w:val="18"/>
          <w:szCs w:val="18"/>
        </w:rPr>
        <w:t>south west</w:t>
      </w:r>
      <w:proofErr w:type="gramEnd"/>
      <w:r w:rsidRPr="00735726">
        <w:rPr>
          <w:rFonts w:ascii="Arial" w:eastAsia="Times New Roman" w:hAnsi="Arial" w:cs="Arial"/>
          <w:b/>
          <w:bCs/>
          <w:caps/>
          <w:color w:val="000000"/>
          <w:sz w:val="18"/>
          <w:szCs w:val="18"/>
        </w:rPr>
        <w:t xml:space="preserve"> water</w:t>
      </w:r>
      <w:r w:rsidR="008352F1" w:rsidRPr="00735726">
        <w:rPr>
          <w:rFonts w:ascii="Arial" w:hAnsi="Arial" w:cs="Arial"/>
          <w:sz w:val="18"/>
          <w:szCs w:val="18"/>
        </w:rPr>
        <w:br/>
      </w:r>
      <w:r w:rsidRPr="00735726">
        <w:rPr>
          <w:rFonts w:ascii="Arial" w:hAnsi="Arial" w:cs="Arial"/>
          <w:sz w:val="18"/>
          <w:szCs w:val="18"/>
        </w:rPr>
        <w:t xml:space="preserve">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Board continues to operate as a separate independent Board </w:t>
      </w:r>
      <w:r w:rsidR="006C1BA9" w:rsidRPr="00735726">
        <w:rPr>
          <w:rFonts w:ascii="Arial" w:hAnsi="Arial" w:cs="Arial"/>
          <w:sz w:val="18"/>
          <w:szCs w:val="18"/>
        </w:rPr>
        <w:t xml:space="preserve">- </w:t>
      </w:r>
      <w:r w:rsidRPr="00735726">
        <w:rPr>
          <w:rFonts w:ascii="Arial" w:hAnsi="Arial" w:cs="Arial"/>
          <w:sz w:val="18"/>
          <w:szCs w:val="18"/>
        </w:rPr>
        <w:t xml:space="preserve">albeit with Board members also serving on the Board of Pennon Group plc </w:t>
      </w:r>
      <w:r w:rsidR="006C1BA9" w:rsidRPr="00735726">
        <w:rPr>
          <w:rFonts w:ascii="Arial" w:hAnsi="Arial" w:cs="Arial"/>
          <w:sz w:val="18"/>
          <w:szCs w:val="18"/>
        </w:rPr>
        <w:t xml:space="preserve">- </w:t>
      </w:r>
      <w:r w:rsidRPr="00735726">
        <w:rPr>
          <w:rFonts w:ascii="Arial" w:hAnsi="Arial" w:cs="Arial"/>
          <w:sz w:val="18"/>
          <w:szCs w:val="18"/>
        </w:rPr>
        <w:t>in accordance with its schedule of matters reserved (see below) to ensure compliance with Ofwat’s principles on Board leadership, transparency and governance.</w:t>
      </w:r>
    </w:p>
    <w:p w14:paraId="286840DA" w14:textId="5F570287" w:rsidR="00011407" w:rsidRPr="00735726" w:rsidRDefault="00011407" w:rsidP="005A5668">
      <w:pPr>
        <w:rPr>
          <w:rFonts w:ascii="Arial" w:hAnsi="Arial" w:cs="Arial"/>
          <w:sz w:val="18"/>
          <w:szCs w:val="18"/>
        </w:rPr>
      </w:pPr>
      <w:r w:rsidRPr="00735726">
        <w:rPr>
          <w:rFonts w:ascii="Arial" w:hAnsi="Arial" w:cs="Arial"/>
          <w:sz w:val="18"/>
          <w:szCs w:val="18"/>
        </w:rPr>
        <w:t xml:space="preserve">The focus on UK water means the interests of the non-regulated and regulated businesses are more closely aligned and provide for more effective leadership and governance. </w:t>
      </w:r>
      <w:r w:rsidR="006B0843" w:rsidRPr="00735726">
        <w:rPr>
          <w:rFonts w:ascii="Arial" w:hAnsi="Arial" w:cs="Arial"/>
          <w:sz w:val="18"/>
          <w:szCs w:val="18"/>
        </w:rPr>
        <w:t>T</w:t>
      </w:r>
      <w:r w:rsidRPr="00735726">
        <w:rPr>
          <w:rFonts w:ascii="Arial" w:hAnsi="Arial" w:cs="Arial"/>
          <w:sz w:val="18"/>
          <w:szCs w:val="18"/>
        </w:rPr>
        <w:t>he Company</w:t>
      </w:r>
      <w:r w:rsidR="006B0843" w:rsidRPr="00735726">
        <w:rPr>
          <w:rFonts w:ascii="Arial" w:hAnsi="Arial" w:cs="Arial"/>
          <w:sz w:val="18"/>
          <w:szCs w:val="18"/>
        </w:rPr>
        <w:t xml:space="preserve"> has a</w:t>
      </w:r>
      <w:r w:rsidRPr="00735726">
        <w:rPr>
          <w:rFonts w:ascii="Arial" w:hAnsi="Arial" w:cs="Arial"/>
          <w:sz w:val="18"/>
          <w:szCs w:val="18"/>
        </w:rPr>
        <w:t xml:space="preserve"> </w:t>
      </w:r>
      <w:proofErr w:type="gramStart"/>
      <w:r w:rsidRPr="00735726">
        <w:rPr>
          <w:rFonts w:ascii="Arial" w:hAnsi="Arial" w:cs="Arial"/>
          <w:sz w:val="18"/>
          <w:szCs w:val="18"/>
        </w:rPr>
        <w:t>rigorous conflicts of interest process</w:t>
      </w:r>
      <w:proofErr w:type="gramEnd"/>
      <w:r w:rsidRPr="00735726">
        <w:rPr>
          <w:rFonts w:ascii="Arial" w:hAnsi="Arial" w:cs="Arial"/>
          <w:sz w:val="18"/>
          <w:szCs w:val="18"/>
        </w:rPr>
        <w:t xml:space="preserve"> </w:t>
      </w:r>
      <w:r w:rsidR="006B0843" w:rsidRPr="00735726">
        <w:rPr>
          <w:rFonts w:ascii="Arial" w:hAnsi="Arial" w:cs="Arial"/>
          <w:sz w:val="18"/>
          <w:szCs w:val="18"/>
        </w:rPr>
        <w:t xml:space="preserve">which </w:t>
      </w:r>
      <w:r w:rsidRPr="00735726">
        <w:rPr>
          <w:rFonts w:ascii="Arial" w:hAnsi="Arial" w:cs="Arial"/>
          <w:sz w:val="18"/>
          <w:szCs w:val="18"/>
        </w:rPr>
        <w:t xml:space="preserve">safeguards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Boards’ ability to set and have </w:t>
      </w:r>
      <w:proofErr w:type="gramStart"/>
      <w:r w:rsidRPr="00735726">
        <w:rPr>
          <w:rFonts w:ascii="Arial" w:hAnsi="Arial" w:cs="Arial"/>
          <w:sz w:val="18"/>
          <w:szCs w:val="18"/>
        </w:rPr>
        <w:t>accountability</w:t>
      </w:r>
      <w:proofErr w:type="gramEnd"/>
      <w:r w:rsidRPr="00735726">
        <w:rPr>
          <w:rFonts w:ascii="Arial" w:hAnsi="Arial" w:cs="Arial"/>
          <w:sz w:val="18"/>
          <w:szCs w:val="18"/>
        </w:rPr>
        <w:t xml:space="preserve"> for all aspects of the regulated business’ strategy thereby ensuring and strengthening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regulatory ringfence.</w:t>
      </w:r>
    </w:p>
    <w:p w14:paraId="428CC615" w14:textId="77777777" w:rsidR="00011407" w:rsidRPr="00735726" w:rsidRDefault="00011407" w:rsidP="005A5668">
      <w:pPr>
        <w:rPr>
          <w:rFonts w:ascii="Arial" w:hAnsi="Arial" w:cs="Arial"/>
          <w:sz w:val="18"/>
          <w:szCs w:val="18"/>
        </w:rPr>
      </w:pPr>
      <w:r w:rsidRPr="00735726">
        <w:rPr>
          <w:rFonts w:ascii="Arial" w:hAnsi="Arial" w:cs="Arial"/>
          <w:sz w:val="18"/>
          <w:szCs w:val="18"/>
        </w:rPr>
        <w:t>While certain matters may be delegated to the Board Committees and to the Executive Directors, as appropriate, the matters reserved for the Board include:</w:t>
      </w:r>
    </w:p>
    <w:p w14:paraId="2D97FA22" w14:textId="4B1F66D7" w:rsidR="00011407" w:rsidRPr="00735726" w:rsidRDefault="00011407" w:rsidP="0024293B">
      <w:pPr>
        <w:pStyle w:val="03body"/>
        <w:numPr>
          <w:ilvl w:val="0"/>
          <w:numId w:val="4"/>
        </w:numPr>
        <w:spacing w:line="276" w:lineRule="auto"/>
      </w:pPr>
      <w:r w:rsidRPr="00735726">
        <w:t xml:space="preserve">The approval of the Annual Report and </w:t>
      </w:r>
      <w:r w:rsidR="00B0599B" w:rsidRPr="00735726">
        <w:t>financial s</w:t>
      </w:r>
      <w:r w:rsidRPr="00735726">
        <w:t>tatements</w:t>
      </w:r>
    </w:p>
    <w:p w14:paraId="3A63B069" w14:textId="77777777" w:rsidR="00011407" w:rsidRPr="00735726" w:rsidRDefault="00011407" w:rsidP="005A5668">
      <w:pPr>
        <w:pStyle w:val="03body"/>
        <w:numPr>
          <w:ilvl w:val="0"/>
          <w:numId w:val="4"/>
        </w:numPr>
        <w:spacing w:line="276" w:lineRule="auto"/>
      </w:pPr>
      <w:r w:rsidRPr="00735726">
        <w:t>All acquisitions and disposals</w:t>
      </w:r>
    </w:p>
    <w:p w14:paraId="1D737F9E" w14:textId="77777777" w:rsidR="00011407" w:rsidRPr="00735726" w:rsidRDefault="00011407" w:rsidP="005A5668">
      <w:pPr>
        <w:pStyle w:val="03body"/>
        <w:numPr>
          <w:ilvl w:val="0"/>
          <w:numId w:val="4"/>
        </w:numPr>
        <w:spacing w:line="276" w:lineRule="auto"/>
      </w:pPr>
      <w:r w:rsidRPr="00735726">
        <w:t>Major items of capital expenditure</w:t>
      </w:r>
    </w:p>
    <w:p w14:paraId="72F39135" w14:textId="77777777" w:rsidR="00011407" w:rsidRPr="00735726" w:rsidRDefault="00011407" w:rsidP="005A5668">
      <w:pPr>
        <w:pStyle w:val="03body"/>
        <w:numPr>
          <w:ilvl w:val="0"/>
          <w:numId w:val="4"/>
        </w:numPr>
        <w:spacing w:line="276" w:lineRule="auto"/>
      </w:pPr>
      <w:r w:rsidRPr="00735726">
        <w:t>Authority levels for other expenditure</w:t>
      </w:r>
    </w:p>
    <w:p w14:paraId="0516A308" w14:textId="77777777" w:rsidR="00011407" w:rsidRPr="00735726" w:rsidRDefault="00011407" w:rsidP="005A5668">
      <w:pPr>
        <w:pStyle w:val="03body"/>
        <w:numPr>
          <w:ilvl w:val="0"/>
          <w:numId w:val="4"/>
        </w:numPr>
        <w:spacing w:line="276" w:lineRule="auto"/>
      </w:pPr>
      <w:r w:rsidRPr="00735726">
        <w:t>Risk management process and monitoring of risks</w:t>
      </w:r>
    </w:p>
    <w:p w14:paraId="50791849" w14:textId="77777777" w:rsidR="00011407" w:rsidRPr="00735726" w:rsidRDefault="00011407" w:rsidP="005A5668">
      <w:pPr>
        <w:pStyle w:val="03body"/>
        <w:numPr>
          <w:ilvl w:val="0"/>
          <w:numId w:val="4"/>
        </w:numPr>
        <w:spacing w:line="276" w:lineRule="auto"/>
      </w:pPr>
      <w:r w:rsidRPr="00735726">
        <w:t>Approval of the strategic plan and annual operating budgets</w:t>
      </w:r>
    </w:p>
    <w:p w14:paraId="50A59311" w14:textId="77777777" w:rsidR="00011407" w:rsidRPr="00735726" w:rsidRDefault="00011407" w:rsidP="005A5668">
      <w:pPr>
        <w:pStyle w:val="03body"/>
        <w:numPr>
          <w:ilvl w:val="0"/>
          <w:numId w:val="4"/>
        </w:numPr>
        <w:spacing w:line="276" w:lineRule="auto"/>
      </w:pPr>
      <w:r w:rsidRPr="00735726">
        <w:t>Company policies, procedures and delegations</w:t>
      </w:r>
    </w:p>
    <w:p w14:paraId="7B07D840" w14:textId="77777777" w:rsidR="00011407" w:rsidRPr="00735726" w:rsidRDefault="00011407" w:rsidP="005A5668">
      <w:pPr>
        <w:pStyle w:val="03body"/>
        <w:numPr>
          <w:ilvl w:val="0"/>
          <w:numId w:val="4"/>
        </w:numPr>
        <w:spacing w:line="276" w:lineRule="auto"/>
      </w:pPr>
      <w:r w:rsidRPr="00735726">
        <w:t>Appointments to the Board and its Committees</w:t>
      </w:r>
    </w:p>
    <w:p w14:paraId="770010B9" w14:textId="77777777" w:rsidR="00011407" w:rsidRPr="00735726" w:rsidRDefault="00011407" w:rsidP="005A5668">
      <w:pPr>
        <w:pStyle w:val="03body"/>
        <w:spacing w:line="276" w:lineRule="auto"/>
        <w:ind w:left="720"/>
      </w:pPr>
    </w:p>
    <w:p w14:paraId="08EE2963" w14:textId="60420354" w:rsidR="00011407" w:rsidRPr="00735726" w:rsidRDefault="00011407" w:rsidP="0024293B">
      <w:pPr>
        <w:spacing w:after="160"/>
        <w:rPr>
          <w:rFonts w:ascii="Arial" w:eastAsia="Times New Roman" w:hAnsi="Arial" w:cs="DINOT"/>
          <w:caps/>
          <w:color w:val="000000"/>
          <w:sz w:val="32"/>
          <w:szCs w:val="32"/>
        </w:rPr>
      </w:pPr>
      <w:r w:rsidRPr="00735726">
        <w:rPr>
          <w:rFonts w:ascii="Arial" w:hAnsi="Arial" w:cs="Arial"/>
          <w:sz w:val="18"/>
          <w:szCs w:val="18"/>
        </w:rPr>
        <w:t>The Pennon Group</w:t>
      </w:r>
      <w:r w:rsidR="0078265F" w:rsidRPr="00735726">
        <w:rPr>
          <w:rFonts w:ascii="Arial" w:hAnsi="Arial" w:cs="Arial"/>
          <w:sz w:val="18"/>
          <w:szCs w:val="18"/>
        </w:rPr>
        <w:t xml:space="preserve"> </w:t>
      </w:r>
      <w:proofErr w:type="gramStart"/>
      <w:r w:rsidR="0078265F" w:rsidRPr="00735726">
        <w:rPr>
          <w:rFonts w:ascii="Arial" w:hAnsi="Arial" w:cs="Arial"/>
          <w:sz w:val="18"/>
          <w:szCs w:val="18"/>
        </w:rPr>
        <w:t>plc</w:t>
      </w:r>
      <w:proofErr w:type="gramEnd"/>
      <w:r w:rsidRPr="00735726">
        <w:rPr>
          <w:rFonts w:ascii="Arial" w:hAnsi="Arial" w:cs="Arial"/>
          <w:sz w:val="18"/>
          <w:szCs w:val="18"/>
        </w:rPr>
        <w:t xml:space="preserve"> Board also endorses certain decisions taken by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Board’s, including major capital projects and investments, long-term objectives and commercial strategy, the five-year regulatory plan, annual budgets and certain decisions relating to financing. This approach remains compatible with Ofwat’s principles on board leadership, transparency and governance because such decisions are ultimately reviewed and approved by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Board. Approval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dividend policy and the declaration of dividends to be paid by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to Pennon also remain reserved for the </w:t>
      </w:r>
      <w:proofErr w:type="gramStart"/>
      <w:r w:rsidRPr="00735726">
        <w:rPr>
          <w:rFonts w:ascii="Arial" w:hAnsi="Arial" w:cs="Arial"/>
          <w:sz w:val="18"/>
          <w:szCs w:val="18"/>
        </w:rPr>
        <w:t>South West</w:t>
      </w:r>
      <w:proofErr w:type="gramEnd"/>
      <w:r w:rsidR="006B0843" w:rsidRPr="00735726">
        <w:rPr>
          <w:rFonts w:ascii="Arial" w:hAnsi="Arial" w:cs="Arial"/>
          <w:sz w:val="18"/>
          <w:szCs w:val="18"/>
        </w:rPr>
        <w:t xml:space="preserve"> Water Board.</w:t>
      </w:r>
    </w:p>
    <w:p w14:paraId="1908EF17" w14:textId="4601E471" w:rsidR="00300B8D" w:rsidRPr="00735726" w:rsidRDefault="00E41E27" w:rsidP="00300B8D">
      <w:pPr>
        <w:spacing w:after="160"/>
        <w:rPr>
          <w:rFonts w:ascii="Arial" w:hAnsi="Arial" w:cs="Arial"/>
          <w:sz w:val="18"/>
          <w:szCs w:val="18"/>
        </w:rPr>
      </w:pPr>
      <w:r w:rsidRPr="00735726">
        <w:rPr>
          <w:rFonts w:ascii="Arial" w:eastAsia="Times New Roman" w:hAnsi="Arial" w:cs="Arial"/>
          <w:b/>
          <w:bCs/>
          <w:caps/>
          <w:color w:val="000000"/>
          <w:sz w:val="18"/>
          <w:szCs w:val="18"/>
        </w:rPr>
        <w:t>HOW THE BOARD OPERATES</w:t>
      </w:r>
      <w:r w:rsidR="008352F1" w:rsidRPr="00735726">
        <w:rPr>
          <w:rFonts w:ascii="Arial" w:hAnsi="Arial" w:cs="Arial"/>
          <w:sz w:val="18"/>
          <w:szCs w:val="18"/>
        </w:rPr>
        <w:br/>
      </w:r>
      <w:r w:rsidR="00300B8D" w:rsidRPr="00735726">
        <w:rPr>
          <w:rFonts w:ascii="Arial" w:hAnsi="Arial" w:cs="Arial"/>
          <w:sz w:val="18"/>
          <w:szCs w:val="18"/>
        </w:rPr>
        <w:t>In fulfilling its responsibilities, the Board has established a clear strategy for sustainable growth and ensures that its carefully defined aims and objectives align with the Company’s purpose and values. The Board maintains the highest standards of governance alongside taking decisions to ensure the long-term sustainability of the Company.</w:t>
      </w:r>
    </w:p>
    <w:p w14:paraId="5B0AB0D7" w14:textId="7E8AA765" w:rsidR="00300B8D" w:rsidRPr="009A2CAE" w:rsidRDefault="00300B8D" w:rsidP="00300B8D">
      <w:pPr>
        <w:spacing w:after="160"/>
        <w:rPr>
          <w:rFonts w:ascii="Arial" w:hAnsi="Arial" w:cs="Arial"/>
          <w:sz w:val="18"/>
          <w:szCs w:val="18"/>
        </w:rPr>
      </w:pPr>
      <w:r w:rsidRPr="00735726">
        <w:rPr>
          <w:rFonts w:ascii="Arial" w:hAnsi="Arial" w:cs="Arial"/>
          <w:sz w:val="18"/>
          <w:szCs w:val="18"/>
        </w:rPr>
        <w:t xml:space="preserve">Benefiting from a diverse skill set, independence of thinking and experience of the Directors as demonstrated by their biographies on pages </w:t>
      </w:r>
      <w:r w:rsidR="00704734" w:rsidRPr="009A2CAE">
        <w:rPr>
          <w:rFonts w:ascii="Arial" w:hAnsi="Arial" w:cs="Arial"/>
          <w:sz w:val="18"/>
          <w:szCs w:val="18"/>
        </w:rPr>
        <w:t xml:space="preserve">102 </w:t>
      </w:r>
      <w:r w:rsidRPr="009A2CAE">
        <w:rPr>
          <w:rFonts w:ascii="Arial" w:hAnsi="Arial" w:cs="Arial"/>
          <w:sz w:val="18"/>
          <w:szCs w:val="18"/>
        </w:rPr>
        <w:t xml:space="preserve">to </w:t>
      </w:r>
      <w:r w:rsidR="00704734" w:rsidRPr="009A2CAE">
        <w:rPr>
          <w:rFonts w:ascii="Arial" w:hAnsi="Arial" w:cs="Arial"/>
          <w:sz w:val="18"/>
          <w:szCs w:val="18"/>
        </w:rPr>
        <w:t>104</w:t>
      </w:r>
      <w:r w:rsidRPr="009A2CAE">
        <w:rPr>
          <w:rFonts w:ascii="Arial" w:hAnsi="Arial" w:cs="Arial"/>
          <w:sz w:val="18"/>
          <w:szCs w:val="18"/>
        </w:rPr>
        <w:t xml:space="preserve">, </w:t>
      </w:r>
      <w:r w:rsidRPr="00735726">
        <w:rPr>
          <w:rFonts w:ascii="Arial" w:hAnsi="Arial" w:cs="Arial"/>
          <w:sz w:val="18"/>
          <w:szCs w:val="18"/>
        </w:rPr>
        <w:t>decisions reached by the Board are fair, focused and balanced and they demonstrate that constructive debate has occurred. The best possible outcomes for the mutual benefit of our customers, employees, and the communities we serve are at the heart of the Board decision-making process.</w:t>
      </w:r>
    </w:p>
    <w:p w14:paraId="1D9771DE" w14:textId="713FCBA9" w:rsidR="00300B8D" w:rsidRPr="00735726" w:rsidRDefault="00300B8D" w:rsidP="00300B8D">
      <w:pPr>
        <w:spacing w:after="160"/>
        <w:rPr>
          <w:rFonts w:ascii="Arial" w:hAnsi="Arial" w:cs="Arial"/>
          <w:sz w:val="18"/>
          <w:szCs w:val="18"/>
        </w:rPr>
      </w:pPr>
      <w:r w:rsidRPr="00735726">
        <w:rPr>
          <w:rFonts w:ascii="Arial" w:hAnsi="Arial" w:cs="Arial"/>
          <w:sz w:val="18"/>
          <w:szCs w:val="18"/>
        </w:rPr>
        <w:t>The culture of the Board is one of openness and constructive dialogue with the senior management team. Regular and effective flow of information between the Non-Executive Directors and senior management, both in and out of the Boardroom, ensures that there is good understanding of the business. As detailed on page</w:t>
      </w:r>
      <w:r w:rsidR="00704734" w:rsidRPr="00735726">
        <w:rPr>
          <w:rFonts w:ascii="Arial" w:hAnsi="Arial" w:cs="Arial"/>
          <w:sz w:val="18"/>
          <w:szCs w:val="18"/>
        </w:rPr>
        <w:t>s</w:t>
      </w:r>
      <w:r w:rsidRPr="00735726">
        <w:rPr>
          <w:rFonts w:ascii="Arial" w:hAnsi="Arial" w:cs="Arial"/>
          <w:sz w:val="18"/>
          <w:szCs w:val="18"/>
        </w:rPr>
        <w:t xml:space="preserve"> </w:t>
      </w:r>
      <w:r w:rsidR="00704734" w:rsidRPr="009A2CAE">
        <w:rPr>
          <w:rFonts w:ascii="Arial" w:hAnsi="Arial" w:cs="Arial"/>
          <w:sz w:val="18"/>
          <w:szCs w:val="18"/>
        </w:rPr>
        <w:t>110 to 111</w:t>
      </w:r>
      <w:r w:rsidRPr="009A2CAE">
        <w:rPr>
          <w:rFonts w:ascii="Arial" w:hAnsi="Arial" w:cs="Arial"/>
          <w:sz w:val="18"/>
          <w:szCs w:val="18"/>
        </w:rPr>
        <w:t xml:space="preserve">, </w:t>
      </w:r>
      <w:r w:rsidRPr="00735726">
        <w:rPr>
          <w:rFonts w:ascii="Arial" w:hAnsi="Arial" w:cs="Arial"/>
          <w:sz w:val="18"/>
          <w:szCs w:val="18"/>
        </w:rPr>
        <w:t>there is a clear division of responsibilities between the roles of the Chair and Chief Executive Officer; however, to ensure that their responsibilities are discharged effectively, there is consistent communication on all areas of the business between them.</w:t>
      </w:r>
    </w:p>
    <w:p w14:paraId="2DEFDD19" w14:textId="1D9A1479" w:rsidR="00300B8D" w:rsidRPr="00735726" w:rsidRDefault="00300B8D" w:rsidP="00300B8D">
      <w:pPr>
        <w:spacing w:after="160"/>
        <w:rPr>
          <w:rFonts w:ascii="Arial" w:hAnsi="Arial" w:cs="Arial"/>
          <w:sz w:val="18"/>
          <w:szCs w:val="18"/>
        </w:rPr>
      </w:pPr>
      <w:r w:rsidRPr="00735726">
        <w:rPr>
          <w:rFonts w:ascii="Arial" w:hAnsi="Arial" w:cs="Arial"/>
          <w:sz w:val="18"/>
          <w:szCs w:val="18"/>
        </w:rPr>
        <w:t xml:space="preserve">The Board held six scheduled meetings during the year, with additional meetings held during the year to consider pertinent issues, including matters requiring timely consideration. Directors’ attendance at scheduled Board meetings held during the year is set out on page </w:t>
      </w:r>
      <w:r w:rsidR="00704734" w:rsidRPr="009A2CAE">
        <w:rPr>
          <w:rFonts w:ascii="Arial" w:hAnsi="Arial" w:cs="Arial"/>
          <w:sz w:val="18"/>
          <w:szCs w:val="18"/>
        </w:rPr>
        <w:t>99</w:t>
      </w:r>
      <w:r w:rsidRPr="009A2CAE">
        <w:rPr>
          <w:rFonts w:ascii="Arial" w:hAnsi="Arial" w:cs="Arial"/>
          <w:sz w:val="18"/>
          <w:szCs w:val="18"/>
        </w:rPr>
        <w:t xml:space="preserve">. </w:t>
      </w:r>
      <w:r w:rsidRPr="00735726">
        <w:rPr>
          <w:rFonts w:ascii="Arial" w:hAnsi="Arial" w:cs="Arial"/>
          <w:sz w:val="18"/>
          <w:szCs w:val="18"/>
        </w:rPr>
        <w:t xml:space="preserve">The Board also approved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matters during the year by written resolution. </w:t>
      </w:r>
    </w:p>
    <w:p w14:paraId="6E84AE38" w14:textId="0BA12F8C" w:rsidR="00300B8D" w:rsidRPr="00735726" w:rsidRDefault="00300B8D" w:rsidP="00300B8D">
      <w:pPr>
        <w:spacing w:after="160"/>
        <w:rPr>
          <w:rFonts w:ascii="Arial" w:hAnsi="Arial" w:cs="Arial"/>
          <w:sz w:val="18"/>
          <w:szCs w:val="18"/>
        </w:rPr>
      </w:pPr>
      <w:r w:rsidRPr="00735726">
        <w:rPr>
          <w:rFonts w:ascii="Arial" w:hAnsi="Arial" w:cs="Arial"/>
          <w:sz w:val="18"/>
          <w:szCs w:val="18"/>
        </w:rPr>
        <w:t xml:space="preserve">Board and Committee meeting agendas are prepared in advance by the Company Secretary in conjunction with the Chair and the Chief Executive Officer. Agenda items are aligned with the annual Board and Committee cycle programme, with other items and updates added for consideration in response to matters of importance to the business at the time. For each scheduled Board meeting there are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standing items such as the </w:t>
      </w:r>
      <w:r w:rsidRPr="00735726">
        <w:rPr>
          <w:rFonts w:ascii="Arial" w:hAnsi="Arial" w:cs="Arial"/>
          <w:sz w:val="18"/>
          <w:szCs w:val="18"/>
        </w:rPr>
        <w:lastRenderedPageBreak/>
        <w:t xml:space="preserve">monthly performance reports from the Chief Executive Officer and Chief Financial Officer, operational reports, detailed reviews, and legal and governance updates. All matters are given due consideration by the Board and are reviewed at the appropriate point in the regulatory and financial cycles. Flexibility is retained in the programmes to include additional items requested by the Board, Committees, or senior management. The key activities of the Board can be found on pages </w:t>
      </w:r>
      <w:r w:rsidR="00704734" w:rsidRPr="009A2CAE">
        <w:rPr>
          <w:rFonts w:ascii="Arial" w:hAnsi="Arial" w:cs="Arial"/>
          <w:sz w:val="18"/>
          <w:szCs w:val="18"/>
        </w:rPr>
        <w:t>116</w:t>
      </w:r>
      <w:r w:rsidRPr="009A2CAE">
        <w:rPr>
          <w:rFonts w:ascii="Arial" w:hAnsi="Arial" w:cs="Arial"/>
          <w:sz w:val="18"/>
          <w:szCs w:val="18"/>
        </w:rPr>
        <w:t xml:space="preserve"> to </w:t>
      </w:r>
      <w:r w:rsidR="00704734" w:rsidRPr="009A2CAE">
        <w:rPr>
          <w:rFonts w:ascii="Arial" w:hAnsi="Arial" w:cs="Arial"/>
          <w:sz w:val="18"/>
          <w:szCs w:val="18"/>
        </w:rPr>
        <w:t>117</w:t>
      </w:r>
      <w:r w:rsidRPr="009A2CAE">
        <w:rPr>
          <w:rFonts w:ascii="Arial" w:hAnsi="Arial" w:cs="Arial"/>
          <w:sz w:val="18"/>
          <w:szCs w:val="18"/>
        </w:rPr>
        <w:t xml:space="preserve"> </w:t>
      </w:r>
      <w:r w:rsidRPr="00735726">
        <w:rPr>
          <w:rFonts w:ascii="Arial" w:hAnsi="Arial" w:cs="Arial"/>
          <w:sz w:val="18"/>
          <w:szCs w:val="18"/>
        </w:rPr>
        <w:t>and the key activities of the Committees during the year can be found in the Committee Reports.</w:t>
      </w:r>
    </w:p>
    <w:p w14:paraId="102AB26A" w14:textId="1B5EC719" w:rsidR="00300B8D" w:rsidRPr="00735726" w:rsidRDefault="00300B8D" w:rsidP="00300B8D">
      <w:pPr>
        <w:spacing w:after="160"/>
        <w:rPr>
          <w:rFonts w:ascii="Arial" w:hAnsi="Arial" w:cs="Arial"/>
          <w:sz w:val="18"/>
          <w:szCs w:val="18"/>
        </w:rPr>
      </w:pPr>
      <w:r w:rsidRPr="00735726">
        <w:rPr>
          <w:rFonts w:ascii="Arial" w:hAnsi="Arial" w:cs="Arial"/>
          <w:sz w:val="18"/>
          <w:szCs w:val="18"/>
        </w:rPr>
        <w:t>Directors are provided with papers at least five business days in advance of each Board or Committee meeting to allow for adequate time to review, ensuring impactful contributions are made at the meetings. Meeting packs are provided via an online Board portal system offering a fast, secure and reliable method of distribution.</w:t>
      </w:r>
    </w:p>
    <w:p w14:paraId="78339C07" w14:textId="491005F4" w:rsidR="00300B8D" w:rsidRPr="00735726" w:rsidRDefault="00300B8D" w:rsidP="00300B8D">
      <w:pPr>
        <w:spacing w:after="160"/>
        <w:rPr>
          <w:rFonts w:ascii="Arial" w:hAnsi="Arial" w:cs="Arial"/>
          <w:sz w:val="18"/>
          <w:szCs w:val="18"/>
        </w:rPr>
      </w:pPr>
      <w:r w:rsidRPr="00735726">
        <w:rPr>
          <w:rFonts w:ascii="Arial" w:hAnsi="Arial" w:cs="Arial"/>
          <w:sz w:val="18"/>
          <w:szCs w:val="18"/>
        </w:rPr>
        <w:t xml:space="preserve">The Chair has calls with each of the Non-Executive Directors in advance of each scheduled Board meeting to discuss the papers and the business of the meeting. If a </w:t>
      </w:r>
      <w:proofErr w:type="gramStart"/>
      <w:r w:rsidRPr="00735726">
        <w:rPr>
          <w:rFonts w:ascii="Arial" w:hAnsi="Arial" w:cs="Arial"/>
          <w:sz w:val="18"/>
          <w:szCs w:val="18"/>
        </w:rPr>
        <w:t>Director</w:t>
      </w:r>
      <w:proofErr w:type="gramEnd"/>
      <w:r w:rsidRPr="00735726">
        <w:rPr>
          <w:rFonts w:ascii="Arial" w:hAnsi="Arial" w:cs="Arial"/>
          <w:sz w:val="18"/>
          <w:szCs w:val="18"/>
        </w:rPr>
        <w:t xml:space="preserve"> is unable to attend a meeting because of exceptional circumstances, they will continue to receive all the material for the meeting and have an opportunity to have a briefing discussion with the Chair in advance. Feedback is provided to the Directors unable to attend on the decisions taken at the meeting.</w:t>
      </w:r>
    </w:p>
    <w:p w14:paraId="13F27867" w14:textId="69454C36" w:rsidR="00300B8D" w:rsidRPr="00735726" w:rsidRDefault="00300B8D" w:rsidP="00300B8D">
      <w:pPr>
        <w:spacing w:after="160"/>
        <w:rPr>
          <w:rFonts w:ascii="Arial" w:hAnsi="Arial" w:cs="Arial"/>
          <w:sz w:val="18"/>
          <w:szCs w:val="18"/>
        </w:rPr>
      </w:pPr>
      <w:r w:rsidRPr="00735726">
        <w:rPr>
          <w:rFonts w:ascii="Arial" w:hAnsi="Arial" w:cs="Arial"/>
          <w:sz w:val="18"/>
          <w:szCs w:val="18"/>
        </w:rPr>
        <w:t>Non-Executive Directors communicate directly with senior management between Board and Committee meetings, where required. Members of the Executive Board also present at the annual strategy Board meeting and at other times during the year on their areas of responsibility, along with members of their teams.</w:t>
      </w:r>
    </w:p>
    <w:p w14:paraId="44A39B03" w14:textId="555FE454" w:rsidR="00300B8D" w:rsidRPr="00735726" w:rsidRDefault="00300B8D" w:rsidP="00300B8D">
      <w:pPr>
        <w:spacing w:after="160"/>
        <w:rPr>
          <w:rFonts w:ascii="Arial" w:hAnsi="Arial" w:cs="Arial"/>
          <w:sz w:val="18"/>
          <w:szCs w:val="18"/>
        </w:rPr>
      </w:pPr>
      <w:r w:rsidRPr="00735726">
        <w:rPr>
          <w:rFonts w:ascii="Arial" w:hAnsi="Arial" w:cs="Arial"/>
          <w:sz w:val="18"/>
          <w:szCs w:val="18"/>
        </w:rPr>
        <w:t xml:space="preserve">During the year, the Chair had catch-ups with the Chief Executive Officer and regular updates with the General Counsel and Company Secretary and Chief Financial Officer. </w:t>
      </w:r>
    </w:p>
    <w:p w14:paraId="200D6B98" w14:textId="770F12F0" w:rsidR="00300B8D" w:rsidRPr="00735726" w:rsidRDefault="00300B8D" w:rsidP="00300B8D">
      <w:pPr>
        <w:spacing w:after="160"/>
        <w:rPr>
          <w:rFonts w:ascii="Arial" w:hAnsi="Arial" w:cs="Arial"/>
          <w:sz w:val="18"/>
          <w:szCs w:val="18"/>
        </w:rPr>
      </w:pPr>
      <w:r w:rsidRPr="00735726">
        <w:rPr>
          <w:rFonts w:ascii="Arial" w:hAnsi="Arial" w:cs="Arial"/>
          <w:sz w:val="18"/>
          <w:szCs w:val="18"/>
        </w:rPr>
        <w:t>Meetings of the Non-Executive Directors, in the absence of the Executive Directors, are scheduled in the Board’s annual programme. During the year, Non-Executive Directors met without the Executive Directors after every Board meeting. These meetings provide the Non-Executive Directors with the opportunity to share experiences and discuss wider business topics, fostering debate in Board and Committee meetings and strengthening working relationships.</w:t>
      </w:r>
    </w:p>
    <w:p w14:paraId="0AA6CD96" w14:textId="77777777" w:rsidR="00011407" w:rsidRPr="00735726" w:rsidRDefault="00011407" w:rsidP="00011407">
      <w:pPr>
        <w:pStyle w:val="Headinglevel4"/>
        <w:spacing w:line="276" w:lineRule="auto"/>
        <w:outlineLvl w:val="0"/>
      </w:pPr>
      <w:r w:rsidRPr="00735726">
        <w:t>schedule of matters reserved to the board</w:t>
      </w:r>
    </w:p>
    <w:p w14:paraId="7DF0906A" w14:textId="77777777" w:rsidR="008D1F71" w:rsidRPr="00735726" w:rsidRDefault="00011407" w:rsidP="008D1F71">
      <w:pPr>
        <w:autoSpaceDE w:val="0"/>
        <w:autoSpaceDN w:val="0"/>
        <w:adjustRightInd w:val="0"/>
        <w:spacing w:after="0"/>
        <w:rPr>
          <w:rFonts w:ascii="Arial" w:hAnsi="Arial" w:cs="Arial"/>
          <w:sz w:val="18"/>
          <w:szCs w:val="18"/>
        </w:rPr>
      </w:pPr>
      <w:r w:rsidRPr="00735726">
        <w:rPr>
          <w:rFonts w:ascii="Arial" w:hAnsi="Arial" w:cs="Arial"/>
          <w:sz w:val="18"/>
          <w:szCs w:val="18"/>
        </w:rPr>
        <w:t xml:space="preserve">The Board maintains oversight of the </w:t>
      </w:r>
      <w:proofErr w:type="gramStart"/>
      <w:r w:rsidRPr="00735726">
        <w:rPr>
          <w:rFonts w:ascii="Arial" w:hAnsi="Arial" w:cs="Arial"/>
          <w:sz w:val="18"/>
          <w:szCs w:val="18"/>
        </w:rPr>
        <w:t>areas</w:t>
      </w:r>
      <w:proofErr w:type="gramEnd"/>
      <w:r w:rsidRPr="00735726">
        <w:rPr>
          <w:rFonts w:ascii="Arial" w:hAnsi="Arial" w:cs="Arial"/>
          <w:sz w:val="18"/>
          <w:szCs w:val="18"/>
        </w:rPr>
        <w:t xml:space="preserve"> material to the delivery of the Company’s strategy and purpose, and acts as the main governing body for the purpose of oversight for the Company</w:t>
      </w:r>
      <w:r w:rsidR="00EF4E89" w:rsidRPr="00735726">
        <w:rPr>
          <w:rFonts w:ascii="Arial" w:hAnsi="Arial" w:cs="Arial"/>
          <w:sz w:val="18"/>
          <w:szCs w:val="18"/>
        </w:rPr>
        <w:t>.</w:t>
      </w:r>
      <w:r w:rsidR="00EF4E89" w:rsidRPr="00735726">
        <w:rPr>
          <w:rFonts w:ascii="Calibre-Light" w:hAnsi="Calibre-Light" w:cs="Calibre-Light"/>
          <w:color w:val="414142"/>
          <w:sz w:val="16"/>
          <w:szCs w:val="16"/>
        </w:rPr>
        <w:t xml:space="preserve"> </w:t>
      </w:r>
      <w:r w:rsidR="00EF4E89" w:rsidRPr="00735726">
        <w:rPr>
          <w:rFonts w:ascii="Arial" w:hAnsi="Arial" w:cs="Arial"/>
          <w:sz w:val="18"/>
          <w:szCs w:val="18"/>
        </w:rPr>
        <w:t>The Board undertakes a review of the Matters Reserved to the Board on a periodic basis.</w:t>
      </w:r>
    </w:p>
    <w:p w14:paraId="29AB4A24" w14:textId="77777777" w:rsidR="008D1F71" w:rsidRPr="00735726" w:rsidRDefault="008D1F71" w:rsidP="008D1F71">
      <w:pPr>
        <w:autoSpaceDE w:val="0"/>
        <w:autoSpaceDN w:val="0"/>
        <w:adjustRightInd w:val="0"/>
        <w:spacing w:after="0"/>
        <w:rPr>
          <w:rFonts w:ascii="Arial" w:hAnsi="Arial" w:cs="Arial"/>
          <w:sz w:val="18"/>
          <w:szCs w:val="18"/>
        </w:rPr>
      </w:pPr>
    </w:p>
    <w:p w14:paraId="4406DE36" w14:textId="10E12DEB" w:rsidR="00011407" w:rsidRPr="00735726" w:rsidRDefault="00011407" w:rsidP="008D1F71">
      <w:pPr>
        <w:autoSpaceDE w:val="0"/>
        <w:autoSpaceDN w:val="0"/>
        <w:adjustRightInd w:val="0"/>
        <w:spacing w:after="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COMMITTEES</w:t>
      </w:r>
    </w:p>
    <w:p w14:paraId="56879F9F" w14:textId="278D7BE0" w:rsidR="00011407" w:rsidRPr="009A2CAE" w:rsidRDefault="00011407" w:rsidP="00011407">
      <w:pPr>
        <w:autoSpaceDE w:val="0"/>
        <w:autoSpaceDN w:val="0"/>
        <w:adjustRightInd w:val="0"/>
        <w:spacing w:after="0"/>
        <w:rPr>
          <w:rFonts w:ascii="Arial" w:hAnsi="Arial" w:cs="Arial"/>
          <w:sz w:val="18"/>
          <w:szCs w:val="18"/>
        </w:rPr>
      </w:pPr>
      <w:r w:rsidRPr="00735726">
        <w:rPr>
          <w:rFonts w:ascii="Arial" w:hAnsi="Arial" w:cs="Arial"/>
          <w:sz w:val="18"/>
          <w:szCs w:val="18"/>
        </w:rPr>
        <w:t>In accordance with the Code, the Board delegates certain responsibilities to its core committees, which monitor various subject matters in depth and gain greater understanding in detail. The Committees’ responsibilities and mode of operation are guided by their respective terms of references which have been agreed by the Board and summarised on the Committee Report pages</w:t>
      </w:r>
      <w:r w:rsidR="008D1F71" w:rsidRPr="00735726">
        <w:rPr>
          <w:rFonts w:ascii="Arial" w:hAnsi="Arial" w:cs="Arial"/>
          <w:sz w:val="18"/>
          <w:szCs w:val="18"/>
        </w:rPr>
        <w:t xml:space="preserve"> below</w:t>
      </w:r>
      <w:r w:rsidRPr="00735726">
        <w:rPr>
          <w:rFonts w:ascii="Arial" w:hAnsi="Arial" w:cs="Arial"/>
          <w:sz w:val="18"/>
          <w:szCs w:val="18"/>
        </w:rPr>
        <w:t>. In addition, each committee considers its calendar of business at every meeting to ensure responsibilities continually remain clear. Each Committee Chair provides an update on matters discussed at each Board meeting, reporting on decisions taken and where appropriate provides a recommendation to the Board on matters requiring its approval. The reports from each committee of the Board can be found on pages</w:t>
      </w:r>
      <w:r w:rsidR="00EF4E89" w:rsidRPr="00735726">
        <w:rPr>
          <w:rFonts w:ascii="Arial" w:hAnsi="Arial" w:cs="Arial"/>
          <w:sz w:val="18"/>
          <w:szCs w:val="18"/>
        </w:rPr>
        <w:t xml:space="preserve"> </w:t>
      </w:r>
      <w:r w:rsidR="00704734" w:rsidRPr="009A2CAE">
        <w:rPr>
          <w:rFonts w:ascii="Arial" w:hAnsi="Arial" w:cs="Arial"/>
          <w:sz w:val="18"/>
          <w:szCs w:val="18"/>
        </w:rPr>
        <w:t xml:space="preserve">125 </w:t>
      </w:r>
      <w:r w:rsidR="00EF4E89" w:rsidRPr="009A2CAE">
        <w:rPr>
          <w:rFonts w:ascii="Arial" w:hAnsi="Arial" w:cs="Arial"/>
          <w:sz w:val="18"/>
          <w:szCs w:val="18"/>
        </w:rPr>
        <w:t xml:space="preserve">to </w:t>
      </w:r>
      <w:r w:rsidR="00704734" w:rsidRPr="009A2CAE">
        <w:rPr>
          <w:rFonts w:ascii="Arial" w:hAnsi="Arial" w:cs="Arial"/>
          <w:sz w:val="18"/>
          <w:szCs w:val="18"/>
        </w:rPr>
        <w:t>149</w:t>
      </w:r>
      <w:r w:rsidR="00EF4E89" w:rsidRPr="009A2CAE">
        <w:rPr>
          <w:rFonts w:ascii="Arial" w:hAnsi="Arial" w:cs="Arial"/>
          <w:sz w:val="18"/>
          <w:szCs w:val="18"/>
        </w:rPr>
        <w:t>.</w:t>
      </w:r>
    </w:p>
    <w:p w14:paraId="2C038715" w14:textId="77777777" w:rsidR="00011407" w:rsidRPr="009A2CAE" w:rsidRDefault="00011407" w:rsidP="00011407">
      <w:pPr>
        <w:autoSpaceDE w:val="0"/>
        <w:autoSpaceDN w:val="0"/>
        <w:adjustRightInd w:val="0"/>
        <w:spacing w:after="0"/>
        <w:rPr>
          <w:rFonts w:ascii="Arial" w:hAnsi="Arial" w:cs="Arial"/>
          <w:sz w:val="18"/>
          <w:szCs w:val="18"/>
        </w:rPr>
      </w:pPr>
    </w:p>
    <w:p w14:paraId="062D9520" w14:textId="393BE814" w:rsidR="00011407" w:rsidRPr="00735726" w:rsidRDefault="00011407" w:rsidP="00011407">
      <w:pPr>
        <w:pStyle w:val="Headinglevel4"/>
        <w:spacing w:line="276" w:lineRule="auto"/>
        <w:outlineLvl w:val="0"/>
        <w:rPr>
          <w:rFonts w:eastAsiaTheme="minorHAnsi"/>
          <w:b w:val="0"/>
          <w:bCs w:val="0"/>
          <w:caps w:val="0"/>
          <w:color w:val="auto"/>
        </w:rPr>
      </w:pPr>
      <w:r w:rsidRPr="00735726">
        <w:t>STRATEGY</w:t>
      </w:r>
    </w:p>
    <w:p w14:paraId="13A76902" w14:textId="4F5D42FA" w:rsidR="002F703D" w:rsidRPr="00735726" w:rsidRDefault="002F703D" w:rsidP="00EF4E89">
      <w:pPr>
        <w:rPr>
          <w:rFonts w:ascii="Arial" w:hAnsi="Arial" w:cs="Arial"/>
          <w:sz w:val="18"/>
          <w:szCs w:val="18"/>
        </w:rPr>
      </w:pPr>
      <w:r w:rsidRPr="00735726">
        <w:rPr>
          <w:rFonts w:ascii="Arial" w:hAnsi="Arial" w:cs="Arial"/>
          <w:sz w:val="18"/>
          <w:szCs w:val="18"/>
        </w:rPr>
        <w:t xml:space="preserve">The Board recognises its responsibility to create and oversee the framework for the delivery of the Company’s strategic model, ensuring that the strategy and purpose continually deliver for our stakeholders. At the meetings the Board receive presentations from Managing Directors and senior management, deep diving into the performance of each business unit, including reviews into the financial outlook and opportunities for growth. </w:t>
      </w:r>
      <w:r w:rsidR="00EF4E89" w:rsidRPr="00735726">
        <w:rPr>
          <w:rFonts w:ascii="Arial" w:hAnsi="Arial" w:cs="Arial"/>
          <w:sz w:val="18"/>
          <w:szCs w:val="18"/>
        </w:rPr>
        <w:t>In addition, the Board dedicates a separate meeting at its scheduled meeting in September to discuss the Company’s strategy, ensuring that the Company remains on track in its implementation and delivery or improvement, where necessary, of the agreed strategy.</w:t>
      </w:r>
    </w:p>
    <w:p w14:paraId="50595E92" w14:textId="18477D5B" w:rsidR="00011407" w:rsidRPr="00735726" w:rsidRDefault="002B0DE0" w:rsidP="00011407">
      <w:pPr>
        <w:autoSpaceDE w:val="0"/>
        <w:autoSpaceDN w:val="0"/>
        <w:adjustRightInd w:val="0"/>
        <w:spacing w:after="0"/>
        <w:rPr>
          <w:rFonts w:ascii="Arial" w:hAnsi="Arial" w:cs="Arial"/>
          <w:b/>
          <w:bCs/>
          <w:sz w:val="18"/>
          <w:szCs w:val="18"/>
        </w:rPr>
      </w:pPr>
      <w:bookmarkStart w:id="29" w:name="_Hlk201330250"/>
      <w:r w:rsidRPr="00735726">
        <w:rPr>
          <w:rFonts w:ascii="Arial" w:hAnsi="Arial" w:cs="Arial"/>
          <w:b/>
          <w:bCs/>
          <w:sz w:val="18"/>
          <w:szCs w:val="18"/>
        </w:rPr>
        <w:t xml:space="preserve">EXECUTIVE </w:t>
      </w:r>
      <w:r w:rsidR="00011407" w:rsidRPr="00735726">
        <w:rPr>
          <w:rFonts w:ascii="Arial" w:hAnsi="Arial" w:cs="Arial"/>
          <w:b/>
          <w:bCs/>
          <w:sz w:val="18"/>
          <w:szCs w:val="18"/>
        </w:rPr>
        <w:t xml:space="preserve">BOARD </w:t>
      </w:r>
    </w:p>
    <w:p w14:paraId="4F5A2460" w14:textId="217712AB" w:rsidR="00852A1F" w:rsidRPr="009A2CAE" w:rsidRDefault="00011407" w:rsidP="00852A1F">
      <w:pPr>
        <w:rPr>
          <w:rFonts w:ascii="Arial" w:hAnsi="Arial" w:cs="Arial"/>
          <w:sz w:val="18"/>
          <w:szCs w:val="18"/>
        </w:rPr>
      </w:pPr>
      <w:r w:rsidRPr="00735726">
        <w:rPr>
          <w:rFonts w:ascii="Arial" w:hAnsi="Arial" w:cs="Arial"/>
          <w:sz w:val="18"/>
          <w:szCs w:val="18"/>
        </w:rPr>
        <w:t xml:space="preserve">The </w:t>
      </w:r>
      <w:r w:rsidR="00852A1F" w:rsidRPr="00735726">
        <w:rPr>
          <w:rFonts w:ascii="Arial" w:hAnsi="Arial" w:cs="Arial"/>
          <w:sz w:val="18"/>
          <w:szCs w:val="18"/>
        </w:rPr>
        <w:t xml:space="preserve">Board meet </w:t>
      </w:r>
      <w:proofErr w:type="gramStart"/>
      <w:r w:rsidR="00852A1F" w:rsidRPr="00735726">
        <w:rPr>
          <w:rFonts w:ascii="Arial" w:hAnsi="Arial" w:cs="Arial"/>
          <w:sz w:val="18"/>
          <w:szCs w:val="18"/>
        </w:rPr>
        <w:t>on a monthly basis</w:t>
      </w:r>
      <w:proofErr w:type="gramEnd"/>
      <w:r w:rsidR="00852A1F" w:rsidRPr="00735726">
        <w:rPr>
          <w:rFonts w:ascii="Arial" w:hAnsi="Arial" w:cs="Arial"/>
          <w:sz w:val="18"/>
          <w:szCs w:val="18"/>
        </w:rPr>
        <w:t xml:space="preserve"> and are responsible for executing the Company’s strategy and the day-to-day management of the Company operations. Responsibilities and processes are designed to ensure effective management and oversight of Company affairs. Governance policies and terms of references are reviewed in accordance with the demands of the business, changing regulation and emerging best practice. The Executive </w:t>
      </w:r>
      <w:r w:rsidR="00852A1F" w:rsidRPr="00735726">
        <w:rPr>
          <w:rFonts w:ascii="Arial" w:hAnsi="Arial" w:cs="Arial"/>
          <w:sz w:val="18"/>
          <w:szCs w:val="18"/>
        </w:rPr>
        <w:lastRenderedPageBreak/>
        <w:t>Board is led by the Chief Executive Officer. The biographies of the Executive Board can be found on page</w:t>
      </w:r>
      <w:r w:rsidR="00A375EA" w:rsidRPr="00735726">
        <w:rPr>
          <w:rFonts w:ascii="Arial" w:hAnsi="Arial" w:cs="Arial"/>
          <w:sz w:val="18"/>
          <w:szCs w:val="18"/>
        </w:rPr>
        <w:t>s</w:t>
      </w:r>
      <w:r w:rsidR="00852A1F" w:rsidRPr="00735726">
        <w:rPr>
          <w:rFonts w:ascii="Arial" w:hAnsi="Arial" w:cs="Arial"/>
          <w:sz w:val="18"/>
          <w:szCs w:val="18"/>
        </w:rPr>
        <w:t xml:space="preserve"> </w:t>
      </w:r>
      <w:r w:rsidR="00704734" w:rsidRPr="009A2CAE">
        <w:rPr>
          <w:rFonts w:ascii="Arial" w:hAnsi="Arial" w:cs="Arial"/>
          <w:sz w:val="18"/>
          <w:szCs w:val="18"/>
        </w:rPr>
        <w:t xml:space="preserve">102 </w:t>
      </w:r>
      <w:r w:rsidR="007B5A75" w:rsidRPr="009A2CAE">
        <w:rPr>
          <w:rFonts w:ascii="Arial" w:hAnsi="Arial" w:cs="Arial"/>
          <w:sz w:val="18"/>
          <w:szCs w:val="18"/>
        </w:rPr>
        <w:t xml:space="preserve">to </w:t>
      </w:r>
      <w:r w:rsidR="00704734" w:rsidRPr="009A2CAE">
        <w:rPr>
          <w:rFonts w:ascii="Arial" w:hAnsi="Arial" w:cs="Arial"/>
          <w:sz w:val="18"/>
          <w:szCs w:val="18"/>
        </w:rPr>
        <w:t>104</w:t>
      </w:r>
      <w:r w:rsidR="007B5A75" w:rsidRPr="009A2CAE">
        <w:rPr>
          <w:rFonts w:ascii="Arial" w:hAnsi="Arial" w:cs="Arial"/>
          <w:sz w:val="18"/>
          <w:szCs w:val="18"/>
        </w:rPr>
        <w:t>.</w:t>
      </w:r>
    </w:p>
    <w:p w14:paraId="6591BABD" w14:textId="0EB92AE3" w:rsidR="00A02488" w:rsidRPr="00735726" w:rsidRDefault="00A02488" w:rsidP="00A02488">
      <w:pPr>
        <w:rPr>
          <w:rFonts w:ascii="Arial" w:hAnsi="Arial" w:cs="Arial"/>
          <w:sz w:val="18"/>
          <w:szCs w:val="18"/>
        </w:rPr>
      </w:pPr>
      <w:r w:rsidRPr="00735726">
        <w:rPr>
          <w:rFonts w:ascii="Arial" w:hAnsi="Arial" w:cs="Arial"/>
          <w:sz w:val="18"/>
          <w:szCs w:val="18"/>
        </w:rPr>
        <w:t xml:space="preserve">During the year, Susan Davy resigned as Chief Executive Officer on 31 December 2025. To support an orderly succession, the Board approved an interim arrangement covering the period between Susan stepping down from the Board and Keith Haslett joining the Board on </w:t>
      </w:r>
      <w:r w:rsidR="007850CE" w:rsidRPr="00735726">
        <w:rPr>
          <w:rFonts w:ascii="Arial" w:hAnsi="Arial" w:cs="Arial"/>
          <w:sz w:val="18"/>
          <w:szCs w:val="18"/>
        </w:rPr>
        <w:t>19 May</w:t>
      </w:r>
      <w:r w:rsidRPr="00735726">
        <w:rPr>
          <w:rFonts w:ascii="Arial" w:hAnsi="Arial" w:cs="Arial"/>
          <w:sz w:val="18"/>
          <w:szCs w:val="18"/>
        </w:rPr>
        <w:t xml:space="preserve"> 2026.</w:t>
      </w:r>
    </w:p>
    <w:p w14:paraId="30A6DC5E" w14:textId="30B8C902" w:rsidR="00A02488" w:rsidRPr="00735726" w:rsidRDefault="00A02488" w:rsidP="00A02488">
      <w:pPr>
        <w:rPr>
          <w:rFonts w:ascii="Arial" w:hAnsi="Arial" w:cs="Arial"/>
          <w:sz w:val="18"/>
          <w:szCs w:val="18"/>
        </w:rPr>
      </w:pPr>
      <w:r w:rsidRPr="00735726">
        <w:rPr>
          <w:rFonts w:ascii="Arial" w:hAnsi="Arial" w:cs="Arial"/>
          <w:sz w:val="18"/>
          <w:szCs w:val="18"/>
        </w:rPr>
        <w:t>From 1 January 2026 to 31 March 2026, David Sproul assumed the role of Executive Chair, supported by an Operating Committee comprising the Chief Financial Officer, Chief Strategy</w:t>
      </w:r>
      <w:r w:rsidR="008D1F71" w:rsidRPr="00735726">
        <w:rPr>
          <w:rFonts w:ascii="Arial" w:hAnsi="Arial" w:cs="Arial"/>
          <w:sz w:val="18"/>
          <w:szCs w:val="18"/>
        </w:rPr>
        <w:t xml:space="preserve"> and</w:t>
      </w:r>
      <w:r w:rsidRPr="00735726">
        <w:rPr>
          <w:rFonts w:ascii="Arial" w:hAnsi="Arial" w:cs="Arial"/>
          <w:sz w:val="18"/>
          <w:szCs w:val="18"/>
        </w:rPr>
        <w:t xml:space="preserve"> Regulatory Affairs Officer and General Counsel and Company Secretary. The Operating Committee with delegated executive powers continued to run the business and deliver the Company’s strategy and ensured continuity.</w:t>
      </w:r>
    </w:p>
    <w:bookmarkEnd w:id="29"/>
    <w:p w14:paraId="492398D3" w14:textId="77777777" w:rsidR="00011407" w:rsidRPr="00735726" w:rsidRDefault="00011407" w:rsidP="0024293B">
      <w:pPr>
        <w:pStyle w:val="Headinglevel4"/>
        <w:spacing w:line="276" w:lineRule="auto"/>
        <w:outlineLvl w:val="0"/>
      </w:pPr>
      <w:r w:rsidRPr="00735726">
        <w:t>WORKFORCE ENGAGEMENT</w:t>
      </w:r>
    </w:p>
    <w:p w14:paraId="5FCFCC8F" w14:textId="7593EA81" w:rsidR="00A02488" w:rsidRPr="00735726" w:rsidRDefault="00A02488" w:rsidP="00A02488">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During the year, the Board decided to adopt one of three employee engagement methods referred to in the UK Code. The Board appointed Dorothy Burwell, a Designated Non-Executive Director for Workforce Engagement, to engage with colleagues. The Designated Non-Executive Director for Workforce Engagement would report to the Board on the progress of workforce engagement, initiatives, and activities. The Board is confident that this would further enhance colleagues’ voice in the Boardroom coupled with gaining first-hand knowledge of how the culture is being embedded across various areas of the </w:t>
      </w:r>
      <w:r w:rsidR="00DB458C" w:rsidRPr="00735726">
        <w:rPr>
          <w:rFonts w:eastAsiaTheme="minorHAnsi"/>
          <w:b w:val="0"/>
          <w:bCs w:val="0"/>
          <w:caps w:val="0"/>
          <w:color w:val="auto"/>
        </w:rPr>
        <w:t>Company</w:t>
      </w:r>
      <w:r w:rsidRPr="00735726">
        <w:rPr>
          <w:rFonts w:eastAsiaTheme="minorHAnsi"/>
          <w:b w:val="0"/>
          <w:bCs w:val="0"/>
          <w:caps w:val="0"/>
          <w:color w:val="auto"/>
        </w:rPr>
        <w:t>.</w:t>
      </w:r>
    </w:p>
    <w:p w14:paraId="70D494C6" w14:textId="77777777" w:rsidR="00A02488" w:rsidRPr="009A2CAE" w:rsidRDefault="00A02488" w:rsidP="00A02488">
      <w:pPr>
        <w:pStyle w:val="Headinglevel4"/>
        <w:spacing w:line="276" w:lineRule="auto"/>
        <w:outlineLvl w:val="0"/>
        <w:rPr>
          <w:rFonts w:eastAsiaTheme="minorHAnsi"/>
          <w:b w:val="0"/>
          <w:bCs w:val="0"/>
          <w:caps w:val="0"/>
          <w:color w:val="auto"/>
        </w:rPr>
      </w:pPr>
    </w:p>
    <w:p w14:paraId="4F1C9B1A" w14:textId="77777777" w:rsidR="00A02488" w:rsidRPr="00735726" w:rsidRDefault="00A02488" w:rsidP="00A02488">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To further enhance the Board’s approach to workforce engagement, the periodic employee engagement surveys (including related management feedback sessions) and continuous employee feedback through our own in-house forums, such as ‘Be the Future Forums’ and the ‘Big Chat’, hosted on a fortnightly basis by the Executive team would continue to function. These forums not only give employees access to important up-to-date information on key business events, </w:t>
      </w:r>
      <w:proofErr w:type="gramStart"/>
      <w:r w:rsidRPr="00735726">
        <w:rPr>
          <w:rFonts w:eastAsiaTheme="minorHAnsi"/>
          <w:b w:val="0"/>
          <w:bCs w:val="0"/>
          <w:caps w:val="0"/>
          <w:color w:val="auto"/>
        </w:rPr>
        <w:t>they</w:t>
      </w:r>
      <w:proofErr w:type="gramEnd"/>
      <w:r w:rsidRPr="00735726">
        <w:rPr>
          <w:rFonts w:eastAsiaTheme="minorHAnsi"/>
          <w:b w:val="0"/>
          <w:bCs w:val="0"/>
          <w:caps w:val="0"/>
          <w:color w:val="auto"/>
        </w:rPr>
        <w:t xml:space="preserve"> also provide the opportunity to hear from the Directors, give feedback and ask questions.</w:t>
      </w:r>
    </w:p>
    <w:p w14:paraId="4B918D88" w14:textId="77777777" w:rsidR="00A02488" w:rsidRPr="00735726" w:rsidRDefault="00A02488" w:rsidP="00A02488">
      <w:pPr>
        <w:pStyle w:val="Headinglevel4"/>
        <w:spacing w:line="276" w:lineRule="auto"/>
        <w:outlineLvl w:val="0"/>
        <w:rPr>
          <w:rFonts w:eastAsiaTheme="minorHAnsi"/>
          <w:b w:val="0"/>
          <w:bCs w:val="0"/>
          <w:caps w:val="0"/>
          <w:color w:val="auto"/>
        </w:rPr>
      </w:pPr>
    </w:p>
    <w:p w14:paraId="31A61369" w14:textId="4933D9B2" w:rsidR="00011407" w:rsidRPr="009A2CAE" w:rsidRDefault="00A02488" w:rsidP="00A02488">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The Board believes these chosen approaches are an effective way of communicating with employees and gathering essential feedback from across the business. This empowers the Board to consider the interests of all employees in its discussions and decision-making. You can find further information on employee engagement on page </w:t>
      </w:r>
      <w:r w:rsidR="00704734" w:rsidRPr="009A2CAE">
        <w:rPr>
          <w:rFonts w:eastAsiaTheme="minorHAnsi"/>
          <w:b w:val="0"/>
          <w:bCs w:val="0"/>
          <w:caps w:val="0"/>
          <w:color w:val="auto"/>
        </w:rPr>
        <w:t>118</w:t>
      </w:r>
      <w:r w:rsidRPr="009A2CAE">
        <w:rPr>
          <w:rFonts w:eastAsiaTheme="minorHAnsi"/>
          <w:b w:val="0"/>
          <w:bCs w:val="0"/>
          <w:caps w:val="0"/>
          <w:color w:val="auto"/>
        </w:rPr>
        <w:t>.</w:t>
      </w:r>
    </w:p>
    <w:p w14:paraId="2C5F2F08" w14:textId="77777777" w:rsidR="00A02488" w:rsidRPr="009A2CAE" w:rsidRDefault="00A02488" w:rsidP="00A02488">
      <w:pPr>
        <w:pStyle w:val="Headinglevel4"/>
        <w:spacing w:line="276" w:lineRule="auto"/>
        <w:outlineLvl w:val="0"/>
      </w:pPr>
    </w:p>
    <w:p w14:paraId="4B437065" w14:textId="77777777" w:rsidR="00011407" w:rsidRPr="00735726" w:rsidRDefault="00011407" w:rsidP="005A5668">
      <w:pPr>
        <w:pStyle w:val="Headinglevel4"/>
        <w:spacing w:line="276" w:lineRule="auto"/>
        <w:outlineLvl w:val="0"/>
      </w:pPr>
      <w:r w:rsidRPr="00735726">
        <w:t>STAKEHOLDER ENGAGEMENT</w:t>
      </w:r>
    </w:p>
    <w:p w14:paraId="753BB6F1" w14:textId="03E12E61" w:rsidR="00011407" w:rsidRPr="009A2CAE" w:rsidRDefault="00011407" w:rsidP="005A5668">
      <w:pPr>
        <w:autoSpaceDE w:val="0"/>
        <w:autoSpaceDN w:val="0"/>
        <w:adjustRightInd w:val="0"/>
        <w:spacing w:after="0"/>
        <w:rPr>
          <w:b/>
          <w:bCs/>
          <w:caps/>
        </w:rPr>
      </w:pPr>
      <w:r w:rsidRPr="00735726">
        <w:rPr>
          <w:rFonts w:ascii="Arial" w:hAnsi="Arial" w:cs="Arial"/>
          <w:sz w:val="18"/>
          <w:szCs w:val="18"/>
        </w:rPr>
        <w:t>In delivering our strategy and ensuring sustainable, long-term success of the Company, the Board places utmost importance on the interest of our stakeholders in its decision-making process. Further details on how the Board has fulfilled its duties under section 172(1) of the Companies Act 2006, to consider all stakeholders in its discussions and decisions and that each decision reached is in line with the company’s purpose and culture, is set out on page</w:t>
      </w:r>
      <w:r w:rsidR="001E7F39" w:rsidRPr="00735726">
        <w:rPr>
          <w:rFonts w:ascii="Arial" w:hAnsi="Arial" w:cs="Arial"/>
          <w:sz w:val="18"/>
          <w:szCs w:val="18"/>
        </w:rPr>
        <w:t>s</w:t>
      </w:r>
      <w:r w:rsidRPr="00735726">
        <w:rPr>
          <w:rFonts w:ascii="Arial" w:hAnsi="Arial" w:cs="Arial"/>
          <w:sz w:val="18"/>
          <w:szCs w:val="18"/>
        </w:rPr>
        <w:t xml:space="preserve"> </w:t>
      </w:r>
      <w:r w:rsidR="00704734" w:rsidRPr="009A2CAE">
        <w:rPr>
          <w:rFonts w:ascii="Arial" w:hAnsi="Arial" w:cs="Arial"/>
          <w:sz w:val="18"/>
          <w:szCs w:val="18"/>
        </w:rPr>
        <w:t xml:space="preserve">122 </w:t>
      </w:r>
      <w:r w:rsidR="00DB458C" w:rsidRPr="009A2CAE">
        <w:rPr>
          <w:rFonts w:ascii="Arial" w:hAnsi="Arial" w:cs="Arial"/>
          <w:sz w:val="18"/>
          <w:szCs w:val="18"/>
        </w:rPr>
        <w:t xml:space="preserve">to </w:t>
      </w:r>
      <w:r w:rsidR="00704734" w:rsidRPr="009A2CAE">
        <w:rPr>
          <w:rFonts w:ascii="Arial" w:hAnsi="Arial" w:cs="Arial"/>
          <w:sz w:val="18"/>
          <w:szCs w:val="18"/>
        </w:rPr>
        <w:t>124</w:t>
      </w:r>
      <w:r w:rsidRPr="009A2CAE">
        <w:rPr>
          <w:rFonts w:ascii="Arial" w:hAnsi="Arial" w:cs="Arial"/>
          <w:sz w:val="18"/>
          <w:szCs w:val="18"/>
        </w:rPr>
        <w:t xml:space="preserve"> </w:t>
      </w:r>
      <w:r w:rsidRPr="00735726">
        <w:rPr>
          <w:rFonts w:ascii="Arial" w:hAnsi="Arial" w:cs="Arial"/>
          <w:sz w:val="18"/>
          <w:szCs w:val="18"/>
        </w:rPr>
        <w:t xml:space="preserve">and an explanation as to how we engaged with our different stakeholders during the year can be found on pages </w:t>
      </w:r>
      <w:r w:rsidR="00704734" w:rsidRPr="009A2CAE">
        <w:rPr>
          <w:rFonts w:ascii="Arial" w:hAnsi="Arial" w:cs="Arial"/>
          <w:sz w:val="18"/>
          <w:szCs w:val="18"/>
        </w:rPr>
        <w:t xml:space="preserve">118 </w:t>
      </w:r>
      <w:r w:rsidR="00DB458C" w:rsidRPr="009A2CAE">
        <w:rPr>
          <w:rFonts w:ascii="Arial" w:hAnsi="Arial" w:cs="Arial"/>
          <w:sz w:val="18"/>
          <w:szCs w:val="18"/>
        </w:rPr>
        <w:t xml:space="preserve">to </w:t>
      </w:r>
      <w:r w:rsidR="00704734" w:rsidRPr="009A2CAE">
        <w:rPr>
          <w:rFonts w:ascii="Arial" w:hAnsi="Arial" w:cs="Arial"/>
          <w:sz w:val="18"/>
          <w:szCs w:val="18"/>
        </w:rPr>
        <w:t>119</w:t>
      </w:r>
      <w:r w:rsidRPr="009A2CAE">
        <w:rPr>
          <w:rFonts w:ascii="Arial" w:hAnsi="Arial" w:cs="Arial"/>
          <w:sz w:val="18"/>
          <w:szCs w:val="18"/>
        </w:rPr>
        <w:t>.</w:t>
      </w:r>
    </w:p>
    <w:p w14:paraId="0EE63D1B" w14:textId="77777777" w:rsidR="00011407" w:rsidRPr="009A2CAE" w:rsidRDefault="00011407" w:rsidP="005A5668">
      <w:pPr>
        <w:pStyle w:val="Headinglevel4"/>
        <w:spacing w:line="276" w:lineRule="auto"/>
        <w:outlineLvl w:val="0"/>
      </w:pPr>
    </w:p>
    <w:p w14:paraId="31C2EA89" w14:textId="075663F2" w:rsidR="00011407" w:rsidRPr="00735726" w:rsidRDefault="00011407" w:rsidP="005A5668">
      <w:pPr>
        <w:pStyle w:val="Headinglevel4"/>
        <w:spacing w:line="276" w:lineRule="auto"/>
        <w:outlineLvl w:val="0"/>
      </w:pPr>
      <w:r w:rsidRPr="00735726">
        <w:t>workforce policies and practices</w:t>
      </w:r>
      <w:r w:rsidR="00C26943" w:rsidRPr="00735726">
        <w:t xml:space="preserve"> AND </w:t>
      </w:r>
      <w:r w:rsidRPr="00735726">
        <w:t>conflicts of interest</w:t>
      </w:r>
    </w:p>
    <w:p w14:paraId="7AC8F5DB" w14:textId="77777777" w:rsidR="00852A1F" w:rsidRPr="00735726" w:rsidRDefault="00852A1F" w:rsidP="005A5668">
      <w:pPr>
        <w:rPr>
          <w:rFonts w:ascii="Arial" w:hAnsi="Arial" w:cs="Arial"/>
          <w:sz w:val="18"/>
          <w:szCs w:val="18"/>
        </w:rPr>
      </w:pPr>
      <w:r w:rsidRPr="00735726">
        <w:rPr>
          <w:rFonts w:ascii="Arial" w:hAnsi="Arial" w:cs="Arial"/>
          <w:sz w:val="18"/>
          <w:szCs w:val="18"/>
        </w:rPr>
        <w:t>In accordance with the Directors’ interest provision of the Companies Act 2006 and the Company’s Articles of Association, the Board has in place a procedure for the consideration and authorisation of Directors’ conflicts or possible conflicts with the Company’s interests. The Board considers this has operated effectively during the year. Each Director has a duty under the Companies Act 2006 to avoid a situation in which they have or may have a direct or indirect interest that conflicts or might conflict with the interests of the Company.</w:t>
      </w:r>
    </w:p>
    <w:p w14:paraId="0A8CD72F" w14:textId="41DE27F8" w:rsidR="00852A1F" w:rsidRPr="00735726" w:rsidRDefault="00852A1F" w:rsidP="005A5668">
      <w:pPr>
        <w:rPr>
          <w:rFonts w:ascii="Arial" w:hAnsi="Arial" w:cs="Arial"/>
          <w:sz w:val="18"/>
          <w:szCs w:val="18"/>
        </w:rPr>
      </w:pPr>
      <w:r w:rsidRPr="00735726">
        <w:rPr>
          <w:rFonts w:ascii="Arial" w:hAnsi="Arial" w:cs="Arial"/>
          <w:sz w:val="18"/>
          <w:szCs w:val="18"/>
        </w:rPr>
        <w:t xml:space="preserve">This duty is in addition to the duty owed to the Company to disclose to the Board any interest in a transaction or arrangement under consideration by the Company. A register of Directors’ conflicts is maintained and reviewed at each Board meeting. </w:t>
      </w:r>
    </w:p>
    <w:p w14:paraId="7F731870" w14:textId="77777777" w:rsidR="005C7F7F" w:rsidRPr="00735726" w:rsidRDefault="00011407" w:rsidP="005A5668">
      <w:pPr>
        <w:spacing w:after="160"/>
        <w:rPr>
          <w:rFonts w:ascii="Arial" w:hAnsi="Arial" w:cs="Arial"/>
          <w:sz w:val="18"/>
          <w:szCs w:val="18"/>
        </w:rPr>
      </w:pPr>
      <w:r w:rsidRPr="00735726">
        <w:rPr>
          <w:rFonts w:ascii="Arial" w:hAnsi="Arial" w:cs="Arial"/>
          <w:b/>
          <w:bCs/>
          <w:sz w:val="18"/>
          <w:szCs w:val="18"/>
        </w:rPr>
        <w:t>WHISTLEBLOWING</w:t>
      </w:r>
      <w:r w:rsidRPr="00735726">
        <w:rPr>
          <w:rFonts w:ascii="Arial" w:hAnsi="Arial" w:cs="Arial"/>
          <w:b/>
          <w:bCs/>
          <w:sz w:val="18"/>
          <w:szCs w:val="18"/>
        </w:rPr>
        <w:br/>
      </w:r>
      <w:r w:rsidRPr="00735726">
        <w:rPr>
          <w:rFonts w:ascii="Arial" w:hAnsi="Arial" w:cs="Arial"/>
          <w:sz w:val="18"/>
          <w:szCs w:val="18"/>
        </w:rPr>
        <w:t xml:space="preserve">The Board maintains overall responsibility for the Company’s Whistleblowing Policy (the Policy). The Policy provides a clear procedure for employees and suppliers to report concerns, through the Speak Up service, either to their line manager or through a third-party whistleblowing hotline. The Policy is well communicated to employees across the Company. All whistleblowing cases are investigated by the Ethics Management Committee. The Board, through its Audit Committee, receives yearly whistleblowing updates which set out any whistleblowing issues raised during the period and interim updates on any significant matters. The updates </w:t>
      </w:r>
      <w:r w:rsidRPr="00735726">
        <w:rPr>
          <w:rFonts w:ascii="Arial" w:hAnsi="Arial" w:cs="Arial"/>
          <w:sz w:val="18"/>
          <w:szCs w:val="18"/>
        </w:rPr>
        <w:lastRenderedPageBreak/>
        <w:t>provided are anonymous and summarise the result of any investigation. The Board is satisfied that the Policy and the work of the Ethics Management Committee remain effective.</w:t>
      </w:r>
    </w:p>
    <w:p w14:paraId="515F2CD1" w14:textId="77777777" w:rsidR="005C7F7F" w:rsidRPr="00735726" w:rsidRDefault="005C7F7F">
      <w:pPr>
        <w:spacing w:after="160" w:line="259" w:lineRule="auto"/>
        <w:rPr>
          <w:rFonts w:ascii="Arial" w:hAnsi="Arial" w:cs="Arial"/>
          <w:sz w:val="18"/>
          <w:szCs w:val="18"/>
        </w:rPr>
      </w:pPr>
      <w:r w:rsidRPr="00735726">
        <w:rPr>
          <w:rFonts w:ascii="Arial" w:hAnsi="Arial" w:cs="Arial"/>
          <w:sz w:val="18"/>
          <w:szCs w:val="18"/>
        </w:rPr>
        <w:br w:type="page"/>
      </w:r>
    </w:p>
    <w:p w14:paraId="78EB8CB2" w14:textId="7D7D7785" w:rsidR="004F030D" w:rsidRPr="00735726" w:rsidRDefault="004F030D" w:rsidP="005A5668">
      <w:pPr>
        <w:spacing w:after="160"/>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KEY ACTIVITIES OF THE BOARD</w:t>
      </w:r>
    </w:p>
    <w:p w14:paraId="2804D778" w14:textId="7416C9E4" w:rsidR="004F030D" w:rsidRPr="00735726" w:rsidRDefault="005C7F7F" w:rsidP="005C7F7F">
      <w:pPr>
        <w:autoSpaceDE w:val="0"/>
        <w:autoSpaceDN w:val="0"/>
        <w:adjustRightInd w:val="0"/>
        <w:spacing w:after="0"/>
        <w:rPr>
          <w:rFonts w:ascii="Arial" w:eastAsiaTheme="majorEastAsia" w:hAnsi="Arial" w:cs="Arial"/>
          <w:sz w:val="18"/>
          <w:szCs w:val="20"/>
          <w:lang w:eastAsia="en-GB"/>
        </w:rPr>
      </w:pPr>
      <w:r w:rsidRPr="00735726">
        <w:rPr>
          <w:rFonts w:ascii="Arial" w:eastAsiaTheme="majorEastAsia" w:hAnsi="Arial" w:cs="Arial"/>
          <w:sz w:val="18"/>
          <w:szCs w:val="20"/>
          <w:lang w:eastAsia="en-GB"/>
        </w:rPr>
        <w:t>In 2025/26, the Board engaged in a wide range of activities. The Board visited Bournemouth and Bristol operational sites, welcomed the Secretary of State for Water and Flooding at the Department for Environment, Food and Rural Affairs (Defra) and the respective C</w:t>
      </w:r>
      <w:r w:rsidR="00D440A3" w:rsidRPr="00735726">
        <w:rPr>
          <w:rFonts w:ascii="Arial" w:eastAsiaTheme="majorEastAsia" w:hAnsi="Arial" w:cs="Arial"/>
          <w:sz w:val="18"/>
          <w:szCs w:val="20"/>
          <w:lang w:eastAsia="en-GB"/>
        </w:rPr>
        <w:t xml:space="preserve">hief </w:t>
      </w:r>
      <w:r w:rsidRPr="00735726">
        <w:rPr>
          <w:rFonts w:ascii="Arial" w:eastAsiaTheme="majorEastAsia" w:hAnsi="Arial" w:cs="Arial"/>
          <w:sz w:val="18"/>
          <w:szCs w:val="20"/>
          <w:lang w:eastAsia="en-GB"/>
        </w:rPr>
        <w:t>E</w:t>
      </w:r>
      <w:r w:rsidR="00D440A3" w:rsidRPr="00735726">
        <w:rPr>
          <w:rFonts w:ascii="Arial" w:eastAsiaTheme="majorEastAsia" w:hAnsi="Arial" w:cs="Arial"/>
          <w:sz w:val="18"/>
          <w:szCs w:val="20"/>
          <w:lang w:eastAsia="en-GB"/>
        </w:rPr>
        <w:t xml:space="preserve">xecutive </w:t>
      </w:r>
      <w:r w:rsidRPr="00735726">
        <w:rPr>
          <w:rFonts w:ascii="Arial" w:eastAsiaTheme="majorEastAsia" w:hAnsi="Arial" w:cs="Arial"/>
          <w:sz w:val="18"/>
          <w:szCs w:val="20"/>
          <w:lang w:eastAsia="en-GB"/>
        </w:rPr>
        <w:t>O</w:t>
      </w:r>
      <w:r w:rsidR="00D440A3" w:rsidRPr="00735726">
        <w:rPr>
          <w:rFonts w:ascii="Arial" w:eastAsiaTheme="majorEastAsia" w:hAnsi="Arial" w:cs="Arial"/>
          <w:sz w:val="18"/>
          <w:szCs w:val="20"/>
          <w:lang w:eastAsia="en-GB"/>
        </w:rPr>
        <w:t>fficer</w:t>
      </w:r>
      <w:r w:rsidRPr="00735726">
        <w:rPr>
          <w:rFonts w:ascii="Arial" w:eastAsiaTheme="majorEastAsia" w:hAnsi="Arial" w:cs="Arial"/>
          <w:sz w:val="18"/>
          <w:szCs w:val="20"/>
          <w:lang w:eastAsia="en-GB"/>
        </w:rPr>
        <w:t xml:space="preserve"> and Chair of Ofwat to its Board meeting during the year.</w:t>
      </w:r>
    </w:p>
    <w:p w14:paraId="25AF1EBD" w14:textId="77777777" w:rsidR="005C7F7F" w:rsidRPr="00735726" w:rsidRDefault="005C7F7F" w:rsidP="005C7F7F">
      <w:pPr>
        <w:autoSpaceDE w:val="0"/>
        <w:autoSpaceDN w:val="0"/>
        <w:adjustRightInd w:val="0"/>
        <w:spacing w:after="0"/>
        <w:rPr>
          <w:rFonts w:ascii="Arial" w:eastAsiaTheme="majorEastAsia" w:hAnsi="Arial" w:cs="Arial"/>
          <w:sz w:val="18"/>
          <w:szCs w:val="20"/>
          <w:lang w:eastAsia="en-GB"/>
        </w:rPr>
      </w:pPr>
    </w:p>
    <w:p w14:paraId="085B3DF5" w14:textId="045E9CC2" w:rsidR="005C7F7F" w:rsidRPr="00735726" w:rsidRDefault="005C7F7F" w:rsidP="005C7F7F">
      <w:pPr>
        <w:autoSpaceDE w:val="0"/>
        <w:autoSpaceDN w:val="0"/>
        <w:adjustRightInd w:val="0"/>
        <w:spacing w:after="0"/>
        <w:rPr>
          <w:rFonts w:ascii="Arial" w:eastAsiaTheme="majorEastAsia" w:hAnsi="Arial" w:cs="Arial"/>
          <w:sz w:val="18"/>
          <w:szCs w:val="20"/>
          <w:lang w:eastAsia="en-GB"/>
        </w:rPr>
      </w:pPr>
      <w:r w:rsidRPr="00735726">
        <w:rPr>
          <w:rFonts w:ascii="Arial" w:eastAsiaTheme="majorEastAsia" w:hAnsi="Arial" w:cs="Arial"/>
          <w:sz w:val="18"/>
          <w:szCs w:val="20"/>
          <w:lang w:eastAsia="en-GB"/>
        </w:rPr>
        <w:t>The key activities that were carried out by the Board during the year, together with an indication of the</w:t>
      </w:r>
    </w:p>
    <w:p w14:paraId="4D278A28" w14:textId="00301293" w:rsidR="005C7F7F" w:rsidRPr="00735726" w:rsidRDefault="005C7F7F" w:rsidP="005C7F7F">
      <w:pPr>
        <w:autoSpaceDE w:val="0"/>
        <w:autoSpaceDN w:val="0"/>
        <w:adjustRightInd w:val="0"/>
        <w:spacing w:after="0"/>
        <w:rPr>
          <w:rFonts w:ascii="Arial" w:eastAsiaTheme="majorEastAsia" w:hAnsi="Arial" w:cs="Arial"/>
          <w:sz w:val="18"/>
          <w:szCs w:val="20"/>
          <w:lang w:eastAsia="en-GB"/>
        </w:rPr>
      </w:pPr>
      <w:r w:rsidRPr="00735726">
        <w:rPr>
          <w:rFonts w:ascii="Arial" w:eastAsiaTheme="majorEastAsia" w:hAnsi="Arial" w:cs="Arial"/>
          <w:sz w:val="18"/>
          <w:szCs w:val="20"/>
          <w:lang w:eastAsia="en-GB"/>
        </w:rPr>
        <w:t>stakeholders affected and whose interests the Board considered in its discussions and decision-making, are</w:t>
      </w:r>
      <w:r w:rsidR="008D1F71" w:rsidRPr="00735726">
        <w:rPr>
          <w:rFonts w:ascii="Arial" w:eastAsiaTheme="majorEastAsia" w:hAnsi="Arial" w:cs="Arial"/>
          <w:sz w:val="18"/>
          <w:szCs w:val="20"/>
          <w:lang w:eastAsia="en-GB"/>
        </w:rPr>
        <w:t xml:space="preserve"> </w:t>
      </w:r>
      <w:r w:rsidRPr="00735726">
        <w:rPr>
          <w:rFonts w:ascii="Arial" w:eastAsiaTheme="majorEastAsia" w:hAnsi="Arial" w:cs="Arial"/>
          <w:sz w:val="18"/>
          <w:szCs w:val="20"/>
          <w:lang w:eastAsia="en-GB"/>
        </w:rPr>
        <w:t xml:space="preserve">set out below: </w:t>
      </w:r>
    </w:p>
    <w:p w14:paraId="6428CAF9" w14:textId="77777777" w:rsidR="005C7F7F" w:rsidRPr="009A2CAE" w:rsidRDefault="005C7F7F" w:rsidP="005C7F7F">
      <w:pPr>
        <w:autoSpaceDE w:val="0"/>
        <w:autoSpaceDN w:val="0"/>
        <w:adjustRightInd w:val="0"/>
        <w:spacing w:after="0"/>
        <w:rPr>
          <w:rFonts w:ascii="Arial" w:eastAsiaTheme="majorEastAsia" w:hAnsi="Arial" w:cs="Arial"/>
          <w:sz w:val="18"/>
          <w:szCs w:val="20"/>
          <w:lang w:eastAsia="en-GB"/>
        </w:rPr>
      </w:pPr>
    </w:p>
    <w:tbl>
      <w:tblPr>
        <w:tblW w:w="9913" w:type="dxa"/>
        <w:tblInd w:w="10" w:type="dxa"/>
        <w:tblCellMar>
          <w:left w:w="10" w:type="dxa"/>
          <w:right w:w="10" w:type="dxa"/>
        </w:tblCellMar>
        <w:tblLook w:val="04A0" w:firstRow="1" w:lastRow="0" w:firstColumn="1" w:lastColumn="0" w:noHBand="0" w:noVBand="1"/>
      </w:tblPr>
      <w:tblGrid>
        <w:gridCol w:w="1294"/>
        <w:gridCol w:w="3187"/>
        <w:gridCol w:w="40"/>
        <w:gridCol w:w="3974"/>
        <w:gridCol w:w="1418"/>
      </w:tblGrid>
      <w:tr w:rsidR="004F030D" w:rsidRPr="00735726" w14:paraId="3800F24F" w14:textId="77777777" w:rsidTr="0024293B">
        <w:trPr>
          <w:trHeight w:val="305"/>
        </w:trPr>
        <w:tc>
          <w:tcPr>
            <w:tcW w:w="1294" w:type="dxa"/>
            <w:tcBorders>
              <w:left w:val="single" w:sz="4" w:space="0" w:color="auto"/>
              <w:bottom w:val="single" w:sz="4" w:space="0" w:color="auto"/>
            </w:tcBorders>
            <w:shd w:val="clear" w:color="auto" w:fill="002060"/>
            <w:hideMark/>
          </w:tcPr>
          <w:p w14:paraId="63F3456D" w14:textId="77777777" w:rsidR="004F030D" w:rsidRPr="00735726" w:rsidRDefault="004F030D" w:rsidP="00881565">
            <w:pPr>
              <w:spacing w:line="360" w:lineRule="auto"/>
              <w:rPr>
                <w:rFonts w:ascii="Arial" w:hAnsi="Arial" w:cs="Arial"/>
                <w:b/>
                <w:bCs/>
                <w:color w:val="FFFFFF" w:themeColor="background1"/>
                <w:sz w:val="18"/>
                <w:szCs w:val="18"/>
              </w:rPr>
            </w:pPr>
            <w:r w:rsidRPr="00735726">
              <w:rPr>
                <w:rFonts w:ascii="Arial" w:hAnsi="Arial" w:cs="Arial"/>
                <w:b/>
                <w:bCs/>
                <w:color w:val="FFFFFF" w:themeColor="background1"/>
                <w:sz w:val="18"/>
                <w:szCs w:val="18"/>
              </w:rPr>
              <w:t>Area</w:t>
            </w:r>
          </w:p>
        </w:tc>
        <w:tc>
          <w:tcPr>
            <w:tcW w:w="3187" w:type="dxa"/>
            <w:tcBorders>
              <w:bottom w:val="single" w:sz="4" w:space="0" w:color="auto"/>
            </w:tcBorders>
            <w:shd w:val="clear" w:color="auto" w:fill="002060"/>
            <w:hideMark/>
          </w:tcPr>
          <w:p w14:paraId="06BB434A" w14:textId="77777777" w:rsidR="004F030D" w:rsidRPr="00735726" w:rsidRDefault="004F030D" w:rsidP="00881565">
            <w:pPr>
              <w:spacing w:line="360" w:lineRule="auto"/>
              <w:rPr>
                <w:rFonts w:ascii="Arial" w:hAnsi="Arial" w:cs="Arial"/>
                <w:b/>
                <w:bCs/>
                <w:color w:val="FFFFFF" w:themeColor="background1"/>
                <w:sz w:val="18"/>
                <w:szCs w:val="18"/>
              </w:rPr>
            </w:pPr>
            <w:r w:rsidRPr="00735726">
              <w:rPr>
                <w:rFonts w:ascii="Arial" w:hAnsi="Arial" w:cs="Arial"/>
                <w:b/>
                <w:bCs/>
                <w:color w:val="FFFFFF" w:themeColor="background1"/>
                <w:sz w:val="18"/>
                <w:szCs w:val="18"/>
              </w:rPr>
              <w:t>Activity</w:t>
            </w:r>
          </w:p>
        </w:tc>
        <w:tc>
          <w:tcPr>
            <w:tcW w:w="40" w:type="dxa"/>
            <w:tcBorders>
              <w:bottom w:val="single" w:sz="4" w:space="0" w:color="auto"/>
            </w:tcBorders>
            <w:shd w:val="clear" w:color="auto" w:fill="002060"/>
            <w:hideMark/>
          </w:tcPr>
          <w:p w14:paraId="59111572" w14:textId="77777777" w:rsidR="004F030D" w:rsidRPr="00735726" w:rsidRDefault="004F030D" w:rsidP="00881565">
            <w:pPr>
              <w:spacing w:line="360" w:lineRule="auto"/>
              <w:rPr>
                <w:rFonts w:ascii="Arial" w:hAnsi="Arial" w:cs="Arial"/>
                <w:b/>
                <w:bCs/>
                <w:color w:val="FFFFFF" w:themeColor="background1"/>
                <w:sz w:val="18"/>
                <w:szCs w:val="18"/>
              </w:rPr>
            </w:pPr>
          </w:p>
        </w:tc>
        <w:tc>
          <w:tcPr>
            <w:tcW w:w="3974" w:type="dxa"/>
            <w:tcBorders>
              <w:bottom w:val="single" w:sz="4" w:space="0" w:color="auto"/>
            </w:tcBorders>
            <w:shd w:val="clear" w:color="auto" w:fill="002060"/>
          </w:tcPr>
          <w:p w14:paraId="7F708CA7" w14:textId="77777777" w:rsidR="004F030D" w:rsidRPr="00735726" w:rsidRDefault="004F030D" w:rsidP="00881565">
            <w:pPr>
              <w:spacing w:line="360" w:lineRule="auto"/>
              <w:rPr>
                <w:rFonts w:ascii="Arial" w:hAnsi="Arial" w:cs="Arial"/>
                <w:b/>
                <w:bCs/>
                <w:color w:val="FFFFFF" w:themeColor="background1"/>
                <w:sz w:val="18"/>
                <w:szCs w:val="18"/>
              </w:rPr>
            </w:pPr>
            <w:r w:rsidRPr="00735726">
              <w:rPr>
                <w:rFonts w:ascii="Arial" w:hAnsi="Arial" w:cs="Arial"/>
                <w:b/>
                <w:bCs/>
                <w:color w:val="FFFFFF" w:themeColor="background1"/>
                <w:sz w:val="18"/>
                <w:szCs w:val="18"/>
              </w:rPr>
              <w:t>Outcome</w:t>
            </w:r>
          </w:p>
        </w:tc>
        <w:tc>
          <w:tcPr>
            <w:tcW w:w="1418" w:type="dxa"/>
            <w:tcBorders>
              <w:bottom w:val="single" w:sz="4" w:space="0" w:color="auto"/>
            </w:tcBorders>
            <w:shd w:val="clear" w:color="auto" w:fill="002060"/>
            <w:hideMark/>
          </w:tcPr>
          <w:p w14:paraId="1BD0E57F" w14:textId="77777777" w:rsidR="004F030D" w:rsidRPr="00735726" w:rsidRDefault="004F030D" w:rsidP="00881565">
            <w:pPr>
              <w:spacing w:line="360" w:lineRule="auto"/>
              <w:rPr>
                <w:rFonts w:ascii="Arial" w:hAnsi="Arial" w:cs="Arial"/>
                <w:b/>
                <w:bCs/>
                <w:color w:val="FFFFFF" w:themeColor="background1"/>
                <w:sz w:val="18"/>
                <w:szCs w:val="18"/>
              </w:rPr>
            </w:pPr>
            <w:r w:rsidRPr="00735726">
              <w:rPr>
                <w:rFonts w:ascii="Arial" w:hAnsi="Arial" w:cs="Arial"/>
                <w:b/>
                <w:bCs/>
                <w:color w:val="FFFFFF" w:themeColor="background1"/>
                <w:sz w:val="18"/>
                <w:szCs w:val="18"/>
              </w:rPr>
              <w:t>Stakeholders affected</w:t>
            </w:r>
          </w:p>
        </w:tc>
      </w:tr>
      <w:tr w:rsidR="004F030D" w:rsidRPr="00735726" w14:paraId="7AA1D7BC" w14:textId="77777777" w:rsidTr="00881565">
        <w:trPr>
          <w:trHeight w:val="835"/>
        </w:trPr>
        <w:tc>
          <w:tcPr>
            <w:tcW w:w="1294" w:type="dxa"/>
            <w:vMerge w:val="restart"/>
            <w:tcBorders>
              <w:top w:val="single" w:sz="4" w:space="0" w:color="auto"/>
              <w:left w:val="single" w:sz="4" w:space="0" w:color="auto"/>
            </w:tcBorders>
          </w:tcPr>
          <w:p w14:paraId="175C8AE2" w14:textId="77777777" w:rsidR="004F030D" w:rsidRPr="00735726" w:rsidRDefault="004F030D" w:rsidP="00881565">
            <w:pPr>
              <w:spacing w:after="0"/>
              <w:rPr>
                <w:rFonts w:ascii="Arial" w:hAnsi="Arial" w:cs="Arial"/>
                <w:b/>
                <w:bCs/>
                <w:sz w:val="17"/>
                <w:szCs w:val="17"/>
              </w:rPr>
            </w:pPr>
            <w:r w:rsidRPr="00735726">
              <w:rPr>
                <w:rFonts w:ascii="Arial" w:hAnsi="Arial" w:cs="Arial"/>
                <w:b/>
                <w:bCs/>
                <w:sz w:val="17"/>
                <w:szCs w:val="17"/>
              </w:rPr>
              <w:t>Strategic</w:t>
            </w:r>
          </w:p>
          <w:p w14:paraId="5448ACD5" w14:textId="77777777" w:rsidR="004F030D" w:rsidRPr="00735726" w:rsidRDefault="004F030D" w:rsidP="00881565">
            <w:pPr>
              <w:spacing w:after="0"/>
              <w:rPr>
                <w:rFonts w:ascii="Arial" w:hAnsi="Arial" w:cs="Arial"/>
                <w:sz w:val="17"/>
                <w:szCs w:val="17"/>
              </w:rPr>
            </w:pPr>
          </w:p>
        </w:tc>
        <w:tc>
          <w:tcPr>
            <w:tcW w:w="3187" w:type="dxa"/>
            <w:tcBorders>
              <w:top w:val="single" w:sz="4" w:space="0" w:color="auto"/>
              <w:bottom w:val="single" w:sz="4" w:space="0" w:color="auto"/>
            </w:tcBorders>
          </w:tcPr>
          <w:p w14:paraId="031B5215" w14:textId="4CB4B75B" w:rsidR="004F030D" w:rsidRPr="00735726" w:rsidRDefault="005C7F7F" w:rsidP="005C7F7F">
            <w:pPr>
              <w:spacing w:after="0"/>
              <w:rPr>
                <w:rFonts w:ascii="Arial" w:hAnsi="Arial" w:cs="Arial"/>
                <w:sz w:val="17"/>
                <w:szCs w:val="17"/>
              </w:rPr>
            </w:pPr>
            <w:r w:rsidRPr="00735726">
              <w:rPr>
                <w:rFonts w:ascii="Arial" w:hAnsi="Arial" w:cs="Arial"/>
                <w:b/>
                <w:bCs/>
                <w:sz w:val="17"/>
                <w:szCs w:val="17"/>
              </w:rPr>
              <w:t>Delivery of capital programme</w:t>
            </w:r>
            <w:r w:rsidR="004F030D" w:rsidRPr="00735726">
              <w:rPr>
                <w:rFonts w:ascii="Arial" w:hAnsi="Arial" w:cs="Arial"/>
                <w:b/>
                <w:bCs/>
                <w:sz w:val="17"/>
                <w:szCs w:val="17"/>
              </w:rPr>
              <w:br/>
            </w:r>
            <w:r w:rsidRPr="00735726">
              <w:rPr>
                <w:rFonts w:ascii="Arial" w:hAnsi="Arial" w:cs="Arial"/>
                <w:sz w:val="17"/>
                <w:szCs w:val="17"/>
              </w:rPr>
              <w:t>Reviewed and approved the delivery of the AMP8 capital programme in line with the business delivery plans and framework model for delivery.</w:t>
            </w:r>
          </w:p>
        </w:tc>
        <w:tc>
          <w:tcPr>
            <w:tcW w:w="4014" w:type="dxa"/>
            <w:gridSpan w:val="2"/>
            <w:tcBorders>
              <w:top w:val="single" w:sz="4" w:space="0" w:color="auto"/>
              <w:bottom w:val="single" w:sz="4" w:space="0" w:color="auto"/>
            </w:tcBorders>
          </w:tcPr>
          <w:p w14:paraId="120C2B3F" w14:textId="1A6ACECB" w:rsidR="004F030D" w:rsidRPr="00735726" w:rsidRDefault="005C7F7F" w:rsidP="005C7F7F">
            <w:pPr>
              <w:rPr>
                <w:rFonts w:ascii="Arial" w:hAnsi="Arial" w:cs="Arial"/>
                <w:sz w:val="17"/>
                <w:szCs w:val="17"/>
              </w:rPr>
            </w:pPr>
            <w:r w:rsidRPr="00735726">
              <w:rPr>
                <w:rFonts w:ascii="Arial" w:hAnsi="Arial" w:cs="Arial"/>
                <w:sz w:val="17"/>
                <w:szCs w:val="17"/>
              </w:rPr>
              <w:t>Successfully deliver the capital programme for the benefit of all stakeholders and foster long-term relationships with our suppliers.</w:t>
            </w:r>
          </w:p>
        </w:tc>
        <w:tc>
          <w:tcPr>
            <w:tcW w:w="1418" w:type="dxa"/>
            <w:tcBorders>
              <w:top w:val="single" w:sz="4" w:space="0" w:color="auto"/>
              <w:bottom w:val="single" w:sz="4" w:space="0" w:color="auto"/>
              <w:right w:val="single" w:sz="4" w:space="0" w:color="auto"/>
            </w:tcBorders>
          </w:tcPr>
          <w:p w14:paraId="77E3D651" w14:textId="644F2FA5" w:rsidR="005C7F7F" w:rsidRPr="00735726" w:rsidRDefault="004F030D"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Suppliers</w:t>
            </w:r>
            <w:r w:rsidR="005C7F7F" w:rsidRPr="00735726">
              <w:rPr>
                <w:rFonts w:ascii="Arial" w:hAnsi="Arial" w:cs="Arial"/>
                <w:b/>
                <w:bCs/>
                <w:sz w:val="17"/>
                <w:szCs w:val="17"/>
              </w:rPr>
              <w:t xml:space="preserve"> </w:t>
            </w:r>
            <w:r w:rsidRPr="00735726">
              <w:rPr>
                <w:rFonts w:ascii="Arial" w:hAnsi="Arial" w:cs="Arial"/>
                <w:b/>
                <w:bCs/>
                <w:sz w:val="17"/>
                <w:szCs w:val="17"/>
              </w:rPr>
              <w:br/>
              <w:t>Communities</w:t>
            </w:r>
            <w:r w:rsidR="005C7F7F" w:rsidRPr="00735726">
              <w:rPr>
                <w:rFonts w:ascii="Arial" w:hAnsi="Arial" w:cs="Arial"/>
                <w:b/>
                <w:bCs/>
                <w:sz w:val="17"/>
                <w:szCs w:val="17"/>
              </w:rPr>
              <w:br/>
              <w:t>Environment</w:t>
            </w:r>
          </w:p>
        </w:tc>
      </w:tr>
      <w:tr w:rsidR="004F030D" w:rsidRPr="00735726" w14:paraId="09F0C6BB" w14:textId="77777777" w:rsidTr="00881565">
        <w:trPr>
          <w:trHeight w:val="835"/>
        </w:trPr>
        <w:tc>
          <w:tcPr>
            <w:tcW w:w="1294" w:type="dxa"/>
            <w:vMerge/>
            <w:tcBorders>
              <w:left w:val="single" w:sz="4" w:space="0" w:color="auto"/>
              <w:bottom w:val="single" w:sz="4" w:space="0" w:color="auto"/>
            </w:tcBorders>
          </w:tcPr>
          <w:p w14:paraId="2DDE404F" w14:textId="77777777" w:rsidR="004F030D" w:rsidRPr="00735726" w:rsidRDefault="004F030D" w:rsidP="00881565">
            <w:pPr>
              <w:spacing w:after="0"/>
              <w:rPr>
                <w:rFonts w:ascii="Arial" w:hAnsi="Arial" w:cs="Arial"/>
                <w:b/>
                <w:bCs/>
                <w:sz w:val="17"/>
                <w:szCs w:val="17"/>
              </w:rPr>
            </w:pPr>
          </w:p>
        </w:tc>
        <w:tc>
          <w:tcPr>
            <w:tcW w:w="3187" w:type="dxa"/>
            <w:tcBorders>
              <w:top w:val="single" w:sz="4" w:space="0" w:color="auto"/>
              <w:bottom w:val="single" w:sz="4" w:space="0" w:color="auto"/>
            </w:tcBorders>
          </w:tcPr>
          <w:p w14:paraId="4255D7AA" w14:textId="71942F8C" w:rsidR="004F030D" w:rsidRPr="00735726" w:rsidRDefault="005C7F7F" w:rsidP="005C7F7F">
            <w:pPr>
              <w:spacing w:after="0"/>
              <w:rPr>
                <w:rFonts w:ascii="Arial" w:hAnsi="Arial" w:cs="Arial"/>
                <w:sz w:val="17"/>
                <w:szCs w:val="17"/>
              </w:rPr>
            </w:pPr>
            <w:r w:rsidRPr="00735726">
              <w:rPr>
                <w:rFonts w:ascii="Arial" w:hAnsi="Arial" w:cs="Arial"/>
                <w:b/>
                <w:bCs/>
                <w:sz w:val="17"/>
                <w:szCs w:val="17"/>
              </w:rPr>
              <w:t>Strategy Day</w:t>
            </w:r>
            <w:r w:rsidR="004F030D" w:rsidRPr="00735726">
              <w:rPr>
                <w:rFonts w:ascii="Arial" w:hAnsi="Arial" w:cs="Arial"/>
                <w:b/>
                <w:bCs/>
                <w:sz w:val="17"/>
                <w:szCs w:val="17"/>
              </w:rPr>
              <w:br/>
            </w:r>
            <w:r w:rsidRPr="00735726">
              <w:rPr>
                <w:rFonts w:ascii="Arial" w:hAnsi="Arial" w:cs="Arial"/>
                <w:sz w:val="17"/>
                <w:szCs w:val="17"/>
              </w:rPr>
              <w:t>Attended Strategy Day to drive focus for the next steps for growth.</w:t>
            </w:r>
          </w:p>
        </w:tc>
        <w:tc>
          <w:tcPr>
            <w:tcW w:w="4014" w:type="dxa"/>
            <w:gridSpan w:val="2"/>
            <w:tcBorders>
              <w:top w:val="single" w:sz="4" w:space="0" w:color="auto"/>
              <w:bottom w:val="single" w:sz="4" w:space="0" w:color="auto"/>
            </w:tcBorders>
          </w:tcPr>
          <w:p w14:paraId="0388F787" w14:textId="31D065C1" w:rsidR="004F030D" w:rsidRPr="00735726" w:rsidRDefault="005C7F7F" w:rsidP="005C7F7F">
            <w:pPr>
              <w:rPr>
                <w:rFonts w:ascii="Arial" w:hAnsi="Arial" w:cs="Arial"/>
                <w:sz w:val="17"/>
                <w:szCs w:val="17"/>
              </w:rPr>
            </w:pPr>
            <w:r w:rsidRPr="00735726">
              <w:rPr>
                <w:rFonts w:ascii="Arial" w:hAnsi="Arial" w:cs="Arial"/>
                <w:sz w:val="17"/>
                <w:szCs w:val="17"/>
              </w:rPr>
              <w:t>Organic and inorganic growth opportunities were presented and considered.</w:t>
            </w:r>
          </w:p>
        </w:tc>
        <w:tc>
          <w:tcPr>
            <w:tcW w:w="1418" w:type="dxa"/>
            <w:tcBorders>
              <w:top w:val="single" w:sz="4" w:space="0" w:color="auto"/>
              <w:bottom w:val="single" w:sz="4" w:space="0" w:color="auto"/>
              <w:right w:val="single" w:sz="4" w:space="0" w:color="auto"/>
            </w:tcBorders>
          </w:tcPr>
          <w:p w14:paraId="388CBB0D" w14:textId="1FD2E1AF" w:rsidR="004F030D" w:rsidRPr="00735726" w:rsidRDefault="005C7F7F"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People</w:t>
            </w:r>
            <w:r w:rsidRPr="00735726">
              <w:rPr>
                <w:rFonts w:ascii="Arial" w:hAnsi="Arial" w:cs="Arial"/>
                <w:b/>
                <w:bCs/>
                <w:sz w:val="17"/>
                <w:szCs w:val="17"/>
              </w:rPr>
              <w:br/>
            </w:r>
            <w:r w:rsidR="00053A75" w:rsidRPr="00735726">
              <w:rPr>
                <w:rFonts w:ascii="Arial" w:hAnsi="Arial" w:cs="Arial"/>
                <w:b/>
                <w:bCs/>
                <w:sz w:val="17"/>
                <w:szCs w:val="17"/>
              </w:rPr>
              <w:t>Regulators</w:t>
            </w:r>
            <w:r w:rsidR="00053A75" w:rsidRPr="00735726">
              <w:rPr>
                <w:rFonts w:ascii="Arial" w:hAnsi="Arial" w:cs="Arial"/>
                <w:b/>
                <w:bCs/>
                <w:sz w:val="17"/>
                <w:szCs w:val="17"/>
              </w:rPr>
              <w:br/>
              <w:t>Environment</w:t>
            </w:r>
          </w:p>
        </w:tc>
      </w:tr>
      <w:tr w:rsidR="004F030D" w:rsidRPr="00735726" w14:paraId="26EC10AA" w14:textId="77777777" w:rsidTr="00881565">
        <w:trPr>
          <w:trHeight w:val="748"/>
        </w:trPr>
        <w:tc>
          <w:tcPr>
            <w:tcW w:w="1294" w:type="dxa"/>
            <w:vMerge w:val="restart"/>
            <w:tcBorders>
              <w:top w:val="single" w:sz="4" w:space="0" w:color="auto"/>
              <w:left w:val="single" w:sz="4" w:space="0" w:color="auto"/>
            </w:tcBorders>
          </w:tcPr>
          <w:p w14:paraId="7504A1B6" w14:textId="77777777" w:rsidR="004F030D" w:rsidRPr="009A2CAE" w:rsidRDefault="004F030D" w:rsidP="00881565">
            <w:pPr>
              <w:spacing w:after="0"/>
              <w:rPr>
                <w:rFonts w:ascii="Arial" w:hAnsi="Arial" w:cs="Arial"/>
                <w:b/>
                <w:bCs/>
                <w:sz w:val="17"/>
                <w:szCs w:val="17"/>
              </w:rPr>
            </w:pPr>
            <w:r w:rsidRPr="00735726">
              <w:rPr>
                <w:rFonts w:ascii="Arial" w:hAnsi="Arial" w:cs="Arial"/>
                <w:b/>
                <w:bCs/>
                <w:sz w:val="17"/>
                <w:szCs w:val="17"/>
              </w:rPr>
              <w:t>Operational</w:t>
            </w:r>
          </w:p>
        </w:tc>
        <w:tc>
          <w:tcPr>
            <w:tcW w:w="3187" w:type="dxa"/>
            <w:tcBorders>
              <w:top w:val="single" w:sz="4" w:space="0" w:color="auto"/>
              <w:bottom w:val="single" w:sz="4" w:space="0" w:color="auto"/>
            </w:tcBorders>
          </w:tcPr>
          <w:p w14:paraId="4DBCC2A5" w14:textId="47014602"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b/>
                <w:bCs/>
                <w:sz w:val="17"/>
                <w:szCs w:val="17"/>
              </w:rPr>
              <w:t>ODI improvements</w:t>
            </w:r>
            <w:r w:rsidRPr="00735726">
              <w:rPr>
                <w:rFonts w:ascii="Arial" w:hAnsi="Arial" w:cs="Arial"/>
                <w:b/>
                <w:bCs/>
                <w:sz w:val="17"/>
                <w:szCs w:val="17"/>
              </w:rPr>
              <w:br/>
            </w:r>
            <w:r w:rsidRPr="00735726">
              <w:rPr>
                <w:rFonts w:ascii="Arial" w:hAnsi="Arial" w:cs="Arial"/>
                <w:sz w:val="17"/>
                <w:szCs w:val="17"/>
              </w:rPr>
              <w:t>Monitor</w:t>
            </w:r>
            <w:r w:rsidR="006B0843" w:rsidRPr="00735726">
              <w:rPr>
                <w:rFonts w:ascii="Arial" w:hAnsi="Arial" w:cs="Arial"/>
                <w:sz w:val="17"/>
                <w:szCs w:val="17"/>
              </w:rPr>
              <w:t>ed</w:t>
            </w:r>
            <w:r w:rsidRPr="00735726">
              <w:rPr>
                <w:rFonts w:ascii="Arial" w:hAnsi="Arial" w:cs="Arial"/>
                <w:sz w:val="17"/>
                <w:szCs w:val="17"/>
              </w:rPr>
              <w:t xml:space="preserve"> our ODI improvements</w:t>
            </w:r>
          </w:p>
          <w:p w14:paraId="5D8413C6" w14:textId="77777777"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to meet regulatory requirements,</w:t>
            </w:r>
          </w:p>
          <w:p w14:paraId="2EF778FC" w14:textId="77777777"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ongoing regulatory/ innovation</w:t>
            </w:r>
          </w:p>
          <w:p w14:paraId="66E91E28" w14:textId="2360362E"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 xml:space="preserve">initiatives </w:t>
            </w:r>
            <w:r w:rsidR="006B0843" w:rsidRPr="00735726">
              <w:rPr>
                <w:rFonts w:ascii="Arial" w:hAnsi="Arial" w:cs="Arial"/>
                <w:sz w:val="17"/>
                <w:szCs w:val="17"/>
              </w:rPr>
              <w:t>were monitored via ESG and H</w:t>
            </w:r>
            <w:r w:rsidR="00C26943" w:rsidRPr="00735726">
              <w:rPr>
                <w:rFonts w:ascii="Arial" w:hAnsi="Arial" w:cs="Arial"/>
                <w:sz w:val="17"/>
                <w:szCs w:val="17"/>
              </w:rPr>
              <w:t xml:space="preserve">ealth and Safety </w:t>
            </w:r>
            <w:r w:rsidR="006B0843" w:rsidRPr="00735726">
              <w:rPr>
                <w:rFonts w:ascii="Arial" w:hAnsi="Arial" w:cs="Arial"/>
                <w:sz w:val="17"/>
                <w:szCs w:val="17"/>
              </w:rPr>
              <w:t>reports and adapted plans where needed.</w:t>
            </w:r>
          </w:p>
        </w:tc>
        <w:tc>
          <w:tcPr>
            <w:tcW w:w="4014" w:type="dxa"/>
            <w:gridSpan w:val="2"/>
            <w:tcBorders>
              <w:top w:val="single" w:sz="4" w:space="0" w:color="auto"/>
              <w:bottom w:val="single" w:sz="4" w:space="0" w:color="auto"/>
            </w:tcBorders>
          </w:tcPr>
          <w:p w14:paraId="1836D0BB" w14:textId="15172695" w:rsidR="004F030D" w:rsidRPr="00735726" w:rsidRDefault="004F030D" w:rsidP="00881565">
            <w:pPr>
              <w:autoSpaceDE w:val="0"/>
              <w:autoSpaceDN w:val="0"/>
              <w:adjustRightInd w:val="0"/>
              <w:spacing w:after="0" w:line="240" w:lineRule="auto"/>
              <w:rPr>
                <w:rFonts w:ascii="Arial" w:hAnsi="Arial" w:cs="Arial"/>
                <w:sz w:val="17"/>
                <w:szCs w:val="17"/>
              </w:rPr>
            </w:pPr>
            <w:r w:rsidRPr="00735726">
              <w:rPr>
                <w:rFonts w:ascii="Arial" w:hAnsi="Arial" w:cs="Arial"/>
                <w:sz w:val="17"/>
                <w:szCs w:val="17"/>
              </w:rPr>
              <w:t>Successful regulatory outcomes, safe customer and employee experience, enhancing day</w:t>
            </w:r>
            <w:r w:rsidR="00053A75" w:rsidRPr="00735726">
              <w:rPr>
                <w:rFonts w:ascii="Arial" w:hAnsi="Arial" w:cs="Arial"/>
                <w:sz w:val="17"/>
                <w:szCs w:val="17"/>
              </w:rPr>
              <w:t>-</w:t>
            </w:r>
            <w:r w:rsidRPr="00735726">
              <w:rPr>
                <w:rFonts w:ascii="Arial" w:hAnsi="Arial" w:cs="Arial"/>
                <w:sz w:val="17"/>
                <w:szCs w:val="17"/>
              </w:rPr>
              <w:t>to</w:t>
            </w:r>
            <w:r w:rsidR="00053A75" w:rsidRPr="00735726">
              <w:rPr>
                <w:rFonts w:ascii="Arial" w:hAnsi="Arial" w:cs="Arial"/>
                <w:sz w:val="17"/>
                <w:szCs w:val="17"/>
              </w:rPr>
              <w:t>-</w:t>
            </w:r>
            <w:r w:rsidRPr="00735726">
              <w:rPr>
                <w:rFonts w:ascii="Arial" w:hAnsi="Arial" w:cs="Arial"/>
                <w:sz w:val="17"/>
                <w:szCs w:val="17"/>
              </w:rPr>
              <w:t>day operations.</w:t>
            </w:r>
          </w:p>
          <w:p w14:paraId="09F25481" w14:textId="77777777" w:rsidR="004F030D" w:rsidRPr="00735726" w:rsidRDefault="004F030D" w:rsidP="00881565">
            <w:pPr>
              <w:autoSpaceDE w:val="0"/>
              <w:autoSpaceDN w:val="0"/>
              <w:adjustRightInd w:val="0"/>
              <w:spacing w:after="0" w:line="240" w:lineRule="auto"/>
              <w:rPr>
                <w:rFonts w:ascii="Arial" w:hAnsi="Arial" w:cs="Arial"/>
                <w:sz w:val="17"/>
                <w:szCs w:val="17"/>
              </w:rPr>
            </w:pPr>
          </w:p>
          <w:p w14:paraId="30A07FAD" w14:textId="1B6928A0" w:rsidR="004F030D" w:rsidRPr="00735726" w:rsidRDefault="004F030D" w:rsidP="00881565">
            <w:pPr>
              <w:autoSpaceDE w:val="0"/>
              <w:autoSpaceDN w:val="0"/>
              <w:adjustRightInd w:val="0"/>
              <w:spacing w:after="0" w:line="240" w:lineRule="auto"/>
              <w:rPr>
                <w:rFonts w:ascii="Arial" w:hAnsi="Arial" w:cs="Arial"/>
                <w:sz w:val="17"/>
                <w:szCs w:val="17"/>
              </w:rPr>
            </w:pPr>
          </w:p>
        </w:tc>
        <w:tc>
          <w:tcPr>
            <w:tcW w:w="1418" w:type="dxa"/>
            <w:tcBorders>
              <w:top w:val="single" w:sz="4" w:space="0" w:color="auto"/>
              <w:bottom w:val="single" w:sz="4" w:space="0" w:color="auto"/>
              <w:right w:val="single" w:sz="4" w:space="0" w:color="auto"/>
            </w:tcBorders>
          </w:tcPr>
          <w:p w14:paraId="184EED23" w14:textId="77777777" w:rsidR="004F030D" w:rsidRPr="00735726" w:rsidRDefault="004F030D"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People</w:t>
            </w:r>
            <w:r w:rsidRPr="00735726">
              <w:rPr>
                <w:rFonts w:ascii="Arial" w:hAnsi="Arial" w:cs="Arial"/>
                <w:b/>
                <w:bCs/>
                <w:sz w:val="17"/>
                <w:szCs w:val="17"/>
              </w:rPr>
              <w:br/>
              <w:t>Regulators</w:t>
            </w:r>
            <w:r w:rsidRPr="00735726">
              <w:rPr>
                <w:rFonts w:ascii="Arial" w:hAnsi="Arial" w:cs="Arial"/>
                <w:b/>
                <w:bCs/>
                <w:sz w:val="17"/>
                <w:szCs w:val="17"/>
              </w:rPr>
              <w:br/>
              <w:t>Environment</w:t>
            </w:r>
          </w:p>
        </w:tc>
      </w:tr>
      <w:tr w:rsidR="004F030D" w:rsidRPr="00735726" w14:paraId="3A3C2355" w14:textId="77777777" w:rsidTr="00881565">
        <w:trPr>
          <w:trHeight w:val="748"/>
        </w:trPr>
        <w:tc>
          <w:tcPr>
            <w:tcW w:w="1294" w:type="dxa"/>
            <w:vMerge/>
            <w:tcBorders>
              <w:left w:val="single" w:sz="4" w:space="0" w:color="auto"/>
            </w:tcBorders>
          </w:tcPr>
          <w:p w14:paraId="4947FF08" w14:textId="77777777" w:rsidR="004F030D" w:rsidRPr="009A2CAE" w:rsidRDefault="004F030D" w:rsidP="00881565">
            <w:pPr>
              <w:spacing w:after="0"/>
              <w:rPr>
                <w:rFonts w:ascii="Arial" w:hAnsi="Arial" w:cs="Arial"/>
                <w:b/>
                <w:bCs/>
                <w:sz w:val="17"/>
                <w:szCs w:val="17"/>
              </w:rPr>
            </w:pPr>
          </w:p>
        </w:tc>
        <w:tc>
          <w:tcPr>
            <w:tcW w:w="3187" w:type="dxa"/>
            <w:tcBorders>
              <w:top w:val="single" w:sz="4" w:space="0" w:color="auto"/>
              <w:bottom w:val="single" w:sz="4" w:space="0" w:color="auto"/>
            </w:tcBorders>
          </w:tcPr>
          <w:p w14:paraId="6A0FB55D" w14:textId="2D3BC94A" w:rsidR="004F030D" w:rsidRPr="00735726" w:rsidRDefault="004F030D" w:rsidP="00881565">
            <w:pPr>
              <w:autoSpaceDE w:val="0"/>
              <w:autoSpaceDN w:val="0"/>
              <w:adjustRightInd w:val="0"/>
              <w:spacing w:after="0"/>
              <w:rPr>
                <w:rFonts w:ascii="Arial" w:hAnsi="Arial" w:cs="Arial"/>
                <w:b/>
                <w:bCs/>
                <w:sz w:val="17"/>
                <w:szCs w:val="17"/>
              </w:rPr>
            </w:pPr>
            <w:r w:rsidRPr="00735726">
              <w:rPr>
                <w:rFonts w:ascii="Arial" w:hAnsi="Arial" w:cs="Arial"/>
                <w:b/>
                <w:bCs/>
                <w:sz w:val="17"/>
                <w:szCs w:val="17"/>
              </w:rPr>
              <w:t xml:space="preserve">Storm overflows and </w:t>
            </w:r>
            <w:r w:rsidR="00053A75" w:rsidRPr="00735726">
              <w:rPr>
                <w:rFonts w:ascii="Arial" w:hAnsi="Arial" w:cs="Arial"/>
                <w:b/>
                <w:bCs/>
                <w:sz w:val="17"/>
                <w:szCs w:val="17"/>
              </w:rPr>
              <w:t>p</w:t>
            </w:r>
            <w:r w:rsidRPr="00735726">
              <w:rPr>
                <w:rFonts w:ascii="Arial" w:hAnsi="Arial" w:cs="Arial"/>
                <w:b/>
                <w:bCs/>
                <w:sz w:val="17"/>
                <w:szCs w:val="17"/>
              </w:rPr>
              <w:t>ollutions</w:t>
            </w:r>
          </w:p>
          <w:p w14:paraId="77AD9A5B" w14:textId="77777777"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Reviewed and assessed measures</w:t>
            </w:r>
          </w:p>
          <w:p w14:paraId="5A0792A3" w14:textId="77777777"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tackling storms overflows at bathing</w:t>
            </w:r>
          </w:p>
          <w:p w14:paraId="6F916189" w14:textId="77777777"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waters and reducing spill rates across</w:t>
            </w:r>
          </w:p>
          <w:p w14:paraId="3757BB4F" w14:textId="77777777"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our sites and within our communities.</w:t>
            </w:r>
          </w:p>
        </w:tc>
        <w:tc>
          <w:tcPr>
            <w:tcW w:w="4014" w:type="dxa"/>
            <w:gridSpan w:val="2"/>
            <w:tcBorders>
              <w:top w:val="single" w:sz="4" w:space="0" w:color="auto"/>
              <w:bottom w:val="single" w:sz="4" w:space="0" w:color="auto"/>
            </w:tcBorders>
          </w:tcPr>
          <w:p w14:paraId="3BB986F6" w14:textId="77777777" w:rsidR="004F030D" w:rsidRPr="00735726" w:rsidRDefault="004F030D" w:rsidP="00881565">
            <w:pPr>
              <w:autoSpaceDE w:val="0"/>
              <w:autoSpaceDN w:val="0"/>
              <w:adjustRightInd w:val="0"/>
              <w:spacing w:after="0" w:line="240" w:lineRule="auto"/>
              <w:rPr>
                <w:rFonts w:ascii="Arial" w:hAnsi="Arial" w:cs="Arial"/>
                <w:sz w:val="17"/>
                <w:szCs w:val="17"/>
              </w:rPr>
            </w:pPr>
            <w:r w:rsidRPr="00735726">
              <w:rPr>
                <w:rFonts w:ascii="Arial" w:hAnsi="Arial" w:cs="Arial"/>
                <w:sz w:val="17"/>
                <w:szCs w:val="17"/>
              </w:rPr>
              <w:t>Delivery against our objective to ensure continuous supply of safe and clean water to our customers.</w:t>
            </w:r>
          </w:p>
          <w:p w14:paraId="577B6D39" w14:textId="77777777" w:rsidR="004F030D" w:rsidRPr="00735726" w:rsidRDefault="004F030D" w:rsidP="00881565">
            <w:pPr>
              <w:autoSpaceDE w:val="0"/>
              <w:autoSpaceDN w:val="0"/>
              <w:adjustRightInd w:val="0"/>
              <w:spacing w:after="0" w:line="240" w:lineRule="auto"/>
              <w:rPr>
                <w:rFonts w:ascii="Arial" w:hAnsi="Arial" w:cs="Arial"/>
                <w:sz w:val="17"/>
                <w:szCs w:val="17"/>
              </w:rPr>
            </w:pPr>
          </w:p>
          <w:p w14:paraId="351A0617" w14:textId="658C9253" w:rsidR="004F030D" w:rsidRPr="00735726" w:rsidRDefault="004F030D" w:rsidP="00881565">
            <w:pPr>
              <w:autoSpaceDE w:val="0"/>
              <w:autoSpaceDN w:val="0"/>
              <w:adjustRightInd w:val="0"/>
              <w:spacing w:after="0" w:line="240" w:lineRule="auto"/>
              <w:rPr>
                <w:rFonts w:ascii="Arial" w:hAnsi="Arial" w:cs="Arial"/>
                <w:sz w:val="17"/>
                <w:szCs w:val="17"/>
              </w:rPr>
            </w:pPr>
          </w:p>
        </w:tc>
        <w:tc>
          <w:tcPr>
            <w:tcW w:w="1418" w:type="dxa"/>
            <w:tcBorders>
              <w:top w:val="single" w:sz="4" w:space="0" w:color="auto"/>
              <w:bottom w:val="single" w:sz="4" w:space="0" w:color="auto"/>
              <w:right w:val="single" w:sz="4" w:space="0" w:color="auto"/>
            </w:tcBorders>
          </w:tcPr>
          <w:p w14:paraId="426866CA" w14:textId="46A4C106" w:rsidR="004F030D" w:rsidRPr="00735726" w:rsidRDefault="004F030D"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Environment</w:t>
            </w:r>
            <w:r w:rsidR="00053A75" w:rsidRPr="00735726">
              <w:rPr>
                <w:rFonts w:ascii="Arial" w:hAnsi="Arial" w:cs="Arial"/>
                <w:b/>
                <w:bCs/>
                <w:sz w:val="17"/>
                <w:szCs w:val="17"/>
              </w:rPr>
              <w:br/>
              <w:t>Communities</w:t>
            </w:r>
          </w:p>
        </w:tc>
      </w:tr>
      <w:tr w:rsidR="004F030D" w:rsidRPr="00735726" w14:paraId="641819B5" w14:textId="77777777" w:rsidTr="00881565">
        <w:trPr>
          <w:trHeight w:val="748"/>
        </w:trPr>
        <w:tc>
          <w:tcPr>
            <w:tcW w:w="1294" w:type="dxa"/>
            <w:vMerge/>
            <w:tcBorders>
              <w:left w:val="single" w:sz="4" w:space="0" w:color="auto"/>
              <w:bottom w:val="single" w:sz="4" w:space="0" w:color="auto"/>
            </w:tcBorders>
          </w:tcPr>
          <w:p w14:paraId="30244674" w14:textId="77777777" w:rsidR="004F030D" w:rsidRPr="009A2CAE" w:rsidRDefault="004F030D" w:rsidP="00881565">
            <w:pPr>
              <w:spacing w:after="0"/>
              <w:rPr>
                <w:rFonts w:ascii="Arial" w:hAnsi="Arial" w:cs="Arial"/>
                <w:b/>
                <w:bCs/>
                <w:sz w:val="17"/>
                <w:szCs w:val="17"/>
              </w:rPr>
            </w:pPr>
          </w:p>
        </w:tc>
        <w:tc>
          <w:tcPr>
            <w:tcW w:w="3187" w:type="dxa"/>
            <w:tcBorders>
              <w:top w:val="single" w:sz="4" w:space="0" w:color="auto"/>
              <w:bottom w:val="single" w:sz="4" w:space="0" w:color="auto"/>
            </w:tcBorders>
          </w:tcPr>
          <w:p w14:paraId="7AAF8A0F" w14:textId="77777777" w:rsidR="004F030D" w:rsidRPr="00735726" w:rsidRDefault="004F030D" w:rsidP="00881565">
            <w:pPr>
              <w:spacing w:after="0"/>
              <w:rPr>
                <w:rFonts w:ascii="Arial" w:hAnsi="Arial" w:cs="Arial"/>
                <w:b/>
                <w:bCs/>
                <w:sz w:val="17"/>
                <w:szCs w:val="17"/>
              </w:rPr>
            </w:pPr>
            <w:r w:rsidRPr="00735726">
              <w:rPr>
                <w:rFonts w:ascii="Arial" w:hAnsi="Arial" w:cs="Arial"/>
                <w:b/>
                <w:bCs/>
                <w:sz w:val="17"/>
                <w:szCs w:val="17"/>
              </w:rPr>
              <w:t>Water quality and resilience</w:t>
            </w:r>
          </w:p>
          <w:p w14:paraId="3B504AF3" w14:textId="5DA63842"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Approv</w:t>
            </w:r>
            <w:r w:rsidR="006B0843" w:rsidRPr="00735726">
              <w:rPr>
                <w:rFonts w:ascii="Arial" w:hAnsi="Arial" w:cs="Arial"/>
                <w:sz w:val="17"/>
                <w:szCs w:val="17"/>
              </w:rPr>
              <w:t>ed</w:t>
            </w:r>
            <w:r w:rsidRPr="00735726">
              <w:rPr>
                <w:rFonts w:ascii="Arial" w:hAnsi="Arial" w:cs="Arial"/>
                <w:sz w:val="17"/>
                <w:szCs w:val="17"/>
              </w:rPr>
              <w:t xml:space="preserve"> the projects to upgrade</w:t>
            </w:r>
          </w:p>
          <w:p w14:paraId="12581C87" w14:textId="4CC91178"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 xml:space="preserve">treatments </w:t>
            </w:r>
            <w:proofErr w:type="gramStart"/>
            <w:r w:rsidRPr="00735726">
              <w:rPr>
                <w:rFonts w:ascii="Arial" w:hAnsi="Arial" w:cs="Arial"/>
                <w:sz w:val="17"/>
                <w:szCs w:val="17"/>
              </w:rPr>
              <w:t>works</w:t>
            </w:r>
            <w:proofErr w:type="gramEnd"/>
            <w:r w:rsidRPr="00735726">
              <w:rPr>
                <w:rFonts w:ascii="Arial" w:hAnsi="Arial" w:cs="Arial"/>
                <w:sz w:val="17"/>
                <w:szCs w:val="17"/>
              </w:rPr>
              <w:t xml:space="preserve"> and expan</w:t>
            </w:r>
            <w:r w:rsidR="006B0843" w:rsidRPr="00735726">
              <w:rPr>
                <w:rFonts w:ascii="Arial" w:hAnsi="Arial" w:cs="Arial"/>
                <w:sz w:val="17"/>
                <w:szCs w:val="17"/>
              </w:rPr>
              <w:t>ded</w:t>
            </w:r>
          </w:p>
          <w:p w14:paraId="594B2F1F" w14:textId="77777777" w:rsidR="004F030D" w:rsidRPr="00735726" w:rsidRDefault="004F030D" w:rsidP="00881565">
            <w:pPr>
              <w:autoSpaceDE w:val="0"/>
              <w:autoSpaceDN w:val="0"/>
              <w:adjustRightInd w:val="0"/>
              <w:spacing w:after="0"/>
              <w:rPr>
                <w:rFonts w:ascii="Arial" w:hAnsi="Arial" w:cs="Arial"/>
                <w:sz w:val="17"/>
                <w:szCs w:val="17"/>
              </w:rPr>
            </w:pPr>
            <w:r w:rsidRPr="00735726">
              <w:rPr>
                <w:rFonts w:ascii="Arial" w:hAnsi="Arial" w:cs="Arial"/>
                <w:sz w:val="17"/>
                <w:szCs w:val="17"/>
              </w:rPr>
              <w:t>capacity of our reservoir across the</w:t>
            </w:r>
          </w:p>
          <w:p w14:paraId="345BAE6D" w14:textId="77777777" w:rsidR="004F030D" w:rsidRPr="00735726" w:rsidRDefault="004F030D" w:rsidP="00881565">
            <w:pPr>
              <w:spacing w:after="0"/>
              <w:rPr>
                <w:rFonts w:ascii="Arial" w:hAnsi="Arial" w:cs="Arial"/>
                <w:b/>
                <w:bCs/>
                <w:sz w:val="17"/>
                <w:szCs w:val="17"/>
              </w:rPr>
            </w:pPr>
            <w:r w:rsidRPr="00735726">
              <w:rPr>
                <w:rFonts w:ascii="Arial" w:hAnsi="Arial" w:cs="Arial"/>
                <w:sz w:val="17"/>
                <w:szCs w:val="17"/>
              </w:rPr>
              <w:t>regions.</w:t>
            </w:r>
          </w:p>
        </w:tc>
        <w:tc>
          <w:tcPr>
            <w:tcW w:w="4014" w:type="dxa"/>
            <w:gridSpan w:val="2"/>
            <w:tcBorders>
              <w:top w:val="single" w:sz="4" w:space="0" w:color="auto"/>
              <w:bottom w:val="single" w:sz="4" w:space="0" w:color="auto"/>
            </w:tcBorders>
          </w:tcPr>
          <w:p w14:paraId="3C3F503C" w14:textId="77777777" w:rsidR="004F030D" w:rsidRPr="00735726" w:rsidRDefault="004F030D" w:rsidP="00881565">
            <w:pPr>
              <w:autoSpaceDE w:val="0"/>
              <w:autoSpaceDN w:val="0"/>
              <w:adjustRightInd w:val="0"/>
              <w:spacing w:after="0" w:line="240" w:lineRule="auto"/>
              <w:rPr>
                <w:rFonts w:ascii="Arial" w:hAnsi="Arial" w:cs="Arial"/>
                <w:sz w:val="17"/>
                <w:szCs w:val="17"/>
              </w:rPr>
            </w:pPr>
            <w:r w:rsidRPr="00735726">
              <w:rPr>
                <w:rFonts w:ascii="Arial" w:hAnsi="Arial" w:cs="Arial"/>
                <w:sz w:val="17"/>
                <w:szCs w:val="17"/>
              </w:rPr>
              <w:t>Successfully maintaining bathing water quality all year round. Reduction in pollution levels to</w:t>
            </w:r>
          </w:p>
          <w:p w14:paraId="63F5CFF5" w14:textId="790BE957" w:rsidR="004F030D" w:rsidRPr="00735726" w:rsidRDefault="00053A75" w:rsidP="00881565">
            <w:pPr>
              <w:rPr>
                <w:rFonts w:ascii="Arial" w:hAnsi="Arial" w:cs="Arial"/>
                <w:sz w:val="17"/>
                <w:szCs w:val="17"/>
              </w:rPr>
            </w:pPr>
            <w:r w:rsidRPr="00735726">
              <w:rPr>
                <w:rFonts w:ascii="Arial" w:hAnsi="Arial" w:cs="Arial"/>
                <w:sz w:val="17"/>
                <w:szCs w:val="17"/>
              </w:rPr>
              <w:t>I</w:t>
            </w:r>
            <w:r w:rsidR="004F030D" w:rsidRPr="00735726">
              <w:rPr>
                <w:rFonts w:ascii="Arial" w:hAnsi="Arial" w:cs="Arial"/>
                <w:sz w:val="17"/>
                <w:szCs w:val="17"/>
              </w:rPr>
              <w:t>ndustry</w:t>
            </w:r>
            <w:r w:rsidRPr="00735726">
              <w:rPr>
                <w:rFonts w:ascii="Arial" w:hAnsi="Arial" w:cs="Arial"/>
                <w:sz w:val="17"/>
                <w:szCs w:val="17"/>
              </w:rPr>
              <w:t>-</w:t>
            </w:r>
            <w:r w:rsidR="004F030D" w:rsidRPr="00735726">
              <w:rPr>
                <w:rFonts w:ascii="Arial" w:hAnsi="Arial" w:cs="Arial"/>
                <w:sz w:val="17"/>
                <w:szCs w:val="17"/>
              </w:rPr>
              <w:t>leading low levels.</w:t>
            </w:r>
          </w:p>
          <w:p w14:paraId="6837D2C0" w14:textId="5CD66D17" w:rsidR="004F030D" w:rsidRPr="00735726" w:rsidRDefault="004F030D" w:rsidP="00881565">
            <w:pPr>
              <w:rPr>
                <w:rFonts w:ascii="Arial" w:hAnsi="Arial" w:cs="Arial"/>
                <w:sz w:val="17"/>
                <w:szCs w:val="17"/>
              </w:rPr>
            </w:pPr>
          </w:p>
        </w:tc>
        <w:tc>
          <w:tcPr>
            <w:tcW w:w="1418" w:type="dxa"/>
            <w:tcBorders>
              <w:top w:val="single" w:sz="4" w:space="0" w:color="auto"/>
              <w:bottom w:val="single" w:sz="4" w:space="0" w:color="auto"/>
              <w:right w:val="single" w:sz="4" w:space="0" w:color="auto"/>
            </w:tcBorders>
          </w:tcPr>
          <w:p w14:paraId="409D0D68" w14:textId="2C20702A" w:rsidR="004F030D" w:rsidRPr="00735726" w:rsidRDefault="004F030D"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Regulators</w:t>
            </w:r>
            <w:r w:rsidRPr="00735726">
              <w:rPr>
                <w:rFonts w:ascii="Arial" w:hAnsi="Arial" w:cs="Arial"/>
                <w:b/>
                <w:bCs/>
                <w:sz w:val="17"/>
                <w:szCs w:val="17"/>
              </w:rPr>
              <w:br/>
              <w:t>Environment</w:t>
            </w:r>
            <w:r w:rsidR="00053A75" w:rsidRPr="00735726">
              <w:rPr>
                <w:rFonts w:ascii="Arial" w:hAnsi="Arial" w:cs="Arial"/>
                <w:b/>
                <w:bCs/>
                <w:sz w:val="17"/>
                <w:szCs w:val="17"/>
              </w:rPr>
              <w:br/>
              <w:t>Communities</w:t>
            </w:r>
          </w:p>
        </w:tc>
      </w:tr>
      <w:tr w:rsidR="004F030D" w:rsidRPr="00735726" w14:paraId="75117807" w14:textId="77777777" w:rsidTr="00881565">
        <w:trPr>
          <w:trHeight w:val="748"/>
        </w:trPr>
        <w:tc>
          <w:tcPr>
            <w:tcW w:w="1294" w:type="dxa"/>
            <w:tcBorders>
              <w:top w:val="single" w:sz="4" w:space="0" w:color="auto"/>
              <w:left w:val="single" w:sz="4" w:space="0" w:color="auto"/>
              <w:bottom w:val="single" w:sz="4" w:space="0" w:color="auto"/>
            </w:tcBorders>
          </w:tcPr>
          <w:p w14:paraId="0B9F272C" w14:textId="77777777" w:rsidR="004F030D" w:rsidRPr="00735726" w:rsidRDefault="004F030D" w:rsidP="00881565">
            <w:pPr>
              <w:spacing w:after="0" w:line="360" w:lineRule="auto"/>
              <w:rPr>
                <w:rFonts w:ascii="Arial" w:hAnsi="Arial" w:cs="Arial"/>
                <w:b/>
                <w:bCs/>
                <w:sz w:val="17"/>
                <w:szCs w:val="17"/>
              </w:rPr>
            </w:pPr>
            <w:r w:rsidRPr="00735726">
              <w:rPr>
                <w:rFonts w:ascii="Arial" w:hAnsi="Arial" w:cs="Arial"/>
                <w:b/>
                <w:bCs/>
                <w:sz w:val="17"/>
                <w:szCs w:val="17"/>
              </w:rPr>
              <w:t>Financial</w:t>
            </w:r>
          </w:p>
        </w:tc>
        <w:tc>
          <w:tcPr>
            <w:tcW w:w="3187" w:type="dxa"/>
            <w:tcBorders>
              <w:top w:val="single" w:sz="4" w:space="0" w:color="auto"/>
              <w:bottom w:val="single" w:sz="4" w:space="0" w:color="auto"/>
            </w:tcBorders>
          </w:tcPr>
          <w:p w14:paraId="73AE8478" w14:textId="63A3B493" w:rsidR="004F030D" w:rsidRPr="00735726" w:rsidRDefault="004F030D" w:rsidP="00881565">
            <w:pPr>
              <w:spacing w:after="0"/>
              <w:rPr>
                <w:rFonts w:ascii="Arial" w:hAnsi="Arial" w:cs="Arial"/>
                <w:b/>
                <w:bCs/>
                <w:sz w:val="17"/>
                <w:szCs w:val="17"/>
              </w:rPr>
            </w:pPr>
            <w:r w:rsidRPr="00735726">
              <w:rPr>
                <w:rFonts w:ascii="Arial" w:hAnsi="Arial" w:cs="Arial"/>
                <w:b/>
                <w:bCs/>
                <w:sz w:val="17"/>
                <w:szCs w:val="17"/>
              </w:rPr>
              <w:t>202</w:t>
            </w:r>
            <w:r w:rsidR="00A841B6" w:rsidRPr="00735726">
              <w:rPr>
                <w:rFonts w:ascii="Arial" w:hAnsi="Arial" w:cs="Arial"/>
                <w:b/>
                <w:bCs/>
                <w:sz w:val="17"/>
                <w:szCs w:val="17"/>
              </w:rPr>
              <w:t>4</w:t>
            </w:r>
            <w:r w:rsidR="001B5D00" w:rsidRPr="00735726">
              <w:rPr>
                <w:rFonts w:ascii="Arial" w:hAnsi="Arial" w:cs="Arial"/>
                <w:b/>
                <w:bCs/>
                <w:sz w:val="17"/>
                <w:szCs w:val="17"/>
              </w:rPr>
              <w:t>/25</w:t>
            </w:r>
            <w:r w:rsidRPr="00735726">
              <w:rPr>
                <w:rFonts w:ascii="Arial" w:hAnsi="Arial" w:cs="Arial"/>
                <w:b/>
                <w:bCs/>
                <w:sz w:val="17"/>
                <w:szCs w:val="17"/>
              </w:rPr>
              <w:t xml:space="preserve"> </w:t>
            </w:r>
            <w:r w:rsidR="00007821" w:rsidRPr="00735726">
              <w:rPr>
                <w:rFonts w:ascii="Arial" w:hAnsi="Arial" w:cs="Arial"/>
                <w:b/>
                <w:bCs/>
                <w:sz w:val="17"/>
                <w:szCs w:val="17"/>
              </w:rPr>
              <w:t>APR and Statutory Accounts</w:t>
            </w:r>
          </w:p>
          <w:p w14:paraId="091CE65C" w14:textId="509BDAFB" w:rsidR="004F030D" w:rsidRPr="00735726" w:rsidRDefault="004F030D" w:rsidP="00881565">
            <w:pPr>
              <w:spacing w:after="0"/>
              <w:rPr>
                <w:rFonts w:ascii="Arial" w:hAnsi="Arial" w:cs="Arial"/>
                <w:sz w:val="17"/>
                <w:szCs w:val="17"/>
              </w:rPr>
            </w:pPr>
            <w:r w:rsidRPr="00735726">
              <w:rPr>
                <w:rFonts w:ascii="Arial" w:hAnsi="Arial" w:cs="Arial"/>
                <w:sz w:val="17"/>
                <w:szCs w:val="17"/>
              </w:rPr>
              <w:t>Review</w:t>
            </w:r>
            <w:r w:rsidR="006B0843" w:rsidRPr="00735726">
              <w:rPr>
                <w:rFonts w:ascii="Arial" w:hAnsi="Arial" w:cs="Arial"/>
                <w:sz w:val="17"/>
                <w:szCs w:val="17"/>
              </w:rPr>
              <w:t>ed</w:t>
            </w:r>
            <w:r w:rsidRPr="00735726">
              <w:rPr>
                <w:rFonts w:ascii="Arial" w:hAnsi="Arial" w:cs="Arial"/>
                <w:sz w:val="17"/>
                <w:szCs w:val="17"/>
              </w:rPr>
              <w:t xml:space="preserve"> and authoris</w:t>
            </w:r>
            <w:r w:rsidR="006B0843" w:rsidRPr="00735726">
              <w:rPr>
                <w:rFonts w:ascii="Arial" w:hAnsi="Arial" w:cs="Arial"/>
                <w:sz w:val="17"/>
                <w:szCs w:val="17"/>
              </w:rPr>
              <w:t>ed</w:t>
            </w:r>
            <w:r w:rsidRPr="00735726">
              <w:rPr>
                <w:rFonts w:ascii="Arial" w:hAnsi="Arial" w:cs="Arial"/>
                <w:sz w:val="17"/>
                <w:szCs w:val="17"/>
              </w:rPr>
              <w:t xml:space="preserve"> the </w:t>
            </w:r>
            <w:r w:rsidR="00007821" w:rsidRPr="00735726">
              <w:rPr>
                <w:rFonts w:ascii="Arial" w:hAnsi="Arial" w:cs="Arial"/>
                <w:sz w:val="17"/>
                <w:szCs w:val="17"/>
              </w:rPr>
              <w:t>APR and Statutory Accounts</w:t>
            </w:r>
          </w:p>
        </w:tc>
        <w:tc>
          <w:tcPr>
            <w:tcW w:w="4014" w:type="dxa"/>
            <w:gridSpan w:val="2"/>
            <w:tcBorders>
              <w:top w:val="single" w:sz="4" w:space="0" w:color="auto"/>
              <w:bottom w:val="single" w:sz="4" w:space="0" w:color="auto"/>
            </w:tcBorders>
          </w:tcPr>
          <w:p w14:paraId="34BE0727" w14:textId="77777777" w:rsidR="004F030D" w:rsidRPr="00735726" w:rsidRDefault="004F030D" w:rsidP="00881565">
            <w:pPr>
              <w:rPr>
                <w:rFonts w:ascii="Arial" w:hAnsi="Arial" w:cs="Arial"/>
                <w:sz w:val="17"/>
                <w:szCs w:val="17"/>
              </w:rPr>
            </w:pPr>
            <w:r w:rsidRPr="00735726">
              <w:rPr>
                <w:rFonts w:ascii="Arial" w:hAnsi="Arial" w:cs="Arial"/>
                <w:sz w:val="17"/>
                <w:szCs w:val="17"/>
              </w:rPr>
              <w:t>Delivery against objectives to return capital where appropriate.</w:t>
            </w:r>
          </w:p>
          <w:p w14:paraId="792531B1" w14:textId="549FD210" w:rsidR="004F030D" w:rsidRPr="00735726" w:rsidRDefault="004F030D" w:rsidP="00881565">
            <w:pPr>
              <w:rPr>
                <w:rFonts w:ascii="Arial" w:hAnsi="Arial" w:cs="Arial"/>
                <w:b/>
                <w:bCs/>
                <w:sz w:val="17"/>
                <w:szCs w:val="17"/>
              </w:rPr>
            </w:pPr>
          </w:p>
        </w:tc>
        <w:tc>
          <w:tcPr>
            <w:tcW w:w="1418" w:type="dxa"/>
            <w:tcBorders>
              <w:top w:val="single" w:sz="4" w:space="0" w:color="auto"/>
              <w:bottom w:val="single" w:sz="4" w:space="0" w:color="auto"/>
              <w:right w:val="single" w:sz="4" w:space="0" w:color="auto"/>
            </w:tcBorders>
          </w:tcPr>
          <w:p w14:paraId="22F03AEE" w14:textId="77777777" w:rsidR="004F030D" w:rsidRPr="00735726" w:rsidRDefault="004F030D" w:rsidP="00881565">
            <w:pPr>
              <w:spacing w:line="360" w:lineRule="auto"/>
              <w:rPr>
                <w:rFonts w:ascii="Arial" w:hAnsi="Arial" w:cs="Arial"/>
                <w:b/>
                <w:bCs/>
                <w:sz w:val="17"/>
                <w:szCs w:val="17"/>
              </w:rPr>
            </w:pPr>
          </w:p>
        </w:tc>
      </w:tr>
      <w:tr w:rsidR="001B5D00" w:rsidRPr="00735726" w14:paraId="77AA0203" w14:textId="77777777" w:rsidTr="000F15CC">
        <w:trPr>
          <w:trHeight w:val="835"/>
        </w:trPr>
        <w:tc>
          <w:tcPr>
            <w:tcW w:w="1294" w:type="dxa"/>
            <w:vMerge w:val="restart"/>
            <w:tcBorders>
              <w:top w:val="single" w:sz="4" w:space="0" w:color="auto"/>
              <w:left w:val="single" w:sz="4" w:space="0" w:color="auto"/>
            </w:tcBorders>
          </w:tcPr>
          <w:p w14:paraId="3A368DE5" w14:textId="77777777" w:rsidR="001B5D00" w:rsidRPr="00735726" w:rsidRDefault="001B5D00" w:rsidP="00881565">
            <w:pPr>
              <w:spacing w:after="0"/>
              <w:rPr>
                <w:rFonts w:ascii="Arial" w:hAnsi="Arial" w:cs="Arial"/>
                <w:b/>
                <w:bCs/>
                <w:sz w:val="17"/>
                <w:szCs w:val="17"/>
              </w:rPr>
            </w:pPr>
            <w:r w:rsidRPr="00735726">
              <w:rPr>
                <w:rFonts w:ascii="Arial" w:hAnsi="Arial" w:cs="Arial"/>
                <w:b/>
                <w:bCs/>
                <w:sz w:val="17"/>
                <w:szCs w:val="17"/>
              </w:rPr>
              <w:t>Environmental</w:t>
            </w:r>
          </w:p>
          <w:p w14:paraId="59EE4CA7" w14:textId="77777777" w:rsidR="001B5D00" w:rsidRPr="00735726" w:rsidRDefault="001B5D00" w:rsidP="00881565">
            <w:pPr>
              <w:spacing w:after="0"/>
              <w:rPr>
                <w:rFonts w:ascii="Arial" w:hAnsi="Arial" w:cs="Arial"/>
                <w:b/>
                <w:bCs/>
                <w:sz w:val="17"/>
                <w:szCs w:val="17"/>
              </w:rPr>
            </w:pPr>
          </w:p>
        </w:tc>
        <w:tc>
          <w:tcPr>
            <w:tcW w:w="3187" w:type="dxa"/>
            <w:tcBorders>
              <w:top w:val="single" w:sz="4" w:space="0" w:color="auto"/>
              <w:bottom w:val="single" w:sz="4" w:space="0" w:color="auto"/>
            </w:tcBorders>
          </w:tcPr>
          <w:p w14:paraId="25FF80EE" w14:textId="2E7B7262" w:rsidR="001B5D00" w:rsidRPr="00735726" w:rsidRDefault="001B5D00" w:rsidP="00881565">
            <w:pPr>
              <w:autoSpaceDE w:val="0"/>
              <w:autoSpaceDN w:val="0"/>
              <w:adjustRightInd w:val="0"/>
              <w:spacing w:after="0"/>
              <w:rPr>
                <w:rFonts w:ascii="Arial" w:hAnsi="Arial" w:cs="Arial"/>
                <w:sz w:val="17"/>
                <w:szCs w:val="17"/>
              </w:rPr>
            </w:pPr>
            <w:r w:rsidRPr="00735726">
              <w:rPr>
                <w:rFonts w:ascii="Arial" w:hAnsi="Arial" w:cs="Arial"/>
                <w:b/>
                <w:bCs/>
                <w:sz w:val="17"/>
                <w:szCs w:val="17"/>
              </w:rPr>
              <w:t>Net Zero strategy plan, green recovery investment programmes</w:t>
            </w:r>
            <w:r w:rsidRPr="00735726">
              <w:rPr>
                <w:rFonts w:ascii="Arial" w:hAnsi="Arial" w:cs="Arial"/>
                <w:b/>
                <w:bCs/>
                <w:sz w:val="17"/>
                <w:szCs w:val="17"/>
              </w:rPr>
              <w:br/>
            </w:r>
            <w:r w:rsidRPr="00735726">
              <w:rPr>
                <w:rFonts w:ascii="Arial" w:hAnsi="Arial" w:cs="Arial"/>
                <w:sz w:val="17"/>
                <w:szCs w:val="17"/>
              </w:rPr>
              <w:t>Implementation and alignment of plans with our strategic priorities by engaging</w:t>
            </w:r>
          </w:p>
          <w:p w14:paraId="272CB61B" w14:textId="3A396566" w:rsidR="001B5D00" w:rsidRPr="00735726" w:rsidRDefault="001B5D00" w:rsidP="00881565">
            <w:pPr>
              <w:autoSpaceDE w:val="0"/>
              <w:autoSpaceDN w:val="0"/>
              <w:adjustRightInd w:val="0"/>
              <w:spacing w:after="0"/>
              <w:rPr>
                <w:rFonts w:ascii="Arial" w:hAnsi="Arial" w:cs="Arial"/>
                <w:sz w:val="17"/>
                <w:szCs w:val="17"/>
              </w:rPr>
            </w:pPr>
            <w:r w:rsidRPr="00735726">
              <w:rPr>
                <w:rFonts w:ascii="Arial" w:hAnsi="Arial" w:cs="Arial"/>
                <w:sz w:val="17"/>
                <w:szCs w:val="17"/>
              </w:rPr>
              <w:t>In, for example, Upstream Thinking investments to enhance water quality while also contributing to Net Zero.</w:t>
            </w:r>
          </w:p>
        </w:tc>
        <w:tc>
          <w:tcPr>
            <w:tcW w:w="4014" w:type="dxa"/>
            <w:gridSpan w:val="2"/>
            <w:tcBorders>
              <w:top w:val="single" w:sz="4" w:space="0" w:color="auto"/>
              <w:bottom w:val="single" w:sz="4" w:space="0" w:color="auto"/>
            </w:tcBorders>
          </w:tcPr>
          <w:p w14:paraId="7952E599" w14:textId="5BADAB6F" w:rsidR="001B5D00" w:rsidRPr="00735726" w:rsidRDefault="001B5D00" w:rsidP="00881565">
            <w:pPr>
              <w:autoSpaceDE w:val="0"/>
              <w:autoSpaceDN w:val="0"/>
              <w:adjustRightInd w:val="0"/>
              <w:spacing w:after="0"/>
              <w:rPr>
                <w:rFonts w:ascii="Arial" w:hAnsi="Arial" w:cs="Arial"/>
                <w:sz w:val="17"/>
                <w:szCs w:val="17"/>
              </w:rPr>
            </w:pPr>
            <w:r w:rsidRPr="00735726">
              <w:rPr>
                <w:rFonts w:ascii="Arial" w:hAnsi="Arial" w:cs="Arial"/>
                <w:sz w:val="17"/>
                <w:szCs w:val="17"/>
              </w:rPr>
              <w:t>Accelerate our Net Zero plans to achieve a more sustainable future for all.</w:t>
            </w:r>
          </w:p>
          <w:p w14:paraId="7C3F1CD5" w14:textId="77777777" w:rsidR="001B5D00" w:rsidRPr="00735726" w:rsidRDefault="001B5D00" w:rsidP="00881565">
            <w:pPr>
              <w:autoSpaceDE w:val="0"/>
              <w:autoSpaceDN w:val="0"/>
              <w:adjustRightInd w:val="0"/>
              <w:spacing w:after="0"/>
              <w:rPr>
                <w:rFonts w:ascii="Arial" w:hAnsi="Arial" w:cs="Arial"/>
                <w:sz w:val="17"/>
                <w:szCs w:val="17"/>
              </w:rPr>
            </w:pPr>
          </w:p>
          <w:p w14:paraId="1C421A22" w14:textId="6135AE50" w:rsidR="001B5D00" w:rsidRPr="00735726" w:rsidRDefault="001B5D00" w:rsidP="00881565">
            <w:pPr>
              <w:autoSpaceDE w:val="0"/>
              <w:autoSpaceDN w:val="0"/>
              <w:adjustRightInd w:val="0"/>
              <w:spacing w:after="0"/>
              <w:rPr>
                <w:rFonts w:ascii="Arial" w:hAnsi="Arial" w:cs="Arial"/>
                <w:b/>
                <w:bCs/>
                <w:sz w:val="17"/>
                <w:szCs w:val="17"/>
              </w:rPr>
            </w:pPr>
          </w:p>
        </w:tc>
        <w:tc>
          <w:tcPr>
            <w:tcW w:w="1418" w:type="dxa"/>
            <w:tcBorders>
              <w:top w:val="single" w:sz="4" w:space="0" w:color="auto"/>
              <w:bottom w:val="single" w:sz="4" w:space="0" w:color="auto"/>
              <w:right w:val="single" w:sz="4" w:space="0" w:color="auto"/>
            </w:tcBorders>
          </w:tcPr>
          <w:p w14:paraId="2EF13C7B" w14:textId="4CE3B671" w:rsidR="001B5D00" w:rsidRPr="00735726" w:rsidRDefault="001B5D00"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People</w:t>
            </w:r>
            <w:r w:rsidRPr="00735726">
              <w:rPr>
                <w:rFonts w:ascii="Arial" w:hAnsi="Arial" w:cs="Arial"/>
                <w:b/>
                <w:bCs/>
                <w:sz w:val="17"/>
                <w:szCs w:val="17"/>
              </w:rPr>
              <w:br/>
              <w:t xml:space="preserve">Suppliers </w:t>
            </w:r>
            <w:r w:rsidRPr="00735726">
              <w:rPr>
                <w:rFonts w:ascii="Arial" w:hAnsi="Arial" w:cs="Arial"/>
                <w:b/>
                <w:bCs/>
                <w:sz w:val="17"/>
                <w:szCs w:val="17"/>
              </w:rPr>
              <w:br/>
              <w:t>Regulators</w:t>
            </w:r>
            <w:r w:rsidRPr="00735726">
              <w:rPr>
                <w:rFonts w:ascii="Arial" w:hAnsi="Arial" w:cs="Arial"/>
                <w:b/>
                <w:bCs/>
                <w:sz w:val="17"/>
                <w:szCs w:val="17"/>
              </w:rPr>
              <w:br/>
              <w:t>Environment</w:t>
            </w:r>
          </w:p>
        </w:tc>
      </w:tr>
      <w:tr w:rsidR="001B5D00" w:rsidRPr="00735726" w14:paraId="27C21AB7" w14:textId="77777777" w:rsidTr="000F15CC">
        <w:trPr>
          <w:trHeight w:val="835"/>
        </w:trPr>
        <w:tc>
          <w:tcPr>
            <w:tcW w:w="1294" w:type="dxa"/>
            <w:vMerge/>
            <w:tcBorders>
              <w:left w:val="single" w:sz="4" w:space="0" w:color="auto"/>
            </w:tcBorders>
          </w:tcPr>
          <w:p w14:paraId="59A56B4D" w14:textId="77777777" w:rsidR="001B5D00" w:rsidRPr="00735726" w:rsidRDefault="001B5D00" w:rsidP="00881565">
            <w:pPr>
              <w:spacing w:after="0"/>
              <w:rPr>
                <w:rFonts w:ascii="Arial" w:hAnsi="Arial" w:cs="Arial"/>
                <w:b/>
                <w:bCs/>
                <w:sz w:val="17"/>
                <w:szCs w:val="17"/>
              </w:rPr>
            </w:pPr>
          </w:p>
        </w:tc>
        <w:tc>
          <w:tcPr>
            <w:tcW w:w="3187" w:type="dxa"/>
            <w:tcBorders>
              <w:top w:val="single" w:sz="4" w:space="0" w:color="auto"/>
              <w:bottom w:val="single" w:sz="4" w:space="0" w:color="auto"/>
            </w:tcBorders>
          </w:tcPr>
          <w:p w14:paraId="1B6D3FBF" w14:textId="77777777" w:rsidR="001B5D00" w:rsidRPr="00735726" w:rsidRDefault="001B5D00" w:rsidP="001B5D00">
            <w:pPr>
              <w:autoSpaceDE w:val="0"/>
              <w:autoSpaceDN w:val="0"/>
              <w:adjustRightInd w:val="0"/>
              <w:spacing w:after="0"/>
              <w:rPr>
                <w:rFonts w:ascii="Arial" w:hAnsi="Arial" w:cs="Arial"/>
                <w:b/>
                <w:bCs/>
                <w:sz w:val="17"/>
                <w:szCs w:val="17"/>
              </w:rPr>
            </w:pPr>
            <w:r w:rsidRPr="00735726">
              <w:rPr>
                <w:rFonts w:ascii="Arial" w:hAnsi="Arial" w:cs="Arial"/>
                <w:b/>
                <w:bCs/>
                <w:sz w:val="17"/>
                <w:szCs w:val="17"/>
              </w:rPr>
              <w:t>Pollution Incident Reduction Plan 2026</w:t>
            </w:r>
          </w:p>
          <w:p w14:paraId="3A124F07" w14:textId="4D30037C" w:rsidR="001B5D00" w:rsidRPr="00735726" w:rsidRDefault="001B5D00" w:rsidP="001B5D00">
            <w:pPr>
              <w:autoSpaceDE w:val="0"/>
              <w:autoSpaceDN w:val="0"/>
              <w:adjustRightInd w:val="0"/>
              <w:spacing w:after="0"/>
              <w:rPr>
                <w:rFonts w:ascii="Arial" w:hAnsi="Arial" w:cs="Arial"/>
                <w:b/>
                <w:bCs/>
                <w:sz w:val="17"/>
                <w:szCs w:val="17"/>
              </w:rPr>
            </w:pPr>
            <w:r w:rsidRPr="00735726">
              <w:rPr>
                <w:rFonts w:ascii="Arial" w:hAnsi="Arial" w:cs="Arial"/>
                <w:sz w:val="17"/>
                <w:szCs w:val="17"/>
              </w:rPr>
              <w:t xml:space="preserve">Reviewed and approved our plan to improve the environment and reduce pollution risk across all aspects of our operations </w:t>
            </w:r>
            <w:r w:rsidR="006C1BA9" w:rsidRPr="00735726">
              <w:rPr>
                <w:rFonts w:ascii="Arial" w:hAnsi="Arial" w:cs="Arial"/>
                <w:sz w:val="17"/>
                <w:szCs w:val="17"/>
              </w:rPr>
              <w:t xml:space="preserve">- </w:t>
            </w:r>
            <w:r w:rsidRPr="00735726">
              <w:rPr>
                <w:rFonts w:ascii="Arial" w:hAnsi="Arial" w:cs="Arial"/>
                <w:sz w:val="17"/>
                <w:szCs w:val="17"/>
              </w:rPr>
              <w:t xml:space="preserve">and especially </w:t>
            </w:r>
            <w:proofErr w:type="gramStart"/>
            <w:r w:rsidRPr="00735726">
              <w:rPr>
                <w:rFonts w:ascii="Arial" w:hAnsi="Arial" w:cs="Arial"/>
                <w:sz w:val="17"/>
                <w:szCs w:val="17"/>
              </w:rPr>
              <w:t>with regard to</w:t>
            </w:r>
            <w:proofErr w:type="gramEnd"/>
            <w:r w:rsidRPr="00735726">
              <w:rPr>
                <w:rFonts w:ascii="Arial" w:hAnsi="Arial" w:cs="Arial"/>
                <w:sz w:val="17"/>
                <w:szCs w:val="17"/>
              </w:rPr>
              <w:t xml:space="preserve"> our wastewater operations.</w:t>
            </w:r>
          </w:p>
        </w:tc>
        <w:tc>
          <w:tcPr>
            <w:tcW w:w="4014" w:type="dxa"/>
            <w:gridSpan w:val="2"/>
            <w:tcBorders>
              <w:top w:val="single" w:sz="4" w:space="0" w:color="auto"/>
              <w:bottom w:val="single" w:sz="4" w:space="0" w:color="auto"/>
            </w:tcBorders>
          </w:tcPr>
          <w:p w14:paraId="549777AE" w14:textId="77777777" w:rsidR="001B5D00" w:rsidRPr="00735726" w:rsidRDefault="001B5D00" w:rsidP="001B5D00">
            <w:pPr>
              <w:autoSpaceDE w:val="0"/>
              <w:autoSpaceDN w:val="0"/>
              <w:adjustRightInd w:val="0"/>
              <w:spacing w:after="0"/>
              <w:rPr>
                <w:rFonts w:ascii="Arial" w:hAnsi="Arial" w:cs="Arial"/>
                <w:sz w:val="17"/>
                <w:szCs w:val="17"/>
              </w:rPr>
            </w:pPr>
            <w:r w:rsidRPr="00735726">
              <w:rPr>
                <w:rFonts w:ascii="Arial" w:hAnsi="Arial" w:cs="Arial"/>
                <w:sz w:val="17"/>
                <w:szCs w:val="17"/>
              </w:rPr>
              <w:t>Ensure that our waterways and water consumption</w:t>
            </w:r>
          </w:p>
          <w:p w14:paraId="6B6E8227" w14:textId="127A8317" w:rsidR="001B5D00" w:rsidRPr="00735726" w:rsidRDefault="001B5D00" w:rsidP="001B5D00">
            <w:pPr>
              <w:autoSpaceDE w:val="0"/>
              <w:autoSpaceDN w:val="0"/>
              <w:adjustRightInd w:val="0"/>
              <w:spacing w:after="0"/>
              <w:rPr>
                <w:rFonts w:ascii="Arial" w:hAnsi="Arial" w:cs="Arial"/>
                <w:sz w:val="17"/>
                <w:szCs w:val="17"/>
              </w:rPr>
            </w:pPr>
            <w:r w:rsidRPr="00735726">
              <w:rPr>
                <w:rFonts w:ascii="Arial" w:hAnsi="Arial" w:cs="Arial"/>
                <w:sz w:val="17"/>
                <w:szCs w:val="17"/>
              </w:rPr>
              <w:t>remain safe for our customers and for communities that we serve.</w:t>
            </w:r>
          </w:p>
        </w:tc>
        <w:tc>
          <w:tcPr>
            <w:tcW w:w="1418" w:type="dxa"/>
            <w:tcBorders>
              <w:top w:val="single" w:sz="4" w:space="0" w:color="auto"/>
              <w:bottom w:val="single" w:sz="4" w:space="0" w:color="auto"/>
              <w:right w:val="single" w:sz="4" w:space="0" w:color="auto"/>
            </w:tcBorders>
          </w:tcPr>
          <w:p w14:paraId="0983FE5E" w14:textId="56DADD4C" w:rsidR="001B5D00" w:rsidRPr="00735726" w:rsidRDefault="001B5D00"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People</w:t>
            </w:r>
            <w:r w:rsidRPr="00735726">
              <w:rPr>
                <w:rFonts w:ascii="Arial" w:hAnsi="Arial" w:cs="Arial"/>
                <w:b/>
                <w:bCs/>
                <w:sz w:val="17"/>
                <w:szCs w:val="17"/>
              </w:rPr>
              <w:br/>
              <w:t xml:space="preserve">Suppliers </w:t>
            </w:r>
            <w:r w:rsidRPr="00735726">
              <w:rPr>
                <w:rFonts w:ascii="Arial" w:hAnsi="Arial" w:cs="Arial"/>
                <w:b/>
                <w:bCs/>
                <w:sz w:val="17"/>
                <w:szCs w:val="17"/>
              </w:rPr>
              <w:br/>
              <w:t>Regulators</w:t>
            </w:r>
            <w:r w:rsidRPr="00735726">
              <w:rPr>
                <w:rFonts w:ascii="Arial" w:hAnsi="Arial" w:cs="Arial"/>
                <w:b/>
                <w:bCs/>
                <w:sz w:val="17"/>
                <w:szCs w:val="17"/>
              </w:rPr>
              <w:br/>
              <w:t>Environment</w:t>
            </w:r>
          </w:p>
        </w:tc>
      </w:tr>
      <w:tr w:rsidR="001B5D00" w:rsidRPr="00735726" w14:paraId="049D65E1" w14:textId="77777777" w:rsidTr="000F15CC">
        <w:trPr>
          <w:trHeight w:val="835"/>
        </w:trPr>
        <w:tc>
          <w:tcPr>
            <w:tcW w:w="1294" w:type="dxa"/>
            <w:vMerge/>
            <w:tcBorders>
              <w:left w:val="single" w:sz="4" w:space="0" w:color="auto"/>
              <w:bottom w:val="single" w:sz="4" w:space="0" w:color="auto"/>
            </w:tcBorders>
          </w:tcPr>
          <w:p w14:paraId="495C9A49" w14:textId="77777777" w:rsidR="001B5D00" w:rsidRPr="00735726" w:rsidRDefault="001B5D00" w:rsidP="00881565">
            <w:pPr>
              <w:spacing w:after="0"/>
              <w:rPr>
                <w:rFonts w:ascii="Arial" w:hAnsi="Arial" w:cs="Arial"/>
                <w:b/>
                <w:bCs/>
                <w:sz w:val="17"/>
                <w:szCs w:val="17"/>
              </w:rPr>
            </w:pPr>
          </w:p>
        </w:tc>
        <w:tc>
          <w:tcPr>
            <w:tcW w:w="3187" w:type="dxa"/>
            <w:tcBorders>
              <w:top w:val="single" w:sz="4" w:space="0" w:color="auto"/>
              <w:bottom w:val="single" w:sz="4" w:space="0" w:color="auto"/>
            </w:tcBorders>
          </w:tcPr>
          <w:p w14:paraId="7F82AA8B" w14:textId="77777777" w:rsidR="001B5D00" w:rsidRPr="00735726" w:rsidRDefault="001B5D00" w:rsidP="001B5D00">
            <w:pPr>
              <w:autoSpaceDE w:val="0"/>
              <w:autoSpaceDN w:val="0"/>
              <w:adjustRightInd w:val="0"/>
              <w:spacing w:after="0"/>
              <w:rPr>
                <w:rFonts w:ascii="Arial" w:hAnsi="Arial" w:cs="Arial"/>
                <w:b/>
                <w:bCs/>
                <w:sz w:val="17"/>
                <w:szCs w:val="17"/>
              </w:rPr>
            </w:pPr>
            <w:r w:rsidRPr="00735726">
              <w:rPr>
                <w:rFonts w:ascii="Arial" w:hAnsi="Arial" w:cs="Arial"/>
                <w:b/>
                <w:bCs/>
                <w:sz w:val="17"/>
                <w:szCs w:val="17"/>
              </w:rPr>
              <w:t>Ofwat delivery plan</w:t>
            </w:r>
          </w:p>
          <w:p w14:paraId="0097BCBD" w14:textId="51B60532" w:rsidR="001B5D00" w:rsidRPr="00735726" w:rsidRDefault="001B5D00" w:rsidP="001B5D00">
            <w:pPr>
              <w:autoSpaceDE w:val="0"/>
              <w:autoSpaceDN w:val="0"/>
              <w:adjustRightInd w:val="0"/>
              <w:spacing w:after="0"/>
              <w:rPr>
                <w:rFonts w:ascii="Arial" w:hAnsi="Arial" w:cs="Arial"/>
                <w:b/>
                <w:bCs/>
                <w:sz w:val="17"/>
                <w:szCs w:val="17"/>
              </w:rPr>
            </w:pPr>
            <w:r w:rsidRPr="00735726">
              <w:rPr>
                <w:rFonts w:ascii="Arial" w:hAnsi="Arial" w:cs="Arial"/>
                <w:sz w:val="17"/>
                <w:szCs w:val="17"/>
              </w:rPr>
              <w:t>Reviewed and approved the submission of our Final Delivery Plan to highlight the planned investments over the 2025-2050 period.</w:t>
            </w:r>
          </w:p>
        </w:tc>
        <w:tc>
          <w:tcPr>
            <w:tcW w:w="4014" w:type="dxa"/>
            <w:gridSpan w:val="2"/>
            <w:tcBorders>
              <w:top w:val="single" w:sz="4" w:space="0" w:color="auto"/>
              <w:bottom w:val="single" w:sz="4" w:space="0" w:color="auto"/>
            </w:tcBorders>
          </w:tcPr>
          <w:p w14:paraId="1FEF8DE6" w14:textId="77777777" w:rsidR="001B5D00" w:rsidRPr="00735726" w:rsidRDefault="001B5D00" w:rsidP="001B5D00">
            <w:pPr>
              <w:autoSpaceDE w:val="0"/>
              <w:autoSpaceDN w:val="0"/>
              <w:adjustRightInd w:val="0"/>
              <w:spacing w:after="0"/>
              <w:rPr>
                <w:rFonts w:ascii="Arial" w:hAnsi="Arial" w:cs="Arial"/>
                <w:sz w:val="17"/>
                <w:szCs w:val="17"/>
              </w:rPr>
            </w:pPr>
            <w:r w:rsidRPr="00735726">
              <w:rPr>
                <w:rFonts w:ascii="Arial" w:hAnsi="Arial" w:cs="Arial"/>
                <w:sz w:val="17"/>
                <w:szCs w:val="17"/>
              </w:rPr>
              <w:t>Foster our commitment to the long-term sustainable</w:t>
            </w:r>
          </w:p>
          <w:p w14:paraId="58304672" w14:textId="442366CE" w:rsidR="001B5D00" w:rsidRPr="00735726" w:rsidRDefault="001B5D00" w:rsidP="001B5D00">
            <w:pPr>
              <w:autoSpaceDE w:val="0"/>
              <w:autoSpaceDN w:val="0"/>
              <w:adjustRightInd w:val="0"/>
              <w:spacing w:after="0"/>
              <w:rPr>
                <w:rFonts w:ascii="Arial" w:hAnsi="Arial" w:cs="Arial"/>
                <w:sz w:val="17"/>
                <w:szCs w:val="17"/>
              </w:rPr>
            </w:pPr>
            <w:r w:rsidRPr="00735726">
              <w:rPr>
                <w:rFonts w:ascii="Arial" w:hAnsi="Arial" w:cs="Arial"/>
                <w:sz w:val="17"/>
                <w:szCs w:val="17"/>
              </w:rPr>
              <w:t>growth of the UK’s environmental infrastructure.</w:t>
            </w:r>
          </w:p>
        </w:tc>
        <w:tc>
          <w:tcPr>
            <w:tcW w:w="1418" w:type="dxa"/>
            <w:tcBorders>
              <w:top w:val="single" w:sz="4" w:space="0" w:color="auto"/>
              <w:bottom w:val="single" w:sz="4" w:space="0" w:color="auto"/>
              <w:right w:val="single" w:sz="4" w:space="0" w:color="auto"/>
            </w:tcBorders>
          </w:tcPr>
          <w:p w14:paraId="4F0B6E90" w14:textId="25689B0E" w:rsidR="001B5D00" w:rsidRPr="00735726" w:rsidRDefault="001B5D00"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People</w:t>
            </w:r>
            <w:r w:rsidRPr="00735726">
              <w:rPr>
                <w:rFonts w:ascii="Arial" w:hAnsi="Arial" w:cs="Arial"/>
                <w:b/>
                <w:bCs/>
                <w:sz w:val="17"/>
                <w:szCs w:val="17"/>
              </w:rPr>
              <w:br/>
              <w:t xml:space="preserve">Suppliers </w:t>
            </w:r>
            <w:r w:rsidRPr="00735726">
              <w:rPr>
                <w:rFonts w:ascii="Arial" w:hAnsi="Arial" w:cs="Arial"/>
                <w:b/>
                <w:bCs/>
                <w:sz w:val="17"/>
                <w:szCs w:val="17"/>
              </w:rPr>
              <w:br/>
              <w:t>Regulators</w:t>
            </w:r>
            <w:r w:rsidRPr="00735726">
              <w:rPr>
                <w:rFonts w:ascii="Arial" w:hAnsi="Arial" w:cs="Arial"/>
                <w:b/>
                <w:bCs/>
                <w:sz w:val="17"/>
                <w:szCs w:val="17"/>
              </w:rPr>
              <w:br/>
              <w:t>Environment</w:t>
            </w:r>
          </w:p>
        </w:tc>
      </w:tr>
      <w:tr w:rsidR="004F030D" w:rsidRPr="00735726" w14:paraId="3C7FA14C" w14:textId="77777777" w:rsidTr="00881565">
        <w:trPr>
          <w:trHeight w:val="916"/>
        </w:trPr>
        <w:tc>
          <w:tcPr>
            <w:tcW w:w="1294" w:type="dxa"/>
            <w:vMerge w:val="restart"/>
            <w:tcBorders>
              <w:top w:val="single" w:sz="4" w:space="0" w:color="auto"/>
              <w:left w:val="single" w:sz="4" w:space="0" w:color="auto"/>
              <w:right w:val="nil"/>
            </w:tcBorders>
            <w:hideMark/>
          </w:tcPr>
          <w:p w14:paraId="501C2A4B" w14:textId="77777777" w:rsidR="004F030D" w:rsidRPr="00735726" w:rsidRDefault="004F030D" w:rsidP="00881565">
            <w:pPr>
              <w:spacing w:after="0" w:line="360" w:lineRule="auto"/>
              <w:rPr>
                <w:rFonts w:ascii="Arial" w:hAnsi="Arial" w:cs="Arial"/>
                <w:b/>
                <w:bCs/>
                <w:sz w:val="17"/>
                <w:szCs w:val="17"/>
              </w:rPr>
            </w:pPr>
            <w:r w:rsidRPr="00735726">
              <w:rPr>
                <w:rFonts w:ascii="Arial" w:hAnsi="Arial" w:cs="Arial"/>
                <w:b/>
                <w:bCs/>
                <w:sz w:val="17"/>
                <w:szCs w:val="17"/>
              </w:rPr>
              <w:t xml:space="preserve">Social </w:t>
            </w:r>
          </w:p>
          <w:p w14:paraId="638F6D2A" w14:textId="77777777" w:rsidR="004F030D" w:rsidRPr="00735726" w:rsidRDefault="004F030D" w:rsidP="00881565">
            <w:pPr>
              <w:spacing w:after="0" w:line="360" w:lineRule="auto"/>
              <w:rPr>
                <w:rFonts w:ascii="Arial" w:hAnsi="Arial" w:cs="Arial"/>
                <w:sz w:val="17"/>
                <w:szCs w:val="17"/>
              </w:rPr>
            </w:pPr>
          </w:p>
        </w:tc>
        <w:tc>
          <w:tcPr>
            <w:tcW w:w="3187" w:type="dxa"/>
            <w:tcBorders>
              <w:top w:val="single" w:sz="4" w:space="0" w:color="auto"/>
              <w:left w:val="nil"/>
              <w:bottom w:val="single" w:sz="6" w:space="0" w:color="auto"/>
              <w:right w:val="nil"/>
            </w:tcBorders>
          </w:tcPr>
          <w:p w14:paraId="105BD002" w14:textId="72756A12" w:rsidR="004F030D" w:rsidRPr="00735726" w:rsidRDefault="004F030D" w:rsidP="00881565">
            <w:pPr>
              <w:spacing w:after="0"/>
              <w:rPr>
                <w:rFonts w:ascii="Arial" w:hAnsi="Arial" w:cs="Arial"/>
                <w:sz w:val="17"/>
                <w:szCs w:val="17"/>
              </w:rPr>
            </w:pPr>
            <w:r w:rsidRPr="00735726">
              <w:rPr>
                <w:rFonts w:ascii="Arial" w:hAnsi="Arial" w:cs="Arial"/>
                <w:b/>
                <w:bCs/>
                <w:sz w:val="17"/>
                <w:szCs w:val="17"/>
              </w:rPr>
              <w:t>Supporting customers on low income</w:t>
            </w:r>
            <w:r w:rsidRPr="00735726">
              <w:rPr>
                <w:rFonts w:ascii="Arial" w:hAnsi="Arial" w:cs="Arial"/>
                <w:b/>
                <w:bCs/>
                <w:sz w:val="17"/>
                <w:szCs w:val="17"/>
              </w:rPr>
              <w:br/>
            </w:r>
            <w:r w:rsidRPr="00735726">
              <w:rPr>
                <w:rFonts w:ascii="Arial" w:hAnsi="Arial" w:cs="Arial"/>
                <w:sz w:val="17"/>
                <w:szCs w:val="17"/>
              </w:rPr>
              <w:t>Monitor</w:t>
            </w:r>
            <w:r w:rsidR="006B0843" w:rsidRPr="00735726">
              <w:rPr>
                <w:rFonts w:ascii="Arial" w:hAnsi="Arial" w:cs="Arial"/>
                <w:sz w:val="17"/>
                <w:szCs w:val="17"/>
              </w:rPr>
              <w:t>ed</w:t>
            </w:r>
            <w:r w:rsidRPr="00735726">
              <w:rPr>
                <w:rFonts w:ascii="Arial" w:hAnsi="Arial" w:cs="Arial"/>
                <w:sz w:val="17"/>
                <w:szCs w:val="17"/>
              </w:rPr>
              <w:t xml:space="preserve"> customer service levels and plans to deliver improved diversity mix and adapting where needed.</w:t>
            </w:r>
          </w:p>
        </w:tc>
        <w:tc>
          <w:tcPr>
            <w:tcW w:w="4014" w:type="dxa"/>
            <w:gridSpan w:val="2"/>
            <w:tcBorders>
              <w:top w:val="single" w:sz="4" w:space="0" w:color="auto"/>
              <w:left w:val="nil"/>
              <w:bottom w:val="single" w:sz="6" w:space="0" w:color="auto"/>
              <w:right w:val="nil"/>
            </w:tcBorders>
          </w:tcPr>
          <w:p w14:paraId="2D4797D9" w14:textId="77777777" w:rsidR="004F030D" w:rsidRPr="00735726" w:rsidRDefault="004F030D" w:rsidP="00881565">
            <w:pPr>
              <w:rPr>
                <w:rFonts w:ascii="Arial" w:hAnsi="Arial" w:cs="Arial"/>
                <w:sz w:val="17"/>
                <w:szCs w:val="17"/>
              </w:rPr>
            </w:pPr>
            <w:r w:rsidRPr="00735726">
              <w:rPr>
                <w:rFonts w:ascii="Arial" w:hAnsi="Arial" w:cs="Arial"/>
                <w:sz w:val="17"/>
                <w:szCs w:val="17"/>
              </w:rPr>
              <w:t>Continued alignment of plans to achieve ever more stringent targets as well as greater public/regulatory scrutiny.</w:t>
            </w:r>
          </w:p>
          <w:p w14:paraId="2E991F5F" w14:textId="2923FD9F" w:rsidR="004F030D" w:rsidRPr="00735726" w:rsidRDefault="004F030D" w:rsidP="00881565">
            <w:pPr>
              <w:rPr>
                <w:rFonts w:ascii="Arial" w:hAnsi="Arial" w:cs="Arial"/>
                <w:b/>
                <w:bCs/>
                <w:sz w:val="17"/>
                <w:szCs w:val="17"/>
              </w:rPr>
            </w:pPr>
            <w:r w:rsidRPr="00735726">
              <w:rPr>
                <w:rFonts w:ascii="Arial" w:hAnsi="Arial" w:cs="Arial"/>
                <w:b/>
                <w:bCs/>
                <w:sz w:val="17"/>
                <w:szCs w:val="17"/>
              </w:rPr>
              <w:br/>
            </w:r>
          </w:p>
        </w:tc>
        <w:tc>
          <w:tcPr>
            <w:tcW w:w="1418" w:type="dxa"/>
            <w:tcBorders>
              <w:top w:val="single" w:sz="4" w:space="0" w:color="auto"/>
              <w:left w:val="nil"/>
              <w:bottom w:val="single" w:sz="6" w:space="0" w:color="auto"/>
              <w:right w:val="single" w:sz="4" w:space="0" w:color="auto"/>
            </w:tcBorders>
          </w:tcPr>
          <w:p w14:paraId="43555A8D" w14:textId="77777777" w:rsidR="004F030D" w:rsidRPr="00735726" w:rsidRDefault="004F030D" w:rsidP="00881565">
            <w:pPr>
              <w:rPr>
                <w:rFonts w:ascii="Arial" w:hAnsi="Arial" w:cs="Arial"/>
                <w:b/>
                <w:bCs/>
                <w:sz w:val="17"/>
                <w:szCs w:val="17"/>
              </w:rPr>
            </w:pPr>
            <w:r w:rsidRPr="00735726">
              <w:rPr>
                <w:rFonts w:ascii="Arial" w:hAnsi="Arial" w:cs="Arial"/>
                <w:b/>
                <w:bCs/>
                <w:sz w:val="17"/>
                <w:szCs w:val="17"/>
              </w:rPr>
              <w:t>Customers</w:t>
            </w:r>
          </w:p>
        </w:tc>
      </w:tr>
      <w:tr w:rsidR="00957FDF" w:rsidRPr="00735726" w14:paraId="22B4E5DB" w14:textId="77777777" w:rsidTr="00B9082D">
        <w:trPr>
          <w:trHeight w:val="916"/>
        </w:trPr>
        <w:tc>
          <w:tcPr>
            <w:tcW w:w="1294" w:type="dxa"/>
            <w:vMerge/>
            <w:tcBorders>
              <w:left w:val="single" w:sz="4" w:space="0" w:color="auto"/>
              <w:bottom w:val="single" w:sz="4" w:space="0" w:color="auto"/>
              <w:right w:val="nil"/>
            </w:tcBorders>
          </w:tcPr>
          <w:p w14:paraId="1B81AE75" w14:textId="77777777" w:rsidR="00957FDF" w:rsidRPr="00735726" w:rsidRDefault="00957FDF" w:rsidP="00881565">
            <w:pPr>
              <w:spacing w:after="0" w:line="360" w:lineRule="auto"/>
              <w:rPr>
                <w:rFonts w:ascii="Arial" w:hAnsi="Arial" w:cs="Arial"/>
                <w:b/>
                <w:bCs/>
                <w:sz w:val="17"/>
                <w:szCs w:val="17"/>
              </w:rPr>
            </w:pPr>
          </w:p>
        </w:tc>
        <w:tc>
          <w:tcPr>
            <w:tcW w:w="3187" w:type="dxa"/>
            <w:tcBorders>
              <w:top w:val="single" w:sz="4" w:space="0" w:color="auto"/>
              <w:left w:val="nil"/>
              <w:bottom w:val="single" w:sz="6" w:space="0" w:color="auto"/>
              <w:right w:val="nil"/>
            </w:tcBorders>
          </w:tcPr>
          <w:p w14:paraId="29795EF1" w14:textId="77777777" w:rsidR="00957FDF" w:rsidRPr="00735726" w:rsidRDefault="00957FDF" w:rsidP="00957FDF">
            <w:pPr>
              <w:spacing w:after="0"/>
              <w:rPr>
                <w:rFonts w:ascii="Arial" w:hAnsi="Arial" w:cs="Arial"/>
                <w:b/>
                <w:bCs/>
                <w:sz w:val="17"/>
                <w:szCs w:val="17"/>
              </w:rPr>
            </w:pPr>
            <w:r w:rsidRPr="00735726">
              <w:rPr>
                <w:rFonts w:ascii="Arial" w:hAnsi="Arial" w:cs="Arial"/>
                <w:b/>
                <w:bCs/>
                <w:sz w:val="17"/>
                <w:szCs w:val="17"/>
              </w:rPr>
              <w:t>Workforce engagement</w:t>
            </w:r>
          </w:p>
          <w:p w14:paraId="590E80E4" w14:textId="4FD5BBD3" w:rsidR="00957FDF" w:rsidRPr="00735726" w:rsidRDefault="00957FDF" w:rsidP="00957FDF">
            <w:pPr>
              <w:spacing w:after="0"/>
              <w:rPr>
                <w:rFonts w:ascii="Arial" w:hAnsi="Arial" w:cs="Arial"/>
                <w:b/>
                <w:bCs/>
                <w:sz w:val="17"/>
                <w:szCs w:val="17"/>
              </w:rPr>
            </w:pPr>
            <w:r w:rsidRPr="00735726">
              <w:rPr>
                <w:rFonts w:ascii="Arial" w:hAnsi="Arial" w:cs="Arial"/>
                <w:sz w:val="17"/>
                <w:szCs w:val="17"/>
              </w:rPr>
              <w:t>Considered and approved the appointment of a workforce engagement Non-Executive Director.</w:t>
            </w:r>
          </w:p>
        </w:tc>
        <w:tc>
          <w:tcPr>
            <w:tcW w:w="4014" w:type="dxa"/>
            <w:gridSpan w:val="2"/>
            <w:tcBorders>
              <w:top w:val="single" w:sz="4" w:space="0" w:color="auto"/>
              <w:left w:val="nil"/>
              <w:bottom w:val="single" w:sz="6" w:space="0" w:color="auto"/>
              <w:right w:val="nil"/>
            </w:tcBorders>
          </w:tcPr>
          <w:p w14:paraId="1C73821F" w14:textId="6FC5CA75" w:rsidR="00957FDF" w:rsidRPr="00735726" w:rsidRDefault="00957FDF" w:rsidP="00957FDF">
            <w:pPr>
              <w:rPr>
                <w:rFonts w:ascii="Arial" w:hAnsi="Arial" w:cs="Arial"/>
                <w:sz w:val="17"/>
                <w:szCs w:val="17"/>
              </w:rPr>
            </w:pPr>
            <w:r w:rsidRPr="00735726">
              <w:rPr>
                <w:rFonts w:ascii="Arial" w:hAnsi="Arial" w:cs="Arial"/>
                <w:sz w:val="17"/>
                <w:szCs w:val="17"/>
              </w:rPr>
              <w:t xml:space="preserve">Create employee voice within the Boardroom to enhance decision-making that considered </w:t>
            </w:r>
            <w:proofErr w:type="gramStart"/>
            <w:r w:rsidRPr="00735726">
              <w:rPr>
                <w:rFonts w:ascii="Arial" w:hAnsi="Arial" w:cs="Arial"/>
                <w:sz w:val="17"/>
                <w:szCs w:val="17"/>
              </w:rPr>
              <w:t>the  interest</w:t>
            </w:r>
            <w:proofErr w:type="gramEnd"/>
            <w:r w:rsidRPr="00735726">
              <w:rPr>
                <w:rFonts w:ascii="Arial" w:hAnsi="Arial" w:cs="Arial"/>
                <w:sz w:val="17"/>
                <w:szCs w:val="17"/>
              </w:rPr>
              <w:t xml:space="preserve"> of our people.</w:t>
            </w:r>
          </w:p>
        </w:tc>
        <w:tc>
          <w:tcPr>
            <w:tcW w:w="1418" w:type="dxa"/>
            <w:tcBorders>
              <w:top w:val="single" w:sz="4" w:space="0" w:color="auto"/>
              <w:left w:val="nil"/>
              <w:bottom w:val="single" w:sz="6" w:space="0" w:color="auto"/>
              <w:right w:val="single" w:sz="4" w:space="0" w:color="auto"/>
            </w:tcBorders>
          </w:tcPr>
          <w:p w14:paraId="1653AA31" w14:textId="0F4E5C92" w:rsidR="00957FDF" w:rsidRPr="00735726" w:rsidRDefault="00957FDF"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Communities</w:t>
            </w:r>
            <w:r w:rsidRPr="00735726">
              <w:rPr>
                <w:rFonts w:ascii="Arial" w:hAnsi="Arial" w:cs="Arial"/>
                <w:b/>
                <w:bCs/>
                <w:sz w:val="17"/>
                <w:szCs w:val="17"/>
              </w:rPr>
              <w:br/>
              <w:t>People</w:t>
            </w:r>
          </w:p>
        </w:tc>
      </w:tr>
      <w:tr w:rsidR="004F030D" w:rsidRPr="00735726" w14:paraId="7E7E16A1" w14:textId="77777777" w:rsidTr="00B9082D">
        <w:trPr>
          <w:trHeight w:val="916"/>
        </w:trPr>
        <w:tc>
          <w:tcPr>
            <w:tcW w:w="1294" w:type="dxa"/>
            <w:vMerge/>
            <w:tcBorders>
              <w:left w:val="single" w:sz="4" w:space="0" w:color="auto"/>
              <w:bottom w:val="single" w:sz="4" w:space="0" w:color="auto"/>
              <w:right w:val="nil"/>
            </w:tcBorders>
          </w:tcPr>
          <w:p w14:paraId="075BC4CB" w14:textId="77777777" w:rsidR="004F030D" w:rsidRPr="00735726" w:rsidRDefault="004F030D" w:rsidP="00881565">
            <w:pPr>
              <w:spacing w:after="0" w:line="360" w:lineRule="auto"/>
              <w:rPr>
                <w:rFonts w:ascii="Arial" w:hAnsi="Arial" w:cs="Arial"/>
                <w:b/>
                <w:bCs/>
                <w:sz w:val="17"/>
                <w:szCs w:val="17"/>
              </w:rPr>
            </w:pPr>
          </w:p>
        </w:tc>
        <w:tc>
          <w:tcPr>
            <w:tcW w:w="3187" w:type="dxa"/>
            <w:tcBorders>
              <w:top w:val="single" w:sz="4" w:space="0" w:color="auto"/>
              <w:left w:val="nil"/>
              <w:bottom w:val="single" w:sz="6" w:space="0" w:color="auto"/>
              <w:right w:val="nil"/>
            </w:tcBorders>
          </w:tcPr>
          <w:p w14:paraId="66994D9A" w14:textId="77777777" w:rsidR="004F030D" w:rsidRPr="00735726" w:rsidRDefault="004F030D" w:rsidP="00881565">
            <w:pPr>
              <w:spacing w:after="0"/>
              <w:rPr>
                <w:rFonts w:ascii="Arial" w:hAnsi="Arial" w:cs="Arial"/>
                <w:sz w:val="17"/>
                <w:szCs w:val="17"/>
              </w:rPr>
            </w:pPr>
            <w:r w:rsidRPr="00735726">
              <w:rPr>
                <w:rFonts w:ascii="Arial" w:hAnsi="Arial" w:cs="Arial"/>
                <w:b/>
                <w:bCs/>
                <w:sz w:val="17"/>
                <w:szCs w:val="17"/>
              </w:rPr>
              <w:t>Investment in job opportunities and apprenticeships for local communities</w:t>
            </w:r>
            <w:r w:rsidRPr="00735726">
              <w:rPr>
                <w:rFonts w:ascii="Arial" w:hAnsi="Arial" w:cs="Arial"/>
                <w:b/>
                <w:bCs/>
                <w:sz w:val="17"/>
                <w:szCs w:val="17"/>
              </w:rPr>
              <w:br/>
            </w:r>
            <w:r w:rsidRPr="00735726">
              <w:rPr>
                <w:rFonts w:ascii="Arial" w:hAnsi="Arial" w:cs="Arial"/>
                <w:sz w:val="17"/>
                <w:szCs w:val="17"/>
              </w:rPr>
              <w:t>Reviewed and approved investments towards the benefit of the communities</w:t>
            </w:r>
          </w:p>
        </w:tc>
        <w:tc>
          <w:tcPr>
            <w:tcW w:w="4014" w:type="dxa"/>
            <w:gridSpan w:val="2"/>
            <w:tcBorders>
              <w:top w:val="single" w:sz="4" w:space="0" w:color="auto"/>
              <w:left w:val="nil"/>
              <w:bottom w:val="single" w:sz="6" w:space="0" w:color="auto"/>
              <w:right w:val="nil"/>
            </w:tcBorders>
          </w:tcPr>
          <w:p w14:paraId="2242ED15" w14:textId="77777777" w:rsidR="004F030D" w:rsidRPr="00735726" w:rsidRDefault="004F030D" w:rsidP="00881565">
            <w:pPr>
              <w:rPr>
                <w:rFonts w:ascii="Arial" w:hAnsi="Arial" w:cs="Arial"/>
                <w:sz w:val="17"/>
                <w:szCs w:val="17"/>
              </w:rPr>
            </w:pPr>
            <w:r w:rsidRPr="00735726">
              <w:rPr>
                <w:rFonts w:ascii="Arial" w:hAnsi="Arial" w:cs="Arial"/>
                <w:sz w:val="17"/>
                <w:szCs w:val="17"/>
              </w:rPr>
              <w:t>Create job opportunities and improving career of our people and retaining talent.</w:t>
            </w:r>
          </w:p>
          <w:p w14:paraId="7C8DF3D3" w14:textId="6EDB572F" w:rsidR="004F030D" w:rsidRPr="00735726" w:rsidRDefault="004F030D" w:rsidP="00881565">
            <w:pPr>
              <w:rPr>
                <w:rFonts w:ascii="Arial" w:hAnsi="Arial" w:cs="Arial"/>
                <w:sz w:val="17"/>
                <w:szCs w:val="17"/>
              </w:rPr>
            </w:pPr>
          </w:p>
        </w:tc>
        <w:tc>
          <w:tcPr>
            <w:tcW w:w="1418" w:type="dxa"/>
            <w:tcBorders>
              <w:top w:val="single" w:sz="4" w:space="0" w:color="auto"/>
              <w:left w:val="nil"/>
              <w:bottom w:val="single" w:sz="6" w:space="0" w:color="auto"/>
              <w:right w:val="single" w:sz="4" w:space="0" w:color="auto"/>
            </w:tcBorders>
          </w:tcPr>
          <w:p w14:paraId="6CCFE481" w14:textId="69A2AA8B" w:rsidR="004F030D" w:rsidRPr="00735726" w:rsidRDefault="004F030D"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Communities</w:t>
            </w:r>
            <w:r w:rsidR="00957FDF" w:rsidRPr="00735726">
              <w:rPr>
                <w:rFonts w:ascii="Arial" w:hAnsi="Arial" w:cs="Arial"/>
                <w:b/>
                <w:bCs/>
                <w:sz w:val="17"/>
                <w:szCs w:val="17"/>
              </w:rPr>
              <w:br/>
              <w:t xml:space="preserve">People </w:t>
            </w:r>
          </w:p>
        </w:tc>
      </w:tr>
      <w:tr w:rsidR="004F030D" w:rsidRPr="00735726" w14:paraId="61B63E64" w14:textId="77777777" w:rsidTr="00B9082D">
        <w:trPr>
          <w:trHeight w:val="586"/>
        </w:trPr>
        <w:tc>
          <w:tcPr>
            <w:tcW w:w="1294" w:type="dxa"/>
            <w:vMerge w:val="restart"/>
            <w:tcBorders>
              <w:top w:val="single" w:sz="4" w:space="0" w:color="auto"/>
              <w:left w:val="single" w:sz="4" w:space="0" w:color="auto"/>
              <w:bottom w:val="single" w:sz="6" w:space="0" w:color="auto"/>
              <w:right w:val="nil"/>
            </w:tcBorders>
          </w:tcPr>
          <w:p w14:paraId="2869EFE5" w14:textId="77777777" w:rsidR="004F030D" w:rsidRPr="00735726" w:rsidRDefault="004F030D" w:rsidP="00881565">
            <w:pPr>
              <w:spacing w:after="0" w:line="360" w:lineRule="auto"/>
              <w:rPr>
                <w:rFonts w:ascii="Arial" w:hAnsi="Arial" w:cs="Arial"/>
                <w:sz w:val="17"/>
                <w:szCs w:val="17"/>
              </w:rPr>
            </w:pPr>
            <w:r w:rsidRPr="00735726">
              <w:rPr>
                <w:rFonts w:ascii="Arial" w:hAnsi="Arial" w:cs="Arial"/>
                <w:b/>
                <w:bCs/>
                <w:sz w:val="17"/>
                <w:szCs w:val="17"/>
              </w:rPr>
              <w:t>Risk</w:t>
            </w:r>
          </w:p>
        </w:tc>
        <w:tc>
          <w:tcPr>
            <w:tcW w:w="3187" w:type="dxa"/>
            <w:tcBorders>
              <w:top w:val="single" w:sz="6" w:space="0" w:color="auto"/>
              <w:left w:val="nil"/>
              <w:bottom w:val="single" w:sz="6" w:space="0" w:color="auto"/>
              <w:right w:val="nil"/>
            </w:tcBorders>
          </w:tcPr>
          <w:p w14:paraId="0324F33F" w14:textId="09ACCAB3" w:rsidR="004F030D" w:rsidRPr="00735726" w:rsidRDefault="004F030D" w:rsidP="00881565">
            <w:pPr>
              <w:spacing w:after="0"/>
              <w:rPr>
                <w:rFonts w:ascii="Arial" w:hAnsi="Arial" w:cs="Arial"/>
                <w:b/>
                <w:bCs/>
                <w:sz w:val="17"/>
                <w:szCs w:val="17"/>
              </w:rPr>
            </w:pPr>
            <w:r w:rsidRPr="00735726">
              <w:rPr>
                <w:rFonts w:ascii="Arial" w:hAnsi="Arial" w:cs="Arial"/>
                <w:b/>
                <w:bCs/>
                <w:sz w:val="17"/>
                <w:szCs w:val="17"/>
              </w:rPr>
              <w:t>Mitigation of key risks</w:t>
            </w:r>
            <w:r w:rsidRPr="00735726">
              <w:rPr>
                <w:rFonts w:ascii="Arial" w:hAnsi="Arial" w:cs="Arial"/>
                <w:b/>
                <w:bCs/>
                <w:sz w:val="17"/>
                <w:szCs w:val="17"/>
              </w:rPr>
              <w:br/>
            </w:r>
            <w:r w:rsidRPr="00735726">
              <w:rPr>
                <w:rFonts w:ascii="Arial" w:hAnsi="Arial" w:cs="Arial"/>
                <w:sz w:val="17"/>
                <w:szCs w:val="17"/>
              </w:rPr>
              <w:t>Ongoing focus on key risks, with d</w:t>
            </w:r>
            <w:r w:rsidR="00BB6CF9" w:rsidRPr="00735726">
              <w:rPr>
                <w:rFonts w:ascii="Arial" w:hAnsi="Arial" w:cs="Arial"/>
                <w:sz w:val="17"/>
                <w:szCs w:val="17"/>
              </w:rPr>
              <w:t xml:space="preserve">etailed reviews </w:t>
            </w:r>
            <w:r w:rsidRPr="00735726">
              <w:rPr>
                <w:rFonts w:ascii="Arial" w:hAnsi="Arial" w:cs="Arial"/>
                <w:sz w:val="17"/>
                <w:szCs w:val="17"/>
              </w:rPr>
              <w:t>at Audit Committee meetings.</w:t>
            </w:r>
          </w:p>
        </w:tc>
        <w:tc>
          <w:tcPr>
            <w:tcW w:w="4014" w:type="dxa"/>
            <w:gridSpan w:val="2"/>
            <w:tcBorders>
              <w:top w:val="single" w:sz="6" w:space="0" w:color="auto"/>
              <w:left w:val="nil"/>
              <w:bottom w:val="single" w:sz="6" w:space="0" w:color="auto"/>
              <w:right w:val="nil"/>
            </w:tcBorders>
          </w:tcPr>
          <w:p w14:paraId="3B945D34" w14:textId="77777777" w:rsidR="004F030D" w:rsidRPr="00735726" w:rsidRDefault="004F030D" w:rsidP="00881565">
            <w:pPr>
              <w:rPr>
                <w:rFonts w:ascii="Arial" w:hAnsi="Arial" w:cs="Arial"/>
                <w:sz w:val="17"/>
                <w:szCs w:val="17"/>
              </w:rPr>
            </w:pPr>
            <w:r w:rsidRPr="00735726">
              <w:rPr>
                <w:rFonts w:ascii="Arial" w:hAnsi="Arial" w:cs="Arial"/>
                <w:sz w:val="17"/>
                <w:szCs w:val="17"/>
              </w:rPr>
              <w:t xml:space="preserve">Continued alignment of plans to ensure appropriate risk mitigation. </w:t>
            </w:r>
          </w:p>
          <w:p w14:paraId="45C858E7" w14:textId="55D50E65" w:rsidR="004F030D" w:rsidRPr="00735726" w:rsidRDefault="004F030D" w:rsidP="00881565">
            <w:pPr>
              <w:rPr>
                <w:rFonts w:ascii="Arial" w:hAnsi="Arial" w:cs="Arial"/>
                <w:sz w:val="17"/>
                <w:szCs w:val="17"/>
              </w:rPr>
            </w:pPr>
          </w:p>
        </w:tc>
        <w:tc>
          <w:tcPr>
            <w:tcW w:w="1418" w:type="dxa"/>
            <w:tcBorders>
              <w:top w:val="single" w:sz="6" w:space="0" w:color="auto"/>
              <w:left w:val="nil"/>
              <w:bottom w:val="single" w:sz="6" w:space="0" w:color="auto"/>
              <w:right w:val="single" w:sz="4" w:space="0" w:color="auto"/>
            </w:tcBorders>
          </w:tcPr>
          <w:p w14:paraId="32076B90" w14:textId="2355C8A4" w:rsidR="004F030D" w:rsidRPr="00735726" w:rsidRDefault="004F030D" w:rsidP="00881565">
            <w:pPr>
              <w:rPr>
                <w:rFonts w:ascii="Arial" w:hAnsi="Arial" w:cs="Arial"/>
                <w:b/>
                <w:bCs/>
                <w:sz w:val="17"/>
                <w:szCs w:val="17"/>
              </w:rPr>
            </w:pPr>
            <w:r w:rsidRPr="00735726">
              <w:rPr>
                <w:rFonts w:ascii="Arial" w:hAnsi="Arial" w:cs="Arial"/>
                <w:b/>
                <w:bCs/>
                <w:sz w:val="17"/>
                <w:szCs w:val="17"/>
              </w:rPr>
              <w:t>People</w:t>
            </w:r>
            <w:r w:rsidRPr="00735726">
              <w:rPr>
                <w:rFonts w:ascii="Arial" w:hAnsi="Arial" w:cs="Arial"/>
                <w:b/>
                <w:bCs/>
                <w:sz w:val="17"/>
                <w:szCs w:val="17"/>
              </w:rPr>
              <w:br/>
            </w:r>
          </w:p>
        </w:tc>
      </w:tr>
      <w:tr w:rsidR="004F030D" w:rsidRPr="00735726" w14:paraId="479B62A0" w14:textId="77777777" w:rsidTr="00881565">
        <w:trPr>
          <w:trHeight w:val="586"/>
        </w:trPr>
        <w:tc>
          <w:tcPr>
            <w:tcW w:w="1294" w:type="dxa"/>
            <w:vMerge/>
            <w:tcBorders>
              <w:left w:val="single" w:sz="4" w:space="0" w:color="auto"/>
              <w:bottom w:val="single" w:sz="6" w:space="0" w:color="auto"/>
              <w:right w:val="nil"/>
            </w:tcBorders>
          </w:tcPr>
          <w:p w14:paraId="27845C52" w14:textId="77777777" w:rsidR="004F030D" w:rsidRPr="00735726" w:rsidRDefault="004F030D" w:rsidP="00881565">
            <w:pPr>
              <w:spacing w:after="0" w:line="360" w:lineRule="auto"/>
              <w:rPr>
                <w:rFonts w:ascii="Arial" w:hAnsi="Arial" w:cs="Arial"/>
                <w:sz w:val="17"/>
                <w:szCs w:val="17"/>
              </w:rPr>
            </w:pPr>
          </w:p>
        </w:tc>
        <w:tc>
          <w:tcPr>
            <w:tcW w:w="3187" w:type="dxa"/>
            <w:tcBorders>
              <w:top w:val="single" w:sz="6" w:space="0" w:color="auto"/>
              <w:left w:val="nil"/>
              <w:bottom w:val="single" w:sz="6" w:space="0" w:color="auto"/>
              <w:right w:val="nil"/>
            </w:tcBorders>
          </w:tcPr>
          <w:p w14:paraId="1BD66F09" w14:textId="482513B0" w:rsidR="004F030D" w:rsidRPr="00735726" w:rsidRDefault="004F030D" w:rsidP="00881565">
            <w:pPr>
              <w:spacing w:after="0"/>
              <w:rPr>
                <w:rFonts w:ascii="Arial" w:hAnsi="Arial" w:cs="Arial"/>
                <w:sz w:val="17"/>
                <w:szCs w:val="17"/>
              </w:rPr>
            </w:pPr>
            <w:r w:rsidRPr="00735726">
              <w:rPr>
                <w:rFonts w:ascii="Arial" w:hAnsi="Arial" w:cs="Arial"/>
                <w:b/>
                <w:bCs/>
                <w:sz w:val="17"/>
                <w:szCs w:val="17"/>
              </w:rPr>
              <w:t>Deep dive on cyber security risk</w:t>
            </w:r>
            <w:r w:rsidRPr="00735726">
              <w:rPr>
                <w:rFonts w:ascii="Arial" w:hAnsi="Arial" w:cs="Arial"/>
                <w:b/>
                <w:bCs/>
                <w:sz w:val="17"/>
                <w:szCs w:val="17"/>
              </w:rPr>
              <w:br/>
            </w:r>
            <w:r w:rsidRPr="00735726">
              <w:rPr>
                <w:rFonts w:ascii="Arial" w:hAnsi="Arial" w:cs="Arial"/>
                <w:sz w:val="17"/>
                <w:szCs w:val="17"/>
              </w:rPr>
              <w:t>Reviewed our information security systems and assessed mitigating measures to avoid cyber</w:t>
            </w:r>
            <w:r w:rsidR="00BB6CF9" w:rsidRPr="00735726">
              <w:rPr>
                <w:rFonts w:ascii="Arial" w:hAnsi="Arial" w:cs="Arial"/>
                <w:sz w:val="17"/>
                <w:szCs w:val="17"/>
              </w:rPr>
              <w:t>-</w:t>
            </w:r>
            <w:r w:rsidRPr="00735726">
              <w:rPr>
                <w:rFonts w:ascii="Arial" w:hAnsi="Arial" w:cs="Arial"/>
                <w:sz w:val="17"/>
                <w:szCs w:val="17"/>
              </w:rPr>
              <w:t>attacks</w:t>
            </w:r>
            <w:r w:rsidR="00BB6CF9" w:rsidRPr="00735726">
              <w:rPr>
                <w:rFonts w:ascii="Arial" w:hAnsi="Arial" w:cs="Arial"/>
                <w:sz w:val="17"/>
                <w:szCs w:val="17"/>
              </w:rPr>
              <w:t>.</w:t>
            </w:r>
          </w:p>
        </w:tc>
        <w:tc>
          <w:tcPr>
            <w:tcW w:w="4014" w:type="dxa"/>
            <w:gridSpan w:val="2"/>
            <w:tcBorders>
              <w:top w:val="single" w:sz="6" w:space="0" w:color="auto"/>
              <w:left w:val="nil"/>
              <w:bottom w:val="single" w:sz="6" w:space="0" w:color="auto"/>
              <w:right w:val="nil"/>
            </w:tcBorders>
          </w:tcPr>
          <w:p w14:paraId="0C6E7D6C" w14:textId="77777777" w:rsidR="004F030D" w:rsidRPr="00735726" w:rsidRDefault="004F030D" w:rsidP="00881565">
            <w:pPr>
              <w:rPr>
                <w:rFonts w:ascii="Arial" w:hAnsi="Arial" w:cs="Arial"/>
                <w:sz w:val="17"/>
                <w:szCs w:val="17"/>
              </w:rPr>
            </w:pPr>
            <w:r w:rsidRPr="00735726">
              <w:rPr>
                <w:rFonts w:ascii="Arial" w:hAnsi="Arial" w:cs="Arial"/>
                <w:sz w:val="17"/>
                <w:szCs w:val="17"/>
              </w:rPr>
              <w:t>Continued protection of sensitive data of our customers and our people and ensure business preparedness to tackle this risk.</w:t>
            </w:r>
          </w:p>
          <w:p w14:paraId="05CE40D9" w14:textId="2CFF066F" w:rsidR="004F030D" w:rsidRPr="00735726" w:rsidRDefault="004F030D" w:rsidP="00881565">
            <w:pPr>
              <w:rPr>
                <w:rFonts w:ascii="Arial" w:hAnsi="Arial" w:cs="Arial"/>
                <w:sz w:val="17"/>
                <w:szCs w:val="17"/>
              </w:rPr>
            </w:pPr>
          </w:p>
        </w:tc>
        <w:tc>
          <w:tcPr>
            <w:tcW w:w="1418" w:type="dxa"/>
            <w:tcBorders>
              <w:top w:val="single" w:sz="6" w:space="0" w:color="auto"/>
              <w:left w:val="nil"/>
              <w:bottom w:val="single" w:sz="6" w:space="0" w:color="auto"/>
              <w:right w:val="single" w:sz="4" w:space="0" w:color="auto"/>
            </w:tcBorders>
          </w:tcPr>
          <w:p w14:paraId="549A898A" w14:textId="391137E3" w:rsidR="004F030D" w:rsidRPr="00735726" w:rsidRDefault="00B9082D"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People</w:t>
            </w:r>
            <w:r w:rsidRPr="00735726">
              <w:rPr>
                <w:rFonts w:ascii="Arial" w:hAnsi="Arial" w:cs="Arial"/>
                <w:b/>
                <w:bCs/>
                <w:sz w:val="17"/>
                <w:szCs w:val="17"/>
              </w:rPr>
              <w:br/>
              <w:t>Suppliers</w:t>
            </w:r>
            <w:r w:rsidR="00BB6CF9" w:rsidRPr="00735726">
              <w:rPr>
                <w:rFonts w:ascii="Arial" w:hAnsi="Arial" w:cs="Arial"/>
                <w:b/>
                <w:bCs/>
                <w:sz w:val="17"/>
                <w:szCs w:val="17"/>
              </w:rPr>
              <w:t xml:space="preserve"> </w:t>
            </w:r>
            <w:r w:rsidRPr="00735726">
              <w:rPr>
                <w:rFonts w:ascii="Arial" w:hAnsi="Arial" w:cs="Arial"/>
                <w:b/>
                <w:bCs/>
                <w:sz w:val="17"/>
                <w:szCs w:val="17"/>
              </w:rPr>
              <w:br/>
              <w:t>Regulators</w:t>
            </w:r>
            <w:r w:rsidRPr="00735726">
              <w:rPr>
                <w:rFonts w:ascii="Arial" w:hAnsi="Arial" w:cs="Arial"/>
                <w:b/>
                <w:bCs/>
                <w:sz w:val="17"/>
                <w:szCs w:val="17"/>
              </w:rPr>
              <w:br/>
              <w:t>Communities</w:t>
            </w:r>
          </w:p>
        </w:tc>
      </w:tr>
      <w:tr w:rsidR="004F030D" w:rsidRPr="00735726" w14:paraId="43ECE76D" w14:textId="77777777" w:rsidTr="00881565">
        <w:trPr>
          <w:trHeight w:val="586"/>
        </w:trPr>
        <w:tc>
          <w:tcPr>
            <w:tcW w:w="1294" w:type="dxa"/>
            <w:tcBorders>
              <w:left w:val="single" w:sz="4" w:space="0" w:color="auto"/>
              <w:bottom w:val="single" w:sz="6" w:space="0" w:color="auto"/>
              <w:right w:val="nil"/>
            </w:tcBorders>
          </w:tcPr>
          <w:p w14:paraId="2F2378C1" w14:textId="31393B62" w:rsidR="004F030D" w:rsidRPr="00735726" w:rsidRDefault="004F030D" w:rsidP="00881565">
            <w:pPr>
              <w:spacing w:after="0"/>
              <w:rPr>
                <w:rFonts w:ascii="Arial" w:hAnsi="Arial" w:cs="Arial"/>
                <w:b/>
                <w:bCs/>
                <w:sz w:val="17"/>
                <w:szCs w:val="17"/>
              </w:rPr>
            </w:pPr>
            <w:r w:rsidRPr="00735726">
              <w:rPr>
                <w:rFonts w:ascii="Arial" w:hAnsi="Arial" w:cs="Arial"/>
                <w:b/>
                <w:bCs/>
                <w:sz w:val="17"/>
                <w:szCs w:val="17"/>
              </w:rPr>
              <w:t xml:space="preserve">Compliance, </w:t>
            </w:r>
            <w:r w:rsidR="00BB6CF9" w:rsidRPr="00735726">
              <w:rPr>
                <w:rFonts w:ascii="Arial" w:hAnsi="Arial" w:cs="Arial"/>
                <w:b/>
                <w:bCs/>
                <w:sz w:val="17"/>
                <w:szCs w:val="17"/>
              </w:rPr>
              <w:t>g</w:t>
            </w:r>
            <w:r w:rsidRPr="00735726">
              <w:rPr>
                <w:rFonts w:ascii="Arial" w:hAnsi="Arial" w:cs="Arial"/>
                <w:b/>
                <w:bCs/>
                <w:sz w:val="17"/>
                <w:szCs w:val="17"/>
              </w:rPr>
              <w:t xml:space="preserve">overnance, </w:t>
            </w:r>
            <w:r w:rsidR="00BB6CF9" w:rsidRPr="00735726">
              <w:rPr>
                <w:rFonts w:ascii="Arial" w:hAnsi="Arial" w:cs="Arial"/>
                <w:b/>
                <w:bCs/>
                <w:sz w:val="17"/>
                <w:szCs w:val="17"/>
              </w:rPr>
              <w:t>l</w:t>
            </w:r>
            <w:r w:rsidRPr="00735726">
              <w:rPr>
                <w:rFonts w:ascii="Arial" w:hAnsi="Arial" w:cs="Arial"/>
                <w:b/>
                <w:bCs/>
                <w:sz w:val="17"/>
                <w:szCs w:val="17"/>
              </w:rPr>
              <w:t xml:space="preserve">egal and </w:t>
            </w:r>
            <w:r w:rsidR="00BB6CF9" w:rsidRPr="00735726">
              <w:rPr>
                <w:rFonts w:ascii="Arial" w:hAnsi="Arial" w:cs="Arial"/>
                <w:b/>
                <w:bCs/>
                <w:sz w:val="17"/>
                <w:szCs w:val="17"/>
              </w:rPr>
              <w:t>r</w:t>
            </w:r>
            <w:r w:rsidRPr="00735726">
              <w:rPr>
                <w:rFonts w:ascii="Arial" w:hAnsi="Arial" w:cs="Arial"/>
                <w:b/>
                <w:bCs/>
                <w:sz w:val="17"/>
                <w:szCs w:val="17"/>
              </w:rPr>
              <w:t>egulatory</w:t>
            </w:r>
          </w:p>
          <w:p w14:paraId="7EDC5BC7" w14:textId="77777777" w:rsidR="004F030D" w:rsidRPr="00735726" w:rsidRDefault="004F030D" w:rsidP="00881565">
            <w:pPr>
              <w:spacing w:after="0" w:line="360" w:lineRule="auto"/>
              <w:rPr>
                <w:rFonts w:ascii="Arial" w:hAnsi="Arial" w:cs="Arial"/>
                <w:sz w:val="17"/>
                <w:szCs w:val="17"/>
              </w:rPr>
            </w:pPr>
          </w:p>
        </w:tc>
        <w:tc>
          <w:tcPr>
            <w:tcW w:w="3187" w:type="dxa"/>
            <w:tcBorders>
              <w:top w:val="single" w:sz="6" w:space="0" w:color="auto"/>
              <w:left w:val="nil"/>
              <w:bottom w:val="single" w:sz="6" w:space="0" w:color="auto"/>
              <w:right w:val="nil"/>
            </w:tcBorders>
          </w:tcPr>
          <w:p w14:paraId="66B9CF10" w14:textId="7BA7F06C" w:rsidR="004F030D" w:rsidRPr="00735726" w:rsidRDefault="004F030D" w:rsidP="00881565">
            <w:pPr>
              <w:spacing w:after="0"/>
              <w:rPr>
                <w:rFonts w:ascii="Arial" w:hAnsi="Arial" w:cs="Arial"/>
                <w:sz w:val="17"/>
                <w:szCs w:val="17"/>
              </w:rPr>
            </w:pPr>
            <w:r w:rsidRPr="00735726">
              <w:rPr>
                <w:rFonts w:ascii="Arial" w:hAnsi="Arial" w:cs="Arial"/>
                <w:sz w:val="17"/>
                <w:szCs w:val="17"/>
              </w:rPr>
              <w:t>Regular updates on Corporate Governance and key legal developments during the year</w:t>
            </w:r>
            <w:r w:rsidR="00BB6CF9" w:rsidRPr="00735726">
              <w:rPr>
                <w:rFonts w:ascii="Arial" w:hAnsi="Arial" w:cs="Arial"/>
                <w:sz w:val="17"/>
                <w:szCs w:val="17"/>
              </w:rPr>
              <w:t>.</w:t>
            </w:r>
          </w:p>
        </w:tc>
        <w:tc>
          <w:tcPr>
            <w:tcW w:w="4014" w:type="dxa"/>
            <w:gridSpan w:val="2"/>
            <w:tcBorders>
              <w:top w:val="single" w:sz="6" w:space="0" w:color="auto"/>
              <w:left w:val="nil"/>
              <w:bottom w:val="single" w:sz="6" w:space="0" w:color="auto"/>
              <w:right w:val="nil"/>
            </w:tcBorders>
          </w:tcPr>
          <w:p w14:paraId="014976B4" w14:textId="5FC00F5D" w:rsidR="004F030D" w:rsidRPr="00735726" w:rsidRDefault="004F030D" w:rsidP="00881565">
            <w:pPr>
              <w:rPr>
                <w:rFonts w:ascii="Arial" w:hAnsi="Arial" w:cs="Arial"/>
                <w:sz w:val="17"/>
                <w:szCs w:val="17"/>
              </w:rPr>
            </w:pPr>
            <w:r w:rsidRPr="00735726">
              <w:rPr>
                <w:rFonts w:ascii="Arial" w:hAnsi="Arial" w:cs="Arial"/>
                <w:sz w:val="17"/>
                <w:szCs w:val="17"/>
              </w:rPr>
              <w:t>Continued alignment of plans to ensure appropriate compliance/best practice governance.</w:t>
            </w:r>
          </w:p>
          <w:p w14:paraId="7A5B7B5A" w14:textId="0E83F0CF" w:rsidR="004F030D" w:rsidRPr="00735726" w:rsidRDefault="004F030D" w:rsidP="00881565">
            <w:pPr>
              <w:rPr>
                <w:rFonts w:ascii="Arial" w:hAnsi="Arial" w:cs="Arial"/>
                <w:sz w:val="17"/>
                <w:szCs w:val="17"/>
              </w:rPr>
            </w:pPr>
          </w:p>
        </w:tc>
        <w:tc>
          <w:tcPr>
            <w:tcW w:w="1418" w:type="dxa"/>
            <w:tcBorders>
              <w:top w:val="single" w:sz="6" w:space="0" w:color="auto"/>
              <w:left w:val="nil"/>
              <w:bottom w:val="single" w:sz="6" w:space="0" w:color="auto"/>
              <w:right w:val="single" w:sz="4" w:space="0" w:color="auto"/>
            </w:tcBorders>
          </w:tcPr>
          <w:p w14:paraId="22983318" w14:textId="76B9DB90" w:rsidR="004F030D" w:rsidRPr="00735726" w:rsidRDefault="004F030D" w:rsidP="00881565">
            <w:pPr>
              <w:rPr>
                <w:rFonts w:ascii="Arial" w:hAnsi="Arial" w:cs="Arial"/>
                <w:b/>
                <w:bCs/>
                <w:sz w:val="17"/>
                <w:szCs w:val="17"/>
              </w:rPr>
            </w:pPr>
            <w:r w:rsidRPr="00735726">
              <w:rPr>
                <w:rFonts w:ascii="Arial" w:hAnsi="Arial" w:cs="Arial"/>
                <w:b/>
                <w:bCs/>
                <w:sz w:val="17"/>
                <w:szCs w:val="17"/>
              </w:rPr>
              <w:t>Customers</w:t>
            </w:r>
            <w:r w:rsidRPr="00735726">
              <w:rPr>
                <w:rFonts w:ascii="Arial" w:hAnsi="Arial" w:cs="Arial"/>
                <w:b/>
                <w:bCs/>
                <w:sz w:val="17"/>
                <w:szCs w:val="17"/>
              </w:rPr>
              <w:br/>
              <w:t>People</w:t>
            </w:r>
            <w:r w:rsidRPr="00735726">
              <w:rPr>
                <w:rFonts w:ascii="Arial" w:hAnsi="Arial" w:cs="Arial"/>
                <w:b/>
                <w:bCs/>
                <w:sz w:val="17"/>
                <w:szCs w:val="17"/>
              </w:rPr>
              <w:br/>
            </w:r>
          </w:p>
        </w:tc>
      </w:tr>
    </w:tbl>
    <w:p w14:paraId="727713EA" w14:textId="77777777" w:rsidR="004F030D" w:rsidRPr="009A2CAE" w:rsidRDefault="004F030D" w:rsidP="004F030D">
      <w:pPr>
        <w:spacing w:after="160" w:line="259" w:lineRule="auto"/>
        <w:rPr>
          <w:rFonts w:ascii="Arial" w:eastAsia="Times New Roman" w:hAnsi="Arial" w:cs="DINOT"/>
          <w:caps/>
          <w:color w:val="000000"/>
          <w:sz w:val="32"/>
          <w:szCs w:val="32"/>
        </w:rPr>
      </w:pPr>
      <w:r w:rsidRPr="009A2CAE">
        <w:rPr>
          <w:rFonts w:ascii="Arial" w:eastAsia="Times New Roman" w:hAnsi="Arial" w:cs="DINOT"/>
          <w:caps/>
          <w:color w:val="000000"/>
          <w:sz w:val="32"/>
          <w:szCs w:val="32"/>
        </w:rPr>
        <w:br w:type="page"/>
      </w:r>
    </w:p>
    <w:p w14:paraId="4B91390C" w14:textId="77777777" w:rsidR="00011407" w:rsidRPr="00735726" w:rsidRDefault="00011407" w:rsidP="00011407">
      <w:pPr>
        <w:spacing w:after="160" w:line="259" w:lineRule="auto"/>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How the board engages with stakeholders</w:t>
      </w:r>
    </w:p>
    <w:p w14:paraId="1D465236" w14:textId="77777777" w:rsidR="00011407" w:rsidRPr="00735726" w:rsidRDefault="00011407" w:rsidP="005A5668">
      <w:pPr>
        <w:rPr>
          <w:rFonts w:ascii="Arial" w:hAnsi="Arial" w:cs="Arial"/>
          <w:sz w:val="18"/>
          <w:szCs w:val="18"/>
        </w:rPr>
      </w:pPr>
      <w:r w:rsidRPr="00735726">
        <w:rPr>
          <w:rFonts w:ascii="Arial" w:hAnsi="Arial" w:cs="Arial"/>
          <w:sz w:val="18"/>
          <w:szCs w:val="18"/>
        </w:rPr>
        <w:t xml:space="preserve">The Board understands the role the Company </w:t>
      </w:r>
      <w:proofErr w:type="gramStart"/>
      <w:r w:rsidRPr="00735726">
        <w:rPr>
          <w:rFonts w:ascii="Arial" w:hAnsi="Arial" w:cs="Arial"/>
          <w:sz w:val="18"/>
          <w:szCs w:val="18"/>
        </w:rPr>
        <w:t>has to</w:t>
      </w:r>
      <w:proofErr w:type="gramEnd"/>
      <w:r w:rsidRPr="00735726">
        <w:rPr>
          <w:rFonts w:ascii="Arial" w:hAnsi="Arial" w:cs="Arial"/>
          <w:sz w:val="18"/>
          <w:szCs w:val="18"/>
        </w:rPr>
        <w:t xml:space="preserve"> play in creating a more sustainable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and </w:t>
      </w:r>
      <w:proofErr w:type="gramStart"/>
      <w:r w:rsidRPr="00735726">
        <w:rPr>
          <w:rFonts w:ascii="Arial" w:hAnsi="Arial" w:cs="Arial"/>
          <w:sz w:val="18"/>
          <w:szCs w:val="18"/>
        </w:rPr>
        <w:t>UK as a whole</w:t>
      </w:r>
      <w:proofErr w:type="gramEnd"/>
      <w:r w:rsidRPr="00735726">
        <w:rPr>
          <w:rFonts w:ascii="Arial" w:hAnsi="Arial" w:cs="Arial"/>
          <w:sz w:val="18"/>
          <w:szCs w:val="18"/>
        </w:rPr>
        <w:t>. We are committed to carrying out our business in a responsible way and to continuously improving how we provide all our services for the benefit of all our stakeholders.</w:t>
      </w:r>
    </w:p>
    <w:p w14:paraId="579F7C19" w14:textId="64516C1E" w:rsidR="00DC658F" w:rsidRPr="00735726" w:rsidRDefault="00DC658F" w:rsidP="005A5668">
      <w:pPr>
        <w:rPr>
          <w:rFonts w:ascii="Arial" w:hAnsi="Arial" w:cs="Arial"/>
          <w:sz w:val="18"/>
          <w:szCs w:val="18"/>
        </w:rPr>
      </w:pPr>
      <w:r w:rsidRPr="00735726">
        <w:rPr>
          <w:rFonts w:ascii="Arial" w:hAnsi="Arial" w:cs="Arial"/>
          <w:sz w:val="18"/>
          <w:szCs w:val="18"/>
        </w:rPr>
        <w:t xml:space="preserve">Our section 172(1) statement describes in more detail how the Board considers the interests of all our stakeholders when carrying out its duties.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is committed to ensuring that its decision-making process </w:t>
      </w:r>
      <w:proofErr w:type="gramStart"/>
      <w:r w:rsidRPr="00735726">
        <w:rPr>
          <w:rFonts w:ascii="Arial" w:hAnsi="Arial" w:cs="Arial"/>
          <w:sz w:val="18"/>
          <w:szCs w:val="18"/>
        </w:rPr>
        <w:t>takes into account</w:t>
      </w:r>
      <w:proofErr w:type="gramEnd"/>
      <w:r w:rsidRPr="00735726">
        <w:rPr>
          <w:rFonts w:ascii="Arial" w:hAnsi="Arial" w:cs="Arial"/>
          <w:sz w:val="18"/>
          <w:szCs w:val="18"/>
        </w:rPr>
        <w:t xml:space="preserve"> the interests of all key stakeholders, including our customers, communities, people</w:t>
      </w:r>
      <w:r w:rsidR="003420B6" w:rsidRPr="00735726">
        <w:rPr>
          <w:rFonts w:ascii="Arial" w:hAnsi="Arial" w:cs="Arial"/>
          <w:sz w:val="18"/>
          <w:szCs w:val="18"/>
        </w:rPr>
        <w:t xml:space="preserve"> and </w:t>
      </w:r>
      <w:r w:rsidRPr="00735726">
        <w:rPr>
          <w:rFonts w:ascii="Arial" w:hAnsi="Arial" w:cs="Arial"/>
          <w:sz w:val="18"/>
          <w:szCs w:val="18"/>
        </w:rPr>
        <w:t xml:space="preserve">suppliers. Our </w:t>
      </w:r>
      <w:r w:rsidR="00583EE4" w:rsidRPr="00735726">
        <w:rPr>
          <w:rFonts w:ascii="Arial" w:hAnsi="Arial" w:cs="Arial"/>
          <w:sz w:val="18"/>
          <w:szCs w:val="18"/>
        </w:rPr>
        <w:t>D</w:t>
      </w:r>
      <w:r w:rsidRPr="00735726">
        <w:rPr>
          <w:rFonts w:ascii="Arial" w:hAnsi="Arial" w:cs="Arial"/>
          <w:sz w:val="18"/>
          <w:szCs w:val="18"/>
        </w:rPr>
        <w:t xml:space="preserve">irectors take their duties under this section seriously and carefully consider the long-term impact of their decisions. </w:t>
      </w:r>
    </w:p>
    <w:p w14:paraId="1C68A4C6" w14:textId="38AE0122" w:rsidR="00DC658F" w:rsidRPr="00735726" w:rsidRDefault="00DC658F" w:rsidP="005A5668">
      <w:pPr>
        <w:rPr>
          <w:rFonts w:ascii="Arial" w:hAnsi="Arial" w:cs="Arial"/>
          <w:sz w:val="18"/>
          <w:szCs w:val="18"/>
        </w:rPr>
      </w:pPr>
      <w:r w:rsidRPr="00735726">
        <w:rPr>
          <w:rFonts w:ascii="Arial" w:hAnsi="Arial" w:cs="Arial"/>
          <w:sz w:val="18"/>
          <w:szCs w:val="18"/>
        </w:rPr>
        <w:t>In fulfilling their duties, our Board engage with stakeholders through a variety of channels to understand their views and priorities. This includes direct engagement with customers, employee feedback mechanisms, consultations with regulators, and community outreach program</w:t>
      </w:r>
      <w:r w:rsidR="00583EE4" w:rsidRPr="00735726">
        <w:rPr>
          <w:rFonts w:ascii="Arial" w:hAnsi="Arial" w:cs="Arial"/>
          <w:sz w:val="18"/>
          <w:szCs w:val="18"/>
        </w:rPr>
        <w:t>me</w:t>
      </w:r>
      <w:r w:rsidRPr="00735726">
        <w:rPr>
          <w:rFonts w:ascii="Arial" w:hAnsi="Arial" w:cs="Arial"/>
          <w:sz w:val="18"/>
          <w:szCs w:val="18"/>
        </w:rPr>
        <w:t xml:space="preserve">s. By integrating these perspectives into our decision-making, we aim to create value, while also ensuring the sustainable use and protection of our water resources. </w:t>
      </w:r>
    </w:p>
    <w:p w14:paraId="4D092E40" w14:textId="77777777" w:rsidR="00404BCA" w:rsidRPr="00735726" w:rsidRDefault="00011407" w:rsidP="00404BCA">
      <w:pPr>
        <w:autoSpaceDE w:val="0"/>
        <w:autoSpaceDN w:val="0"/>
        <w:adjustRightInd w:val="0"/>
        <w:spacing w:after="0"/>
        <w:rPr>
          <w:rFonts w:ascii="Arial" w:hAnsi="Arial" w:cs="Arial"/>
          <w:sz w:val="18"/>
          <w:szCs w:val="18"/>
        </w:rPr>
      </w:pPr>
      <w:r w:rsidRPr="00735726">
        <w:rPr>
          <w:rFonts w:ascii="Arial" w:eastAsia="Times New Roman" w:hAnsi="Arial" w:cs="Arial"/>
          <w:b/>
          <w:bCs/>
          <w:caps/>
          <w:color w:val="000000"/>
          <w:sz w:val="18"/>
          <w:szCs w:val="18"/>
        </w:rPr>
        <w:t>ENGAGING WITH OUR CUSTOMERS AND COMMUNITIES</w:t>
      </w:r>
      <w:r w:rsidRPr="00735726">
        <w:rPr>
          <w:rFonts w:ascii="Arial" w:eastAsia="Times New Roman" w:hAnsi="Arial" w:cs="Arial"/>
          <w:b/>
          <w:bCs/>
          <w:caps/>
          <w:color w:val="000000"/>
          <w:sz w:val="18"/>
          <w:szCs w:val="18"/>
        </w:rPr>
        <w:br/>
      </w:r>
      <w:r w:rsidR="003420B6" w:rsidRPr="00735726">
        <w:rPr>
          <w:rFonts w:ascii="Arial" w:hAnsi="Arial" w:cs="Arial"/>
          <w:sz w:val="18"/>
          <w:szCs w:val="18"/>
        </w:rPr>
        <w:t xml:space="preserve">The </w:t>
      </w:r>
      <w:proofErr w:type="spellStart"/>
      <w:r w:rsidR="003420B6" w:rsidRPr="00735726">
        <w:rPr>
          <w:rFonts w:ascii="Arial" w:hAnsi="Arial" w:cs="Arial"/>
          <w:sz w:val="18"/>
          <w:szCs w:val="18"/>
        </w:rPr>
        <w:t>WaterShare</w:t>
      </w:r>
      <w:proofErr w:type="spellEnd"/>
      <w:r w:rsidR="003420B6" w:rsidRPr="00735726">
        <w:rPr>
          <w:rFonts w:ascii="Arial" w:hAnsi="Arial" w:cs="Arial"/>
          <w:sz w:val="18"/>
          <w:szCs w:val="18"/>
        </w:rPr>
        <w:t xml:space="preserve">+ customer meetings are an opportunity for our customers to provide direct feedback to our independent </w:t>
      </w:r>
      <w:proofErr w:type="spellStart"/>
      <w:r w:rsidR="003420B6" w:rsidRPr="00735726">
        <w:rPr>
          <w:rFonts w:ascii="Arial" w:hAnsi="Arial" w:cs="Arial"/>
          <w:sz w:val="18"/>
          <w:szCs w:val="18"/>
        </w:rPr>
        <w:t>WaterShare</w:t>
      </w:r>
      <w:proofErr w:type="spellEnd"/>
      <w:r w:rsidR="003420B6" w:rsidRPr="00735726">
        <w:rPr>
          <w:rFonts w:ascii="Arial" w:hAnsi="Arial" w:cs="Arial"/>
          <w:sz w:val="18"/>
          <w:szCs w:val="18"/>
        </w:rPr>
        <w:t>+ Advisory Panel, who, in turn, provide direct feedback to our Board.</w:t>
      </w:r>
      <w:r w:rsidR="00404BCA" w:rsidRPr="00735726">
        <w:rPr>
          <w:rFonts w:ascii="Arial" w:hAnsi="Arial" w:cs="Arial"/>
          <w:sz w:val="18"/>
          <w:szCs w:val="18"/>
        </w:rPr>
        <w:t xml:space="preserve"> The </w:t>
      </w:r>
      <w:proofErr w:type="spellStart"/>
      <w:r w:rsidR="00404BCA" w:rsidRPr="00735726">
        <w:rPr>
          <w:rFonts w:ascii="Arial" w:hAnsi="Arial" w:cs="Arial"/>
          <w:sz w:val="18"/>
          <w:szCs w:val="18"/>
        </w:rPr>
        <w:t>WaterShare</w:t>
      </w:r>
      <w:proofErr w:type="spellEnd"/>
      <w:r w:rsidR="00404BCA" w:rsidRPr="00735726">
        <w:rPr>
          <w:rFonts w:ascii="Arial" w:hAnsi="Arial" w:cs="Arial"/>
          <w:sz w:val="18"/>
          <w:szCs w:val="18"/>
        </w:rPr>
        <w:t>+</w:t>
      </w:r>
    </w:p>
    <w:p w14:paraId="40A4C6F1" w14:textId="78E003F9" w:rsidR="003420B6" w:rsidRPr="00735726" w:rsidRDefault="00404BCA" w:rsidP="00404BCA">
      <w:pPr>
        <w:autoSpaceDE w:val="0"/>
        <w:autoSpaceDN w:val="0"/>
        <w:adjustRightInd w:val="0"/>
        <w:spacing w:after="0"/>
        <w:rPr>
          <w:rFonts w:ascii="Arial" w:hAnsi="Arial" w:cs="Arial"/>
          <w:sz w:val="18"/>
          <w:szCs w:val="18"/>
        </w:rPr>
      </w:pPr>
      <w:r w:rsidRPr="00735726">
        <w:rPr>
          <w:rFonts w:ascii="Arial" w:hAnsi="Arial" w:cs="Arial"/>
          <w:sz w:val="18"/>
          <w:szCs w:val="18"/>
        </w:rPr>
        <w:t>Panel champions the customer voice, ensuring that consumer views are actively represented in Board level decision-making.</w:t>
      </w:r>
    </w:p>
    <w:p w14:paraId="5C6DD982" w14:textId="77777777" w:rsidR="003420B6" w:rsidRPr="00735726" w:rsidRDefault="003420B6" w:rsidP="005A5668">
      <w:pPr>
        <w:autoSpaceDE w:val="0"/>
        <w:autoSpaceDN w:val="0"/>
        <w:adjustRightInd w:val="0"/>
        <w:spacing w:after="0"/>
        <w:rPr>
          <w:rFonts w:ascii="Arial" w:hAnsi="Arial" w:cs="Arial"/>
          <w:sz w:val="18"/>
          <w:szCs w:val="18"/>
        </w:rPr>
      </w:pPr>
    </w:p>
    <w:p w14:paraId="491B307E" w14:textId="45055946" w:rsidR="00CE1AFE" w:rsidRPr="00735726" w:rsidRDefault="00CE1AFE" w:rsidP="005A5668">
      <w:pPr>
        <w:rPr>
          <w:rFonts w:ascii="Arial" w:hAnsi="Arial" w:cs="Arial"/>
          <w:sz w:val="18"/>
          <w:szCs w:val="18"/>
        </w:rPr>
      </w:pPr>
      <w:r w:rsidRPr="00735726">
        <w:rPr>
          <w:rFonts w:ascii="Arial" w:hAnsi="Arial" w:cs="Arial"/>
          <w:sz w:val="18"/>
          <w:szCs w:val="18"/>
        </w:rPr>
        <w:t>The Chief Executive Officer’s monthly report, which is presented to the Board and discussed at every meeting, included updates on customer engagement sessions conducted as part of the PR24 Business plan process.</w:t>
      </w:r>
    </w:p>
    <w:p w14:paraId="63104343" w14:textId="6C6689A6" w:rsidR="00011407" w:rsidRPr="009A2CAE" w:rsidRDefault="00011407" w:rsidP="005A5668">
      <w:pPr>
        <w:autoSpaceDE w:val="0"/>
        <w:autoSpaceDN w:val="0"/>
        <w:adjustRightInd w:val="0"/>
        <w:spacing w:after="0"/>
        <w:rPr>
          <w:rFonts w:ascii="Arial" w:hAnsi="Arial" w:cs="Arial"/>
          <w:sz w:val="18"/>
          <w:szCs w:val="18"/>
        </w:rPr>
      </w:pPr>
      <w:r w:rsidRPr="00735726">
        <w:rPr>
          <w:rFonts w:ascii="Arial" w:hAnsi="Arial" w:cs="Arial"/>
          <w:sz w:val="18"/>
          <w:szCs w:val="18"/>
        </w:rPr>
        <w:t xml:space="preserve">The </w:t>
      </w:r>
      <w:proofErr w:type="spellStart"/>
      <w:r w:rsidRPr="00735726">
        <w:rPr>
          <w:rFonts w:ascii="Arial" w:hAnsi="Arial" w:cs="Arial"/>
          <w:sz w:val="18"/>
          <w:szCs w:val="18"/>
        </w:rPr>
        <w:t>WaterShare</w:t>
      </w:r>
      <w:proofErr w:type="spellEnd"/>
      <w:r w:rsidRPr="00735726">
        <w:rPr>
          <w:rFonts w:ascii="Arial" w:hAnsi="Arial" w:cs="Arial"/>
          <w:sz w:val="18"/>
          <w:szCs w:val="18"/>
        </w:rPr>
        <w:t xml:space="preserve">+ scheme was developed in direct response to feedback from our customers who said they would like to share in the success of the Company, alongside giving them a greater say in our business. The first </w:t>
      </w:r>
      <w:proofErr w:type="spellStart"/>
      <w:r w:rsidRPr="00735726">
        <w:rPr>
          <w:rFonts w:ascii="Arial" w:hAnsi="Arial" w:cs="Arial"/>
          <w:sz w:val="18"/>
          <w:szCs w:val="18"/>
        </w:rPr>
        <w:t>WaterShare</w:t>
      </w:r>
      <w:proofErr w:type="spellEnd"/>
      <w:r w:rsidRPr="00735726">
        <w:rPr>
          <w:rFonts w:ascii="Arial" w:hAnsi="Arial" w:cs="Arial"/>
          <w:sz w:val="18"/>
          <w:szCs w:val="18"/>
        </w:rPr>
        <w:t>+ scheme was launched in 2020 and returned £20</w:t>
      </w:r>
      <w:r w:rsidR="00CE1AFE" w:rsidRPr="00735726">
        <w:rPr>
          <w:rFonts w:ascii="Arial" w:hAnsi="Arial" w:cs="Arial"/>
          <w:sz w:val="18"/>
          <w:szCs w:val="18"/>
        </w:rPr>
        <w:t xml:space="preserve"> </w:t>
      </w:r>
      <w:r w:rsidRPr="00735726">
        <w:rPr>
          <w:rFonts w:ascii="Arial" w:hAnsi="Arial" w:cs="Arial"/>
          <w:sz w:val="18"/>
          <w:szCs w:val="18"/>
        </w:rPr>
        <w:t>m</w:t>
      </w:r>
      <w:r w:rsidR="00CE1AFE" w:rsidRPr="00735726">
        <w:rPr>
          <w:rFonts w:ascii="Arial" w:hAnsi="Arial" w:cs="Arial"/>
          <w:sz w:val="18"/>
          <w:szCs w:val="18"/>
        </w:rPr>
        <w:t>illion</w:t>
      </w:r>
      <w:r w:rsidRPr="00735726">
        <w:rPr>
          <w:rFonts w:ascii="Arial" w:hAnsi="Arial" w:cs="Arial"/>
          <w:sz w:val="18"/>
          <w:szCs w:val="18"/>
        </w:rPr>
        <w:t xml:space="preserve"> to customers as a reduction of £20 on their bill. Eligible customer had the option of choosing a minimum of £20 in </w:t>
      </w:r>
      <w:r w:rsidR="00CE1AFE" w:rsidRPr="00735726">
        <w:rPr>
          <w:rFonts w:ascii="Arial" w:hAnsi="Arial" w:cs="Arial"/>
          <w:sz w:val="18"/>
          <w:szCs w:val="18"/>
        </w:rPr>
        <w:t xml:space="preserve">our parent </w:t>
      </w:r>
      <w:r w:rsidR="003B36A4" w:rsidRPr="00735726">
        <w:rPr>
          <w:rFonts w:ascii="Arial" w:hAnsi="Arial" w:cs="Arial"/>
          <w:sz w:val="18"/>
          <w:szCs w:val="18"/>
        </w:rPr>
        <w:t>C</w:t>
      </w:r>
      <w:r w:rsidR="00CE1AFE" w:rsidRPr="00735726">
        <w:rPr>
          <w:rFonts w:ascii="Arial" w:hAnsi="Arial" w:cs="Arial"/>
          <w:sz w:val="18"/>
          <w:szCs w:val="18"/>
        </w:rPr>
        <w:t xml:space="preserve">ompany, </w:t>
      </w:r>
      <w:r w:rsidRPr="00735726">
        <w:rPr>
          <w:rFonts w:ascii="Arial" w:hAnsi="Arial" w:cs="Arial"/>
          <w:sz w:val="18"/>
          <w:szCs w:val="18"/>
        </w:rPr>
        <w:t>Pennon</w:t>
      </w:r>
      <w:r w:rsidR="00CE1AFE" w:rsidRPr="00735726">
        <w:rPr>
          <w:rFonts w:ascii="Arial" w:hAnsi="Arial" w:cs="Arial"/>
          <w:sz w:val="18"/>
          <w:szCs w:val="18"/>
        </w:rPr>
        <w:t xml:space="preserve"> Group plc,</w:t>
      </w:r>
      <w:r w:rsidRPr="00735726">
        <w:rPr>
          <w:rFonts w:ascii="Arial" w:hAnsi="Arial" w:cs="Arial"/>
          <w:sz w:val="18"/>
          <w:szCs w:val="18"/>
        </w:rPr>
        <w:t xml:space="preserve"> shares. In November 2022, the second </w:t>
      </w:r>
      <w:proofErr w:type="spellStart"/>
      <w:r w:rsidRPr="00735726">
        <w:rPr>
          <w:rFonts w:ascii="Arial" w:hAnsi="Arial" w:cs="Arial"/>
          <w:sz w:val="18"/>
          <w:szCs w:val="18"/>
        </w:rPr>
        <w:t>Wat</w:t>
      </w:r>
      <w:r w:rsidR="00CE1AFE" w:rsidRPr="00735726">
        <w:rPr>
          <w:rFonts w:ascii="Arial" w:hAnsi="Arial" w:cs="Arial"/>
          <w:sz w:val="18"/>
          <w:szCs w:val="18"/>
        </w:rPr>
        <w:t>e</w:t>
      </w:r>
      <w:r w:rsidRPr="00735726">
        <w:rPr>
          <w:rFonts w:ascii="Arial" w:hAnsi="Arial" w:cs="Arial"/>
          <w:sz w:val="18"/>
          <w:szCs w:val="18"/>
        </w:rPr>
        <w:t>rshare</w:t>
      </w:r>
      <w:proofErr w:type="spellEnd"/>
      <w:r w:rsidRPr="00735726">
        <w:rPr>
          <w:rFonts w:ascii="Arial" w:hAnsi="Arial" w:cs="Arial"/>
          <w:sz w:val="18"/>
          <w:szCs w:val="18"/>
        </w:rPr>
        <w:t>+ scheme was launched and returned c.£20</w:t>
      </w:r>
      <w:r w:rsidR="00CE1AFE" w:rsidRPr="00735726">
        <w:rPr>
          <w:rFonts w:ascii="Arial" w:hAnsi="Arial" w:cs="Arial"/>
          <w:sz w:val="18"/>
          <w:szCs w:val="18"/>
        </w:rPr>
        <w:t xml:space="preserve"> </w:t>
      </w:r>
      <w:r w:rsidRPr="00735726">
        <w:rPr>
          <w:rFonts w:ascii="Arial" w:hAnsi="Arial" w:cs="Arial"/>
          <w:sz w:val="18"/>
          <w:szCs w:val="18"/>
        </w:rPr>
        <w:t>m</w:t>
      </w:r>
      <w:r w:rsidR="00CE1AFE" w:rsidRPr="00735726">
        <w:rPr>
          <w:rFonts w:ascii="Arial" w:hAnsi="Arial" w:cs="Arial"/>
          <w:sz w:val="18"/>
          <w:szCs w:val="18"/>
        </w:rPr>
        <w:t>illion</w:t>
      </w:r>
      <w:r w:rsidRPr="00735726">
        <w:rPr>
          <w:rFonts w:ascii="Arial" w:hAnsi="Arial" w:cs="Arial"/>
          <w:sz w:val="18"/>
          <w:szCs w:val="18"/>
        </w:rPr>
        <w:t xml:space="preserve"> to customers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(including Bournemouth Water) and for the first time, customers of Bristol Water. Eligible customers could choose between £13 reduction on their bill or to opt for a shareholding in </w:t>
      </w:r>
      <w:r w:rsidR="00CE1AFE" w:rsidRPr="00735726">
        <w:rPr>
          <w:rFonts w:ascii="Arial" w:hAnsi="Arial" w:cs="Arial"/>
          <w:sz w:val="18"/>
          <w:szCs w:val="18"/>
        </w:rPr>
        <w:t xml:space="preserve">our parent </w:t>
      </w:r>
      <w:r w:rsidR="003B36A4" w:rsidRPr="00735726">
        <w:rPr>
          <w:rFonts w:ascii="Arial" w:hAnsi="Arial" w:cs="Arial"/>
          <w:sz w:val="18"/>
          <w:szCs w:val="18"/>
        </w:rPr>
        <w:t>C</w:t>
      </w:r>
      <w:r w:rsidR="00CE1AFE" w:rsidRPr="00735726">
        <w:rPr>
          <w:rFonts w:ascii="Arial" w:hAnsi="Arial" w:cs="Arial"/>
          <w:sz w:val="18"/>
          <w:szCs w:val="18"/>
        </w:rPr>
        <w:t xml:space="preserve">ompany </w:t>
      </w:r>
      <w:r w:rsidRPr="00735726">
        <w:rPr>
          <w:rFonts w:ascii="Arial" w:hAnsi="Arial" w:cs="Arial"/>
          <w:sz w:val="18"/>
          <w:szCs w:val="18"/>
        </w:rPr>
        <w:t>Pennon Group</w:t>
      </w:r>
      <w:r w:rsidR="00CE1AFE" w:rsidRPr="00735726">
        <w:rPr>
          <w:rFonts w:ascii="Arial" w:hAnsi="Arial" w:cs="Arial"/>
          <w:sz w:val="18"/>
          <w:szCs w:val="18"/>
        </w:rPr>
        <w:t xml:space="preserve"> plc</w:t>
      </w:r>
      <w:r w:rsidRPr="00735726">
        <w:rPr>
          <w:rFonts w:ascii="Arial" w:hAnsi="Arial" w:cs="Arial"/>
          <w:sz w:val="18"/>
          <w:szCs w:val="18"/>
        </w:rPr>
        <w:t xml:space="preserve">. </w:t>
      </w:r>
    </w:p>
    <w:p w14:paraId="01F1540F" w14:textId="77777777" w:rsidR="00011407" w:rsidRPr="009A2CAE" w:rsidRDefault="00011407" w:rsidP="005A5668">
      <w:pPr>
        <w:autoSpaceDE w:val="0"/>
        <w:autoSpaceDN w:val="0"/>
        <w:adjustRightInd w:val="0"/>
        <w:spacing w:after="0"/>
        <w:rPr>
          <w:rFonts w:ascii="Arial" w:hAnsi="Arial" w:cs="Arial"/>
          <w:sz w:val="18"/>
          <w:szCs w:val="18"/>
        </w:rPr>
      </w:pPr>
    </w:p>
    <w:p w14:paraId="22752765" w14:textId="1B732B42" w:rsidR="00011407" w:rsidRPr="009A2CAE" w:rsidRDefault="00011407" w:rsidP="00404BCA">
      <w:pPr>
        <w:autoSpaceDE w:val="0"/>
        <w:autoSpaceDN w:val="0"/>
        <w:adjustRightInd w:val="0"/>
        <w:spacing w:after="0"/>
        <w:rPr>
          <w:rFonts w:ascii="Arial" w:hAnsi="Arial" w:cs="Arial"/>
          <w:sz w:val="18"/>
          <w:szCs w:val="18"/>
        </w:rPr>
      </w:pPr>
      <w:r w:rsidRPr="00735726">
        <w:rPr>
          <w:rFonts w:ascii="Arial" w:eastAsia="Times New Roman" w:hAnsi="Arial" w:cs="Arial"/>
          <w:b/>
          <w:bCs/>
          <w:caps/>
          <w:color w:val="000000"/>
          <w:sz w:val="18"/>
          <w:szCs w:val="18"/>
        </w:rPr>
        <w:t>ENGAGING WITH OUR PEOPLE</w:t>
      </w:r>
      <w:r w:rsidRPr="00735726">
        <w:rPr>
          <w:rFonts w:ascii="Arial" w:eastAsia="Times New Roman" w:hAnsi="Arial" w:cs="Arial"/>
          <w:b/>
          <w:bCs/>
          <w:caps/>
          <w:color w:val="000000"/>
          <w:sz w:val="18"/>
          <w:szCs w:val="18"/>
        </w:rPr>
        <w:br/>
      </w:r>
      <w:r w:rsidRPr="00735726">
        <w:rPr>
          <w:rFonts w:ascii="Arial" w:hAnsi="Arial" w:cs="Arial"/>
          <w:sz w:val="18"/>
          <w:szCs w:val="18"/>
        </w:rPr>
        <w:t xml:space="preserve">The Board receive regular updates on our people from the Chief Executive Officer and Chief People Officer at its meetings. </w:t>
      </w:r>
      <w:r w:rsidR="00404BCA" w:rsidRPr="00735726">
        <w:rPr>
          <w:rFonts w:ascii="Arial" w:hAnsi="Arial" w:cs="Arial"/>
          <w:sz w:val="18"/>
          <w:szCs w:val="18"/>
        </w:rPr>
        <w:t xml:space="preserve">Feedback from employee surveys, the Big Chat and Be the Future Forums was provided to the Board to ensure that the decisions made consider employee interests and include what is of priority to our people. Further details on the engagement with our people can be found on pages </w:t>
      </w:r>
      <w:r w:rsidR="00704734" w:rsidRPr="009A2CAE">
        <w:rPr>
          <w:rFonts w:ascii="Arial" w:hAnsi="Arial" w:cs="Arial"/>
          <w:sz w:val="18"/>
          <w:szCs w:val="18"/>
        </w:rPr>
        <w:t xml:space="preserve">28 </w:t>
      </w:r>
      <w:r w:rsidR="00404BCA" w:rsidRPr="009A2CAE">
        <w:rPr>
          <w:rFonts w:ascii="Arial" w:hAnsi="Arial" w:cs="Arial"/>
          <w:sz w:val="18"/>
          <w:szCs w:val="18"/>
        </w:rPr>
        <w:t xml:space="preserve">to </w:t>
      </w:r>
      <w:r w:rsidR="00704734" w:rsidRPr="009A2CAE">
        <w:rPr>
          <w:rFonts w:ascii="Arial" w:hAnsi="Arial" w:cs="Arial"/>
          <w:sz w:val="18"/>
          <w:szCs w:val="18"/>
        </w:rPr>
        <w:t>31</w:t>
      </w:r>
      <w:r w:rsidR="00EE3B6C" w:rsidRPr="009A2CAE">
        <w:rPr>
          <w:rFonts w:ascii="Arial" w:hAnsi="Arial" w:cs="Arial"/>
          <w:sz w:val="18"/>
          <w:szCs w:val="18"/>
        </w:rPr>
        <w:t>.</w:t>
      </w:r>
    </w:p>
    <w:p w14:paraId="2D2EDC29" w14:textId="77777777" w:rsidR="004F030D" w:rsidRPr="009A2CAE" w:rsidRDefault="004F030D" w:rsidP="005A5668">
      <w:pPr>
        <w:autoSpaceDE w:val="0"/>
        <w:autoSpaceDN w:val="0"/>
        <w:adjustRightInd w:val="0"/>
        <w:spacing w:after="0"/>
        <w:rPr>
          <w:rFonts w:ascii="Arial" w:hAnsi="Arial" w:cs="Arial"/>
          <w:sz w:val="18"/>
          <w:szCs w:val="18"/>
        </w:rPr>
      </w:pPr>
    </w:p>
    <w:p w14:paraId="6A2BFE2B" w14:textId="4D453614" w:rsidR="00404BCA" w:rsidRPr="00735726" w:rsidRDefault="00011407" w:rsidP="00404BCA">
      <w:pPr>
        <w:rPr>
          <w:rFonts w:ascii="Arial" w:hAnsi="Arial" w:cs="Arial"/>
          <w:sz w:val="18"/>
          <w:szCs w:val="18"/>
        </w:rPr>
      </w:pPr>
      <w:r w:rsidRPr="00735726">
        <w:rPr>
          <w:rFonts w:ascii="Arial" w:eastAsia="Times New Roman" w:hAnsi="Arial" w:cs="Arial"/>
          <w:b/>
          <w:bCs/>
          <w:caps/>
          <w:color w:val="000000"/>
          <w:sz w:val="18"/>
          <w:szCs w:val="18"/>
        </w:rPr>
        <w:t>ENGAGING WITH OUR REGULATORS AND POLICY MAKERS</w:t>
      </w:r>
      <w:r w:rsidRPr="00735726">
        <w:rPr>
          <w:rFonts w:ascii="Arial" w:eastAsiaTheme="majorEastAsia" w:hAnsi="Arial" w:cs="Arial"/>
          <w:i/>
          <w:iCs/>
          <w:sz w:val="18"/>
          <w:szCs w:val="20"/>
          <w:lang w:eastAsia="en-GB"/>
        </w:rPr>
        <w:t xml:space="preserve"> </w:t>
      </w:r>
      <w:r w:rsidRPr="00735726">
        <w:rPr>
          <w:rFonts w:ascii="Arial" w:eastAsiaTheme="majorEastAsia" w:hAnsi="Arial" w:cs="Arial"/>
          <w:i/>
          <w:iCs/>
          <w:sz w:val="18"/>
          <w:szCs w:val="20"/>
          <w:lang w:eastAsia="en-GB"/>
        </w:rPr>
        <w:br/>
      </w:r>
      <w:r w:rsidR="00404BCA" w:rsidRPr="00735726">
        <w:rPr>
          <w:rFonts w:ascii="Arial" w:hAnsi="Arial" w:cs="Arial"/>
          <w:sz w:val="18"/>
          <w:szCs w:val="18"/>
        </w:rPr>
        <w:t>The Board receives regular updates on our regulators and policy makers from the Chief Executive Officer and Chief Strategy and Regulatory Affairs Officer. The Board, through the Chair, Chief Executive Officer and Chief Financial Officer proactively engages with our regulators, particularly Ofwat and the Environment Agency, and Government, both at a local and national level, including sharing platforms with local MPs at constituency meetings, and face-to-face discussions with Defra throughout the year.</w:t>
      </w:r>
    </w:p>
    <w:p w14:paraId="1749DB3E" w14:textId="5B8F953C" w:rsidR="00404BCA" w:rsidRPr="00735726" w:rsidRDefault="00404BCA" w:rsidP="00404BCA">
      <w:pPr>
        <w:rPr>
          <w:rFonts w:ascii="Arial" w:hAnsi="Arial" w:cs="Arial"/>
          <w:b/>
          <w:bCs/>
          <w:sz w:val="18"/>
          <w:szCs w:val="18"/>
        </w:rPr>
      </w:pPr>
      <w:r w:rsidRPr="00735726">
        <w:rPr>
          <w:rFonts w:ascii="Arial" w:hAnsi="Arial" w:cs="Arial"/>
          <w:sz w:val="18"/>
          <w:szCs w:val="18"/>
        </w:rPr>
        <w:t>In November 2025, the Chief Executive Officer attended an industry-wide meeting hosted by the Secretary of State to discuss strategically significant issues, including transition, performance, and delivery. Additionally, the Chief Executive Officer and members of the Executive regularly engage with Members of Parliament through site visits and meetings to discuss individual projects. Our dedicated Public Affairs department focuses on responding to casework from Parliamentary offices, ensuring queries are dealt with quickly and effectively, regularly feeding back to the Chief Executive Officer and Executive on topics of interest to MPs and other stakeholders.</w:t>
      </w:r>
      <w:r w:rsidRPr="00735726">
        <w:rPr>
          <w:rFonts w:ascii="Arial" w:hAnsi="Arial" w:cs="Arial"/>
          <w:b/>
          <w:bCs/>
          <w:sz w:val="18"/>
          <w:szCs w:val="18"/>
        </w:rPr>
        <w:t xml:space="preserve"> </w:t>
      </w:r>
    </w:p>
    <w:p w14:paraId="783BA730" w14:textId="7C214D25" w:rsidR="00404BCA" w:rsidRPr="00735726" w:rsidRDefault="00011407" w:rsidP="00404BCA">
      <w:pPr>
        <w:rPr>
          <w:rFonts w:ascii="Arial" w:hAnsi="Arial" w:cs="Arial"/>
          <w:sz w:val="18"/>
          <w:szCs w:val="18"/>
        </w:rPr>
      </w:pPr>
      <w:r w:rsidRPr="00735726">
        <w:rPr>
          <w:rFonts w:ascii="Arial" w:eastAsia="Times New Roman" w:hAnsi="Arial" w:cs="Arial"/>
          <w:b/>
          <w:bCs/>
          <w:caps/>
          <w:color w:val="000000"/>
          <w:sz w:val="18"/>
          <w:szCs w:val="18"/>
        </w:rPr>
        <w:t>ENGAGING WITH ENVIRONMENTAL ORGANISATIONS</w:t>
      </w:r>
      <w:r w:rsidRPr="00735726">
        <w:rPr>
          <w:rFonts w:ascii="Arial" w:eastAsia="Times New Roman" w:hAnsi="Arial" w:cs="Arial"/>
          <w:b/>
          <w:bCs/>
          <w:caps/>
          <w:color w:val="000000"/>
          <w:sz w:val="18"/>
          <w:szCs w:val="18"/>
        </w:rPr>
        <w:br/>
      </w:r>
      <w:r w:rsidR="00404BCA" w:rsidRPr="00735726">
        <w:rPr>
          <w:rFonts w:ascii="Arial" w:hAnsi="Arial" w:cs="Arial"/>
          <w:sz w:val="18"/>
          <w:szCs w:val="18"/>
        </w:rPr>
        <w:t xml:space="preserve">During the year, the Board received regular updates on environmental performance, regulatory engagement and partnership activity through the Chief Executive Officer, informed by the Chief Sustainability and Natural </w:t>
      </w:r>
      <w:r w:rsidR="00404BCA" w:rsidRPr="00735726">
        <w:rPr>
          <w:rFonts w:ascii="Arial" w:hAnsi="Arial" w:cs="Arial"/>
          <w:sz w:val="18"/>
          <w:szCs w:val="18"/>
        </w:rPr>
        <w:lastRenderedPageBreak/>
        <w:t>Resources Officer. In this role, responsibility for environmental and biodiversity strategy, Net Zero, catchment management and environmental stakeholder relationships sits centrally.</w:t>
      </w:r>
    </w:p>
    <w:p w14:paraId="317648D5" w14:textId="77777777" w:rsidR="00790C3D" w:rsidRPr="00735726" w:rsidRDefault="00404BCA" w:rsidP="00404BCA">
      <w:pPr>
        <w:rPr>
          <w:rFonts w:ascii="Arial" w:hAnsi="Arial" w:cs="Arial"/>
          <w:sz w:val="18"/>
          <w:szCs w:val="18"/>
        </w:rPr>
      </w:pPr>
      <w:r w:rsidRPr="00735726">
        <w:rPr>
          <w:rFonts w:ascii="Arial" w:hAnsi="Arial" w:cs="Arial"/>
          <w:sz w:val="18"/>
          <w:szCs w:val="18"/>
        </w:rPr>
        <w:t>We continue to maintain constructive engagement with</w:t>
      </w:r>
      <w:r w:rsidR="00790C3D" w:rsidRPr="00735726">
        <w:rPr>
          <w:rFonts w:ascii="Arial" w:hAnsi="Arial" w:cs="Arial"/>
          <w:sz w:val="18"/>
          <w:szCs w:val="18"/>
        </w:rPr>
        <w:t xml:space="preserve"> </w:t>
      </w:r>
      <w:r w:rsidRPr="00735726">
        <w:rPr>
          <w:rFonts w:ascii="Arial" w:hAnsi="Arial" w:cs="Arial"/>
          <w:sz w:val="18"/>
          <w:szCs w:val="18"/>
        </w:rPr>
        <w:t>key regulators, including Department for Environment,</w:t>
      </w:r>
      <w:r w:rsidR="00790C3D" w:rsidRPr="00735726">
        <w:rPr>
          <w:rFonts w:ascii="Arial" w:hAnsi="Arial" w:cs="Arial"/>
          <w:sz w:val="18"/>
          <w:szCs w:val="18"/>
        </w:rPr>
        <w:t xml:space="preserve"> </w:t>
      </w:r>
      <w:r w:rsidRPr="00735726">
        <w:rPr>
          <w:rFonts w:ascii="Arial" w:hAnsi="Arial" w:cs="Arial"/>
          <w:sz w:val="18"/>
          <w:szCs w:val="18"/>
        </w:rPr>
        <w:t>Food &amp; Rural Affairs (Defra), the Drinking Water</w:t>
      </w:r>
      <w:r w:rsidR="00790C3D" w:rsidRPr="00735726">
        <w:rPr>
          <w:rFonts w:ascii="Arial" w:hAnsi="Arial" w:cs="Arial"/>
          <w:sz w:val="18"/>
          <w:szCs w:val="18"/>
        </w:rPr>
        <w:t xml:space="preserve"> </w:t>
      </w:r>
      <w:r w:rsidRPr="00735726">
        <w:rPr>
          <w:rFonts w:ascii="Arial" w:hAnsi="Arial" w:cs="Arial"/>
          <w:sz w:val="18"/>
          <w:szCs w:val="18"/>
        </w:rPr>
        <w:t>Inspectorate (DWI) and the Environment Agency,</w:t>
      </w:r>
      <w:r w:rsidR="00790C3D" w:rsidRPr="00735726">
        <w:rPr>
          <w:rFonts w:ascii="Arial" w:hAnsi="Arial" w:cs="Arial"/>
          <w:sz w:val="18"/>
          <w:szCs w:val="18"/>
        </w:rPr>
        <w:t xml:space="preserve"> </w:t>
      </w:r>
      <w:r w:rsidRPr="00735726">
        <w:rPr>
          <w:rFonts w:ascii="Arial" w:hAnsi="Arial" w:cs="Arial"/>
          <w:sz w:val="18"/>
          <w:szCs w:val="18"/>
        </w:rPr>
        <w:t>alongside industry collaboration through Water UK.</w:t>
      </w:r>
      <w:r w:rsidR="00790C3D" w:rsidRPr="00735726">
        <w:rPr>
          <w:rFonts w:ascii="Arial" w:hAnsi="Arial" w:cs="Arial"/>
          <w:sz w:val="18"/>
          <w:szCs w:val="18"/>
        </w:rPr>
        <w:t xml:space="preserve"> </w:t>
      </w:r>
    </w:p>
    <w:p w14:paraId="049D364C" w14:textId="1A2A29BA" w:rsidR="00404BCA" w:rsidRPr="00735726" w:rsidRDefault="00404BCA" w:rsidP="00404BCA">
      <w:pPr>
        <w:rPr>
          <w:rFonts w:ascii="Arial" w:hAnsi="Arial" w:cs="Arial"/>
          <w:sz w:val="18"/>
          <w:szCs w:val="18"/>
        </w:rPr>
      </w:pPr>
      <w:r w:rsidRPr="00735726">
        <w:rPr>
          <w:rFonts w:ascii="Arial" w:hAnsi="Arial" w:cs="Arial"/>
          <w:sz w:val="18"/>
          <w:szCs w:val="18"/>
        </w:rPr>
        <w:t>Through our attendance at Catchment Partnerships</w:t>
      </w:r>
      <w:r w:rsidR="00790C3D" w:rsidRPr="00735726">
        <w:rPr>
          <w:rFonts w:ascii="Arial" w:hAnsi="Arial" w:cs="Arial"/>
          <w:sz w:val="18"/>
          <w:szCs w:val="18"/>
        </w:rPr>
        <w:t xml:space="preserve"> </w:t>
      </w:r>
      <w:r w:rsidRPr="00735726">
        <w:rPr>
          <w:rFonts w:ascii="Arial" w:hAnsi="Arial" w:cs="Arial"/>
          <w:sz w:val="18"/>
          <w:szCs w:val="18"/>
        </w:rPr>
        <w:t>and our close collaboration with local authorities, local</w:t>
      </w:r>
      <w:r w:rsidR="00790C3D" w:rsidRPr="00735726">
        <w:rPr>
          <w:rFonts w:ascii="Arial" w:hAnsi="Arial" w:cs="Arial"/>
          <w:sz w:val="18"/>
          <w:szCs w:val="18"/>
        </w:rPr>
        <w:t xml:space="preserve"> </w:t>
      </w:r>
      <w:r w:rsidRPr="00735726">
        <w:rPr>
          <w:rFonts w:ascii="Arial" w:hAnsi="Arial" w:cs="Arial"/>
          <w:sz w:val="18"/>
          <w:szCs w:val="18"/>
        </w:rPr>
        <w:t>nature partnerships, landowners, and community groups</w:t>
      </w:r>
      <w:r w:rsidR="00790C3D" w:rsidRPr="00735726">
        <w:rPr>
          <w:rFonts w:ascii="Arial" w:hAnsi="Arial" w:cs="Arial"/>
          <w:sz w:val="18"/>
          <w:szCs w:val="18"/>
        </w:rPr>
        <w:t xml:space="preserve"> </w:t>
      </w:r>
      <w:r w:rsidRPr="00735726">
        <w:rPr>
          <w:rFonts w:ascii="Arial" w:hAnsi="Arial" w:cs="Arial"/>
          <w:sz w:val="18"/>
          <w:szCs w:val="18"/>
        </w:rPr>
        <w:t>across the region, we continue to promote nature</w:t>
      </w:r>
      <w:r w:rsidR="00790C3D" w:rsidRPr="00735726">
        <w:rPr>
          <w:rFonts w:ascii="Arial" w:hAnsi="Arial" w:cs="Arial"/>
          <w:sz w:val="18"/>
          <w:szCs w:val="18"/>
        </w:rPr>
        <w:t>-</w:t>
      </w:r>
      <w:r w:rsidRPr="00735726">
        <w:rPr>
          <w:rFonts w:ascii="Arial" w:hAnsi="Arial" w:cs="Arial"/>
          <w:sz w:val="18"/>
          <w:szCs w:val="18"/>
        </w:rPr>
        <w:t>based</w:t>
      </w:r>
      <w:r w:rsidR="00790C3D" w:rsidRPr="00735726">
        <w:rPr>
          <w:rFonts w:ascii="Arial" w:hAnsi="Arial" w:cs="Arial"/>
          <w:sz w:val="18"/>
          <w:szCs w:val="18"/>
        </w:rPr>
        <w:t xml:space="preserve"> </w:t>
      </w:r>
      <w:r w:rsidRPr="00735726">
        <w:rPr>
          <w:rFonts w:ascii="Arial" w:hAnsi="Arial" w:cs="Arial"/>
          <w:sz w:val="18"/>
          <w:szCs w:val="18"/>
        </w:rPr>
        <w:t>solutions and shared environmental stewardship</w:t>
      </w:r>
      <w:r w:rsidR="00790C3D" w:rsidRPr="00735726">
        <w:rPr>
          <w:rFonts w:ascii="Arial" w:hAnsi="Arial" w:cs="Arial"/>
          <w:sz w:val="18"/>
          <w:szCs w:val="18"/>
        </w:rPr>
        <w:t xml:space="preserve"> </w:t>
      </w:r>
      <w:r w:rsidRPr="00735726">
        <w:rPr>
          <w:rFonts w:ascii="Arial" w:hAnsi="Arial" w:cs="Arial"/>
          <w:sz w:val="18"/>
          <w:szCs w:val="18"/>
        </w:rPr>
        <w:t>across the region. Our Upstream Thinking programme</w:t>
      </w:r>
      <w:r w:rsidR="00790C3D" w:rsidRPr="00735726">
        <w:rPr>
          <w:rFonts w:ascii="Arial" w:hAnsi="Arial" w:cs="Arial"/>
          <w:sz w:val="18"/>
          <w:szCs w:val="18"/>
        </w:rPr>
        <w:t xml:space="preserve"> </w:t>
      </w:r>
      <w:r w:rsidRPr="00735726">
        <w:rPr>
          <w:rFonts w:ascii="Arial" w:hAnsi="Arial" w:cs="Arial"/>
          <w:sz w:val="18"/>
          <w:szCs w:val="18"/>
        </w:rPr>
        <w:t xml:space="preserve">and leadership of 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Peatland Partnership</w:t>
      </w:r>
      <w:r w:rsidR="00790C3D" w:rsidRPr="00735726">
        <w:rPr>
          <w:rFonts w:ascii="Arial" w:hAnsi="Arial" w:cs="Arial"/>
          <w:sz w:val="18"/>
          <w:szCs w:val="18"/>
        </w:rPr>
        <w:t xml:space="preserve"> </w:t>
      </w:r>
      <w:r w:rsidRPr="00735726">
        <w:rPr>
          <w:rFonts w:ascii="Arial" w:hAnsi="Arial" w:cs="Arial"/>
          <w:sz w:val="18"/>
          <w:szCs w:val="18"/>
        </w:rPr>
        <w:t>remain central to this approach, working with farmers and</w:t>
      </w:r>
      <w:r w:rsidR="00790C3D" w:rsidRPr="00735726">
        <w:rPr>
          <w:rFonts w:ascii="Arial" w:hAnsi="Arial" w:cs="Arial"/>
          <w:sz w:val="18"/>
          <w:szCs w:val="18"/>
        </w:rPr>
        <w:t xml:space="preserve"> </w:t>
      </w:r>
      <w:r w:rsidRPr="00735726">
        <w:rPr>
          <w:rFonts w:ascii="Arial" w:hAnsi="Arial" w:cs="Arial"/>
          <w:sz w:val="18"/>
          <w:szCs w:val="18"/>
        </w:rPr>
        <w:t>our NGO delivery partners to improve raw water quality</w:t>
      </w:r>
      <w:r w:rsidR="00790C3D" w:rsidRPr="00735726">
        <w:rPr>
          <w:rFonts w:ascii="Arial" w:hAnsi="Arial" w:cs="Arial"/>
          <w:sz w:val="18"/>
          <w:szCs w:val="18"/>
        </w:rPr>
        <w:t xml:space="preserve"> </w:t>
      </w:r>
      <w:r w:rsidRPr="00735726">
        <w:rPr>
          <w:rFonts w:ascii="Arial" w:hAnsi="Arial" w:cs="Arial"/>
          <w:sz w:val="18"/>
          <w:szCs w:val="18"/>
        </w:rPr>
        <w:t>and sustainability of supply at source. This catchment</w:t>
      </w:r>
      <w:r w:rsidR="00790C3D" w:rsidRPr="00735726">
        <w:rPr>
          <w:rFonts w:ascii="Arial" w:hAnsi="Arial" w:cs="Arial"/>
          <w:sz w:val="18"/>
          <w:szCs w:val="18"/>
        </w:rPr>
        <w:t xml:space="preserve"> </w:t>
      </w:r>
      <w:r w:rsidRPr="00735726">
        <w:rPr>
          <w:rFonts w:ascii="Arial" w:hAnsi="Arial" w:cs="Arial"/>
          <w:sz w:val="18"/>
          <w:szCs w:val="18"/>
        </w:rPr>
        <w:t>management approach enhances biodiversity and</w:t>
      </w:r>
      <w:r w:rsidR="00790C3D" w:rsidRPr="00735726">
        <w:rPr>
          <w:rFonts w:ascii="Arial" w:hAnsi="Arial" w:cs="Arial"/>
          <w:sz w:val="18"/>
          <w:szCs w:val="18"/>
        </w:rPr>
        <w:t xml:space="preserve"> </w:t>
      </w:r>
      <w:r w:rsidRPr="00735726">
        <w:rPr>
          <w:rFonts w:ascii="Arial" w:hAnsi="Arial" w:cs="Arial"/>
          <w:sz w:val="18"/>
          <w:szCs w:val="18"/>
        </w:rPr>
        <w:t>reduces treatment risk and demand.</w:t>
      </w:r>
    </w:p>
    <w:p w14:paraId="68CA881E" w14:textId="5FC024D7" w:rsidR="00404BCA" w:rsidRPr="00735726" w:rsidRDefault="00404BCA" w:rsidP="00404BCA">
      <w:pPr>
        <w:rPr>
          <w:rFonts w:ascii="Arial" w:hAnsi="Arial" w:cs="Arial"/>
          <w:sz w:val="18"/>
          <w:szCs w:val="18"/>
        </w:rPr>
      </w:pPr>
      <w:r w:rsidRPr="00735726">
        <w:rPr>
          <w:rFonts w:ascii="Arial" w:hAnsi="Arial" w:cs="Arial"/>
          <w:sz w:val="18"/>
          <w:szCs w:val="18"/>
        </w:rPr>
        <w:t>Our Green First approach to managing asset risk has</w:t>
      </w:r>
      <w:r w:rsidR="00790C3D" w:rsidRPr="00735726">
        <w:rPr>
          <w:rFonts w:ascii="Arial" w:hAnsi="Arial" w:cs="Arial"/>
          <w:sz w:val="18"/>
          <w:szCs w:val="18"/>
        </w:rPr>
        <w:t xml:space="preserve"> </w:t>
      </w:r>
      <w:r w:rsidRPr="00735726">
        <w:rPr>
          <w:rFonts w:ascii="Arial" w:hAnsi="Arial" w:cs="Arial"/>
          <w:sz w:val="18"/>
          <w:szCs w:val="18"/>
        </w:rPr>
        <w:t>been progressed through the development of natural</w:t>
      </w:r>
      <w:r w:rsidR="00790C3D" w:rsidRPr="00735726">
        <w:rPr>
          <w:rFonts w:ascii="Arial" w:hAnsi="Arial" w:cs="Arial"/>
          <w:sz w:val="18"/>
          <w:szCs w:val="18"/>
        </w:rPr>
        <w:t xml:space="preserve"> </w:t>
      </w:r>
      <w:r w:rsidRPr="00735726">
        <w:rPr>
          <w:rFonts w:ascii="Arial" w:hAnsi="Arial" w:cs="Arial"/>
          <w:sz w:val="18"/>
          <w:szCs w:val="18"/>
        </w:rPr>
        <w:t>catchment management plans that bring all stakeholders</w:t>
      </w:r>
      <w:r w:rsidR="00790C3D" w:rsidRPr="00735726">
        <w:rPr>
          <w:rFonts w:ascii="Arial" w:hAnsi="Arial" w:cs="Arial"/>
          <w:sz w:val="18"/>
          <w:szCs w:val="18"/>
        </w:rPr>
        <w:t xml:space="preserve"> </w:t>
      </w:r>
      <w:r w:rsidRPr="00735726">
        <w:rPr>
          <w:rFonts w:ascii="Arial" w:hAnsi="Arial" w:cs="Arial"/>
          <w:sz w:val="18"/>
          <w:szCs w:val="18"/>
        </w:rPr>
        <w:t>in water management in a catchment together. These</w:t>
      </w:r>
      <w:r w:rsidR="00790C3D" w:rsidRPr="00735726">
        <w:rPr>
          <w:rFonts w:ascii="Arial" w:hAnsi="Arial" w:cs="Arial"/>
          <w:sz w:val="18"/>
          <w:szCs w:val="18"/>
        </w:rPr>
        <w:t xml:space="preserve"> </w:t>
      </w:r>
      <w:r w:rsidRPr="00735726">
        <w:rPr>
          <w:rFonts w:ascii="Arial" w:hAnsi="Arial" w:cs="Arial"/>
          <w:sz w:val="18"/>
          <w:szCs w:val="18"/>
        </w:rPr>
        <w:t>are a critical tool in understanding where we can apply</w:t>
      </w:r>
      <w:r w:rsidR="00790C3D" w:rsidRPr="00735726">
        <w:rPr>
          <w:rFonts w:ascii="Arial" w:hAnsi="Arial" w:cs="Arial"/>
          <w:sz w:val="18"/>
          <w:szCs w:val="18"/>
        </w:rPr>
        <w:t xml:space="preserve"> </w:t>
      </w:r>
      <w:r w:rsidRPr="00735726">
        <w:rPr>
          <w:rFonts w:ascii="Arial" w:hAnsi="Arial" w:cs="Arial"/>
          <w:sz w:val="18"/>
          <w:szCs w:val="18"/>
        </w:rPr>
        <w:t>nature-based solutions to managing excess water flows,</w:t>
      </w:r>
      <w:r w:rsidR="00790C3D" w:rsidRPr="00735726">
        <w:rPr>
          <w:rFonts w:ascii="Arial" w:hAnsi="Arial" w:cs="Arial"/>
          <w:sz w:val="18"/>
          <w:szCs w:val="18"/>
        </w:rPr>
        <w:t xml:space="preserve"> </w:t>
      </w:r>
      <w:r w:rsidRPr="00735726">
        <w:rPr>
          <w:rFonts w:ascii="Arial" w:hAnsi="Arial" w:cs="Arial"/>
          <w:sz w:val="18"/>
          <w:szCs w:val="18"/>
        </w:rPr>
        <w:t>and we are now progressing to the next stage of working</w:t>
      </w:r>
      <w:r w:rsidR="00790C3D" w:rsidRPr="00735726">
        <w:rPr>
          <w:rFonts w:ascii="Arial" w:hAnsi="Arial" w:cs="Arial"/>
          <w:sz w:val="18"/>
          <w:szCs w:val="18"/>
        </w:rPr>
        <w:t xml:space="preserve"> </w:t>
      </w:r>
      <w:r w:rsidRPr="00735726">
        <w:rPr>
          <w:rFonts w:ascii="Arial" w:hAnsi="Arial" w:cs="Arial"/>
          <w:sz w:val="18"/>
          <w:szCs w:val="18"/>
        </w:rPr>
        <w:t>with partners in trial catchment such as the Bidwell brook</w:t>
      </w:r>
      <w:r w:rsidR="00790C3D" w:rsidRPr="00735726">
        <w:rPr>
          <w:rFonts w:ascii="Arial" w:hAnsi="Arial" w:cs="Arial"/>
          <w:sz w:val="18"/>
          <w:szCs w:val="18"/>
        </w:rPr>
        <w:t xml:space="preserve"> </w:t>
      </w:r>
      <w:r w:rsidRPr="00735726">
        <w:rPr>
          <w:rFonts w:ascii="Arial" w:hAnsi="Arial" w:cs="Arial"/>
          <w:sz w:val="18"/>
          <w:szCs w:val="18"/>
        </w:rPr>
        <w:t>to progress nature-based flood risk solutions.</w:t>
      </w:r>
    </w:p>
    <w:p w14:paraId="796EA0D7" w14:textId="3DE5C4AF" w:rsidR="00404BCA" w:rsidRPr="00735726" w:rsidRDefault="00404BCA" w:rsidP="00404BCA">
      <w:pPr>
        <w:rPr>
          <w:rFonts w:ascii="Arial" w:hAnsi="Arial" w:cs="Arial"/>
          <w:b/>
          <w:bCs/>
          <w:sz w:val="18"/>
          <w:szCs w:val="18"/>
        </w:rPr>
      </w:pPr>
      <w:r w:rsidRPr="00735726">
        <w:rPr>
          <w:rFonts w:ascii="Arial" w:hAnsi="Arial" w:cs="Arial"/>
          <w:sz w:val="18"/>
          <w:szCs w:val="18"/>
        </w:rPr>
        <w:t>The Chief Sustainability and Natural Resources Officer</w:t>
      </w:r>
      <w:r w:rsidR="00790C3D" w:rsidRPr="00735726">
        <w:rPr>
          <w:rFonts w:ascii="Arial" w:hAnsi="Arial" w:cs="Arial"/>
          <w:sz w:val="18"/>
          <w:szCs w:val="18"/>
        </w:rPr>
        <w:t xml:space="preserve"> </w:t>
      </w:r>
      <w:proofErr w:type="gramStart"/>
      <w:r w:rsidRPr="00735726">
        <w:rPr>
          <w:rFonts w:ascii="Arial" w:hAnsi="Arial" w:cs="Arial"/>
          <w:sz w:val="18"/>
          <w:szCs w:val="18"/>
        </w:rPr>
        <w:t>has</w:t>
      </w:r>
      <w:proofErr w:type="gramEnd"/>
      <w:r w:rsidRPr="00735726">
        <w:rPr>
          <w:rFonts w:ascii="Arial" w:hAnsi="Arial" w:cs="Arial"/>
          <w:sz w:val="18"/>
          <w:szCs w:val="18"/>
        </w:rPr>
        <w:t xml:space="preserve"> throughout the year convened a Let’s Talk Water</w:t>
      </w:r>
      <w:r w:rsidR="00790C3D" w:rsidRPr="00735726">
        <w:rPr>
          <w:rFonts w:ascii="Arial" w:hAnsi="Arial" w:cs="Arial"/>
          <w:sz w:val="18"/>
          <w:szCs w:val="18"/>
        </w:rPr>
        <w:t xml:space="preserve"> </w:t>
      </w:r>
      <w:r w:rsidRPr="00735726">
        <w:rPr>
          <w:rFonts w:ascii="Arial" w:hAnsi="Arial" w:cs="Arial"/>
          <w:sz w:val="18"/>
          <w:szCs w:val="18"/>
        </w:rPr>
        <w:t>Stakeholder Forum. Since 2022 when the Forum was</w:t>
      </w:r>
      <w:r w:rsidR="00790C3D" w:rsidRPr="00735726">
        <w:rPr>
          <w:rFonts w:ascii="Arial" w:hAnsi="Arial" w:cs="Arial"/>
          <w:sz w:val="18"/>
          <w:szCs w:val="18"/>
        </w:rPr>
        <w:t xml:space="preserve"> </w:t>
      </w:r>
      <w:r w:rsidRPr="00735726">
        <w:rPr>
          <w:rFonts w:ascii="Arial" w:hAnsi="Arial" w:cs="Arial"/>
          <w:sz w:val="18"/>
          <w:szCs w:val="18"/>
        </w:rPr>
        <w:t>established, meetings have normally been held online,</w:t>
      </w:r>
      <w:r w:rsidR="00790C3D" w:rsidRPr="00735726">
        <w:rPr>
          <w:rFonts w:ascii="Arial" w:hAnsi="Arial" w:cs="Arial"/>
          <w:sz w:val="18"/>
          <w:szCs w:val="18"/>
        </w:rPr>
        <w:t xml:space="preserve"> </w:t>
      </w:r>
      <w:r w:rsidRPr="00735726">
        <w:rPr>
          <w:rFonts w:ascii="Arial" w:hAnsi="Arial" w:cs="Arial"/>
          <w:sz w:val="18"/>
          <w:szCs w:val="18"/>
        </w:rPr>
        <w:t>however in September 2025 stakeholders from across</w:t>
      </w:r>
      <w:r w:rsidR="00790C3D" w:rsidRPr="00735726">
        <w:rPr>
          <w:rFonts w:ascii="Arial" w:hAnsi="Arial" w:cs="Arial"/>
          <w:sz w:val="18"/>
          <w:szCs w:val="18"/>
        </w:rPr>
        <w:t xml:space="preserve"> </w:t>
      </w:r>
      <w:r w:rsidRPr="00735726">
        <w:rPr>
          <w:rFonts w:ascii="Arial" w:hAnsi="Arial" w:cs="Arial"/>
          <w:sz w:val="18"/>
          <w:szCs w:val="18"/>
        </w:rPr>
        <w:t xml:space="preserve">the region headed to </w:t>
      </w:r>
      <w:proofErr w:type="spellStart"/>
      <w:r w:rsidRPr="00735726">
        <w:rPr>
          <w:rFonts w:ascii="Arial" w:hAnsi="Arial" w:cs="Arial"/>
          <w:sz w:val="18"/>
          <w:szCs w:val="18"/>
        </w:rPr>
        <w:t>Roadford</w:t>
      </w:r>
      <w:proofErr w:type="spellEnd"/>
      <w:r w:rsidRPr="00735726">
        <w:rPr>
          <w:rFonts w:ascii="Arial" w:hAnsi="Arial" w:cs="Arial"/>
          <w:sz w:val="18"/>
          <w:szCs w:val="18"/>
        </w:rPr>
        <w:t xml:space="preserve"> reservoir to discuss a</w:t>
      </w:r>
      <w:r w:rsidR="00790C3D" w:rsidRPr="00735726">
        <w:rPr>
          <w:rFonts w:ascii="Arial" w:hAnsi="Arial" w:cs="Arial"/>
          <w:sz w:val="18"/>
          <w:szCs w:val="18"/>
        </w:rPr>
        <w:t xml:space="preserve"> </w:t>
      </w:r>
      <w:r w:rsidRPr="00735726">
        <w:rPr>
          <w:rFonts w:ascii="Arial" w:hAnsi="Arial" w:cs="Arial"/>
          <w:sz w:val="18"/>
          <w:szCs w:val="18"/>
        </w:rPr>
        <w:t>range of themes, including Cycle 2 of the Drainage and</w:t>
      </w:r>
      <w:r w:rsidR="00790C3D" w:rsidRPr="00735726">
        <w:rPr>
          <w:rFonts w:ascii="Arial" w:hAnsi="Arial" w:cs="Arial"/>
          <w:sz w:val="18"/>
          <w:szCs w:val="18"/>
        </w:rPr>
        <w:t xml:space="preserve"> </w:t>
      </w:r>
      <w:r w:rsidRPr="00735726">
        <w:rPr>
          <w:rFonts w:ascii="Arial" w:hAnsi="Arial" w:cs="Arial"/>
          <w:sz w:val="18"/>
          <w:szCs w:val="18"/>
        </w:rPr>
        <w:t>Wastewater Management Plan and criteria for a nature</w:t>
      </w:r>
      <w:r w:rsidR="00790C3D" w:rsidRPr="00735726">
        <w:rPr>
          <w:rFonts w:ascii="Arial" w:hAnsi="Arial" w:cs="Arial"/>
          <w:sz w:val="18"/>
          <w:szCs w:val="18"/>
        </w:rPr>
        <w:t xml:space="preserve"> </w:t>
      </w:r>
      <w:r w:rsidRPr="00735726">
        <w:rPr>
          <w:rFonts w:ascii="Arial" w:hAnsi="Arial" w:cs="Arial"/>
          <w:sz w:val="18"/>
          <w:szCs w:val="18"/>
        </w:rPr>
        <w:t>recovery fund.</w:t>
      </w:r>
      <w:r w:rsidRPr="00735726">
        <w:rPr>
          <w:rFonts w:ascii="Arial" w:hAnsi="Arial" w:cs="Arial"/>
          <w:b/>
          <w:bCs/>
          <w:sz w:val="18"/>
          <w:szCs w:val="18"/>
        </w:rPr>
        <w:t xml:space="preserve"> </w:t>
      </w:r>
    </w:p>
    <w:p w14:paraId="026F1D31" w14:textId="6499C419" w:rsidR="00011407" w:rsidRPr="00735726" w:rsidRDefault="00011407" w:rsidP="00404BCA">
      <w:pPr>
        <w:rPr>
          <w:rFonts w:ascii="Arial" w:hAnsi="Arial" w:cs="Arial"/>
          <w:sz w:val="18"/>
          <w:szCs w:val="18"/>
        </w:rPr>
      </w:pPr>
      <w:r w:rsidRPr="00735726">
        <w:rPr>
          <w:rFonts w:ascii="Arial" w:eastAsia="Times New Roman" w:hAnsi="Arial" w:cs="Arial"/>
          <w:b/>
          <w:bCs/>
          <w:caps/>
          <w:color w:val="000000"/>
          <w:sz w:val="18"/>
          <w:szCs w:val="18"/>
        </w:rPr>
        <w:t>ENGAGING WITH OUR SUPPLIERS</w:t>
      </w:r>
      <w:r w:rsidR="00790C3D" w:rsidRPr="00735726">
        <w:rPr>
          <w:rFonts w:ascii="Arial" w:eastAsia="Times New Roman" w:hAnsi="Arial" w:cs="Arial"/>
          <w:b/>
          <w:bCs/>
          <w:caps/>
          <w:color w:val="000000"/>
          <w:sz w:val="18"/>
          <w:szCs w:val="18"/>
        </w:rPr>
        <w:t xml:space="preserve"> </w:t>
      </w:r>
      <w:r w:rsidRPr="00735726">
        <w:rPr>
          <w:rFonts w:ascii="Arial" w:eastAsia="Times New Roman" w:hAnsi="Arial" w:cs="Arial"/>
          <w:b/>
          <w:bCs/>
          <w:caps/>
          <w:color w:val="000000"/>
          <w:sz w:val="18"/>
          <w:szCs w:val="18"/>
        </w:rPr>
        <w:br/>
      </w:r>
      <w:r w:rsidRPr="00735726">
        <w:rPr>
          <w:rFonts w:ascii="Arial" w:hAnsi="Arial" w:cs="Arial"/>
          <w:sz w:val="18"/>
          <w:szCs w:val="18"/>
        </w:rPr>
        <w:t>The Board receives updates at Board meetings on our engagement with suppliers which is conducted through formal Request for P</w:t>
      </w:r>
      <w:r w:rsidR="00790C3D" w:rsidRPr="00735726">
        <w:rPr>
          <w:rFonts w:ascii="Arial" w:hAnsi="Arial" w:cs="Arial"/>
          <w:sz w:val="18"/>
          <w:szCs w:val="18"/>
        </w:rPr>
        <w:t>roposal</w:t>
      </w:r>
      <w:r w:rsidRPr="00735726">
        <w:rPr>
          <w:rFonts w:ascii="Arial" w:hAnsi="Arial" w:cs="Arial"/>
          <w:sz w:val="18"/>
          <w:szCs w:val="18"/>
        </w:rPr>
        <w:t xml:space="preserve"> processes and periodic supplier review meetings to ensure that our suppliers deliver outcomes that benefit all our stakeholders. </w:t>
      </w:r>
    </w:p>
    <w:p w14:paraId="00C780EF" w14:textId="5110246F" w:rsidR="00C931A7" w:rsidRPr="00735726" w:rsidRDefault="00C931A7" w:rsidP="005A5668">
      <w:pPr>
        <w:rPr>
          <w:rFonts w:ascii="Arial" w:hAnsi="Arial" w:cs="Arial"/>
          <w:sz w:val="18"/>
          <w:szCs w:val="18"/>
        </w:rPr>
      </w:pPr>
      <w:r w:rsidRPr="00735726">
        <w:rPr>
          <w:rFonts w:ascii="Arial" w:hAnsi="Arial" w:cs="Arial"/>
          <w:sz w:val="18"/>
          <w:szCs w:val="18"/>
        </w:rPr>
        <w:t>The Board is regularly informed and involved through the stages of tender processes which are undertaken to ensure that suitable and experienced suppliers are contracted to deliver our capital projects.</w:t>
      </w:r>
    </w:p>
    <w:p w14:paraId="17CF747D" w14:textId="53BA8E3B" w:rsidR="00C931A7" w:rsidRPr="00735726" w:rsidRDefault="00C931A7" w:rsidP="005A5668">
      <w:pPr>
        <w:rPr>
          <w:rFonts w:ascii="Arial" w:hAnsi="Arial" w:cs="Arial"/>
          <w:sz w:val="18"/>
          <w:szCs w:val="18"/>
        </w:rPr>
      </w:pPr>
      <w:r w:rsidRPr="00735726">
        <w:rPr>
          <w:rFonts w:ascii="Arial" w:hAnsi="Arial" w:cs="Arial"/>
          <w:sz w:val="18"/>
          <w:szCs w:val="18"/>
        </w:rPr>
        <w:t>The Executive team are actively engaging the wider industry supply chain directly and indirectly through organisations such as British Water, Future Water and the Civil Engineering Contractors Association to both understand and influence emerging trends and mobilise the best suppliers and innovation for the benefit of the Company. Updates are regularly provided to the Board.</w:t>
      </w:r>
    </w:p>
    <w:p w14:paraId="426E4C5A" w14:textId="7C310CDD" w:rsidR="004F030D" w:rsidRPr="009A2CAE" w:rsidRDefault="004F030D" w:rsidP="00011407">
      <w:pPr>
        <w:autoSpaceDE w:val="0"/>
        <w:autoSpaceDN w:val="0"/>
        <w:adjustRightInd w:val="0"/>
        <w:spacing w:after="0"/>
        <w:rPr>
          <w:rFonts w:ascii="Arial" w:hAnsi="Arial" w:cs="Arial"/>
          <w:sz w:val="18"/>
          <w:szCs w:val="18"/>
        </w:rPr>
      </w:pPr>
      <w:r w:rsidRPr="009A2CAE">
        <w:rPr>
          <w:rFonts w:ascii="Arial" w:hAnsi="Arial" w:cs="Arial"/>
          <w:sz w:val="18"/>
          <w:szCs w:val="18"/>
        </w:rPr>
        <w:br w:type="page"/>
      </w:r>
    </w:p>
    <w:p w14:paraId="13E078ED" w14:textId="1A644859" w:rsidR="00C931A7" w:rsidRPr="00735726" w:rsidRDefault="00C931A7" w:rsidP="00C931A7">
      <w:pPr>
        <w:outlineLvl w:val="0"/>
        <w:rPr>
          <w:rFonts w:ascii="Arial" w:hAnsi="Arial" w:cs="Arial"/>
          <w:sz w:val="32"/>
          <w:szCs w:val="32"/>
        </w:rPr>
      </w:pPr>
      <w:r w:rsidRPr="00735726">
        <w:rPr>
          <w:rFonts w:ascii="Arial" w:hAnsi="Arial" w:cs="Arial"/>
          <w:sz w:val="32"/>
          <w:szCs w:val="32"/>
        </w:rPr>
        <w:lastRenderedPageBreak/>
        <w:t>COMPOSITION, SUCCESSION AND EVALUATION</w:t>
      </w:r>
    </w:p>
    <w:p w14:paraId="05DB71D8" w14:textId="4565127D" w:rsidR="00EB2BE0" w:rsidRPr="00735726" w:rsidRDefault="00EB2BE0" w:rsidP="00EB2BE0">
      <w:pPr>
        <w:autoSpaceDE w:val="0"/>
        <w:autoSpaceDN w:val="0"/>
        <w:adjustRightInd w:val="0"/>
        <w:spacing w:after="0"/>
        <w:rPr>
          <w:rFonts w:ascii="Arial" w:hAnsi="Arial" w:cs="Arial"/>
          <w:sz w:val="18"/>
          <w:szCs w:val="18"/>
        </w:rPr>
      </w:pPr>
      <w:r w:rsidRPr="00735726">
        <w:rPr>
          <w:rFonts w:ascii="Arial" w:eastAsia="Times New Roman" w:hAnsi="Arial" w:cs="Arial"/>
          <w:b/>
          <w:bCs/>
          <w:caps/>
          <w:color w:val="000000"/>
          <w:sz w:val="18"/>
          <w:szCs w:val="18"/>
        </w:rPr>
        <w:t>board support and training</w:t>
      </w:r>
      <w:r w:rsidR="00C931A7" w:rsidRPr="00735726">
        <w:rPr>
          <w:rFonts w:ascii="Arial" w:eastAsia="Times New Roman" w:hAnsi="Arial" w:cs="Arial"/>
          <w:b/>
          <w:bCs/>
          <w:caps/>
          <w:color w:val="000000"/>
          <w:sz w:val="18"/>
          <w:szCs w:val="18"/>
        </w:rPr>
        <w:br/>
      </w:r>
      <w:r w:rsidRPr="00735726">
        <w:rPr>
          <w:rFonts w:ascii="Arial" w:hAnsi="Arial" w:cs="Arial"/>
          <w:sz w:val="18"/>
          <w:szCs w:val="18"/>
        </w:rPr>
        <w:t>In the discharge of its statutory duties, the Board has been supported by the advice and services of the Company Secretary and other relevant functions of the business. An established procedure whereby Directors can seek independent professional advice at the Company’s expense to fulfil their duties is in place.</w:t>
      </w:r>
    </w:p>
    <w:p w14:paraId="51D15D5F" w14:textId="77777777" w:rsidR="00EB2BE0" w:rsidRPr="00735726" w:rsidRDefault="00EB2BE0" w:rsidP="00EB2BE0">
      <w:pPr>
        <w:autoSpaceDE w:val="0"/>
        <w:autoSpaceDN w:val="0"/>
        <w:adjustRightInd w:val="0"/>
        <w:spacing w:after="0"/>
        <w:rPr>
          <w:rFonts w:ascii="Arial" w:hAnsi="Arial" w:cs="Arial"/>
          <w:sz w:val="18"/>
          <w:szCs w:val="18"/>
        </w:rPr>
      </w:pPr>
    </w:p>
    <w:p w14:paraId="7BD5ECC5" w14:textId="3CD2398F" w:rsidR="00EB2BE0" w:rsidRPr="00735726" w:rsidRDefault="00EB2BE0" w:rsidP="00EB2BE0">
      <w:pPr>
        <w:autoSpaceDE w:val="0"/>
        <w:autoSpaceDN w:val="0"/>
        <w:adjustRightInd w:val="0"/>
        <w:spacing w:after="0"/>
        <w:rPr>
          <w:rFonts w:ascii="Arial" w:hAnsi="Arial" w:cs="Arial"/>
          <w:sz w:val="18"/>
          <w:szCs w:val="18"/>
        </w:rPr>
      </w:pPr>
      <w:r w:rsidRPr="00735726">
        <w:rPr>
          <w:rFonts w:ascii="Arial" w:hAnsi="Arial" w:cs="Arial"/>
          <w:sz w:val="18"/>
          <w:szCs w:val="18"/>
        </w:rPr>
        <w:t>The Company Secretary is responsible for ensuring that the Board operates in accordance with the governance framework and that information flows effectively between the Directors and the Committees and between senior management and Non-Executive Directors.</w:t>
      </w:r>
    </w:p>
    <w:p w14:paraId="05B4E372" w14:textId="77777777" w:rsidR="00EB2BE0" w:rsidRPr="00735726" w:rsidRDefault="00EB2BE0" w:rsidP="00EB2BE0">
      <w:pPr>
        <w:autoSpaceDE w:val="0"/>
        <w:autoSpaceDN w:val="0"/>
        <w:adjustRightInd w:val="0"/>
        <w:spacing w:after="0"/>
        <w:rPr>
          <w:rFonts w:ascii="Arial" w:hAnsi="Arial" w:cs="Arial"/>
          <w:sz w:val="18"/>
          <w:szCs w:val="18"/>
        </w:rPr>
      </w:pPr>
    </w:p>
    <w:p w14:paraId="2798F35B" w14:textId="619C14E3" w:rsidR="00EB2BE0" w:rsidRPr="00735726" w:rsidRDefault="00EB2BE0" w:rsidP="00EB2BE0">
      <w:pPr>
        <w:autoSpaceDE w:val="0"/>
        <w:autoSpaceDN w:val="0"/>
        <w:adjustRightInd w:val="0"/>
        <w:spacing w:after="0"/>
        <w:rPr>
          <w:rFonts w:ascii="Arial" w:hAnsi="Arial" w:cs="Arial"/>
          <w:sz w:val="18"/>
          <w:szCs w:val="18"/>
        </w:rPr>
      </w:pPr>
      <w:r w:rsidRPr="00735726">
        <w:rPr>
          <w:rFonts w:ascii="Arial" w:hAnsi="Arial" w:cs="Arial"/>
          <w:sz w:val="18"/>
          <w:szCs w:val="18"/>
        </w:rPr>
        <w:t>As part of the Board effectiveness review process, the training needs of Directors are discussed and an action plan for delivery considered. Training may include attendance at external courses organised by professional advisers and internal presentations from senior management.</w:t>
      </w:r>
    </w:p>
    <w:p w14:paraId="3AC4979D" w14:textId="77777777" w:rsidR="00EB2BE0" w:rsidRPr="00735726" w:rsidRDefault="00EB2BE0" w:rsidP="00EB2BE0">
      <w:pPr>
        <w:autoSpaceDE w:val="0"/>
        <w:autoSpaceDN w:val="0"/>
        <w:adjustRightInd w:val="0"/>
        <w:spacing w:after="0"/>
        <w:rPr>
          <w:rFonts w:ascii="Arial" w:hAnsi="Arial" w:cs="Arial"/>
          <w:sz w:val="18"/>
          <w:szCs w:val="18"/>
        </w:rPr>
      </w:pPr>
    </w:p>
    <w:p w14:paraId="7B23B944" w14:textId="70AF05B4" w:rsidR="00EB2BE0" w:rsidRPr="00735726" w:rsidRDefault="00EB2BE0" w:rsidP="00EB2BE0">
      <w:pPr>
        <w:autoSpaceDE w:val="0"/>
        <w:autoSpaceDN w:val="0"/>
        <w:adjustRightInd w:val="0"/>
        <w:spacing w:after="0"/>
        <w:rPr>
          <w:rFonts w:ascii="Arial" w:hAnsi="Arial" w:cs="Arial"/>
          <w:sz w:val="18"/>
          <w:szCs w:val="18"/>
        </w:rPr>
      </w:pPr>
      <w:r w:rsidRPr="00735726">
        <w:rPr>
          <w:rFonts w:ascii="Arial" w:hAnsi="Arial" w:cs="Arial"/>
          <w:sz w:val="18"/>
          <w:szCs w:val="18"/>
        </w:rPr>
        <w:t xml:space="preserve">During the year, updates were provided to the Board and Committees via the General Counsel and Company Secretary and/or the Company’s external advisers. These included updates on mandatory reporting and recent legal or governance changes. Specifically, the Board received updates on the Water (Special Measures) Act, the Cunliffe Review, </w:t>
      </w:r>
      <w:r w:rsidR="004B3744" w:rsidRPr="00735726">
        <w:rPr>
          <w:rFonts w:ascii="Arial" w:hAnsi="Arial" w:cs="Arial"/>
          <w:sz w:val="18"/>
          <w:szCs w:val="18"/>
        </w:rPr>
        <w:t>D</w:t>
      </w:r>
      <w:r w:rsidRPr="00735726">
        <w:rPr>
          <w:rFonts w:ascii="Arial" w:hAnsi="Arial" w:cs="Arial"/>
          <w:sz w:val="18"/>
          <w:szCs w:val="18"/>
        </w:rPr>
        <w:t xml:space="preserve">irectors </w:t>
      </w:r>
      <w:proofErr w:type="gramStart"/>
      <w:r w:rsidRPr="00735726">
        <w:rPr>
          <w:rFonts w:ascii="Arial" w:hAnsi="Arial" w:cs="Arial"/>
          <w:sz w:val="18"/>
          <w:szCs w:val="18"/>
        </w:rPr>
        <w:t>duties’</w:t>
      </w:r>
      <w:proofErr w:type="gramEnd"/>
      <w:r w:rsidRPr="00735726">
        <w:rPr>
          <w:rFonts w:ascii="Arial" w:hAnsi="Arial" w:cs="Arial"/>
          <w:sz w:val="18"/>
          <w:szCs w:val="18"/>
        </w:rPr>
        <w:t xml:space="preserve"> under the Companies Act 2006 and identity verification for </w:t>
      </w:r>
      <w:r w:rsidR="006B1746" w:rsidRPr="00735726">
        <w:rPr>
          <w:rFonts w:ascii="Arial" w:hAnsi="Arial" w:cs="Arial"/>
          <w:sz w:val="18"/>
          <w:szCs w:val="18"/>
        </w:rPr>
        <w:t>D</w:t>
      </w:r>
      <w:r w:rsidRPr="00735726">
        <w:rPr>
          <w:rFonts w:ascii="Arial" w:hAnsi="Arial" w:cs="Arial"/>
          <w:sz w:val="18"/>
          <w:szCs w:val="18"/>
        </w:rPr>
        <w:t>irectors under the</w:t>
      </w:r>
    </w:p>
    <w:p w14:paraId="245E4808" w14:textId="77777777" w:rsidR="00EB2BE0" w:rsidRPr="00735726" w:rsidRDefault="00EB2BE0" w:rsidP="00EB2BE0">
      <w:pPr>
        <w:autoSpaceDE w:val="0"/>
        <w:autoSpaceDN w:val="0"/>
        <w:adjustRightInd w:val="0"/>
        <w:spacing w:after="0"/>
        <w:rPr>
          <w:rFonts w:ascii="Arial" w:hAnsi="Arial" w:cs="Arial"/>
          <w:b/>
          <w:bCs/>
          <w:sz w:val="18"/>
          <w:szCs w:val="18"/>
        </w:rPr>
      </w:pPr>
      <w:r w:rsidRPr="00735726">
        <w:rPr>
          <w:rFonts w:ascii="Arial" w:hAnsi="Arial" w:cs="Arial"/>
          <w:sz w:val="18"/>
          <w:szCs w:val="18"/>
        </w:rPr>
        <w:t>Economic Crime and Corporate Transparency Act 2023.</w:t>
      </w:r>
      <w:r w:rsidRPr="00735726">
        <w:rPr>
          <w:rFonts w:ascii="Arial" w:hAnsi="Arial" w:cs="Arial"/>
          <w:b/>
          <w:bCs/>
          <w:sz w:val="18"/>
          <w:szCs w:val="18"/>
        </w:rPr>
        <w:t xml:space="preserve"> </w:t>
      </w:r>
    </w:p>
    <w:p w14:paraId="61214FC5" w14:textId="77777777" w:rsidR="00EB2BE0" w:rsidRPr="00735726" w:rsidRDefault="00EB2BE0" w:rsidP="00EB2BE0">
      <w:pPr>
        <w:autoSpaceDE w:val="0"/>
        <w:autoSpaceDN w:val="0"/>
        <w:adjustRightInd w:val="0"/>
        <w:spacing w:after="0"/>
        <w:rPr>
          <w:rFonts w:ascii="Arial" w:hAnsi="Arial" w:cs="Arial"/>
          <w:b/>
          <w:bCs/>
          <w:sz w:val="18"/>
          <w:szCs w:val="18"/>
        </w:rPr>
      </w:pPr>
    </w:p>
    <w:p w14:paraId="5E2A6333" w14:textId="41201066" w:rsidR="00EB2BE0" w:rsidRPr="00735726" w:rsidRDefault="00C931A7" w:rsidP="00EB2BE0">
      <w:pPr>
        <w:autoSpaceDE w:val="0"/>
        <w:autoSpaceDN w:val="0"/>
        <w:adjustRightInd w:val="0"/>
        <w:spacing w:after="0"/>
        <w:rPr>
          <w:rFonts w:ascii="Arial" w:hAnsi="Arial" w:cs="Arial"/>
          <w:sz w:val="18"/>
          <w:szCs w:val="18"/>
        </w:rPr>
      </w:pPr>
      <w:r w:rsidRPr="00735726">
        <w:rPr>
          <w:rFonts w:ascii="Arial" w:eastAsia="Times New Roman" w:hAnsi="Arial" w:cs="Arial"/>
          <w:b/>
          <w:bCs/>
          <w:caps/>
          <w:color w:val="000000"/>
          <w:sz w:val="18"/>
          <w:szCs w:val="18"/>
        </w:rPr>
        <w:t>BOARD INDUCTIONS</w:t>
      </w:r>
      <w:r w:rsidRPr="00735726">
        <w:rPr>
          <w:rFonts w:ascii="Arial" w:hAnsi="Arial" w:cs="Arial"/>
          <w:i/>
          <w:iCs/>
          <w:sz w:val="18"/>
          <w:szCs w:val="18"/>
        </w:rPr>
        <w:br/>
      </w:r>
      <w:r w:rsidR="00EB2BE0" w:rsidRPr="00735726">
        <w:rPr>
          <w:rFonts w:ascii="Arial" w:hAnsi="Arial" w:cs="Arial"/>
          <w:sz w:val="18"/>
          <w:szCs w:val="18"/>
        </w:rPr>
        <w:t>Newly appointed Directors receive a formal, tailored induction coordinated by the General Counsel and</w:t>
      </w:r>
    </w:p>
    <w:p w14:paraId="449A850B" w14:textId="1B2C8075" w:rsidR="00EB2BE0" w:rsidRPr="00735726" w:rsidRDefault="00EB2BE0" w:rsidP="00EB2BE0">
      <w:pPr>
        <w:autoSpaceDE w:val="0"/>
        <w:autoSpaceDN w:val="0"/>
        <w:adjustRightInd w:val="0"/>
        <w:spacing w:after="0"/>
        <w:rPr>
          <w:rFonts w:ascii="Arial" w:hAnsi="Arial" w:cs="Arial"/>
          <w:sz w:val="18"/>
          <w:szCs w:val="18"/>
        </w:rPr>
      </w:pPr>
      <w:r w:rsidRPr="00735726">
        <w:rPr>
          <w:rFonts w:ascii="Arial" w:hAnsi="Arial" w:cs="Arial"/>
          <w:sz w:val="18"/>
          <w:szCs w:val="18"/>
        </w:rPr>
        <w:t>Company Secretary. The programme goes through the below process:</w:t>
      </w:r>
    </w:p>
    <w:p w14:paraId="009A4C29" w14:textId="77777777" w:rsidR="00EB2BE0" w:rsidRPr="009A2CAE" w:rsidRDefault="00EB2BE0" w:rsidP="00EB2BE0">
      <w:pPr>
        <w:autoSpaceDE w:val="0"/>
        <w:autoSpaceDN w:val="0"/>
        <w:adjustRightInd w:val="0"/>
        <w:spacing w:after="0"/>
        <w:rPr>
          <w:rFonts w:ascii="Arial" w:hAnsi="Arial" w:cs="Arial"/>
          <w:sz w:val="18"/>
          <w:szCs w:val="18"/>
        </w:rPr>
      </w:pPr>
    </w:p>
    <w:p w14:paraId="5C0AE9C9" w14:textId="7FB5C81D" w:rsidR="00EB2BE0" w:rsidRPr="00735726" w:rsidRDefault="00EB2BE0" w:rsidP="00385AF9">
      <w:pPr>
        <w:pStyle w:val="ListParagraph"/>
        <w:numPr>
          <w:ilvl w:val="0"/>
          <w:numId w:val="97"/>
        </w:numPr>
        <w:autoSpaceDE w:val="0"/>
        <w:autoSpaceDN w:val="0"/>
        <w:adjustRightInd w:val="0"/>
        <w:spacing w:after="0"/>
        <w:rPr>
          <w:rFonts w:ascii="Arial" w:hAnsi="Arial" w:cs="Arial"/>
          <w:sz w:val="18"/>
          <w:szCs w:val="18"/>
        </w:rPr>
      </w:pPr>
      <w:r w:rsidRPr="00735726">
        <w:rPr>
          <w:rFonts w:ascii="Arial" w:hAnsi="Arial" w:cs="Arial"/>
          <w:b/>
          <w:bCs/>
          <w:sz w:val="18"/>
          <w:szCs w:val="18"/>
        </w:rPr>
        <w:t xml:space="preserve">Introductions - </w:t>
      </w:r>
      <w:r w:rsidRPr="00735726">
        <w:rPr>
          <w:rFonts w:ascii="Arial" w:hAnsi="Arial" w:cs="Arial"/>
          <w:sz w:val="18"/>
          <w:szCs w:val="18"/>
        </w:rPr>
        <w:t>Introduction meetings with key stakeholders in the business and an outline of the Board and its</w:t>
      </w:r>
      <w:r w:rsidR="004B3744" w:rsidRPr="00735726">
        <w:rPr>
          <w:rFonts w:ascii="Arial" w:hAnsi="Arial" w:cs="Arial"/>
          <w:sz w:val="18"/>
          <w:szCs w:val="18"/>
        </w:rPr>
        <w:t xml:space="preserve"> </w:t>
      </w:r>
      <w:r w:rsidRPr="00735726">
        <w:rPr>
          <w:rFonts w:ascii="Arial" w:hAnsi="Arial" w:cs="Arial"/>
          <w:sz w:val="18"/>
          <w:szCs w:val="18"/>
        </w:rPr>
        <w:t xml:space="preserve">Committees. </w:t>
      </w:r>
    </w:p>
    <w:p w14:paraId="7ED7DCCC" w14:textId="7ABA28FF" w:rsidR="00EB2BE0" w:rsidRPr="00735726" w:rsidRDefault="00EB2BE0" w:rsidP="00646F4F">
      <w:pPr>
        <w:pStyle w:val="ListParagraph"/>
        <w:numPr>
          <w:ilvl w:val="0"/>
          <w:numId w:val="97"/>
        </w:numPr>
        <w:autoSpaceDE w:val="0"/>
        <w:autoSpaceDN w:val="0"/>
        <w:adjustRightInd w:val="0"/>
        <w:spacing w:after="0"/>
        <w:rPr>
          <w:rFonts w:ascii="Arial" w:hAnsi="Arial" w:cs="Arial"/>
          <w:sz w:val="18"/>
          <w:szCs w:val="18"/>
        </w:rPr>
      </w:pPr>
      <w:r w:rsidRPr="00735726">
        <w:rPr>
          <w:rFonts w:ascii="Arial" w:hAnsi="Arial" w:cs="Arial"/>
          <w:b/>
          <w:bCs/>
          <w:sz w:val="18"/>
          <w:szCs w:val="18"/>
        </w:rPr>
        <w:t xml:space="preserve">Information - </w:t>
      </w:r>
      <w:r w:rsidRPr="00735726">
        <w:rPr>
          <w:rFonts w:ascii="Arial" w:hAnsi="Arial" w:cs="Arial"/>
          <w:sz w:val="18"/>
          <w:szCs w:val="18"/>
        </w:rPr>
        <w:t>Presentations from Executive Directors to provide key information on Finance, Remuneration, Health and Safety, Legal, Regulatory, Risk, Environmental and other key Company matters.</w:t>
      </w:r>
    </w:p>
    <w:p w14:paraId="3C239CEB" w14:textId="057AAFEC" w:rsidR="00EB2BE0" w:rsidRPr="00735726" w:rsidRDefault="00EB2BE0" w:rsidP="00646F4F">
      <w:pPr>
        <w:pStyle w:val="ListParagraph"/>
        <w:numPr>
          <w:ilvl w:val="0"/>
          <w:numId w:val="97"/>
        </w:numPr>
        <w:autoSpaceDE w:val="0"/>
        <w:autoSpaceDN w:val="0"/>
        <w:adjustRightInd w:val="0"/>
        <w:spacing w:after="0"/>
        <w:rPr>
          <w:rFonts w:ascii="Arial" w:hAnsi="Arial" w:cs="Arial"/>
          <w:sz w:val="18"/>
          <w:szCs w:val="18"/>
        </w:rPr>
      </w:pPr>
      <w:r w:rsidRPr="00735726">
        <w:rPr>
          <w:rFonts w:ascii="Arial" w:hAnsi="Arial" w:cs="Arial"/>
          <w:b/>
          <w:bCs/>
          <w:sz w:val="18"/>
          <w:szCs w:val="18"/>
        </w:rPr>
        <w:t xml:space="preserve">Engagement - </w:t>
      </w:r>
      <w:r w:rsidRPr="00735726">
        <w:rPr>
          <w:rFonts w:ascii="Arial" w:hAnsi="Arial" w:cs="Arial"/>
          <w:sz w:val="18"/>
          <w:szCs w:val="18"/>
        </w:rPr>
        <w:t xml:space="preserve">Newly appointed Directors are invited to visit different operating facilities across the </w:t>
      </w:r>
      <w:r w:rsidR="00141756" w:rsidRPr="00735726">
        <w:rPr>
          <w:rFonts w:ascii="Arial" w:hAnsi="Arial" w:cs="Arial"/>
          <w:sz w:val="18"/>
          <w:szCs w:val="18"/>
        </w:rPr>
        <w:t xml:space="preserve">Company </w:t>
      </w:r>
      <w:r w:rsidRPr="00735726">
        <w:rPr>
          <w:rFonts w:ascii="Arial" w:hAnsi="Arial" w:cs="Arial"/>
          <w:sz w:val="18"/>
          <w:szCs w:val="18"/>
        </w:rPr>
        <w:t xml:space="preserve">and to meet with employees </w:t>
      </w:r>
      <w:proofErr w:type="gramStart"/>
      <w:r w:rsidRPr="00735726">
        <w:rPr>
          <w:rFonts w:ascii="Arial" w:hAnsi="Arial" w:cs="Arial"/>
          <w:sz w:val="18"/>
          <w:szCs w:val="18"/>
        </w:rPr>
        <w:t>in order to</w:t>
      </w:r>
      <w:proofErr w:type="gramEnd"/>
      <w:r w:rsidRPr="00735726">
        <w:rPr>
          <w:rFonts w:ascii="Arial" w:hAnsi="Arial" w:cs="Arial"/>
          <w:sz w:val="18"/>
          <w:szCs w:val="18"/>
        </w:rPr>
        <w:t xml:space="preserve"> better understand key processes and systems.</w:t>
      </w:r>
    </w:p>
    <w:p w14:paraId="16C594F4" w14:textId="77777777" w:rsidR="00EB2BE0" w:rsidRPr="009A2CAE" w:rsidRDefault="00EB2BE0" w:rsidP="00EB2BE0">
      <w:pPr>
        <w:autoSpaceDE w:val="0"/>
        <w:autoSpaceDN w:val="0"/>
        <w:adjustRightInd w:val="0"/>
        <w:spacing w:after="0"/>
        <w:rPr>
          <w:rFonts w:ascii="Arial" w:hAnsi="Arial" w:cs="Arial"/>
          <w:sz w:val="18"/>
          <w:szCs w:val="18"/>
        </w:rPr>
      </w:pPr>
    </w:p>
    <w:p w14:paraId="3F226191" w14:textId="77777777" w:rsidR="00C931A7" w:rsidRPr="00735726" w:rsidRDefault="00C931A7" w:rsidP="00C931A7">
      <w:pPr>
        <w:pStyle w:val="Headinglevel4"/>
        <w:spacing w:line="276" w:lineRule="auto"/>
        <w:outlineLvl w:val="0"/>
      </w:pPr>
      <w:bookmarkStart w:id="30" w:name="_Hlk135210485"/>
      <w:bookmarkStart w:id="31" w:name="_Hlk137045234"/>
      <w:r w:rsidRPr="00735726">
        <w:t xml:space="preserve">board composition, independence AND experience </w:t>
      </w:r>
      <w:bookmarkEnd w:id="30"/>
    </w:p>
    <w:bookmarkEnd w:id="31"/>
    <w:p w14:paraId="6D7FFE25" w14:textId="5AD74298" w:rsidR="007D7F11" w:rsidRPr="00735726" w:rsidRDefault="007D7F11" w:rsidP="007D7F11">
      <w:pPr>
        <w:rPr>
          <w:rFonts w:ascii="Arial" w:hAnsi="Arial" w:cs="Arial"/>
          <w:sz w:val="18"/>
          <w:szCs w:val="18"/>
        </w:rPr>
      </w:pPr>
      <w:r w:rsidRPr="00735726">
        <w:rPr>
          <w:rFonts w:ascii="Arial" w:hAnsi="Arial" w:cs="Arial"/>
          <w:sz w:val="18"/>
          <w:szCs w:val="18"/>
        </w:rPr>
        <w:t xml:space="preserve">As at the date of this report, our Board comprises the Chair, five Non-Executive Directors, two Executive Directors and the General Counsel and Company Secretary. As </w:t>
      </w:r>
      <w:proofErr w:type="gramStart"/>
      <w:r w:rsidRPr="00735726">
        <w:rPr>
          <w:rFonts w:ascii="Arial" w:hAnsi="Arial" w:cs="Arial"/>
          <w:sz w:val="18"/>
          <w:szCs w:val="18"/>
        </w:rPr>
        <w:t>at</w:t>
      </w:r>
      <w:proofErr w:type="gramEnd"/>
      <w:r w:rsidRPr="00735726">
        <w:rPr>
          <w:rFonts w:ascii="Arial" w:hAnsi="Arial" w:cs="Arial"/>
          <w:sz w:val="18"/>
          <w:szCs w:val="18"/>
        </w:rPr>
        <w:t xml:space="preserve"> 31 March 202</w:t>
      </w:r>
      <w:r w:rsidR="00F308BE" w:rsidRPr="00735726">
        <w:rPr>
          <w:rFonts w:ascii="Arial" w:hAnsi="Arial" w:cs="Arial"/>
          <w:sz w:val="18"/>
          <w:szCs w:val="18"/>
        </w:rPr>
        <w:t>6</w:t>
      </w:r>
      <w:r w:rsidRPr="00735726">
        <w:rPr>
          <w:rFonts w:ascii="Arial" w:hAnsi="Arial" w:cs="Arial"/>
          <w:sz w:val="18"/>
          <w:szCs w:val="18"/>
        </w:rPr>
        <w:t>, female representation on the Board was at 5</w:t>
      </w:r>
      <w:r w:rsidR="00F308BE" w:rsidRPr="00735726">
        <w:rPr>
          <w:rFonts w:ascii="Arial" w:hAnsi="Arial" w:cs="Arial"/>
          <w:sz w:val="18"/>
          <w:szCs w:val="18"/>
        </w:rPr>
        <w:t>0</w:t>
      </w:r>
      <w:r w:rsidRPr="00735726">
        <w:rPr>
          <w:rFonts w:ascii="Arial" w:hAnsi="Arial" w:cs="Arial"/>
          <w:sz w:val="18"/>
          <w:szCs w:val="18"/>
        </w:rPr>
        <w:t>%, exceeding the Board’s target of 33%</w:t>
      </w:r>
      <w:r w:rsidR="00365224" w:rsidRPr="00735726">
        <w:rPr>
          <w:rFonts w:ascii="Arial" w:hAnsi="Arial" w:cs="Arial"/>
          <w:sz w:val="18"/>
          <w:szCs w:val="18"/>
        </w:rPr>
        <w:t>.</w:t>
      </w:r>
    </w:p>
    <w:p w14:paraId="6245D311" w14:textId="79302C0C" w:rsidR="007D7F11" w:rsidRPr="00735726" w:rsidRDefault="007D7F11" w:rsidP="007D7F11">
      <w:pPr>
        <w:rPr>
          <w:rFonts w:ascii="Arial" w:hAnsi="Arial" w:cs="Arial"/>
          <w:sz w:val="18"/>
          <w:szCs w:val="18"/>
        </w:rPr>
      </w:pPr>
      <w:proofErr w:type="gramStart"/>
      <w:r w:rsidRPr="00735726">
        <w:rPr>
          <w:rFonts w:ascii="Arial" w:hAnsi="Arial" w:cs="Arial"/>
          <w:sz w:val="18"/>
          <w:szCs w:val="18"/>
        </w:rPr>
        <w:t>All of</w:t>
      </w:r>
      <w:proofErr w:type="gramEnd"/>
      <w:r w:rsidRPr="00735726">
        <w:rPr>
          <w:rFonts w:ascii="Arial" w:hAnsi="Arial" w:cs="Arial"/>
          <w:sz w:val="18"/>
          <w:szCs w:val="18"/>
        </w:rPr>
        <w:t xml:space="preserve"> the Non-Executive Directors are considered by the Board to be independent and are subject to re-election each year. All the Non-Executive Directors are considered to have the appropriate skills, experience in their respective disciplines and personality to bring independent and objective judgement to the Board’s deliberations. Their biographies on pages </w:t>
      </w:r>
      <w:r w:rsidR="00704734" w:rsidRPr="009A2CAE">
        <w:rPr>
          <w:rFonts w:ascii="Arial" w:hAnsi="Arial" w:cs="Arial"/>
          <w:sz w:val="18"/>
          <w:szCs w:val="18"/>
        </w:rPr>
        <w:t xml:space="preserve">102 </w:t>
      </w:r>
      <w:r w:rsidR="00F308BE" w:rsidRPr="009A2CAE">
        <w:rPr>
          <w:rFonts w:ascii="Arial" w:hAnsi="Arial" w:cs="Arial"/>
          <w:sz w:val="18"/>
          <w:szCs w:val="18"/>
        </w:rPr>
        <w:t xml:space="preserve">to </w:t>
      </w:r>
      <w:r w:rsidR="00704734" w:rsidRPr="009A2CAE">
        <w:rPr>
          <w:rFonts w:ascii="Arial" w:hAnsi="Arial" w:cs="Arial"/>
          <w:sz w:val="18"/>
          <w:szCs w:val="18"/>
        </w:rPr>
        <w:t>104</w:t>
      </w:r>
      <w:r w:rsidRPr="009A2CAE">
        <w:rPr>
          <w:rFonts w:ascii="Arial" w:hAnsi="Arial" w:cs="Arial"/>
          <w:sz w:val="18"/>
          <w:szCs w:val="18"/>
        </w:rPr>
        <w:t xml:space="preserve"> </w:t>
      </w:r>
      <w:r w:rsidRPr="00735726">
        <w:rPr>
          <w:rFonts w:ascii="Arial" w:hAnsi="Arial" w:cs="Arial"/>
          <w:sz w:val="18"/>
          <w:szCs w:val="18"/>
        </w:rPr>
        <w:t>demonstrate collectively a broad range of business, financial and other relevant experience.</w:t>
      </w:r>
    </w:p>
    <w:p w14:paraId="2BBF164F" w14:textId="2AEB6726" w:rsidR="007D7F11" w:rsidRPr="009A2CAE" w:rsidRDefault="007D7F11" w:rsidP="007D7F11">
      <w:pPr>
        <w:rPr>
          <w:rFonts w:ascii="Arial" w:hAnsi="Arial" w:cs="Arial"/>
          <w:sz w:val="18"/>
          <w:szCs w:val="18"/>
        </w:rPr>
      </w:pPr>
      <w:r w:rsidRPr="00735726">
        <w:rPr>
          <w:rFonts w:ascii="Arial" w:hAnsi="Arial" w:cs="Arial"/>
          <w:sz w:val="18"/>
          <w:szCs w:val="18"/>
        </w:rPr>
        <w:t>Loraine Woodhouse is Chair of the Audit Committee and, in accordance with the UK Code and FCA Disclosure Guidance and Transparency Rule 7.1.1A, has recent and relevant financial experience and competence in accounting and auditing (as set out in her biography on page</w:t>
      </w:r>
      <w:r w:rsidR="00F308BE" w:rsidRPr="00735726">
        <w:rPr>
          <w:rFonts w:ascii="Arial" w:hAnsi="Arial" w:cs="Arial"/>
          <w:sz w:val="18"/>
          <w:szCs w:val="18"/>
        </w:rPr>
        <w:t xml:space="preserve"> </w:t>
      </w:r>
      <w:r w:rsidR="00704734" w:rsidRPr="009A2CAE">
        <w:rPr>
          <w:rFonts w:ascii="Arial" w:hAnsi="Arial" w:cs="Arial"/>
          <w:sz w:val="18"/>
          <w:szCs w:val="18"/>
        </w:rPr>
        <w:t>104</w:t>
      </w:r>
      <w:r w:rsidR="00991401" w:rsidRPr="009A2CAE">
        <w:rPr>
          <w:rFonts w:ascii="Arial" w:hAnsi="Arial" w:cs="Arial"/>
          <w:sz w:val="18"/>
          <w:szCs w:val="18"/>
        </w:rPr>
        <w:t>)</w:t>
      </w:r>
      <w:r w:rsidRPr="009A2CAE">
        <w:rPr>
          <w:rFonts w:ascii="Arial" w:hAnsi="Arial" w:cs="Arial"/>
          <w:sz w:val="18"/>
          <w:szCs w:val="18"/>
        </w:rPr>
        <w:t xml:space="preserve">. </w:t>
      </w:r>
      <w:r w:rsidRPr="00735726">
        <w:rPr>
          <w:rFonts w:ascii="Arial" w:hAnsi="Arial" w:cs="Arial"/>
          <w:sz w:val="18"/>
          <w:szCs w:val="18"/>
        </w:rPr>
        <w:t>The Board is satisfied that the Audit Committee has financial literacy and competence relevant to the sector in which the Company operates.</w:t>
      </w:r>
    </w:p>
    <w:p w14:paraId="5585661E" w14:textId="77777777" w:rsidR="00F308BE" w:rsidRPr="00735726" w:rsidRDefault="00F308BE" w:rsidP="00C931A7">
      <w:pPr>
        <w:autoSpaceDE w:val="0"/>
        <w:autoSpaceDN w:val="0"/>
        <w:adjustRightInd w:val="0"/>
        <w:spacing w:after="0"/>
        <w:rPr>
          <w:rFonts w:ascii="Arial" w:hAnsi="Arial" w:cs="Arial"/>
          <w:b/>
          <w:bCs/>
          <w:sz w:val="18"/>
          <w:szCs w:val="18"/>
        </w:rPr>
      </w:pPr>
      <w:r w:rsidRPr="00735726">
        <w:rPr>
          <w:rFonts w:ascii="Arial" w:hAnsi="Arial" w:cs="Arial"/>
          <w:b/>
          <w:bCs/>
          <w:sz w:val="18"/>
          <w:szCs w:val="18"/>
        </w:rPr>
        <w:t>BOARD APPOINTMENT AND SUCCESSION PLANNING</w:t>
      </w:r>
    </w:p>
    <w:p w14:paraId="3BAB9CA2" w14:textId="361B98FB" w:rsidR="00F308BE" w:rsidRPr="00735726" w:rsidRDefault="00F308BE" w:rsidP="00F308BE">
      <w:pPr>
        <w:autoSpaceDE w:val="0"/>
        <w:autoSpaceDN w:val="0"/>
        <w:adjustRightInd w:val="0"/>
        <w:spacing w:after="0"/>
        <w:rPr>
          <w:rFonts w:ascii="Arial" w:hAnsi="Arial" w:cs="Arial"/>
          <w:sz w:val="18"/>
          <w:szCs w:val="18"/>
        </w:rPr>
      </w:pPr>
      <w:r w:rsidRPr="00735726">
        <w:rPr>
          <w:rFonts w:ascii="Arial" w:hAnsi="Arial" w:cs="Arial"/>
          <w:sz w:val="18"/>
          <w:szCs w:val="18"/>
        </w:rPr>
        <w:t>The Nomination Committee frequently reviews the size and structure of the Board. The Committee regularly</w:t>
      </w:r>
    </w:p>
    <w:p w14:paraId="1056F3AE" w14:textId="77777777" w:rsidR="004B3744" w:rsidRPr="00735726" w:rsidRDefault="00F308BE" w:rsidP="00F308BE">
      <w:pPr>
        <w:autoSpaceDE w:val="0"/>
        <w:autoSpaceDN w:val="0"/>
        <w:adjustRightInd w:val="0"/>
        <w:spacing w:after="0"/>
        <w:rPr>
          <w:rFonts w:ascii="Arial" w:hAnsi="Arial" w:cs="Arial"/>
          <w:sz w:val="18"/>
          <w:szCs w:val="18"/>
        </w:rPr>
      </w:pPr>
      <w:r w:rsidRPr="00735726">
        <w:rPr>
          <w:rFonts w:ascii="Arial" w:hAnsi="Arial" w:cs="Arial"/>
          <w:sz w:val="18"/>
          <w:szCs w:val="18"/>
        </w:rPr>
        <w:t xml:space="preserve">reviews the succession plan for Non-Executive Directors and the Executive team at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with consideration for diversity, skill and experience at the forefront of their minds. External search consultancy firms, Heidrick &amp; Struggles and Russell Reynolds Associates supported the Board during the process of recruitment of Sir Andrew Haines and Keith Haslett as Board Directors. Both firms have no connection with the Company or with any individual Directors. Both firms are signatory to the Voluntary Code of Conduct for External Search Firms. </w:t>
      </w:r>
    </w:p>
    <w:p w14:paraId="3EC7FB63" w14:textId="456C8C05" w:rsidR="00F308BE" w:rsidRPr="00735726" w:rsidRDefault="00F308BE" w:rsidP="00F308BE">
      <w:pPr>
        <w:autoSpaceDE w:val="0"/>
        <w:autoSpaceDN w:val="0"/>
        <w:adjustRightInd w:val="0"/>
        <w:spacing w:after="0"/>
        <w:rPr>
          <w:rFonts w:ascii="Arial" w:hAnsi="Arial" w:cs="Arial"/>
          <w:sz w:val="18"/>
          <w:szCs w:val="18"/>
        </w:rPr>
      </w:pPr>
      <w:r w:rsidRPr="00735726">
        <w:rPr>
          <w:rFonts w:ascii="Arial" w:hAnsi="Arial" w:cs="Arial"/>
          <w:sz w:val="18"/>
          <w:szCs w:val="18"/>
        </w:rPr>
        <w:lastRenderedPageBreak/>
        <w:t>The Board is aware of the Ofwat’s new fitness and propriety rule which ensures that candidates being considered for directorship or senior management roles within the sector meet stringent standards of honesty and integrity, knowledge and experience, and financial soundness before they can be offered their role. The Board ensured that the necessary background checks in line with the rules were conducted during the recruitment process of the C</w:t>
      </w:r>
      <w:r w:rsidR="004B3744" w:rsidRPr="00735726">
        <w:rPr>
          <w:rFonts w:ascii="Arial" w:hAnsi="Arial" w:cs="Arial"/>
          <w:sz w:val="18"/>
          <w:szCs w:val="18"/>
        </w:rPr>
        <w:t xml:space="preserve">hief </w:t>
      </w:r>
      <w:r w:rsidRPr="00735726">
        <w:rPr>
          <w:rFonts w:ascii="Arial" w:hAnsi="Arial" w:cs="Arial"/>
          <w:sz w:val="18"/>
          <w:szCs w:val="18"/>
        </w:rPr>
        <w:t>E</w:t>
      </w:r>
      <w:r w:rsidR="004B3744" w:rsidRPr="00735726">
        <w:rPr>
          <w:rFonts w:ascii="Arial" w:hAnsi="Arial" w:cs="Arial"/>
          <w:sz w:val="18"/>
          <w:szCs w:val="18"/>
        </w:rPr>
        <w:t xml:space="preserve">xecutive </w:t>
      </w:r>
      <w:r w:rsidRPr="00735726">
        <w:rPr>
          <w:rFonts w:ascii="Arial" w:hAnsi="Arial" w:cs="Arial"/>
          <w:sz w:val="18"/>
          <w:szCs w:val="18"/>
        </w:rPr>
        <w:t>O</w:t>
      </w:r>
      <w:r w:rsidR="004B3744" w:rsidRPr="00735726">
        <w:rPr>
          <w:rFonts w:ascii="Arial" w:hAnsi="Arial" w:cs="Arial"/>
          <w:sz w:val="18"/>
          <w:szCs w:val="18"/>
        </w:rPr>
        <w:t>fficer</w:t>
      </w:r>
      <w:r w:rsidRPr="00735726">
        <w:rPr>
          <w:rFonts w:ascii="Arial" w:hAnsi="Arial" w:cs="Arial"/>
          <w:sz w:val="18"/>
          <w:szCs w:val="18"/>
        </w:rPr>
        <w:t xml:space="preserve"> and reports submitted to Ofwat.</w:t>
      </w:r>
    </w:p>
    <w:p w14:paraId="37D825AB" w14:textId="77777777" w:rsidR="00F308BE" w:rsidRPr="009A2CAE" w:rsidRDefault="00F308BE" w:rsidP="00F308BE">
      <w:pPr>
        <w:autoSpaceDE w:val="0"/>
        <w:autoSpaceDN w:val="0"/>
        <w:adjustRightInd w:val="0"/>
        <w:spacing w:after="0"/>
        <w:rPr>
          <w:rFonts w:ascii="Arial" w:hAnsi="Arial" w:cs="Arial"/>
          <w:b/>
          <w:bCs/>
          <w:sz w:val="18"/>
          <w:szCs w:val="18"/>
        </w:rPr>
      </w:pPr>
    </w:p>
    <w:p w14:paraId="3DCF42B0" w14:textId="61AA6D46" w:rsidR="009C4257" w:rsidRPr="00735726" w:rsidRDefault="009C4257" w:rsidP="00C931A7">
      <w:pPr>
        <w:autoSpaceDE w:val="0"/>
        <w:autoSpaceDN w:val="0"/>
        <w:adjustRightInd w:val="0"/>
        <w:spacing w:after="0"/>
        <w:rPr>
          <w:rFonts w:ascii="Arial" w:hAnsi="Arial" w:cs="Arial"/>
          <w:b/>
          <w:bCs/>
          <w:sz w:val="18"/>
          <w:szCs w:val="18"/>
        </w:rPr>
      </w:pPr>
      <w:r w:rsidRPr="00735726">
        <w:rPr>
          <w:rFonts w:ascii="Arial" w:hAnsi="Arial" w:cs="Arial"/>
          <w:b/>
          <w:bCs/>
          <w:sz w:val="18"/>
          <w:szCs w:val="18"/>
        </w:rPr>
        <w:t>OFWAT FITNESS AND PROPRIETY RULE</w:t>
      </w:r>
    </w:p>
    <w:p w14:paraId="76D50860" w14:textId="2C3CDB03" w:rsidR="009C4257" w:rsidRPr="00735726" w:rsidRDefault="009C4257" w:rsidP="009C4257">
      <w:pPr>
        <w:autoSpaceDE w:val="0"/>
        <w:autoSpaceDN w:val="0"/>
        <w:adjustRightInd w:val="0"/>
        <w:spacing w:after="0"/>
        <w:rPr>
          <w:rFonts w:ascii="Arial" w:hAnsi="Arial" w:cs="Arial"/>
          <w:sz w:val="18"/>
          <w:szCs w:val="18"/>
        </w:rPr>
      </w:pPr>
      <w:r w:rsidRPr="00735726">
        <w:rPr>
          <w:rFonts w:ascii="Arial" w:hAnsi="Arial" w:cs="Arial"/>
          <w:sz w:val="18"/>
          <w:szCs w:val="18"/>
        </w:rPr>
        <w:t>During the year, Ofwat introduced a new Fitness and Propriety Rule, requiring water companies to ensure that</w:t>
      </w:r>
    </w:p>
    <w:p w14:paraId="58E4CED2" w14:textId="05AAE738" w:rsidR="009C4257" w:rsidRPr="00735726" w:rsidRDefault="009C4257" w:rsidP="009C4257">
      <w:pPr>
        <w:autoSpaceDE w:val="0"/>
        <w:autoSpaceDN w:val="0"/>
        <w:adjustRightInd w:val="0"/>
        <w:spacing w:after="0"/>
        <w:rPr>
          <w:rFonts w:ascii="Arial" w:hAnsi="Arial" w:cs="Arial"/>
          <w:sz w:val="18"/>
          <w:szCs w:val="18"/>
        </w:rPr>
      </w:pPr>
      <w:r w:rsidRPr="00735726">
        <w:rPr>
          <w:rFonts w:ascii="Arial" w:hAnsi="Arial" w:cs="Arial"/>
          <w:sz w:val="18"/>
          <w:szCs w:val="18"/>
        </w:rPr>
        <w:t>individuals appointed to board-level roles demonstrate the highest standards of integrity, competence, and financial soundness. This rule forms part of the wider reforms under the Water (Special Measures) Act 2025, aimed at strengthening governance and rebuilding public trust in the sector.</w:t>
      </w:r>
    </w:p>
    <w:p w14:paraId="3DFDC867" w14:textId="77777777" w:rsidR="009C4257" w:rsidRPr="00735726" w:rsidRDefault="009C4257" w:rsidP="009C4257">
      <w:pPr>
        <w:autoSpaceDE w:val="0"/>
        <w:autoSpaceDN w:val="0"/>
        <w:adjustRightInd w:val="0"/>
        <w:spacing w:after="0"/>
        <w:rPr>
          <w:rFonts w:ascii="Arial" w:hAnsi="Arial" w:cs="Arial"/>
          <w:sz w:val="18"/>
          <w:szCs w:val="18"/>
        </w:rPr>
      </w:pPr>
    </w:p>
    <w:p w14:paraId="32D40262" w14:textId="2AB991E6" w:rsidR="009C4257" w:rsidRPr="00735726" w:rsidRDefault="009C4257" w:rsidP="009C4257">
      <w:pPr>
        <w:autoSpaceDE w:val="0"/>
        <w:autoSpaceDN w:val="0"/>
        <w:adjustRightInd w:val="0"/>
        <w:spacing w:after="0"/>
        <w:rPr>
          <w:rFonts w:ascii="Arial" w:hAnsi="Arial" w:cs="Arial"/>
          <w:sz w:val="18"/>
          <w:szCs w:val="18"/>
        </w:rPr>
      </w:pPr>
      <w:r w:rsidRPr="00735726">
        <w:rPr>
          <w:rFonts w:ascii="Arial" w:hAnsi="Arial" w:cs="Arial"/>
          <w:sz w:val="18"/>
          <w:szCs w:val="18"/>
        </w:rPr>
        <w:t>We have taken proactive steps to embed this requirement into our governance processes, including robust</w:t>
      </w:r>
    </w:p>
    <w:p w14:paraId="7669D776" w14:textId="51013365" w:rsidR="009C4257" w:rsidRPr="00735726" w:rsidRDefault="009C4257" w:rsidP="009C4257">
      <w:pPr>
        <w:autoSpaceDE w:val="0"/>
        <w:autoSpaceDN w:val="0"/>
        <w:adjustRightInd w:val="0"/>
        <w:spacing w:after="0"/>
        <w:rPr>
          <w:rFonts w:ascii="Arial" w:hAnsi="Arial" w:cs="Arial"/>
          <w:sz w:val="18"/>
          <w:szCs w:val="18"/>
        </w:rPr>
      </w:pPr>
      <w:r w:rsidRPr="00735726">
        <w:rPr>
          <w:rFonts w:ascii="Arial" w:hAnsi="Arial" w:cs="Arial"/>
          <w:sz w:val="18"/>
          <w:szCs w:val="18"/>
        </w:rPr>
        <w:t>due diligence, assessment, and ongoing monitoring arrangements. Our newly appointed Chief Executive</w:t>
      </w:r>
    </w:p>
    <w:p w14:paraId="07B6754B" w14:textId="53AADE38" w:rsidR="009C4257" w:rsidRPr="00735726" w:rsidRDefault="009C4257" w:rsidP="009C4257">
      <w:pPr>
        <w:autoSpaceDE w:val="0"/>
        <w:autoSpaceDN w:val="0"/>
        <w:adjustRightInd w:val="0"/>
        <w:spacing w:after="0"/>
        <w:rPr>
          <w:rFonts w:ascii="Arial" w:hAnsi="Arial" w:cs="Arial"/>
          <w:sz w:val="18"/>
          <w:szCs w:val="18"/>
        </w:rPr>
      </w:pPr>
      <w:r w:rsidRPr="00735726">
        <w:rPr>
          <w:rFonts w:ascii="Arial" w:hAnsi="Arial" w:cs="Arial"/>
          <w:sz w:val="18"/>
          <w:szCs w:val="18"/>
        </w:rPr>
        <w:t>Officer, Keith Haslett, is the first colleague and first industry executive director to undergo and meet the</w:t>
      </w:r>
    </w:p>
    <w:p w14:paraId="18AFA136" w14:textId="1CA0A347" w:rsidR="009C4257" w:rsidRPr="00735726" w:rsidRDefault="009C4257" w:rsidP="009C4257">
      <w:pPr>
        <w:autoSpaceDE w:val="0"/>
        <w:autoSpaceDN w:val="0"/>
        <w:adjustRightInd w:val="0"/>
        <w:spacing w:after="0"/>
        <w:rPr>
          <w:rFonts w:ascii="Arial" w:hAnsi="Arial" w:cs="Arial"/>
          <w:sz w:val="18"/>
          <w:szCs w:val="18"/>
        </w:rPr>
      </w:pPr>
      <w:r w:rsidRPr="00735726">
        <w:rPr>
          <w:rFonts w:ascii="Arial" w:hAnsi="Arial" w:cs="Arial"/>
          <w:sz w:val="18"/>
          <w:szCs w:val="18"/>
        </w:rPr>
        <w:t>requirements of this enhanced fit and proper assessment, setting the standard for future senior appointments.</w:t>
      </w:r>
    </w:p>
    <w:p w14:paraId="3F397916" w14:textId="77777777" w:rsidR="009C4257" w:rsidRPr="00735726" w:rsidRDefault="009C4257" w:rsidP="009C4257">
      <w:pPr>
        <w:autoSpaceDE w:val="0"/>
        <w:autoSpaceDN w:val="0"/>
        <w:adjustRightInd w:val="0"/>
        <w:spacing w:after="0"/>
        <w:rPr>
          <w:rFonts w:ascii="Arial" w:hAnsi="Arial" w:cs="Arial"/>
          <w:b/>
          <w:bCs/>
          <w:sz w:val="18"/>
          <w:szCs w:val="18"/>
        </w:rPr>
      </w:pPr>
    </w:p>
    <w:p w14:paraId="5DCE01D9" w14:textId="3ECF9D38" w:rsidR="00C931A7" w:rsidRPr="00735726" w:rsidRDefault="00C931A7" w:rsidP="00C931A7">
      <w:pPr>
        <w:autoSpaceDE w:val="0"/>
        <w:autoSpaceDN w:val="0"/>
        <w:adjustRightInd w:val="0"/>
        <w:spacing w:after="0"/>
        <w:rPr>
          <w:rFonts w:ascii="Arial" w:hAnsi="Arial" w:cs="Arial"/>
          <w:sz w:val="18"/>
          <w:szCs w:val="18"/>
        </w:rPr>
      </w:pPr>
      <w:r w:rsidRPr="00735726">
        <w:rPr>
          <w:rFonts w:ascii="Arial" w:hAnsi="Arial" w:cs="Arial"/>
          <w:b/>
          <w:bCs/>
          <w:sz w:val="18"/>
          <w:szCs w:val="18"/>
        </w:rPr>
        <w:t>TIME COMMITMENT</w:t>
      </w:r>
      <w:r w:rsidRPr="00735726">
        <w:rPr>
          <w:rFonts w:ascii="Arial" w:hAnsi="Arial" w:cs="Arial"/>
          <w:b/>
          <w:bCs/>
          <w:sz w:val="18"/>
          <w:szCs w:val="18"/>
        </w:rPr>
        <w:br/>
      </w:r>
      <w:r w:rsidRPr="00735726">
        <w:rPr>
          <w:rFonts w:ascii="Arial" w:hAnsi="Arial" w:cs="Arial"/>
          <w:sz w:val="18"/>
          <w:szCs w:val="18"/>
        </w:rPr>
        <w:t>All Non-Executive Directors are required to devote sufficient time to meet their Board responsibilities and demonstrate commitment to their role. During the year, the Nomination Committee considered the time commitment of all the Non-Executive Directors and was satisfied that the required time dedicated by each of them remains appropriate.</w:t>
      </w:r>
    </w:p>
    <w:p w14:paraId="4329CCD4" w14:textId="77777777" w:rsidR="00C931A7" w:rsidRPr="00735726" w:rsidRDefault="00C931A7" w:rsidP="00C931A7">
      <w:pPr>
        <w:autoSpaceDE w:val="0"/>
        <w:autoSpaceDN w:val="0"/>
        <w:adjustRightInd w:val="0"/>
        <w:spacing w:after="0"/>
        <w:rPr>
          <w:rFonts w:ascii="Arial" w:hAnsi="Arial" w:cs="Arial"/>
          <w:sz w:val="18"/>
          <w:szCs w:val="18"/>
        </w:rPr>
      </w:pPr>
    </w:p>
    <w:p w14:paraId="35A3C98B" w14:textId="769E48D7" w:rsidR="00C931A7" w:rsidRPr="00735726" w:rsidRDefault="00C931A7" w:rsidP="00C931A7">
      <w:pPr>
        <w:autoSpaceDE w:val="0"/>
        <w:autoSpaceDN w:val="0"/>
        <w:adjustRightInd w:val="0"/>
        <w:spacing w:after="0"/>
        <w:rPr>
          <w:rFonts w:ascii="Arial" w:hAnsi="Arial" w:cs="Arial"/>
          <w:sz w:val="18"/>
          <w:szCs w:val="18"/>
        </w:rPr>
      </w:pPr>
      <w:r w:rsidRPr="00735726">
        <w:rPr>
          <w:rFonts w:ascii="Arial" w:hAnsi="Arial" w:cs="Arial"/>
          <w:b/>
          <w:bCs/>
          <w:sz w:val="18"/>
          <w:szCs w:val="18"/>
        </w:rPr>
        <w:t>EXTERNAL APPOINTMENTS</w:t>
      </w:r>
      <w:r w:rsidRPr="00735726">
        <w:rPr>
          <w:rFonts w:ascii="Arial" w:hAnsi="Arial" w:cs="Arial"/>
          <w:b/>
          <w:bCs/>
          <w:sz w:val="18"/>
          <w:szCs w:val="18"/>
        </w:rPr>
        <w:br/>
      </w:r>
      <w:r w:rsidRPr="00735726">
        <w:rPr>
          <w:rFonts w:ascii="Arial" w:hAnsi="Arial" w:cs="Arial"/>
          <w:sz w:val="18"/>
          <w:szCs w:val="18"/>
        </w:rPr>
        <w:t xml:space="preserve">All Directors are required to consult with the Chair and obtain Board approval before taking on any additional appointments. Executive Directors are not permitted to take on more than one </w:t>
      </w:r>
      <w:proofErr w:type="gramStart"/>
      <w:r w:rsidR="00365224" w:rsidRPr="00735726">
        <w:rPr>
          <w:rFonts w:ascii="Arial" w:hAnsi="Arial" w:cs="Arial"/>
          <w:sz w:val="18"/>
          <w:szCs w:val="18"/>
        </w:rPr>
        <w:t>N</w:t>
      </w:r>
      <w:r w:rsidRPr="00735726">
        <w:rPr>
          <w:rFonts w:ascii="Arial" w:hAnsi="Arial" w:cs="Arial"/>
          <w:sz w:val="18"/>
          <w:szCs w:val="18"/>
        </w:rPr>
        <w:t>on-</w:t>
      </w:r>
      <w:r w:rsidR="00365224" w:rsidRPr="00735726">
        <w:rPr>
          <w:rFonts w:ascii="Arial" w:hAnsi="Arial" w:cs="Arial"/>
          <w:sz w:val="18"/>
          <w:szCs w:val="18"/>
        </w:rPr>
        <w:t>E</w:t>
      </w:r>
      <w:r w:rsidRPr="00735726">
        <w:rPr>
          <w:rFonts w:ascii="Arial" w:hAnsi="Arial" w:cs="Arial"/>
          <w:sz w:val="18"/>
          <w:szCs w:val="18"/>
        </w:rPr>
        <w:t>xecutive</w:t>
      </w:r>
      <w:proofErr w:type="gramEnd"/>
      <w:r w:rsidRPr="00735726">
        <w:rPr>
          <w:rFonts w:ascii="Arial" w:hAnsi="Arial" w:cs="Arial"/>
          <w:sz w:val="18"/>
          <w:szCs w:val="18"/>
        </w:rPr>
        <w:t xml:space="preserve"> directorship of a FTSE 100 company or other significant appointment. As part of the selection process for any new Board candidates, any significant external time commitments are considered before an appointment is agreed.</w:t>
      </w:r>
    </w:p>
    <w:p w14:paraId="52C185A1" w14:textId="77777777" w:rsidR="00F308BE" w:rsidRPr="00735726" w:rsidRDefault="00F308BE" w:rsidP="00C931A7">
      <w:pPr>
        <w:autoSpaceDE w:val="0"/>
        <w:autoSpaceDN w:val="0"/>
        <w:adjustRightInd w:val="0"/>
        <w:spacing w:after="0"/>
        <w:rPr>
          <w:rFonts w:ascii="Arial" w:hAnsi="Arial" w:cs="Arial"/>
          <w:sz w:val="18"/>
          <w:szCs w:val="18"/>
        </w:rPr>
      </w:pPr>
    </w:p>
    <w:p w14:paraId="2F32DCD1" w14:textId="087148F8" w:rsidR="00C931A7" w:rsidRPr="009A2CAE" w:rsidRDefault="00C931A7" w:rsidP="00C931A7">
      <w:pPr>
        <w:autoSpaceDE w:val="0"/>
        <w:autoSpaceDN w:val="0"/>
        <w:adjustRightInd w:val="0"/>
        <w:spacing w:after="0"/>
        <w:rPr>
          <w:rFonts w:ascii="Arial" w:hAnsi="Arial" w:cs="Arial"/>
          <w:sz w:val="18"/>
          <w:szCs w:val="18"/>
        </w:rPr>
      </w:pPr>
      <w:r w:rsidRPr="00735726">
        <w:rPr>
          <w:rFonts w:ascii="Arial" w:hAnsi="Arial" w:cs="Arial"/>
          <w:sz w:val="18"/>
          <w:szCs w:val="18"/>
        </w:rPr>
        <w:t xml:space="preserve">Further information on the other business commitments of the Chair and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Non-Executive Directors is on pages </w:t>
      </w:r>
      <w:r w:rsidR="00704734" w:rsidRPr="009A2CAE">
        <w:rPr>
          <w:rFonts w:ascii="Arial" w:hAnsi="Arial" w:cs="Arial"/>
          <w:sz w:val="18"/>
          <w:szCs w:val="18"/>
        </w:rPr>
        <w:t xml:space="preserve">102 </w:t>
      </w:r>
      <w:r w:rsidR="00F308BE" w:rsidRPr="009A2CAE">
        <w:rPr>
          <w:rFonts w:ascii="Arial" w:hAnsi="Arial" w:cs="Arial"/>
          <w:sz w:val="18"/>
          <w:szCs w:val="18"/>
        </w:rPr>
        <w:t xml:space="preserve">to </w:t>
      </w:r>
      <w:r w:rsidR="00704734" w:rsidRPr="009A2CAE">
        <w:rPr>
          <w:rFonts w:ascii="Arial" w:hAnsi="Arial" w:cs="Arial"/>
          <w:sz w:val="18"/>
          <w:szCs w:val="18"/>
        </w:rPr>
        <w:t>104</w:t>
      </w:r>
      <w:r w:rsidR="007D7F11" w:rsidRPr="009A2CAE">
        <w:rPr>
          <w:rFonts w:ascii="Arial" w:hAnsi="Arial" w:cs="Arial"/>
          <w:sz w:val="18"/>
          <w:szCs w:val="18"/>
        </w:rPr>
        <w:t>.</w:t>
      </w:r>
    </w:p>
    <w:p w14:paraId="4D4DFF6A" w14:textId="77777777" w:rsidR="00C931A7" w:rsidRPr="009A2CAE" w:rsidRDefault="00C931A7" w:rsidP="00C931A7">
      <w:pPr>
        <w:autoSpaceDE w:val="0"/>
        <w:autoSpaceDN w:val="0"/>
        <w:adjustRightInd w:val="0"/>
        <w:spacing w:after="0"/>
        <w:rPr>
          <w:rFonts w:ascii="Arial" w:hAnsi="Arial" w:cs="Arial"/>
          <w:sz w:val="18"/>
          <w:szCs w:val="18"/>
        </w:rPr>
      </w:pPr>
    </w:p>
    <w:p w14:paraId="444C55E8" w14:textId="4EBBA901" w:rsidR="00C931A7" w:rsidRPr="00735726" w:rsidRDefault="00C931A7" w:rsidP="00F308BE">
      <w:pPr>
        <w:rPr>
          <w:rFonts w:ascii="Arial" w:hAnsi="Arial" w:cs="Arial"/>
          <w:sz w:val="18"/>
          <w:szCs w:val="18"/>
        </w:rPr>
      </w:pPr>
      <w:r w:rsidRPr="00735726">
        <w:rPr>
          <w:rFonts w:ascii="Arial" w:hAnsi="Arial" w:cs="Arial"/>
          <w:b/>
          <w:bCs/>
          <w:sz w:val="18"/>
          <w:szCs w:val="18"/>
        </w:rPr>
        <w:t>BOARD PERFORMANCE REVIEW</w:t>
      </w:r>
      <w:r w:rsidRPr="00735726">
        <w:rPr>
          <w:rFonts w:ascii="Arial" w:hAnsi="Arial" w:cs="Arial"/>
          <w:b/>
          <w:bCs/>
          <w:sz w:val="18"/>
          <w:szCs w:val="18"/>
        </w:rPr>
        <w:br/>
      </w:r>
      <w:r w:rsidRPr="00735726">
        <w:rPr>
          <w:rFonts w:ascii="Arial" w:hAnsi="Arial" w:cs="Arial"/>
          <w:sz w:val="18"/>
          <w:szCs w:val="18"/>
        </w:rPr>
        <w:t xml:space="preserve">The Board undertakes a formal and rigorous review of its performance and that of its Committees and Directors each year. </w:t>
      </w:r>
      <w:r w:rsidR="00F308BE" w:rsidRPr="00735726">
        <w:rPr>
          <w:rFonts w:ascii="Arial" w:hAnsi="Arial" w:cs="Arial"/>
          <w:sz w:val="18"/>
          <w:szCs w:val="18"/>
        </w:rPr>
        <w:t xml:space="preserve">Having carried out an internal evaluation in 2024/25, with feedback currently being implemented, the Board was due to undertake an external evaluation this year. However, given the significant changes to the Board during the year, including a new Chief Executive Officer, retirement of the Senior Independent Director, and addition of two Non-Executive Directors, the Board took the decision to commence the evaluation process in May 2026. Recommendations from the review process will be disclosed in the 2026/27 Annual Report and </w:t>
      </w:r>
      <w:r w:rsidR="00E362AD" w:rsidRPr="00735726">
        <w:rPr>
          <w:rFonts w:ascii="Arial" w:hAnsi="Arial" w:cs="Arial"/>
          <w:sz w:val="18"/>
          <w:szCs w:val="18"/>
        </w:rPr>
        <w:t>financial statements</w:t>
      </w:r>
      <w:r w:rsidR="00F308BE" w:rsidRPr="00735726">
        <w:rPr>
          <w:rFonts w:ascii="Arial" w:hAnsi="Arial" w:cs="Arial"/>
          <w:sz w:val="18"/>
          <w:szCs w:val="18"/>
        </w:rPr>
        <w:t>.</w:t>
      </w:r>
    </w:p>
    <w:p w14:paraId="71EF0087" w14:textId="77777777" w:rsidR="00C931A7" w:rsidRPr="009A2CAE" w:rsidRDefault="00C931A7" w:rsidP="00C931A7">
      <w:pPr>
        <w:rPr>
          <w:rFonts w:ascii="Arial" w:hAnsi="Arial" w:cs="Arial"/>
          <w:sz w:val="18"/>
          <w:szCs w:val="18"/>
        </w:rPr>
      </w:pPr>
    </w:p>
    <w:p w14:paraId="78F426C9" w14:textId="77777777" w:rsidR="00C931A7" w:rsidRPr="009A2CAE" w:rsidRDefault="00C931A7" w:rsidP="00C931A7">
      <w:pPr>
        <w:rPr>
          <w:rFonts w:ascii="Arial" w:hAnsi="Arial" w:cs="Arial"/>
          <w:sz w:val="18"/>
          <w:szCs w:val="18"/>
        </w:rPr>
      </w:pPr>
    </w:p>
    <w:p w14:paraId="4980F504" w14:textId="77777777" w:rsidR="00C931A7" w:rsidRPr="009A2CAE" w:rsidRDefault="00C931A7" w:rsidP="00C931A7">
      <w:pPr>
        <w:spacing w:after="160" w:line="259" w:lineRule="auto"/>
      </w:pPr>
      <w:r w:rsidRPr="009A2CAE">
        <w:br w:type="page"/>
      </w:r>
    </w:p>
    <w:p w14:paraId="1C73EDD1" w14:textId="764864D7" w:rsidR="004F030D" w:rsidRPr="00735726" w:rsidRDefault="00C931A7" w:rsidP="004F030D">
      <w:pPr>
        <w:outlineLvl w:val="0"/>
        <w:rPr>
          <w:rFonts w:ascii="Arial" w:hAnsi="Arial" w:cs="Arial"/>
          <w:sz w:val="32"/>
          <w:szCs w:val="32"/>
        </w:rPr>
      </w:pPr>
      <w:r w:rsidRPr="00735726">
        <w:rPr>
          <w:rFonts w:ascii="Arial" w:hAnsi="Arial" w:cs="Arial"/>
          <w:sz w:val="32"/>
          <w:szCs w:val="32"/>
        </w:rPr>
        <w:lastRenderedPageBreak/>
        <w:t>S</w:t>
      </w:r>
      <w:r w:rsidR="004F030D" w:rsidRPr="00735726">
        <w:rPr>
          <w:rFonts w:ascii="Arial" w:hAnsi="Arial" w:cs="Arial"/>
          <w:sz w:val="32"/>
          <w:szCs w:val="32"/>
        </w:rPr>
        <w:t>ECTION 172(1) STATEMENT</w:t>
      </w:r>
    </w:p>
    <w:p w14:paraId="26772B97" w14:textId="77777777" w:rsidR="004F030D" w:rsidRPr="00735726" w:rsidRDefault="004F030D" w:rsidP="004F030D">
      <w:pPr>
        <w:rPr>
          <w:rFonts w:ascii="Arial" w:hAnsi="Arial" w:cs="Arial"/>
          <w:sz w:val="18"/>
          <w:szCs w:val="18"/>
        </w:rPr>
      </w:pPr>
      <w:proofErr w:type="gramStart"/>
      <w:r w:rsidRPr="00735726">
        <w:rPr>
          <w:rFonts w:ascii="Arial" w:hAnsi="Arial" w:cs="Arial"/>
          <w:sz w:val="18"/>
          <w:szCs w:val="18"/>
        </w:rPr>
        <w:t>All of</w:t>
      </w:r>
      <w:proofErr w:type="gramEnd"/>
      <w:r w:rsidRPr="00735726">
        <w:rPr>
          <w:rFonts w:ascii="Arial" w:hAnsi="Arial" w:cs="Arial"/>
          <w:sz w:val="18"/>
          <w:szCs w:val="18"/>
        </w:rPr>
        <w:t xml:space="preserve"> the Board’s decisions are considered against the importance of acting in a sustainable, ethical and collaborative way, understanding the views of our different stakeholders and weighing their competing interests, whilst being mindful of regulatory obligations.</w:t>
      </w:r>
    </w:p>
    <w:p w14:paraId="44D01054" w14:textId="77777777" w:rsidR="004F030D" w:rsidRPr="00735726" w:rsidRDefault="004F030D" w:rsidP="004F030D">
      <w:pPr>
        <w:autoSpaceDE w:val="0"/>
        <w:autoSpaceDN w:val="0"/>
        <w:adjustRightInd w:val="0"/>
        <w:spacing w:after="0"/>
        <w:rPr>
          <w:rFonts w:ascii="Arial" w:hAnsi="Arial" w:cs="Arial"/>
          <w:sz w:val="18"/>
          <w:szCs w:val="18"/>
        </w:rPr>
      </w:pPr>
      <w:r w:rsidRPr="00735726">
        <w:rPr>
          <w:rFonts w:ascii="Arial" w:hAnsi="Arial" w:cs="Arial"/>
          <w:sz w:val="18"/>
          <w:szCs w:val="18"/>
        </w:rPr>
        <w:t xml:space="preserve">Our Board leads and sets the tone by carefully noting the priorities of our stakeholders during its discussions and when it makes decisions. We also know the importance of continually assessing the long-term impacts of our decisions, not only at Board level, but across the Company, this is embedded as part of our culture. This helps us live our purpose and our values, as a responsible, trusted and sustainable business acting in a way which benefits all our stakeholders as much as possible. Properly understanding the impact of what we are doing has become part of how we operate, and it permeates in everything we do at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w:t>
      </w:r>
    </w:p>
    <w:p w14:paraId="7D0F4380" w14:textId="77777777" w:rsidR="004F030D" w:rsidRPr="009A2CAE" w:rsidRDefault="004F030D" w:rsidP="004F030D">
      <w:pPr>
        <w:autoSpaceDE w:val="0"/>
        <w:autoSpaceDN w:val="0"/>
        <w:adjustRightInd w:val="0"/>
        <w:spacing w:after="0" w:line="240" w:lineRule="auto"/>
        <w:rPr>
          <w:rFonts w:ascii="Arial" w:hAnsi="Arial" w:cs="Arial"/>
          <w:sz w:val="18"/>
          <w:szCs w:val="18"/>
        </w:rPr>
      </w:pPr>
      <w:r w:rsidRPr="009A2CAE">
        <w:rPr>
          <w:rFonts w:ascii="Arial" w:hAnsi="Arial" w:cs="Arial"/>
          <w:sz w:val="18"/>
          <w:szCs w:val="18"/>
        </w:rPr>
        <w:t xml:space="preserve"> </w:t>
      </w:r>
    </w:p>
    <w:p w14:paraId="0AFC772D" w14:textId="60BF85D6" w:rsidR="004422F6" w:rsidRPr="00735726" w:rsidRDefault="004422F6" w:rsidP="004422F6">
      <w:pPr>
        <w:rPr>
          <w:rFonts w:ascii="Arial" w:hAnsi="Arial" w:cs="Arial"/>
          <w:sz w:val="18"/>
          <w:szCs w:val="18"/>
        </w:rPr>
      </w:pPr>
      <w:r w:rsidRPr="00735726">
        <w:rPr>
          <w:rFonts w:ascii="Arial" w:hAnsi="Arial" w:cs="Arial"/>
          <w:sz w:val="18"/>
          <w:szCs w:val="18"/>
        </w:rPr>
        <w:t xml:space="preserve">Each Director has a duty under section 172 (1) of the Companies Act (s.172), to act in a way they consider, in good faith, would be most likely to promote the success of the Company for the benefit of members and stakeholders as a whole, and in doing so, must have regard to a range of broader issues. Therefore, in performing their duties during the year, the Directors had regard to the each of the s.172 matters set out </w:t>
      </w:r>
      <w:r w:rsidR="004D796C" w:rsidRPr="00735726">
        <w:rPr>
          <w:rFonts w:ascii="Arial" w:hAnsi="Arial" w:cs="Arial"/>
          <w:sz w:val="18"/>
          <w:szCs w:val="18"/>
        </w:rPr>
        <w:t xml:space="preserve">on pages </w:t>
      </w:r>
      <w:r w:rsidR="00704734" w:rsidRPr="009A2CAE">
        <w:rPr>
          <w:rFonts w:ascii="Arial" w:hAnsi="Arial" w:cs="Arial"/>
          <w:sz w:val="18"/>
          <w:szCs w:val="18"/>
        </w:rPr>
        <w:t xml:space="preserve">122 </w:t>
      </w:r>
      <w:r w:rsidR="004D796C" w:rsidRPr="009A2CAE">
        <w:rPr>
          <w:rFonts w:ascii="Arial" w:hAnsi="Arial" w:cs="Arial"/>
          <w:sz w:val="18"/>
          <w:szCs w:val="18"/>
        </w:rPr>
        <w:t xml:space="preserve">to </w:t>
      </w:r>
      <w:r w:rsidR="00704734" w:rsidRPr="009A2CAE">
        <w:rPr>
          <w:rFonts w:ascii="Arial" w:hAnsi="Arial" w:cs="Arial"/>
          <w:sz w:val="18"/>
          <w:szCs w:val="18"/>
        </w:rPr>
        <w:t>124</w:t>
      </w:r>
      <w:r w:rsidRPr="009A2CAE">
        <w:rPr>
          <w:rFonts w:ascii="Arial" w:hAnsi="Arial" w:cs="Arial"/>
          <w:sz w:val="18"/>
          <w:szCs w:val="18"/>
        </w:rPr>
        <w:t>:</w:t>
      </w:r>
    </w:p>
    <w:tbl>
      <w:tblPr>
        <w:tblStyle w:val="TableGrid"/>
        <w:tblW w:w="9351" w:type="dxa"/>
        <w:tblLook w:val="04A0" w:firstRow="1" w:lastRow="0" w:firstColumn="1" w:lastColumn="0" w:noHBand="0" w:noVBand="1"/>
      </w:tblPr>
      <w:tblGrid>
        <w:gridCol w:w="3539"/>
        <w:gridCol w:w="3119"/>
        <w:gridCol w:w="2693"/>
      </w:tblGrid>
      <w:tr w:rsidR="004F030D" w:rsidRPr="00735726" w14:paraId="115E5753" w14:textId="77777777" w:rsidTr="00D636C2">
        <w:trPr>
          <w:trHeight w:val="196"/>
          <w:tblHeader/>
        </w:trPr>
        <w:tc>
          <w:tcPr>
            <w:tcW w:w="3539" w:type="dxa"/>
            <w:shd w:val="clear" w:color="auto" w:fill="002060"/>
          </w:tcPr>
          <w:p w14:paraId="2BC3A2BC" w14:textId="77777777" w:rsidR="004F030D" w:rsidRPr="00735726" w:rsidRDefault="004F030D" w:rsidP="00881565">
            <w:pPr>
              <w:pStyle w:val="B03bullet"/>
              <w:numPr>
                <w:ilvl w:val="0"/>
                <w:numId w:val="0"/>
              </w:numPr>
              <w:ind w:left="360" w:hanging="360"/>
              <w:jc w:val="center"/>
              <w:rPr>
                <w:b/>
                <w:bCs/>
                <w:color w:val="FFFFFF" w:themeColor="background1"/>
              </w:rPr>
            </w:pPr>
            <w:r w:rsidRPr="00735726">
              <w:br w:type="page"/>
            </w:r>
            <w:r w:rsidRPr="00735726">
              <w:rPr>
                <w:b/>
                <w:bCs/>
                <w:color w:val="FFFFFF" w:themeColor="background1"/>
              </w:rPr>
              <w:t>s.172 duties</w:t>
            </w:r>
          </w:p>
        </w:tc>
        <w:tc>
          <w:tcPr>
            <w:tcW w:w="3119" w:type="dxa"/>
            <w:shd w:val="clear" w:color="auto" w:fill="002060"/>
          </w:tcPr>
          <w:p w14:paraId="0B46BDE6" w14:textId="77777777" w:rsidR="004F030D" w:rsidRPr="00735726" w:rsidRDefault="004F030D" w:rsidP="00881565">
            <w:pPr>
              <w:pStyle w:val="Bodytab"/>
              <w:jc w:val="center"/>
              <w:rPr>
                <w:b/>
                <w:color w:val="FFFFFF" w:themeColor="background1"/>
              </w:rPr>
            </w:pPr>
            <w:r w:rsidRPr="00735726">
              <w:rPr>
                <w:b/>
                <w:color w:val="FFFFFF" w:themeColor="background1"/>
              </w:rPr>
              <w:t>Read more</w:t>
            </w:r>
          </w:p>
        </w:tc>
        <w:tc>
          <w:tcPr>
            <w:tcW w:w="2693" w:type="dxa"/>
            <w:shd w:val="clear" w:color="auto" w:fill="002060"/>
          </w:tcPr>
          <w:p w14:paraId="33EFCB7D" w14:textId="77777777" w:rsidR="004F030D" w:rsidRPr="00735726" w:rsidRDefault="004F030D" w:rsidP="00881565">
            <w:pPr>
              <w:pStyle w:val="Bodytab"/>
              <w:jc w:val="center"/>
              <w:rPr>
                <w:b/>
                <w:color w:val="FFFFFF" w:themeColor="background1"/>
              </w:rPr>
            </w:pPr>
            <w:r w:rsidRPr="00735726">
              <w:rPr>
                <w:b/>
                <w:color w:val="FFFFFF" w:themeColor="background1"/>
              </w:rPr>
              <w:t>Page</w:t>
            </w:r>
          </w:p>
        </w:tc>
      </w:tr>
      <w:tr w:rsidR="000170F8" w:rsidRPr="00735726" w14:paraId="7A0514D1" w14:textId="77777777" w:rsidTr="00D636C2">
        <w:trPr>
          <w:trHeight w:val="435"/>
        </w:trPr>
        <w:tc>
          <w:tcPr>
            <w:tcW w:w="3539" w:type="dxa"/>
          </w:tcPr>
          <w:p w14:paraId="6B48C79E" w14:textId="77777777" w:rsidR="000170F8" w:rsidRPr="00735726" w:rsidRDefault="000170F8" w:rsidP="000170F8">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The long-term consequences of our decisions</w:t>
            </w:r>
          </w:p>
        </w:tc>
        <w:tc>
          <w:tcPr>
            <w:tcW w:w="3119" w:type="dxa"/>
          </w:tcPr>
          <w:p w14:paraId="621EE8A4" w14:textId="2C0CFBB5" w:rsidR="000170F8" w:rsidRPr="00735726" w:rsidRDefault="000170F8" w:rsidP="007943E2">
            <w:pPr>
              <w:autoSpaceDE w:val="0"/>
              <w:autoSpaceDN w:val="0"/>
              <w:adjustRightInd w:val="0"/>
              <w:rPr>
                <w:rFonts w:ascii="Arial" w:eastAsiaTheme="minorHAnsi" w:hAnsi="Arial" w:cs="Arial"/>
                <w:sz w:val="18"/>
                <w:szCs w:val="18"/>
              </w:rPr>
            </w:pPr>
            <w:r w:rsidRPr="00735726">
              <w:rPr>
                <w:rFonts w:ascii="Arial" w:eastAsiaTheme="minorHAnsi" w:hAnsi="Arial" w:cs="Arial"/>
                <w:sz w:val="18"/>
                <w:szCs w:val="18"/>
              </w:rPr>
              <w:t>Strategic report</w:t>
            </w:r>
            <w:r w:rsidRPr="00735726">
              <w:rPr>
                <w:rFonts w:ascii="Arial" w:eastAsiaTheme="minorHAnsi" w:hAnsi="Arial" w:cs="Arial"/>
                <w:sz w:val="18"/>
                <w:szCs w:val="18"/>
              </w:rPr>
              <w:br/>
              <w:t>Our business model</w:t>
            </w:r>
            <w:r w:rsidRPr="00735726">
              <w:rPr>
                <w:rFonts w:ascii="Arial" w:eastAsiaTheme="minorHAnsi" w:hAnsi="Arial" w:cs="Arial"/>
                <w:sz w:val="18"/>
                <w:szCs w:val="18"/>
              </w:rPr>
              <w:br/>
              <w:t>Principal risks</w:t>
            </w:r>
            <w:r w:rsidRPr="00735726">
              <w:rPr>
                <w:rFonts w:ascii="Arial" w:eastAsiaTheme="minorHAnsi" w:hAnsi="Arial" w:cs="Arial"/>
                <w:sz w:val="18"/>
                <w:szCs w:val="18"/>
              </w:rPr>
              <w:br/>
            </w:r>
            <w:r w:rsidR="009F7C25" w:rsidRPr="00735726">
              <w:rPr>
                <w:rFonts w:ascii="Arial" w:eastAsiaTheme="minorHAnsi" w:hAnsi="Arial" w:cs="Arial"/>
                <w:sz w:val="18"/>
                <w:szCs w:val="18"/>
              </w:rPr>
              <w:t>Our ESG performance</w:t>
            </w:r>
            <w:r w:rsidRPr="00735726">
              <w:rPr>
                <w:rFonts w:ascii="Arial" w:eastAsiaTheme="minorHAnsi" w:hAnsi="Arial" w:cs="Arial"/>
                <w:sz w:val="18"/>
                <w:szCs w:val="18"/>
              </w:rPr>
              <w:t xml:space="preserve"> </w:t>
            </w:r>
            <w:r w:rsidR="00B5666A" w:rsidRPr="00735726">
              <w:rPr>
                <w:rFonts w:ascii="Arial" w:eastAsiaTheme="minorHAnsi" w:hAnsi="Arial" w:cs="Arial"/>
                <w:sz w:val="18"/>
                <w:szCs w:val="18"/>
              </w:rPr>
              <w:br/>
            </w:r>
            <w:r w:rsidRPr="00735726">
              <w:rPr>
                <w:rFonts w:ascii="Arial" w:eastAsiaTheme="minorHAnsi" w:hAnsi="Arial" w:cs="Arial"/>
                <w:sz w:val="18"/>
                <w:szCs w:val="18"/>
              </w:rPr>
              <w:br/>
            </w:r>
            <w:r w:rsidR="007943E2" w:rsidRPr="00735726">
              <w:rPr>
                <w:rFonts w:ascii="Arial" w:hAnsi="Arial" w:cs="Arial"/>
                <w:sz w:val="18"/>
                <w:szCs w:val="18"/>
              </w:rPr>
              <w:br/>
            </w:r>
            <w:r w:rsidR="009F7C25" w:rsidRPr="00735726">
              <w:rPr>
                <w:rFonts w:ascii="Arial" w:hAnsi="Arial" w:cs="Arial"/>
                <w:sz w:val="18"/>
                <w:szCs w:val="18"/>
              </w:rPr>
              <w:t>Our Net Zero transition</w:t>
            </w:r>
            <w:r w:rsidRPr="00735726">
              <w:rPr>
                <w:rFonts w:ascii="Arial" w:eastAsiaTheme="minorHAnsi" w:hAnsi="Arial" w:cs="Arial"/>
                <w:sz w:val="18"/>
                <w:szCs w:val="18"/>
              </w:rPr>
              <w:br/>
              <w:t>Viability statement</w:t>
            </w:r>
            <w:r w:rsidRPr="00735726">
              <w:rPr>
                <w:rFonts w:ascii="Arial" w:eastAsiaTheme="minorHAnsi" w:hAnsi="Arial" w:cs="Arial"/>
                <w:sz w:val="18"/>
                <w:szCs w:val="18"/>
              </w:rPr>
              <w:br/>
            </w:r>
            <w:r w:rsidRPr="00735726">
              <w:rPr>
                <w:rFonts w:ascii="Arial" w:hAnsi="Arial" w:cs="Arial"/>
                <w:sz w:val="18"/>
                <w:szCs w:val="18"/>
              </w:rPr>
              <w:t>Key activities of the Board</w:t>
            </w:r>
          </w:p>
        </w:tc>
        <w:tc>
          <w:tcPr>
            <w:tcW w:w="2693" w:type="dxa"/>
          </w:tcPr>
          <w:p w14:paraId="56CFB950" w14:textId="096A1C5B" w:rsidR="00C90C71" w:rsidRPr="009A2CAE" w:rsidRDefault="00704734" w:rsidP="000170F8">
            <w:pPr>
              <w:autoSpaceDE w:val="0"/>
              <w:autoSpaceDN w:val="0"/>
              <w:adjustRightInd w:val="0"/>
              <w:rPr>
                <w:rFonts w:ascii="Arial" w:eastAsiaTheme="minorHAnsi" w:hAnsi="Arial" w:cs="Arial"/>
                <w:sz w:val="18"/>
                <w:szCs w:val="18"/>
              </w:rPr>
            </w:pPr>
            <w:r w:rsidRPr="009A2CAE">
              <w:rPr>
                <w:rFonts w:ascii="Arial" w:hAnsi="Arial" w:cs="Arial"/>
                <w:sz w:val="18"/>
                <w:szCs w:val="18"/>
              </w:rPr>
              <w:t xml:space="preserve">1 </w:t>
            </w:r>
            <w:r w:rsidR="004D796C" w:rsidRPr="009A2CAE">
              <w:rPr>
                <w:rFonts w:ascii="Arial" w:hAnsi="Arial" w:cs="Arial"/>
                <w:sz w:val="18"/>
                <w:szCs w:val="18"/>
              </w:rPr>
              <w:t xml:space="preserve">to </w:t>
            </w:r>
            <w:r w:rsidRPr="009A2CAE">
              <w:rPr>
                <w:rFonts w:ascii="Arial" w:hAnsi="Arial" w:cs="Arial"/>
                <w:sz w:val="18"/>
                <w:szCs w:val="18"/>
              </w:rPr>
              <w:t>95</w:t>
            </w:r>
            <w:r w:rsidR="000170F8" w:rsidRPr="009A2CAE">
              <w:rPr>
                <w:rFonts w:ascii="Arial" w:hAnsi="Arial" w:cs="Arial"/>
                <w:sz w:val="18"/>
                <w:szCs w:val="18"/>
              </w:rPr>
              <w:br/>
            </w:r>
            <w:r w:rsidRPr="009A2CAE">
              <w:rPr>
                <w:rFonts w:ascii="Arial" w:hAnsi="Arial" w:cs="Arial"/>
                <w:sz w:val="18"/>
                <w:szCs w:val="18"/>
              </w:rPr>
              <w:t xml:space="preserve">11 </w:t>
            </w:r>
            <w:r w:rsidR="004D796C" w:rsidRPr="009A2CAE">
              <w:rPr>
                <w:rFonts w:ascii="Arial" w:hAnsi="Arial" w:cs="Arial"/>
                <w:sz w:val="18"/>
                <w:szCs w:val="18"/>
              </w:rPr>
              <w:t xml:space="preserve">to </w:t>
            </w:r>
            <w:r w:rsidRPr="009A2CAE">
              <w:rPr>
                <w:rFonts w:ascii="Arial" w:hAnsi="Arial" w:cs="Arial"/>
                <w:sz w:val="18"/>
                <w:szCs w:val="18"/>
              </w:rPr>
              <w:t>13</w:t>
            </w:r>
            <w:r w:rsidR="00C90C71" w:rsidRPr="009A2CAE">
              <w:rPr>
                <w:rFonts w:ascii="Arial" w:hAnsi="Arial" w:cs="Arial"/>
                <w:sz w:val="18"/>
                <w:szCs w:val="18"/>
              </w:rPr>
              <w:br/>
            </w:r>
            <w:r w:rsidRPr="009A2CAE">
              <w:rPr>
                <w:rFonts w:ascii="Arial" w:hAnsi="Arial" w:cs="Arial"/>
                <w:sz w:val="18"/>
                <w:szCs w:val="18"/>
              </w:rPr>
              <w:t xml:space="preserve">62 </w:t>
            </w:r>
            <w:r w:rsidR="004D796C" w:rsidRPr="009A2CAE">
              <w:rPr>
                <w:rFonts w:ascii="Arial" w:hAnsi="Arial" w:cs="Arial"/>
                <w:sz w:val="18"/>
                <w:szCs w:val="18"/>
              </w:rPr>
              <w:t xml:space="preserve">to </w:t>
            </w:r>
            <w:r w:rsidRPr="009A2CAE">
              <w:rPr>
                <w:rFonts w:ascii="Arial" w:hAnsi="Arial" w:cs="Arial"/>
                <w:sz w:val="18"/>
                <w:szCs w:val="18"/>
              </w:rPr>
              <w:t>74</w:t>
            </w:r>
            <w:r w:rsidR="00C90C71" w:rsidRPr="009A2CAE">
              <w:rPr>
                <w:rFonts w:ascii="Arial" w:hAnsi="Arial" w:cs="Arial"/>
                <w:sz w:val="18"/>
                <w:szCs w:val="18"/>
              </w:rPr>
              <w:br/>
            </w:r>
            <w:r w:rsidR="00B5666A" w:rsidRPr="00735726">
              <w:rPr>
                <w:rFonts w:ascii="Arial" w:hAnsi="Arial" w:cs="Arial"/>
                <w:sz w:val="18"/>
                <w:szCs w:val="18"/>
              </w:rPr>
              <w:t xml:space="preserve">Pennon Group </w:t>
            </w:r>
            <w:r w:rsidR="005E3E57" w:rsidRPr="00735726">
              <w:rPr>
                <w:rFonts w:ascii="Arial" w:hAnsi="Arial" w:cs="Arial"/>
                <w:sz w:val="18"/>
                <w:szCs w:val="18"/>
              </w:rPr>
              <w:t>plc A</w:t>
            </w:r>
            <w:r w:rsidR="00B5666A" w:rsidRPr="00735726">
              <w:rPr>
                <w:rFonts w:ascii="Arial" w:hAnsi="Arial" w:cs="Arial"/>
                <w:sz w:val="18"/>
                <w:szCs w:val="18"/>
              </w:rPr>
              <w:t xml:space="preserve">nnual </w:t>
            </w:r>
            <w:r w:rsidR="005E3E57" w:rsidRPr="00735726">
              <w:rPr>
                <w:rFonts w:ascii="Arial" w:hAnsi="Arial" w:cs="Arial"/>
                <w:sz w:val="18"/>
                <w:szCs w:val="18"/>
              </w:rPr>
              <w:t>R</w:t>
            </w:r>
            <w:r w:rsidR="00B5666A" w:rsidRPr="00735726">
              <w:rPr>
                <w:rFonts w:ascii="Arial" w:hAnsi="Arial" w:cs="Arial"/>
                <w:sz w:val="18"/>
                <w:szCs w:val="18"/>
              </w:rPr>
              <w:t>eport page</w:t>
            </w:r>
            <w:r w:rsidRPr="00735726">
              <w:rPr>
                <w:rFonts w:ascii="Arial" w:hAnsi="Arial" w:cs="Arial"/>
                <w:sz w:val="18"/>
                <w:szCs w:val="18"/>
              </w:rPr>
              <w:t>s</w:t>
            </w:r>
            <w:r w:rsidR="00B5666A" w:rsidRPr="00735726">
              <w:rPr>
                <w:rFonts w:ascii="Arial" w:hAnsi="Arial" w:cs="Arial"/>
                <w:sz w:val="18"/>
                <w:szCs w:val="18"/>
              </w:rPr>
              <w:t xml:space="preserve"> </w:t>
            </w:r>
            <w:r w:rsidRPr="009A2CAE">
              <w:rPr>
                <w:rFonts w:ascii="Arial" w:hAnsi="Arial" w:cs="Arial"/>
                <w:sz w:val="18"/>
                <w:szCs w:val="18"/>
              </w:rPr>
              <w:t>74 to 77</w:t>
            </w:r>
            <w:r w:rsidR="00C90C71" w:rsidRPr="009A2CAE">
              <w:rPr>
                <w:rFonts w:ascii="Arial" w:hAnsi="Arial" w:cs="Arial"/>
                <w:sz w:val="18"/>
                <w:szCs w:val="18"/>
              </w:rPr>
              <w:br/>
            </w:r>
            <w:r w:rsidR="005E3E57" w:rsidRPr="00735726">
              <w:rPr>
                <w:rFonts w:ascii="Arial" w:hAnsi="Arial" w:cs="Arial"/>
                <w:sz w:val="18"/>
                <w:szCs w:val="18"/>
              </w:rPr>
              <w:t xml:space="preserve">Pennon Group plc Annual Report </w:t>
            </w:r>
            <w:r w:rsidR="009F7C25" w:rsidRPr="00735726">
              <w:rPr>
                <w:rFonts w:ascii="Arial" w:hAnsi="Arial" w:cs="Arial"/>
                <w:sz w:val="18"/>
                <w:szCs w:val="18"/>
              </w:rPr>
              <w:t>page</w:t>
            </w:r>
            <w:r w:rsidR="007943E2" w:rsidRPr="00735726">
              <w:rPr>
                <w:rFonts w:ascii="Arial" w:hAnsi="Arial" w:cs="Arial"/>
                <w:sz w:val="18"/>
                <w:szCs w:val="18"/>
              </w:rPr>
              <w:t>s</w:t>
            </w:r>
            <w:r w:rsidR="009F7C25" w:rsidRPr="00735726">
              <w:rPr>
                <w:rFonts w:ascii="Arial" w:hAnsi="Arial" w:cs="Arial"/>
                <w:sz w:val="18"/>
                <w:szCs w:val="18"/>
              </w:rPr>
              <w:t xml:space="preserve"> </w:t>
            </w:r>
            <w:r w:rsidR="007943E2" w:rsidRPr="009A2CAE">
              <w:rPr>
                <w:rFonts w:ascii="Arial" w:hAnsi="Arial" w:cs="Arial"/>
                <w:sz w:val="18"/>
                <w:szCs w:val="18"/>
              </w:rPr>
              <w:t>78 to 82</w:t>
            </w:r>
            <w:r w:rsidR="004D796C" w:rsidRPr="009A2CAE">
              <w:rPr>
                <w:rFonts w:ascii="Arial" w:hAnsi="Arial" w:cs="Arial"/>
                <w:sz w:val="18"/>
                <w:szCs w:val="18"/>
              </w:rPr>
              <w:br/>
            </w:r>
            <w:r w:rsidR="007943E2" w:rsidRPr="009A2CAE">
              <w:rPr>
                <w:rFonts w:ascii="Arial" w:hAnsi="Arial" w:cs="Arial"/>
                <w:sz w:val="18"/>
                <w:szCs w:val="18"/>
              </w:rPr>
              <w:t xml:space="preserve">75 </w:t>
            </w:r>
            <w:r w:rsidR="004D796C" w:rsidRPr="009A2CAE">
              <w:rPr>
                <w:rFonts w:ascii="Arial" w:hAnsi="Arial" w:cs="Arial"/>
                <w:sz w:val="18"/>
                <w:szCs w:val="18"/>
              </w:rPr>
              <w:t xml:space="preserve">to </w:t>
            </w:r>
            <w:r w:rsidR="007943E2" w:rsidRPr="009A2CAE">
              <w:rPr>
                <w:rFonts w:ascii="Arial" w:hAnsi="Arial" w:cs="Arial"/>
                <w:sz w:val="18"/>
                <w:szCs w:val="18"/>
              </w:rPr>
              <w:t>77</w:t>
            </w:r>
            <w:r w:rsidR="004D796C" w:rsidRPr="009A2CAE">
              <w:rPr>
                <w:rFonts w:ascii="Arial" w:hAnsi="Arial" w:cs="Arial"/>
                <w:sz w:val="18"/>
                <w:szCs w:val="18"/>
              </w:rPr>
              <w:br/>
            </w:r>
            <w:r w:rsidR="007943E2" w:rsidRPr="009A2CAE">
              <w:rPr>
                <w:rFonts w:ascii="Arial" w:hAnsi="Arial" w:cs="Arial"/>
                <w:sz w:val="18"/>
                <w:szCs w:val="18"/>
              </w:rPr>
              <w:t xml:space="preserve">116 </w:t>
            </w:r>
            <w:r w:rsidR="004D796C" w:rsidRPr="009A2CAE">
              <w:rPr>
                <w:rFonts w:ascii="Arial" w:hAnsi="Arial" w:cs="Arial"/>
                <w:sz w:val="18"/>
                <w:szCs w:val="18"/>
              </w:rPr>
              <w:t xml:space="preserve">to </w:t>
            </w:r>
            <w:r w:rsidR="007943E2" w:rsidRPr="009A2CAE">
              <w:rPr>
                <w:rFonts w:ascii="Arial" w:hAnsi="Arial" w:cs="Arial"/>
                <w:sz w:val="18"/>
                <w:szCs w:val="18"/>
              </w:rPr>
              <w:t>117</w:t>
            </w:r>
          </w:p>
        </w:tc>
      </w:tr>
      <w:tr w:rsidR="000170F8" w:rsidRPr="00735726" w14:paraId="61A77E16" w14:textId="77777777" w:rsidTr="00D636C2">
        <w:trPr>
          <w:trHeight w:val="435"/>
        </w:trPr>
        <w:tc>
          <w:tcPr>
            <w:tcW w:w="3539" w:type="dxa"/>
          </w:tcPr>
          <w:p w14:paraId="2FFC7F34" w14:textId="77777777" w:rsidR="000170F8" w:rsidRPr="00735726" w:rsidRDefault="000170F8" w:rsidP="000170F8">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The interests of our employees</w:t>
            </w:r>
          </w:p>
        </w:tc>
        <w:tc>
          <w:tcPr>
            <w:tcW w:w="3119" w:type="dxa"/>
          </w:tcPr>
          <w:p w14:paraId="04A8A950" w14:textId="01A7B8FD" w:rsidR="000170F8" w:rsidRPr="00735726" w:rsidRDefault="000170F8" w:rsidP="000170F8">
            <w:pPr>
              <w:autoSpaceDE w:val="0"/>
              <w:autoSpaceDN w:val="0"/>
              <w:adjustRightInd w:val="0"/>
              <w:rPr>
                <w:rFonts w:ascii="Arial" w:hAnsi="Arial" w:cs="Arial"/>
                <w:sz w:val="18"/>
                <w:szCs w:val="18"/>
              </w:rPr>
            </w:pPr>
            <w:r w:rsidRPr="00735726">
              <w:rPr>
                <w:rFonts w:ascii="Arial" w:hAnsi="Arial" w:cs="Arial"/>
                <w:sz w:val="18"/>
                <w:szCs w:val="18"/>
              </w:rPr>
              <w:t>Strategic report</w:t>
            </w:r>
            <w:r w:rsidRPr="00735726">
              <w:rPr>
                <w:rFonts w:ascii="Arial" w:hAnsi="Arial" w:cs="Arial"/>
                <w:sz w:val="18"/>
                <w:szCs w:val="18"/>
              </w:rPr>
              <w:br/>
              <w:t xml:space="preserve">Investing in our people </w:t>
            </w:r>
            <w:r w:rsidRPr="00735726">
              <w:rPr>
                <w:rFonts w:ascii="Arial" w:hAnsi="Arial" w:cs="Arial"/>
                <w:sz w:val="18"/>
                <w:szCs w:val="18"/>
              </w:rPr>
              <w:br/>
              <w:t xml:space="preserve">How we </w:t>
            </w:r>
            <w:r w:rsidR="007943E2" w:rsidRPr="00735726">
              <w:rPr>
                <w:rFonts w:ascii="Arial" w:hAnsi="Arial" w:cs="Arial"/>
                <w:sz w:val="18"/>
                <w:szCs w:val="18"/>
              </w:rPr>
              <w:t xml:space="preserve">engage </w:t>
            </w:r>
            <w:r w:rsidRPr="00735726">
              <w:rPr>
                <w:rFonts w:ascii="Arial" w:hAnsi="Arial" w:cs="Arial"/>
                <w:sz w:val="18"/>
                <w:szCs w:val="18"/>
              </w:rPr>
              <w:br/>
              <w:t xml:space="preserve">Diversity, equity and </w:t>
            </w:r>
            <w:r w:rsidR="009F7C25" w:rsidRPr="00735726">
              <w:rPr>
                <w:rFonts w:ascii="Arial" w:hAnsi="Arial" w:cs="Arial"/>
                <w:sz w:val="18"/>
                <w:szCs w:val="18"/>
              </w:rPr>
              <w:t>i</w:t>
            </w:r>
            <w:r w:rsidRPr="00735726">
              <w:rPr>
                <w:rFonts w:ascii="Arial" w:hAnsi="Arial" w:cs="Arial"/>
                <w:sz w:val="18"/>
                <w:szCs w:val="18"/>
              </w:rPr>
              <w:t>nclusion</w:t>
            </w:r>
            <w:r w:rsidRPr="00735726">
              <w:rPr>
                <w:rFonts w:ascii="Arial" w:hAnsi="Arial" w:cs="Arial"/>
                <w:sz w:val="18"/>
                <w:szCs w:val="18"/>
              </w:rPr>
              <w:br/>
              <w:t xml:space="preserve">Whistleblowing policy and </w:t>
            </w:r>
            <w:r w:rsidR="009F7C25" w:rsidRPr="00735726">
              <w:rPr>
                <w:rFonts w:ascii="Arial" w:hAnsi="Arial" w:cs="Arial"/>
                <w:sz w:val="18"/>
                <w:szCs w:val="18"/>
              </w:rPr>
              <w:t>S</w:t>
            </w:r>
            <w:r w:rsidRPr="00735726">
              <w:rPr>
                <w:rFonts w:ascii="Arial" w:hAnsi="Arial" w:cs="Arial"/>
                <w:sz w:val="18"/>
                <w:szCs w:val="18"/>
              </w:rPr>
              <w:t xml:space="preserve">peak </w:t>
            </w:r>
            <w:r w:rsidR="009F7C25" w:rsidRPr="00735726">
              <w:rPr>
                <w:rFonts w:ascii="Arial" w:hAnsi="Arial" w:cs="Arial"/>
                <w:sz w:val="18"/>
                <w:szCs w:val="18"/>
              </w:rPr>
              <w:t>U</w:t>
            </w:r>
            <w:r w:rsidRPr="00735726">
              <w:rPr>
                <w:rFonts w:ascii="Arial" w:hAnsi="Arial" w:cs="Arial"/>
                <w:sz w:val="18"/>
                <w:szCs w:val="18"/>
              </w:rPr>
              <w:t>p</w:t>
            </w:r>
            <w:r w:rsidRPr="00735726">
              <w:rPr>
                <w:rFonts w:ascii="Arial" w:hAnsi="Arial" w:cs="Arial"/>
                <w:sz w:val="18"/>
                <w:szCs w:val="18"/>
              </w:rPr>
              <w:br/>
              <w:t>Purpose</w:t>
            </w:r>
            <w:r w:rsidR="00CE39CC" w:rsidRPr="00735726">
              <w:rPr>
                <w:rFonts w:ascii="Arial" w:hAnsi="Arial" w:cs="Arial"/>
                <w:sz w:val="18"/>
                <w:szCs w:val="18"/>
              </w:rPr>
              <w:t xml:space="preserve"> and</w:t>
            </w:r>
            <w:r w:rsidR="00CF3E09" w:rsidRPr="00735726">
              <w:rPr>
                <w:rFonts w:ascii="Arial" w:hAnsi="Arial" w:cs="Arial"/>
                <w:sz w:val="18"/>
                <w:szCs w:val="18"/>
              </w:rPr>
              <w:t xml:space="preserve"> </w:t>
            </w:r>
            <w:r w:rsidRPr="00735726">
              <w:rPr>
                <w:rFonts w:ascii="Arial" w:hAnsi="Arial" w:cs="Arial"/>
                <w:sz w:val="18"/>
                <w:szCs w:val="18"/>
              </w:rPr>
              <w:t>culture</w:t>
            </w:r>
            <w:r w:rsidR="009F7C25" w:rsidRPr="00735726">
              <w:rPr>
                <w:rFonts w:ascii="Arial" w:hAnsi="Arial" w:cs="Arial"/>
                <w:sz w:val="18"/>
                <w:szCs w:val="18"/>
              </w:rPr>
              <w:br/>
              <w:t>O</w:t>
            </w:r>
            <w:r w:rsidR="00B5666A" w:rsidRPr="00735726">
              <w:rPr>
                <w:rFonts w:ascii="Arial" w:hAnsi="Arial" w:cs="Arial"/>
                <w:sz w:val="18"/>
                <w:szCs w:val="18"/>
              </w:rPr>
              <w:t>ur values</w:t>
            </w:r>
          </w:p>
        </w:tc>
        <w:tc>
          <w:tcPr>
            <w:tcW w:w="2693" w:type="dxa"/>
          </w:tcPr>
          <w:p w14:paraId="5574171C" w14:textId="322160D6" w:rsidR="000170F8" w:rsidRPr="009A2CAE" w:rsidRDefault="007943E2" w:rsidP="000170F8">
            <w:pPr>
              <w:autoSpaceDE w:val="0"/>
              <w:autoSpaceDN w:val="0"/>
              <w:adjustRightInd w:val="0"/>
              <w:rPr>
                <w:rFonts w:ascii="Arial" w:eastAsiaTheme="minorHAnsi" w:hAnsi="Arial" w:cs="Arial"/>
                <w:sz w:val="18"/>
                <w:szCs w:val="18"/>
              </w:rPr>
            </w:pPr>
            <w:r w:rsidRPr="009A2CAE">
              <w:rPr>
                <w:rFonts w:ascii="Arial" w:hAnsi="Arial" w:cs="Arial"/>
                <w:sz w:val="18"/>
                <w:szCs w:val="18"/>
              </w:rPr>
              <w:t xml:space="preserve">1 </w:t>
            </w:r>
            <w:r w:rsidR="004D796C" w:rsidRPr="009A2CAE">
              <w:rPr>
                <w:rFonts w:ascii="Arial" w:hAnsi="Arial" w:cs="Arial"/>
                <w:sz w:val="18"/>
                <w:szCs w:val="18"/>
              </w:rPr>
              <w:t xml:space="preserve">to </w:t>
            </w:r>
            <w:r w:rsidRPr="009A2CAE">
              <w:rPr>
                <w:rFonts w:ascii="Arial" w:hAnsi="Arial" w:cs="Arial"/>
                <w:sz w:val="18"/>
                <w:szCs w:val="18"/>
              </w:rPr>
              <w:t>95</w:t>
            </w:r>
            <w:r w:rsidR="004D796C" w:rsidRPr="009A2CAE">
              <w:rPr>
                <w:rFonts w:ascii="Arial" w:hAnsi="Arial" w:cs="Arial"/>
                <w:sz w:val="18"/>
                <w:szCs w:val="18"/>
              </w:rPr>
              <w:br/>
            </w:r>
            <w:r w:rsidRPr="009A2CAE">
              <w:rPr>
                <w:rFonts w:ascii="Arial" w:hAnsi="Arial" w:cs="Arial"/>
                <w:sz w:val="18"/>
                <w:szCs w:val="18"/>
              </w:rPr>
              <w:t xml:space="preserve">19 </w:t>
            </w:r>
            <w:r w:rsidR="004D796C" w:rsidRPr="009A2CAE">
              <w:rPr>
                <w:rFonts w:ascii="Arial" w:hAnsi="Arial" w:cs="Arial"/>
                <w:sz w:val="18"/>
                <w:szCs w:val="18"/>
              </w:rPr>
              <w:t xml:space="preserve">to </w:t>
            </w:r>
            <w:r w:rsidRPr="009A2CAE">
              <w:rPr>
                <w:rFonts w:ascii="Arial" w:hAnsi="Arial" w:cs="Arial"/>
                <w:sz w:val="18"/>
                <w:szCs w:val="18"/>
              </w:rPr>
              <w:t>25</w:t>
            </w:r>
            <w:r w:rsidR="004D796C" w:rsidRPr="009A2CAE">
              <w:rPr>
                <w:rFonts w:ascii="Arial" w:hAnsi="Arial" w:cs="Arial"/>
                <w:sz w:val="18"/>
                <w:szCs w:val="18"/>
              </w:rPr>
              <w:br/>
            </w:r>
            <w:r w:rsidRPr="009A2CAE">
              <w:rPr>
                <w:rFonts w:ascii="Arial" w:hAnsi="Arial" w:cs="Arial"/>
                <w:sz w:val="18"/>
                <w:szCs w:val="18"/>
              </w:rPr>
              <w:t xml:space="preserve">28 </w:t>
            </w:r>
            <w:r w:rsidR="004D796C" w:rsidRPr="009A2CAE">
              <w:rPr>
                <w:rFonts w:ascii="Arial" w:hAnsi="Arial" w:cs="Arial"/>
                <w:sz w:val="18"/>
                <w:szCs w:val="18"/>
              </w:rPr>
              <w:t xml:space="preserve">to </w:t>
            </w:r>
            <w:r w:rsidRPr="009A2CAE">
              <w:rPr>
                <w:rFonts w:ascii="Arial" w:hAnsi="Arial" w:cs="Arial"/>
                <w:sz w:val="18"/>
                <w:szCs w:val="18"/>
              </w:rPr>
              <w:t>31</w:t>
            </w:r>
            <w:r w:rsidR="004D796C" w:rsidRPr="009A2CAE">
              <w:rPr>
                <w:rFonts w:ascii="Arial" w:hAnsi="Arial" w:cs="Arial"/>
                <w:sz w:val="18"/>
                <w:szCs w:val="18"/>
              </w:rPr>
              <w:br/>
            </w:r>
            <w:r w:rsidRPr="009A2CAE">
              <w:rPr>
                <w:rFonts w:ascii="Arial" w:hAnsi="Arial" w:cs="Arial"/>
                <w:sz w:val="18"/>
                <w:szCs w:val="18"/>
              </w:rPr>
              <w:t xml:space="preserve">20 </w:t>
            </w:r>
            <w:r w:rsidR="004D796C" w:rsidRPr="009A2CAE">
              <w:rPr>
                <w:rFonts w:ascii="Arial" w:hAnsi="Arial" w:cs="Arial"/>
                <w:sz w:val="18"/>
                <w:szCs w:val="18"/>
              </w:rPr>
              <w:t xml:space="preserve">to </w:t>
            </w:r>
            <w:r w:rsidRPr="009A2CAE">
              <w:rPr>
                <w:rFonts w:ascii="Arial" w:hAnsi="Arial" w:cs="Arial"/>
                <w:sz w:val="18"/>
                <w:szCs w:val="18"/>
              </w:rPr>
              <w:t>21</w:t>
            </w:r>
            <w:r w:rsidR="004D796C" w:rsidRPr="009A2CAE">
              <w:rPr>
                <w:rFonts w:ascii="Arial" w:hAnsi="Arial" w:cs="Arial"/>
                <w:sz w:val="18"/>
                <w:szCs w:val="18"/>
              </w:rPr>
              <w:br/>
            </w:r>
            <w:r w:rsidRPr="009A2CAE">
              <w:rPr>
                <w:rFonts w:ascii="Arial" w:hAnsi="Arial" w:cs="Arial"/>
                <w:sz w:val="18"/>
                <w:szCs w:val="18"/>
              </w:rPr>
              <w:t xml:space="preserve">114 </w:t>
            </w:r>
            <w:r w:rsidR="004D796C" w:rsidRPr="009A2CAE">
              <w:rPr>
                <w:rFonts w:ascii="Arial" w:hAnsi="Arial" w:cs="Arial"/>
                <w:sz w:val="18"/>
                <w:szCs w:val="18"/>
              </w:rPr>
              <w:t xml:space="preserve">to </w:t>
            </w:r>
            <w:r w:rsidRPr="009A2CAE">
              <w:rPr>
                <w:rFonts w:ascii="Arial" w:hAnsi="Arial" w:cs="Arial"/>
                <w:sz w:val="18"/>
                <w:szCs w:val="18"/>
              </w:rPr>
              <w:t>115</w:t>
            </w:r>
            <w:r w:rsidR="004D796C" w:rsidRPr="009A2CAE">
              <w:rPr>
                <w:rFonts w:ascii="Arial" w:hAnsi="Arial" w:cs="Arial"/>
                <w:sz w:val="18"/>
                <w:szCs w:val="18"/>
              </w:rPr>
              <w:br/>
            </w:r>
            <w:r w:rsidRPr="009A2CAE">
              <w:rPr>
                <w:rFonts w:ascii="Arial" w:hAnsi="Arial" w:cs="Arial"/>
                <w:sz w:val="18"/>
                <w:szCs w:val="18"/>
              </w:rPr>
              <w:t>1</w:t>
            </w:r>
            <w:r w:rsidR="0015600B" w:rsidRPr="009A2CAE">
              <w:rPr>
                <w:rFonts w:ascii="Arial" w:hAnsi="Arial" w:cs="Arial"/>
                <w:sz w:val="18"/>
                <w:szCs w:val="18"/>
              </w:rPr>
              <w:t>07</w:t>
            </w:r>
            <w:r w:rsidRPr="009A2CAE">
              <w:rPr>
                <w:rFonts w:ascii="Arial" w:hAnsi="Arial" w:cs="Arial"/>
                <w:sz w:val="18"/>
                <w:szCs w:val="18"/>
              </w:rPr>
              <w:t xml:space="preserve"> </w:t>
            </w:r>
            <w:r w:rsidR="004D796C" w:rsidRPr="009A2CAE">
              <w:rPr>
                <w:rFonts w:ascii="Arial" w:hAnsi="Arial" w:cs="Arial"/>
                <w:sz w:val="18"/>
                <w:szCs w:val="18"/>
              </w:rPr>
              <w:t xml:space="preserve">to </w:t>
            </w:r>
            <w:r w:rsidRPr="009A2CAE">
              <w:rPr>
                <w:rFonts w:ascii="Arial" w:hAnsi="Arial" w:cs="Arial"/>
                <w:sz w:val="18"/>
                <w:szCs w:val="18"/>
              </w:rPr>
              <w:t>1</w:t>
            </w:r>
            <w:r w:rsidR="0015600B" w:rsidRPr="009A2CAE">
              <w:rPr>
                <w:rFonts w:ascii="Arial" w:hAnsi="Arial" w:cs="Arial"/>
                <w:sz w:val="18"/>
                <w:szCs w:val="18"/>
              </w:rPr>
              <w:t>08</w:t>
            </w:r>
            <w:r w:rsidR="009F7C25" w:rsidRPr="009A2CAE">
              <w:rPr>
                <w:rFonts w:ascii="Arial" w:hAnsi="Arial" w:cs="Arial"/>
                <w:sz w:val="18"/>
                <w:szCs w:val="18"/>
              </w:rPr>
              <w:br/>
            </w:r>
            <w:r w:rsidRPr="009A2CAE">
              <w:rPr>
                <w:rFonts w:ascii="Arial" w:hAnsi="Arial" w:cs="Arial"/>
                <w:sz w:val="18"/>
                <w:szCs w:val="18"/>
              </w:rPr>
              <w:t>10</w:t>
            </w:r>
            <w:r w:rsidR="0015600B" w:rsidRPr="009A2CAE">
              <w:rPr>
                <w:rFonts w:ascii="Arial" w:hAnsi="Arial" w:cs="Arial"/>
                <w:sz w:val="18"/>
                <w:szCs w:val="18"/>
              </w:rPr>
              <w:t>7</w:t>
            </w:r>
          </w:p>
        </w:tc>
      </w:tr>
      <w:tr w:rsidR="000170F8" w:rsidRPr="00735726" w14:paraId="57D79AAB" w14:textId="77777777" w:rsidTr="00D636C2">
        <w:trPr>
          <w:trHeight w:val="435"/>
        </w:trPr>
        <w:tc>
          <w:tcPr>
            <w:tcW w:w="3539" w:type="dxa"/>
          </w:tcPr>
          <w:p w14:paraId="719D07ED" w14:textId="77777777" w:rsidR="000170F8" w:rsidRPr="00735726" w:rsidRDefault="000170F8" w:rsidP="000170F8">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The importance of having excellent business relationships with suppliers, customers and anyone else who we impact</w:t>
            </w:r>
          </w:p>
        </w:tc>
        <w:tc>
          <w:tcPr>
            <w:tcW w:w="3119" w:type="dxa"/>
          </w:tcPr>
          <w:p w14:paraId="30460B8E" w14:textId="5433C9EF" w:rsidR="000170F8" w:rsidRPr="00735726" w:rsidRDefault="000170F8" w:rsidP="000170F8">
            <w:pPr>
              <w:autoSpaceDE w:val="0"/>
              <w:autoSpaceDN w:val="0"/>
              <w:adjustRightInd w:val="0"/>
              <w:rPr>
                <w:rFonts w:ascii="Arial" w:hAnsi="Arial" w:cs="Arial"/>
                <w:sz w:val="18"/>
                <w:szCs w:val="18"/>
              </w:rPr>
            </w:pPr>
            <w:r w:rsidRPr="00735726">
              <w:rPr>
                <w:rFonts w:ascii="Arial" w:hAnsi="Arial" w:cs="Arial"/>
                <w:sz w:val="18"/>
                <w:szCs w:val="18"/>
              </w:rPr>
              <w:t>Our operational review</w:t>
            </w:r>
            <w:r w:rsidRPr="00735726">
              <w:rPr>
                <w:rFonts w:ascii="Arial" w:hAnsi="Arial" w:cs="Arial"/>
                <w:sz w:val="18"/>
                <w:szCs w:val="18"/>
              </w:rPr>
              <w:br/>
              <w:t>How the Board engages with stakeholders</w:t>
            </w:r>
          </w:p>
        </w:tc>
        <w:tc>
          <w:tcPr>
            <w:tcW w:w="2693" w:type="dxa"/>
          </w:tcPr>
          <w:p w14:paraId="0A361530" w14:textId="25B49089" w:rsidR="000170F8" w:rsidRPr="009A2CAE" w:rsidRDefault="007943E2" w:rsidP="000170F8">
            <w:pPr>
              <w:autoSpaceDE w:val="0"/>
              <w:autoSpaceDN w:val="0"/>
              <w:adjustRightInd w:val="0"/>
              <w:rPr>
                <w:rFonts w:ascii="Arial" w:hAnsi="Arial" w:cs="Arial"/>
                <w:sz w:val="18"/>
                <w:szCs w:val="18"/>
              </w:rPr>
            </w:pPr>
            <w:r w:rsidRPr="009A2CAE">
              <w:rPr>
                <w:rFonts w:ascii="Arial" w:hAnsi="Arial" w:cs="Arial"/>
                <w:sz w:val="18"/>
                <w:szCs w:val="18"/>
              </w:rPr>
              <w:t xml:space="preserve">36 </w:t>
            </w:r>
            <w:r w:rsidR="004D796C" w:rsidRPr="009A2CAE">
              <w:rPr>
                <w:rFonts w:ascii="Arial" w:hAnsi="Arial" w:cs="Arial"/>
                <w:sz w:val="18"/>
                <w:szCs w:val="18"/>
              </w:rPr>
              <w:t xml:space="preserve">to </w:t>
            </w:r>
            <w:r w:rsidRPr="009A2CAE">
              <w:rPr>
                <w:rFonts w:ascii="Arial" w:hAnsi="Arial" w:cs="Arial"/>
                <w:sz w:val="18"/>
                <w:szCs w:val="18"/>
              </w:rPr>
              <w:t>54</w:t>
            </w:r>
            <w:r w:rsidR="004D796C" w:rsidRPr="009A2CAE">
              <w:rPr>
                <w:rFonts w:ascii="Arial" w:hAnsi="Arial" w:cs="Arial"/>
                <w:sz w:val="18"/>
                <w:szCs w:val="18"/>
              </w:rPr>
              <w:br/>
            </w:r>
            <w:r w:rsidRPr="009A2CAE">
              <w:rPr>
                <w:rFonts w:ascii="Arial" w:hAnsi="Arial" w:cs="Arial"/>
                <w:sz w:val="18"/>
                <w:szCs w:val="18"/>
              </w:rPr>
              <w:t xml:space="preserve">118 </w:t>
            </w:r>
            <w:r w:rsidR="004D796C" w:rsidRPr="009A2CAE">
              <w:rPr>
                <w:rFonts w:ascii="Arial" w:hAnsi="Arial" w:cs="Arial"/>
                <w:sz w:val="18"/>
                <w:szCs w:val="18"/>
              </w:rPr>
              <w:t xml:space="preserve">to </w:t>
            </w:r>
            <w:r w:rsidRPr="009A2CAE">
              <w:rPr>
                <w:rFonts w:ascii="Arial" w:hAnsi="Arial" w:cs="Arial"/>
                <w:sz w:val="18"/>
                <w:szCs w:val="18"/>
              </w:rPr>
              <w:t>119</w:t>
            </w:r>
            <w:r w:rsidR="004D796C" w:rsidRPr="009A2CAE">
              <w:rPr>
                <w:rFonts w:ascii="Arial" w:hAnsi="Arial" w:cs="Arial"/>
                <w:sz w:val="18"/>
                <w:szCs w:val="18"/>
              </w:rPr>
              <w:br/>
            </w:r>
          </w:p>
        </w:tc>
      </w:tr>
      <w:tr w:rsidR="000170F8" w:rsidRPr="00735726" w14:paraId="5C72D1F3" w14:textId="77777777" w:rsidTr="00D636C2">
        <w:trPr>
          <w:trHeight w:val="435"/>
        </w:trPr>
        <w:tc>
          <w:tcPr>
            <w:tcW w:w="3539" w:type="dxa"/>
          </w:tcPr>
          <w:p w14:paraId="05556FDC" w14:textId="77777777" w:rsidR="000170F8" w:rsidRPr="00735726" w:rsidRDefault="000170F8" w:rsidP="000170F8">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The impacts our operations have on our communities and our environment</w:t>
            </w:r>
          </w:p>
        </w:tc>
        <w:tc>
          <w:tcPr>
            <w:tcW w:w="3119" w:type="dxa"/>
          </w:tcPr>
          <w:p w14:paraId="39B10751" w14:textId="58C4C626" w:rsidR="000170F8" w:rsidRPr="00735726" w:rsidRDefault="009F7C25" w:rsidP="000170F8">
            <w:pPr>
              <w:autoSpaceDE w:val="0"/>
              <w:autoSpaceDN w:val="0"/>
              <w:adjustRightInd w:val="0"/>
              <w:rPr>
                <w:rFonts w:ascii="Arial" w:hAnsi="Arial" w:cs="Arial"/>
                <w:sz w:val="18"/>
                <w:szCs w:val="18"/>
              </w:rPr>
            </w:pPr>
            <w:r w:rsidRPr="00735726">
              <w:rPr>
                <w:rFonts w:ascii="Arial" w:eastAsiaTheme="minorHAnsi" w:hAnsi="Arial" w:cs="Arial"/>
                <w:sz w:val="18"/>
                <w:szCs w:val="18"/>
              </w:rPr>
              <w:t xml:space="preserve">Our ESG performance </w:t>
            </w:r>
            <w:r w:rsidRPr="00735726">
              <w:rPr>
                <w:rFonts w:ascii="Arial" w:eastAsiaTheme="minorHAnsi" w:hAnsi="Arial" w:cs="Arial"/>
                <w:sz w:val="18"/>
                <w:szCs w:val="18"/>
              </w:rPr>
              <w:br/>
            </w:r>
            <w:r w:rsidRPr="00735726">
              <w:rPr>
                <w:rFonts w:ascii="Arial" w:eastAsiaTheme="minorHAnsi" w:hAnsi="Arial" w:cs="Arial"/>
                <w:sz w:val="18"/>
                <w:szCs w:val="18"/>
              </w:rPr>
              <w:br/>
            </w:r>
            <w:r w:rsidR="007943E2" w:rsidRPr="00735726">
              <w:rPr>
                <w:rFonts w:ascii="Arial" w:hAnsi="Arial" w:cs="Arial"/>
                <w:sz w:val="18"/>
                <w:szCs w:val="18"/>
              </w:rPr>
              <w:br/>
            </w:r>
            <w:r w:rsidRPr="00735726">
              <w:rPr>
                <w:rFonts w:ascii="Arial" w:hAnsi="Arial" w:cs="Arial"/>
                <w:sz w:val="18"/>
                <w:szCs w:val="18"/>
              </w:rPr>
              <w:t>Our Net Zero transition</w:t>
            </w:r>
            <w:r w:rsidR="000170F8" w:rsidRPr="00735726">
              <w:rPr>
                <w:rFonts w:ascii="Arial" w:hAnsi="Arial" w:cs="Arial"/>
                <w:sz w:val="18"/>
                <w:szCs w:val="18"/>
              </w:rPr>
              <w:br/>
              <w:t>TCFD and TFND disclosures</w:t>
            </w:r>
            <w:r w:rsidR="000170F8" w:rsidRPr="00735726">
              <w:rPr>
                <w:rFonts w:ascii="Arial" w:hAnsi="Arial" w:cs="Arial"/>
                <w:sz w:val="18"/>
                <w:szCs w:val="18"/>
              </w:rPr>
              <w:br/>
              <w:t>ESG Committee Report</w:t>
            </w:r>
          </w:p>
        </w:tc>
        <w:tc>
          <w:tcPr>
            <w:tcW w:w="2693" w:type="dxa"/>
          </w:tcPr>
          <w:p w14:paraId="57727156" w14:textId="676CAA94" w:rsidR="000170F8" w:rsidRPr="009A2CAE" w:rsidRDefault="007943E2" w:rsidP="000170F8">
            <w:pPr>
              <w:autoSpaceDE w:val="0"/>
              <w:autoSpaceDN w:val="0"/>
              <w:adjustRightInd w:val="0"/>
              <w:rPr>
                <w:rFonts w:ascii="Arial" w:hAnsi="Arial" w:cs="Arial"/>
                <w:sz w:val="18"/>
                <w:szCs w:val="18"/>
              </w:rPr>
            </w:pPr>
            <w:r w:rsidRPr="00735726">
              <w:rPr>
                <w:rFonts w:ascii="Arial" w:hAnsi="Arial" w:cs="Arial"/>
                <w:sz w:val="18"/>
                <w:szCs w:val="18"/>
              </w:rPr>
              <w:t xml:space="preserve">Pennon Group plc Annual Report pages </w:t>
            </w:r>
            <w:r w:rsidRPr="009A2CAE">
              <w:rPr>
                <w:rFonts w:ascii="Arial" w:hAnsi="Arial" w:cs="Arial"/>
                <w:sz w:val="18"/>
                <w:szCs w:val="18"/>
              </w:rPr>
              <w:t>74 to 77</w:t>
            </w:r>
            <w:r w:rsidRPr="009A2CAE">
              <w:rPr>
                <w:rFonts w:ascii="Arial" w:hAnsi="Arial" w:cs="Arial"/>
                <w:sz w:val="18"/>
                <w:szCs w:val="18"/>
              </w:rPr>
              <w:br/>
            </w:r>
            <w:r w:rsidRPr="00735726">
              <w:rPr>
                <w:rFonts w:ascii="Arial" w:hAnsi="Arial" w:cs="Arial"/>
                <w:sz w:val="18"/>
                <w:szCs w:val="18"/>
              </w:rPr>
              <w:t xml:space="preserve">Pennon Group plc Annual Report pages </w:t>
            </w:r>
            <w:r w:rsidRPr="009A2CAE">
              <w:rPr>
                <w:rFonts w:ascii="Arial" w:hAnsi="Arial" w:cs="Arial"/>
                <w:sz w:val="18"/>
                <w:szCs w:val="18"/>
              </w:rPr>
              <w:t>78 to 82</w:t>
            </w:r>
            <w:r w:rsidR="009F7C25" w:rsidRPr="009A2CAE">
              <w:rPr>
                <w:rFonts w:ascii="Arial" w:hAnsi="Arial" w:cs="Arial"/>
                <w:sz w:val="18"/>
                <w:szCs w:val="18"/>
              </w:rPr>
              <w:br/>
            </w:r>
            <w:r w:rsidRPr="009A2CAE">
              <w:rPr>
                <w:rFonts w:ascii="Arial" w:hAnsi="Arial" w:cs="Arial"/>
                <w:sz w:val="18"/>
                <w:szCs w:val="18"/>
              </w:rPr>
              <w:t>7</w:t>
            </w:r>
            <w:r w:rsidR="0015600B" w:rsidRPr="009A2CAE">
              <w:rPr>
                <w:rFonts w:ascii="Arial" w:hAnsi="Arial" w:cs="Arial"/>
                <w:sz w:val="18"/>
                <w:szCs w:val="18"/>
              </w:rPr>
              <w:t>9</w:t>
            </w:r>
            <w:r w:rsidRPr="009A2CAE">
              <w:rPr>
                <w:rFonts w:ascii="Arial" w:hAnsi="Arial" w:cs="Arial"/>
                <w:sz w:val="18"/>
                <w:szCs w:val="18"/>
              </w:rPr>
              <w:t xml:space="preserve"> </w:t>
            </w:r>
            <w:r w:rsidR="004D796C" w:rsidRPr="009A2CAE">
              <w:rPr>
                <w:rFonts w:ascii="Arial" w:hAnsi="Arial" w:cs="Arial"/>
                <w:sz w:val="18"/>
                <w:szCs w:val="18"/>
              </w:rPr>
              <w:t xml:space="preserve">to </w:t>
            </w:r>
            <w:r w:rsidRPr="009A2CAE">
              <w:rPr>
                <w:rFonts w:ascii="Arial" w:hAnsi="Arial" w:cs="Arial"/>
                <w:sz w:val="18"/>
                <w:szCs w:val="18"/>
              </w:rPr>
              <w:t>92</w:t>
            </w:r>
            <w:r w:rsidR="004D796C" w:rsidRPr="009A2CAE">
              <w:rPr>
                <w:rFonts w:ascii="Arial" w:hAnsi="Arial" w:cs="Arial"/>
                <w:sz w:val="18"/>
                <w:szCs w:val="18"/>
              </w:rPr>
              <w:br/>
            </w:r>
            <w:r w:rsidRPr="009A2CAE">
              <w:rPr>
                <w:rFonts w:ascii="Arial" w:hAnsi="Arial" w:cs="Arial"/>
                <w:sz w:val="18"/>
                <w:szCs w:val="18"/>
              </w:rPr>
              <w:t xml:space="preserve">140 </w:t>
            </w:r>
            <w:r w:rsidR="004D796C" w:rsidRPr="009A2CAE">
              <w:rPr>
                <w:rFonts w:ascii="Arial" w:hAnsi="Arial" w:cs="Arial"/>
                <w:sz w:val="18"/>
                <w:szCs w:val="18"/>
              </w:rPr>
              <w:t xml:space="preserve">to </w:t>
            </w:r>
            <w:r w:rsidRPr="009A2CAE">
              <w:rPr>
                <w:rFonts w:ascii="Arial" w:hAnsi="Arial" w:cs="Arial"/>
                <w:sz w:val="18"/>
                <w:szCs w:val="18"/>
              </w:rPr>
              <w:t>143</w:t>
            </w:r>
          </w:p>
        </w:tc>
      </w:tr>
      <w:tr w:rsidR="000170F8" w:rsidRPr="00735726" w14:paraId="46721296" w14:textId="77777777" w:rsidTr="00D636C2">
        <w:trPr>
          <w:trHeight w:val="435"/>
        </w:trPr>
        <w:tc>
          <w:tcPr>
            <w:tcW w:w="3539" w:type="dxa"/>
          </w:tcPr>
          <w:p w14:paraId="3BED2BB9" w14:textId="77777777" w:rsidR="000170F8" w:rsidRPr="00735726" w:rsidRDefault="000170F8" w:rsidP="000170F8">
            <w:pPr>
              <w:autoSpaceDE w:val="0"/>
              <w:autoSpaceDN w:val="0"/>
              <w:adjustRightInd w:val="0"/>
              <w:spacing w:after="0"/>
              <w:rPr>
                <w:rFonts w:ascii="Arial" w:eastAsiaTheme="minorHAnsi" w:hAnsi="Arial" w:cs="Arial"/>
                <w:sz w:val="18"/>
                <w:szCs w:val="18"/>
              </w:rPr>
            </w:pPr>
            <w:r w:rsidRPr="00735726">
              <w:rPr>
                <w:rFonts w:ascii="Arial" w:eastAsiaTheme="minorHAnsi" w:hAnsi="Arial" w:cs="Arial"/>
                <w:sz w:val="18"/>
                <w:szCs w:val="18"/>
              </w:rPr>
              <w:t>Ensuring we maintain our reputation for the highest standards of business conduct</w:t>
            </w:r>
          </w:p>
        </w:tc>
        <w:tc>
          <w:tcPr>
            <w:tcW w:w="3119" w:type="dxa"/>
          </w:tcPr>
          <w:p w14:paraId="14B326E2" w14:textId="3BEC8AFD" w:rsidR="000170F8" w:rsidRPr="00735726" w:rsidRDefault="000170F8" w:rsidP="000170F8">
            <w:pPr>
              <w:autoSpaceDE w:val="0"/>
              <w:autoSpaceDN w:val="0"/>
              <w:adjustRightInd w:val="0"/>
              <w:rPr>
                <w:rFonts w:ascii="Arial" w:hAnsi="Arial" w:cs="Arial"/>
                <w:sz w:val="18"/>
                <w:szCs w:val="18"/>
              </w:rPr>
            </w:pPr>
            <w:r w:rsidRPr="00735726">
              <w:rPr>
                <w:rFonts w:ascii="Arial" w:hAnsi="Arial" w:cs="Arial"/>
                <w:sz w:val="18"/>
                <w:szCs w:val="18"/>
              </w:rPr>
              <w:t xml:space="preserve">Non-Financial </w:t>
            </w:r>
            <w:r w:rsidR="004D796C" w:rsidRPr="00735726">
              <w:rPr>
                <w:rFonts w:ascii="Arial" w:hAnsi="Arial" w:cs="Arial"/>
                <w:sz w:val="18"/>
                <w:szCs w:val="18"/>
              </w:rPr>
              <w:t>i</w:t>
            </w:r>
            <w:r w:rsidRPr="00735726">
              <w:rPr>
                <w:rFonts w:ascii="Arial" w:hAnsi="Arial" w:cs="Arial"/>
                <w:sz w:val="18"/>
                <w:szCs w:val="18"/>
              </w:rPr>
              <w:t xml:space="preserve">nformation </w:t>
            </w:r>
            <w:r w:rsidR="004D796C" w:rsidRPr="00735726">
              <w:rPr>
                <w:rFonts w:ascii="Arial" w:hAnsi="Arial" w:cs="Arial"/>
                <w:sz w:val="18"/>
                <w:szCs w:val="18"/>
              </w:rPr>
              <w:t>s</w:t>
            </w:r>
            <w:r w:rsidRPr="00735726">
              <w:rPr>
                <w:rFonts w:ascii="Arial" w:hAnsi="Arial" w:cs="Arial"/>
                <w:sz w:val="18"/>
                <w:szCs w:val="18"/>
              </w:rPr>
              <w:t>tatement</w:t>
            </w:r>
            <w:r w:rsidRPr="00735726">
              <w:rPr>
                <w:rFonts w:ascii="Arial" w:hAnsi="Arial" w:cs="Arial"/>
                <w:sz w:val="18"/>
                <w:szCs w:val="18"/>
              </w:rPr>
              <w:br/>
            </w:r>
            <w:r w:rsidR="00B5666A" w:rsidRPr="00735726">
              <w:rPr>
                <w:rFonts w:ascii="Arial" w:hAnsi="Arial" w:cs="Arial"/>
                <w:sz w:val="18"/>
                <w:szCs w:val="18"/>
              </w:rPr>
              <w:t>Purpose</w:t>
            </w:r>
            <w:r w:rsidR="00CE39CC" w:rsidRPr="00735726">
              <w:rPr>
                <w:rFonts w:ascii="Arial" w:hAnsi="Arial" w:cs="Arial"/>
                <w:sz w:val="18"/>
                <w:szCs w:val="18"/>
              </w:rPr>
              <w:t xml:space="preserve"> and</w:t>
            </w:r>
            <w:r w:rsidR="00B5666A" w:rsidRPr="00735726">
              <w:rPr>
                <w:rFonts w:ascii="Arial" w:hAnsi="Arial" w:cs="Arial"/>
                <w:sz w:val="18"/>
                <w:szCs w:val="18"/>
              </w:rPr>
              <w:t xml:space="preserve"> culture</w:t>
            </w:r>
            <w:r w:rsidR="004D796C" w:rsidRPr="00735726">
              <w:rPr>
                <w:rFonts w:ascii="Arial" w:hAnsi="Arial" w:cs="Arial"/>
                <w:sz w:val="18"/>
                <w:szCs w:val="18"/>
              </w:rPr>
              <w:br/>
              <w:t>O</w:t>
            </w:r>
            <w:r w:rsidR="00B5666A" w:rsidRPr="00735726">
              <w:rPr>
                <w:rFonts w:ascii="Arial" w:hAnsi="Arial" w:cs="Arial"/>
                <w:sz w:val="18"/>
                <w:szCs w:val="18"/>
              </w:rPr>
              <w:t>ur values</w:t>
            </w:r>
            <w:r w:rsidRPr="00735726">
              <w:rPr>
                <w:rFonts w:ascii="Arial" w:hAnsi="Arial" w:cs="Arial"/>
                <w:sz w:val="18"/>
                <w:szCs w:val="18"/>
              </w:rPr>
              <w:br/>
              <w:t>Modern Slavery</w:t>
            </w:r>
            <w:r w:rsidRPr="00735726">
              <w:rPr>
                <w:rFonts w:ascii="Arial" w:hAnsi="Arial" w:cs="Arial"/>
                <w:sz w:val="18"/>
                <w:szCs w:val="18"/>
              </w:rPr>
              <w:br/>
              <w:t>Anti-financial crime framework</w:t>
            </w:r>
            <w:r w:rsidRPr="00735726">
              <w:rPr>
                <w:rFonts w:ascii="Arial" w:hAnsi="Arial" w:cs="Arial"/>
                <w:sz w:val="18"/>
                <w:szCs w:val="18"/>
              </w:rPr>
              <w:br/>
              <w:t xml:space="preserve">Whistleblowing policy and </w:t>
            </w:r>
            <w:r w:rsidR="009F7C25" w:rsidRPr="00735726">
              <w:rPr>
                <w:rFonts w:ascii="Arial" w:hAnsi="Arial" w:cs="Arial"/>
                <w:sz w:val="18"/>
                <w:szCs w:val="18"/>
              </w:rPr>
              <w:t>S</w:t>
            </w:r>
            <w:r w:rsidRPr="00735726">
              <w:rPr>
                <w:rFonts w:ascii="Arial" w:hAnsi="Arial" w:cs="Arial"/>
                <w:sz w:val="18"/>
                <w:szCs w:val="18"/>
              </w:rPr>
              <w:t xml:space="preserve">peak </w:t>
            </w:r>
            <w:r w:rsidR="009F7C25" w:rsidRPr="00735726">
              <w:rPr>
                <w:rFonts w:ascii="Arial" w:hAnsi="Arial" w:cs="Arial"/>
                <w:sz w:val="18"/>
                <w:szCs w:val="18"/>
              </w:rPr>
              <w:t>U</w:t>
            </w:r>
            <w:r w:rsidRPr="00735726">
              <w:rPr>
                <w:rFonts w:ascii="Arial" w:hAnsi="Arial" w:cs="Arial"/>
                <w:sz w:val="18"/>
                <w:szCs w:val="18"/>
              </w:rPr>
              <w:t>p</w:t>
            </w:r>
          </w:p>
        </w:tc>
        <w:tc>
          <w:tcPr>
            <w:tcW w:w="2693" w:type="dxa"/>
          </w:tcPr>
          <w:p w14:paraId="37E77B4D" w14:textId="66A822E2" w:rsidR="000170F8" w:rsidRPr="009A2CAE" w:rsidRDefault="007943E2" w:rsidP="000170F8">
            <w:pPr>
              <w:autoSpaceDE w:val="0"/>
              <w:autoSpaceDN w:val="0"/>
              <w:adjustRightInd w:val="0"/>
              <w:rPr>
                <w:rFonts w:ascii="Arial" w:hAnsi="Arial" w:cs="Arial"/>
                <w:sz w:val="18"/>
                <w:szCs w:val="18"/>
              </w:rPr>
            </w:pPr>
            <w:r w:rsidRPr="009A2CAE">
              <w:rPr>
                <w:rFonts w:ascii="Arial" w:hAnsi="Arial" w:cs="Arial"/>
                <w:sz w:val="18"/>
                <w:szCs w:val="18"/>
              </w:rPr>
              <w:t xml:space="preserve">93 </w:t>
            </w:r>
            <w:r w:rsidR="004D796C" w:rsidRPr="009A2CAE">
              <w:rPr>
                <w:rFonts w:ascii="Arial" w:hAnsi="Arial" w:cs="Arial"/>
                <w:sz w:val="18"/>
                <w:szCs w:val="18"/>
              </w:rPr>
              <w:t xml:space="preserve">to </w:t>
            </w:r>
            <w:r w:rsidRPr="009A2CAE">
              <w:rPr>
                <w:rFonts w:ascii="Arial" w:hAnsi="Arial" w:cs="Arial"/>
                <w:sz w:val="18"/>
                <w:szCs w:val="18"/>
              </w:rPr>
              <w:t>95</w:t>
            </w:r>
            <w:r w:rsidR="004D796C" w:rsidRPr="009A2CAE">
              <w:rPr>
                <w:rFonts w:ascii="Arial" w:hAnsi="Arial" w:cs="Arial"/>
                <w:sz w:val="18"/>
                <w:szCs w:val="18"/>
              </w:rPr>
              <w:br/>
            </w:r>
            <w:r w:rsidRPr="009A2CAE">
              <w:rPr>
                <w:rFonts w:ascii="Arial" w:hAnsi="Arial" w:cs="Arial"/>
                <w:sz w:val="18"/>
                <w:szCs w:val="18"/>
              </w:rPr>
              <w:t>1</w:t>
            </w:r>
            <w:r w:rsidR="0015600B" w:rsidRPr="009A2CAE">
              <w:rPr>
                <w:rFonts w:ascii="Arial" w:hAnsi="Arial" w:cs="Arial"/>
                <w:sz w:val="18"/>
                <w:szCs w:val="18"/>
              </w:rPr>
              <w:t>07</w:t>
            </w:r>
            <w:r w:rsidRPr="009A2CAE">
              <w:rPr>
                <w:rFonts w:ascii="Arial" w:hAnsi="Arial" w:cs="Arial"/>
                <w:sz w:val="18"/>
                <w:szCs w:val="18"/>
              </w:rPr>
              <w:t xml:space="preserve"> </w:t>
            </w:r>
            <w:r w:rsidR="004D796C" w:rsidRPr="009A2CAE">
              <w:rPr>
                <w:rFonts w:ascii="Arial" w:hAnsi="Arial" w:cs="Arial"/>
                <w:sz w:val="18"/>
                <w:szCs w:val="18"/>
              </w:rPr>
              <w:t xml:space="preserve">to </w:t>
            </w:r>
            <w:r w:rsidRPr="009A2CAE">
              <w:rPr>
                <w:rFonts w:ascii="Arial" w:hAnsi="Arial" w:cs="Arial"/>
                <w:sz w:val="18"/>
                <w:szCs w:val="18"/>
              </w:rPr>
              <w:t>10</w:t>
            </w:r>
            <w:r w:rsidR="0015600B" w:rsidRPr="009A2CAE">
              <w:rPr>
                <w:rFonts w:ascii="Arial" w:hAnsi="Arial" w:cs="Arial"/>
                <w:sz w:val="18"/>
                <w:szCs w:val="18"/>
              </w:rPr>
              <w:t>8</w:t>
            </w:r>
            <w:r w:rsidR="004D796C" w:rsidRPr="009A2CAE">
              <w:rPr>
                <w:rFonts w:ascii="Arial" w:hAnsi="Arial" w:cs="Arial"/>
                <w:sz w:val="18"/>
                <w:szCs w:val="18"/>
              </w:rPr>
              <w:br/>
            </w:r>
            <w:r w:rsidRPr="009A2CAE">
              <w:rPr>
                <w:rFonts w:ascii="Arial" w:hAnsi="Arial" w:cs="Arial"/>
                <w:sz w:val="18"/>
                <w:szCs w:val="18"/>
              </w:rPr>
              <w:t>10</w:t>
            </w:r>
            <w:r w:rsidR="0015600B" w:rsidRPr="009A2CAE">
              <w:rPr>
                <w:rFonts w:ascii="Arial" w:hAnsi="Arial" w:cs="Arial"/>
                <w:sz w:val="18"/>
                <w:szCs w:val="18"/>
              </w:rPr>
              <w:t>7</w:t>
            </w:r>
            <w:r w:rsidR="004D796C" w:rsidRPr="009A2CAE">
              <w:rPr>
                <w:rFonts w:ascii="Arial" w:hAnsi="Arial" w:cs="Arial"/>
                <w:sz w:val="18"/>
                <w:szCs w:val="18"/>
              </w:rPr>
              <w:br/>
            </w:r>
            <w:r w:rsidRPr="009A2CAE">
              <w:rPr>
                <w:rFonts w:ascii="Arial" w:hAnsi="Arial" w:cs="Arial"/>
                <w:sz w:val="18"/>
                <w:szCs w:val="18"/>
              </w:rPr>
              <w:t>164</w:t>
            </w:r>
            <w:r w:rsidR="0015600B" w:rsidRPr="009A2CAE">
              <w:rPr>
                <w:rFonts w:ascii="Arial" w:hAnsi="Arial" w:cs="Arial"/>
                <w:sz w:val="18"/>
                <w:szCs w:val="18"/>
              </w:rPr>
              <w:t xml:space="preserve"> to 165</w:t>
            </w:r>
            <w:r w:rsidR="004D796C" w:rsidRPr="009A2CAE">
              <w:rPr>
                <w:rFonts w:ascii="Arial" w:hAnsi="Arial" w:cs="Arial"/>
                <w:sz w:val="18"/>
                <w:szCs w:val="18"/>
              </w:rPr>
              <w:br/>
            </w:r>
            <w:r w:rsidRPr="009A2CAE">
              <w:rPr>
                <w:rFonts w:ascii="Arial" w:hAnsi="Arial" w:cs="Arial"/>
                <w:sz w:val="18"/>
                <w:szCs w:val="18"/>
              </w:rPr>
              <w:t>138</w:t>
            </w:r>
            <w:r w:rsidR="004D796C" w:rsidRPr="009A2CAE">
              <w:rPr>
                <w:rFonts w:ascii="Arial" w:hAnsi="Arial" w:cs="Arial"/>
                <w:sz w:val="18"/>
                <w:szCs w:val="18"/>
              </w:rPr>
              <w:br/>
            </w:r>
            <w:r w:rsidRPr="009A2CAE">
              <w:rPr>
                <w:rFonts w:ascii="Arial" w:hAnsi="Arial" w:cs="Arial"/>
                <w:sz w:val="18"/>
                <w:szCs w:val="18"/>
              </w:rPr>
              <w:t>114 to</w:t>
            </w:r>
            <w:r w:rsidR="0015600B" w:rsidRPr="009A2CAE">
              <w:rPr>
                <w:rFonts w:ascii="Arial" w:hAnsi="Arial" w:cs="Arial"/>
                <w:sz w:val="18"/>
                <w:szCs w:val="18"/>
              </w:rPr>
              <w:t xml:space="preserve"> </w:t>
            </w:r>
            <w:r w:rsidRPr="009A2CAE">
              <w:rPr>
                <w:rFonts w:ascii="Arial" w:hAnsi="Arial" w:cs="Arial"/>
                <w:sz w:val="18"/>
                <w:szCs w:val="18"/>
              </w:rPr>
              <w:t>115</w:t>
            </w:r>
          </w:p>
        </w:tc>
      </w:tr>
      <w:tr w:rsidR="000170F8" w:rsidRPr="00735726" w14:paraId="3D01E70F" w14:textId="77777777" w:rsidTr="00D636C2">
        <w:trPr>
          <w:trHeight w:val="435"/>
        </w:trPr>
        <w:tc>
          <w:tcPr>
            <w:tcW w:w="3539" w:type="dxa"/>
          </w:tcPr>
          <w:p w14:paraId="3F6829CC" w14:textId="77777777" w:rsidR="000170F8" w:rsidRPr="00735726" w:rsidRDefault="000170F8" w:rsidP="000170F8">
            <w:pPr>
              <w:autoSpaceDE w:val="0"/>
              <w:autoSpaceDN w:val="0"/>
              <w:adjustRightInd w:val="0"/>
              <w:spacing w:after="0"/>
              <w:rPr>
                <w:rFonts w:ascii="Arial" w:hAnsi="Arial" w:cs="Arial"/>
                <w:sz w:val="18"/>
                <w:szCs w:val="18"/>
              </w:rPr>
            </w:pPr>
            <w:r w:rsidRPr="00735726">
              <w:rPr>
                <w:rFonts w:ascii="Arial" w:hAnsi="Arial" w:cs="Arial"/>
                <w:sz w:val="18"/>
                <w:szCs w:val="18"/>
              </w:rPr>
              <w:t>The need to act fairly between</w:t>
            </w:r>
          </w:p>
          <w:p w14:paraId="627B9626" w14:textId="3537CAFB" w:rsidR="000170F8" w:rsidRPr="00735726" w:rsidRDefault="000170F8" w:rsidP="000170F8">
            <w:pPr>
              <w:autoSpaceDE w:val="0"/>
              <w:autoSpaceDN w:val="0"/>
              <w:adjustRightInd w:val="0"/>
              <w:spacing w:after="0"/>
              <w:rPr>
                <w:rFonts w:ascii="Arial" w:hAnsi="Arial" w:cs="Arial"/>
                <w:sz w:val="18"/>
                <w:szCs w:val="18"/>
              </w:rPr>
            </w:pPr>
            <w:r w:rsidRPr="00735726">
              <w:rPr>
                <w:rFonts w:ascii="Arial" w:hAnsi="Arial" w:cs="Arial"/>
                <w:sz w:val="18"/>
                <w:szCs w:val="18"/>
              </w:rPr>
              <w:t>our stakeholders</w:t>
            </w:r>
          </w:p>
        </w:tc>
        <w:tc>
          <w:tcPr>
            <w:tcW w:w="3119" w:type="dxa"/>
          </w:tcPr>
          <w:p w14:paraId="3A3C1B07" w14:textId="30B87988" w:rsidR="000170F8" w:rsidRPr="00735726" w:rsidRDefault="000170F8" w:rsidP="000170F8">
            <w:pPr>
              <w:autoSpaceDE w:val="0"/>
              <w:autoSpaceDN w:val="0"/>
              <w:adjustRightInd w:val="0"/>
              <w:rPr>
                <w:rFonts w:ascii="Arial" w:hAnsi="Arial" w:cs="Arial"/>
                <w:sz w:val="18"/>
                <w:szCs w:val="18"/>
              </w:rPr>
            </w:pPr>
            <w:r w:rsidRPr="00735726">
              <w:rPr>
                <w:rFonts w:ascii="Arial" w:hAnsi="Arial" w:cs="Arial"/>
                <w:sz w:val="18"/>
                <w:szCs w:val="18"/>
              </w:rPr>
              <w:t>Stakeholder Engagement</w:t>
            </w:r>
          </w:p>
        </w:tc>
        <w:tc>
          <w:tcPr>
            <w:tcW w:w="2693" w:type="dxa"/>
          </w:tcPr>
          <w:p w14:paraId="2EE5B29C" w14:textId="051C68F5" w:rsidR="000170F8" w:rsidRPr="009A2CAE" w:rsidRDefault="007943E2" w:rsidP="000170F8">
            <w:pPr>
              <w:autoSpaceDE w:val="0"/>
              <w:autoSpaceDN w:val="0"/>
              <w:adjustRightInd w:val="0"/>
              <w:rPr>
                <w:rFonts w:ascii="Arial" w:hAnsi="Arial" w:cs="Arial"/>
                <w:sz w:val="18"/>
                <w:szCs w:val="18"/>
              </w:rPr>
            </w:pPr>
            <w:r w:rsidRPr="009A2CAE">
              <w:rPr>
                <w:rFonts w:ascii="Arial" w:hAnsi="Arial" w:cs="Arial"/>
                <w:sz w:val="18"/>
                <w:szCs w:val="18"/>
              </w:rPr>
              <w:t xml:space="preserve">26 </w:t>
            </w:r>
            <w:r w:rsidR="004D796C" w:rsidRPr="009A2CAE">
              <w:rPr>
                <w:rFonts w:ascii="Arial" w:hAnsi="Arial" w:cs="Arial"/>
                <w:sz w:val="18"/>
                <w:szCs w:val="18"/>
              </w:rPr>
              <w:t xml:space="preserve">to </w:t>
            </w:r>
            <w:r w:rsidRPr="009A2CAE">
              <w:rPr>
                <w:rFonts w:ascii="Arial" w:hAnsi="Arial" w:cs="Arial"/>
                <w:sz w:val="18"/>
                <w:szCs w:val="18"/>
              </w:rPr>
              <w:t>35</w:t>
            </w:r>
          </w:p>
        </w:tc>
      </w:tr>
    </w:tbl>
    <w:p w14:paraId="2BA5A484" w14:textId="1BB17D07" w:rsidR="004F030D" w:rsidRPr="00735726" w:rsidRDefault="004F030D" w:rsidP="005A5668">
      <w:pPr>
        <w:rPr>
          <w:rFonts w:ascii="Arial" w:hAnsi="Arial" w:cs="Arial"/>
          <w:sz w:val="18"/>
          <w:szCs w:val="18"/>
        </w:rPr>
      </w:pPr>
      <w:r w:rsidRPr="00735726">
        <w:rPr>
          <w:rFonts w:ascii="Arial" w:eastAsia="Times New Roman" w:hAnsi="Arial" w:cs="Arial"/>
          <w:b/>
          <w:bCs/>
          <w:caps/>
          <w:color w:val="000000"/>
          <w:sz w:val="18"/>
          <w:szCs w:val="18"/>
        </w:rPr>
        <w:lastRenderedPageBreak/>
        <w:t>HOW THE BOARD FULFILS ITS s.172 DUTY</w:t>
      </w:r>
      <w:r w:rsidRPr="00735726">
        <w:rPr>
          <w:rFonts w:ascii="Arial" w:eastAsia="Times New Roman" w:hAnsi="Arial" w:cs="Arial"/>
          <w:b/>
          <w:bCs/>
          <w:caps/>
          <w:color w:val="000000"/>
          <w:sz w:val="18"/>
          <w:szCs w:val="18"/>
        </w:rPr>
        <w:br/>
      </w:r>
      <w:r w:rsidRPr="00735726">
        <w:rPr>
          <w:rFonts w:ascii="Arial" w:hAnsi="Arial" w:cs="Arial"/>
          <w:sz w:val="18"/>
          <w:szCs w:val="18"/>
        </w:rPr>
        <w:t>To be able to fulfil their s.172 duty when making decisions, the Board is supported in carefully considering all the relevant factors to ensure the long-term success of the Company.</w:t>
      </w:r>
    </w:p>
    <w:p w14:paraId="0CA5290F" w14:textId="65CA8B84" w:rsidR="004F030D" w:rsidRPr="009A2CAE" w:rsidRDefault="004F030D" w:rsidP="00646F4F">
      <w:pPr>
        <w:pStyle w:val="ListParagraph"/>
        <w:numPr>
          <w:ilvl w:val="0"/>
          <w:numId w:val="34"/>
        </w:numPr>
        <w:rPr>
          <w:rFonts w:ascii="Arial" w:hAnsi="Arial" w:cs="Arial"/>
          <w:sz w:val="18"/>
          <w:szCs w:val="18"/>
        </w:rPr>
      </w:pPr>
      <w:r w:rsidRPr="00735726">
        <w:rPr>
          <w:rFonts w:ascii="Arial" w:hAnsi="Arial" w:cs="Arial"/>
          <w:b/>
          <w:bCs/>
          <w:sz w:val="18"/>
          <w:szCs w:val="18"/>
        </w:rPr>
        <w:t>Board information</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 xml:space="preserve">all Board papers contain a s.172 information section to enable the Board to consider stakeholder interests as part of their discussions and decision-making. Our Board directly and indirectly engages with our stakeholders. Read more on pages </w:t>
      </w:r>
      <w:r w:rsidR="007943E2" w:rsidRPr="009A2CAE">
        <w:rPr>
          <w:rFonts w:ascii="Arial" w:hAnsi="Arial" w:cs="Arial"/>
          <w:sz w:val="18"/>
          <w:szCs w:val="18"/>
        </w:rPr>
        <w:t xml:space="preserve">118 </w:t>
      </w:r>
      <w:r w:rsidR="002E7882" w:rsidRPr="009A2CAE">
        <w:rPr>
          <w:rFonts w:ascii="Arial" w:hAnsi="Arial" w:cs="Arial"/>
          <w:sz w:val="18"/>
          <w:szCs w:val="18"/>
        </w:rPr>
        <w:t xml:space="preserve">to </w:t>
      </w:r>
      <w:r w:rsidR="007943E2" w:rsidRPr="009A2CAE">
        <w:rPr>
          <w:rFonts w:ascii="Arial" w:hAnsi="Arial" w:cs="Arial"/>
          <w:sz w:val="18"/>
          <w:szCs w:val="18"/>
        </w:rPr>
        <w:t>119</w:t>
      </w:r>
      <w:r w:rsidRPr="009A2CAE">
        <w:rPr>
          <w:rFonts w:ascii="Arial" w:hAnsi="Arial" w:cs="Arial"/>
          <w:sz w:val="18"/>
          <w:szCs w:val="18"/>
        </w:rPr>
        <w:t>.</w:t>
      </w:r>
    </w:p>
    <w:p w14:paraId="3724D467" w14:textId="1AE39F58" w:rsidR="004F030D" w:rsidRPr="00735726" w:rsidRDefault="004F030D" w:rsidP="00646F4F">
      <w:pPr>
        <w:pStyle w:val="ListParagraph"/>
        <w:numPr>
          <w:ilvl w:val="0"/>
          <w:numId w:val="34"/>
        </w:numPr>
        <w:rPr>
          <w:rFonts w:ascii="Arial" w:hAnsi="Arial" w:cs="Arial"/>
          <w:sz w:val="18"/>
          <w:szCs w:val="18"/>
        </w:rPr>
      </w:pPr>
      <w:r w:rsidRPr="00735726">
        <w:rPr>
          <w:rFonts w:ascii="Arial" w:hAnsi="Arial" w:cs="Arial"/>
          <w:b/>
          <w:bCs/>
          <w:sz w:val="18"/>
          <w:szCs w:val="18"/>
        </w:rPr>
        <w:t xml:space="preserve">Board strategic </w:t>
      </w:r>
      <w:r w:rsidR="002E7882" w:rsidRPr="00735726">
        <w:rPr>
          <w:rFonts w:ascii="Arial" w:hAnsi="Arial" w:cs="Arial"/>
          <w:b/>
          <w:bCs/>
          <w:sz w:val="18"/>
          <w:szCs w:val="18"/>
        </w:rPr>
        <w:t>d</w:t>
      </w:r>
      <w:r w:rsidRPr="00735726">
        <w:rPr>
          <w:rFonts w:ascii="Arial" w:hAnsi="Arial" w:cs="Arial"/>
          <w:b/>
          <w:bCs/>
          <w:sz w:val="18"/>
          <w:szCs w:val="18"/>
        </w:rPr>
        <w:t xml:space="preserve">iscussion </w:t>
      </w:r>
      <w:r w:rsidR="006C1BA9" w:rsidRPr="00735726">
        <w:rPr>
          <w:rFonts w:ascii="Arial" w:hAnsi="Arial" w:cs="Arial"/>
          <w:sz w:val="18"/>
          <w:szCs w:val="18"/>
        </w:rPr>
        <w:t xml:space="preserve">- </w:t>
      </w:r>
      <w:r w:rsidRPr="00735726">
        <w:rPr>
          <w:rFonts w:ascii="Arial" w:hAnsi="Arial" w:cs="Arial"/>
          <w:sz w:val="18"/>
          <w:szCs w:val="18"/>
        </w:rPr>
        <w:t xml:space="preserve">s.172 factors are considered in the Board’s discussions on strategy, including how they underpin the Company’s long-term success. The Company’s culture helps ensure there is proper consideration of the impact of Board decisions on our </w:t>
      </w:r>
      <w:proofErr w:type="gramStart"/>
      <w:r w:rsidRPr="00735726">
        <w:rPr>
          <w:rFonts w:ascii="Arial" w:hAnsi="Arial" w:cs="Arial"/>
          <w:sz w:val="18"/>
          <w:szCs w:val="18"/>
        </w:rPr>
        <w:t>stakeholders</w:t>
      </w:r>
      <w:proofErr w:type="gramEnd"/>
      <w:r w:rsidRPr="00735726">
        <w:rPr>
          <w:rFonts w:ascii="Arial" w:hAnsi="Arial" w:cs="Arial"/>
          <w:sz w:val="18"/>
          <w:szCs w:val="18"/>
        </w:rPr>
        <w:t xml:space="preserve"> and the Board considers the quality of information it has received and seeks assurance where appropriate.</w:t>
      </w:r>
    </w:p>
    <w:p w14:paraId="1AF556DA" w14:textId="2964A207" w:rsidR="004F030D" w:rsidRPr="00735726" w:rsidRDefault="004F030D" w:rsidP="00646F4F">
      <w:pPr>
        <w:pStyle w:val="ListParagraph"/>
        <w:numPr>
          <w:ilvl w:val="0"/>
          <w:numId w:val="34"/>
        </w:numPr>
        <w:rPr>
          <w:rFonts w:ascii="Arial" w:hAnsi="Arial" w:cs="Arial"/>
          <w:sz w:val="18"/>
          <w:szCs w:val="18"/>
        </w:rPr>
      </w:pPr>
      <w:r w:rsidRPr="00735726">
        <w:rPr>
          <w:rFonts w:ascii="Arial" w:hAnsi="Arial" w:cs="Arial"/>
          <w:b/>
          <w:bCs/>
          <w:sz w:val="18"/>
          <w:szCs w:val="18"/>
        </w:rPr>
        <w:t xml:space="preserve">Board decision </w:t>
      </w:r>
      <w:r w:rsidR="006C1BA9" w:rsidRPr="00735726">
        <w:rPr>
          <w:rFonts w:ascii="Arial" w:hAnsi="Arial" w:cs="Arial"/>
          <w:sz w:val="18"/>
          <w:szCs w:val="18"/>
        </w:rPr>
        <w:t xml:space="preserve">- </w:t>
      </w:r>
      <w:r w:rsidRPr="00735726">
        <w:rPr>
          <w:rFonts w:ascii="Arial" w:hAnsi="Arial" w:cs="Arial"/>
          <w:sz w:val="18"/>
          <w:szCs w:val="18"/>
        </w:rPr>
        <w:t>outcomes of the Board decision are assessed and further engagement with stakeholders is undertaken, where appropriate. As a result of the Board’s engagement, the necessary actions are taken.</w:t>
      </w:r>
    </w:p>
    <w:p w14:paraId="51119E18" w14:textId="77777777" w:rsidR="004F030D" w:rsidRPr="00735726" w:rsidRDefault="004F030D" w:rsidP="0024293B">
      <w:pPr>
        <w:autoSpaceDE w:val="0"/>
        <w:autoSpaceDN w:val="0"/>
        <w:adjustRightInd w:val="0"/>
        <w:spacing w:after="0"/>
        <w:rPr>
          <w:rFonts w:ascii="Arial" w:hAnsi="Arial" w:cs="Arial"/>
          <w:i/>
          <w:iCs/>
          <w:sz w:val="18"/>
          <w:szCs w:val="18"/>
        </w:rPr>
      </w:pPr>
      <w:r w:rsidRPr="00735726">
        <w:rPr>
          <w:rFonts w:ascii="Arial" w:hAnsi="Arial" w:cs="Arial"/>
          <w:i/>
          <w:iCs/>
          <w:sz w:val="18"/>
          <w:szCs w:val="18"/>
        </w:rPr>
        <w:t>KEY STRATGIC DECISIONS CONSIDERED BY THE BOARD</w:t>
      </w:r>
    </w:p>
    <w:p w14:paraId="2BEAE1B3" w14:textId="14A89CB8" w:rsidR="004F030D" w:rsidRPr="00735726" w:rsidRDefault="004F030D" w:rsidP="005A5668">
      <w:pPr>
        <w:rPr>
          <w:rFonts w:ascii="Arial" w:hAnsi="Arial" w:cs="Arial"/>
          <w:sz w:val="18"/>
          <w:szCs w:val="18"/>
        </w:rPr>
      </w:pPr>
      <w:r w:rsidRPr="00735726">
        <w:rPr>
          <w:rFonts w:ascii="Arial" w:hAnsi="Arial" w:cs="Arial"/>
          <w:sz w:val="18"/>
          <w:szCs w:val="18"/>
        </w:rPr>
        <w:t xml:space="preserve">Below are some of the key strategic issues considered and decisions made by the Board during the year and an explanation of how the Board considered the matters in </w:t>
      </w:r>
      <w:r w:rsidR="00CE39CC" w:rsidRPr="00735726">
        <w:rPr>
          <w:rFonts w:ascii="Arial" w:hAnsi="Arial" w:cs="Arial"/>
          <w:sz w:val="18"/>
          <w:szCs w:val="18"/>
        </w:rPr>
        <w:t xml:space="preserve">section </w:t>
      </w:r>
      <w:r w:rsidRPr="00735726">
        <w:rPr>
          <w:rFonts w:ascii="Arial" w:hAnsi="Arial" w:cs="Arial"/>
          <w:sz w:val="18"/>
          <w:szCs w:val="18"/>
        </w:rPr>
        <w:t xml:space="preserve">172(1) (a) </w:t>
      </w:r>
      <w:r w:rsidR="006C1BA9" w:rsidRPr="00735726">
        <w:rPr>
          <w:rFonts w:ascii="Arial" w:hAnsi="Arial" w:cs="Arial"/>
          <w:sz w:val="18"/>
          <w:szCs w:val="18"/>
        </w:rPr>
        <w:t xml:space="preserve">- </w:t>
      </w:r>
      <w:r w:rsidRPr="00735726">
        <w:rPr>
          <w:rFonts w:ascii="Arial" w:hAnsi="Arial" w:cs="Arial"/>
          <w:sz w:val="18"/>
          <w:szCs w:val="18"/>
        </w:rPr>
        <w:t>(f) when taking those decisions and how they link to our strategy.</w:t>
      </w:r>
    </w:p>
    <w:tbl>
      <w:tblPr>
        <w:tblStyle w:val="TableGrid"/>
        <w:tblW w:w="9390" w:type="dxa"/>
        <w:tblLayout w:type="fixed"/>
        <w:tblLook w:val="04A0" w:firstRow="1" w:lastRow="0" w:firstColumn="1" w:lastColumn="0" w:noHBand="0" w:noVBand="1"/>
      </w:tblPr>
      <w:tblGrid>
        <w:gridCol w:w="1413"/>
        <w:gridCol w:w="3827"/>
        <w:gridCol w:w="2075"/>
        <w:gridCol w:w="2075"/>
      </w:tblGrid>
      <w:tr w:rsidR="00507495" w:rsidRPr="00735726" w14:paraId="6C03C204" w14:textId="77777777" w:rsidTr="00507495">
        <w:trPr>
          <w:tblHeader/>
        </w:trPr>
        <w:tc>
          <w:tcPr>
            <w:tcW w:w="1413" w:type="dxa"/>
            <w:shd w:val="clear" w:color="auto" w:fill="002060"/>
          </w:tcPr>
          <w:p w14:paraId="6CE167D7" w14:textId="77777777" w:rsidR="00507495" w:rsidRPr="00735726" w:rsidRDefault="00507495" w:rsidP="00507495">
            <w:pPr>
              <w:pStyle w:val="B03bullet"/>
              <w:numPr>
                <w:ilvl w:val="0"/>
                <w:numId w:val="0"/>
              </w:numPr>
              <w:ind w:left="360" w:hanging="360"/>
              <w:jc w:val="center"/>
              <w:rPr>
                <w:b/>
                <w:color w:val="FFFFFF" w:themeColor="background1"/>
              </w:rPr>
            </w:pPr>
            <w:r w:rsidRPr="00735726">
              <w:br w:type="page"/>
            </w:r>
            <w:r w:rsidRPr="00735726">
              <w:rPr>
                <w:b/>
                <w:color w:val="FFFFFF" w:themeColor="background1"/>
              </w:rPr>
              <w:t>Key decision</w:t>
            </w:r>
          </w:p>
        </w:tc>
        <w:tc>
          <w:tcPr>
            <w:tcW w:w="3827" w:type="dxa"/>
            <w:shd w:val="clear" w:color="auto" w:fill="002060"/>
          </w:tcPr>
          <w:p w14:paraId="6F2E6734" w14:textId="77777777" w:rsidR="00507495" w:rsidRPr="00735726" w:rsidRDefault="00507495" w:rsidP="00507495">
            <w:pPr>
              <w:pStyle w:val="Bodytab"/>
              <w:jc w:val="center"/>
              <w:rPr>
                <w:b/>
                <w:color w:val="FFFFFF" w:themeColor="background1"/>
              </w:rPr>
            </w:pPr>
            <w:r w:rsidRPr="00735726">
              <w:rPr>
                <w:b/>
                <w:color w:val="FFFFFF" w:themeColor="background1"/>
              </w:rPr>
              <w:t>Board discussion and s.172 considerations</w:t>
            </w:r>
          </w:p>
        </w:tc>
        <w:tc>
          <w:tcPr>
            <w:tcW w:w="2075" w:type="dxa"/>
            <w:shd w:val="clear" w:color="auto" w:fill="002060"/>
          </w:tcPr>
          <w:p w14:paraId="3B014E4C" w14:textId="034D0198" w:rsidR="00507495" w:rsidRPr="00735726" w:rsidRDefault="00507495" w:rsidP="00507495">
            <w:pPr>
              <w:pStyle w:val="Bodytab"/>
              <w:jc w:val="center"/>
              <w:rPr>
                <w:b/>
                <w:color w:val="FFFFFF" w:themeColor="background1"/>
              </w:rPr>
            </w:pPr>
            <w:r w:rsidRPr="00735726">
              <w:rPr>
                <w:b/>
                <w:color w:val="FFFFFF" w:themeColor="background1"/>
              </w:rPr>
              <w:t>Outcome</w:t>
            </w:r>
          </w:p>
        </w:tc>
        <w:tc>
          <w:tcPr>
            <w:tcW w:w="2075" w:type="dxa"/>
            <w:shd w:val="clear" w:color="auto" w:fill="002060"/>
          </w:tcPr>
          <w:p w14:paraId="623A2755" w14:textId="3E4CF101" w:rsidR="00507495" w:rsidRPr="00735726" w:rsidRDefault="00507495" w:rsidP="00507495">
            <w:pPr>
              <w:pStyle w:val="Bodytab"/>
              <w:jc w:val="center"/>
              <w:rPr>
                <w:b/>
                <w:color w:val="FFFFFF" w:themeColor="background1"/>
              </w:rPr>
            </w:pPr>
            <w:r w:rsidRPr="00735726">
              <w:rPr>
                <w:b/>
                <w:color w:val="FFFFFF" w:themeColor="background1"/>
              </w:rPr>
              <w:t>Link to strategy</w:t>
            </w:r>
          </w:p>
        </w:tc>
      </w:tr>
      <w:tr w:rsidR="00507495" w:rsidRPr="00735726" w14:paraId="7E7B2E4E" w14:textId="77777777" w:rsidTr="00507495">
        <w:tc>
          <w:tcPr>
            <w:tcW w:w="1413" w:type="dxa"/>
          </w:tcPr>
          <w:p w14:paraId="673700FF" w14:textId="2FF045DB" w:rsidR="00507495" w:rsidRPr="00735726" w:rsidRDefault="003F2AD1" w:rsidP="003F2AD1">
            <w:pPr>
              <w:autoSpaceDE w:val="0"/>
              <w:autoSpaceDN w:val="0"/>
              <w:adjustRightInd w:val="0"/>
              <w:rPr>
                <w:rFonts w:ascii="Arial" w:hAnsi="Arial" w:cs="Arial"/>
              </w:rPr>
            </w:pPr>
            <w:r w:rsidRPr="00735726">
              <w:rPr>
                <w:rFonts w:ascii="Arial" w:hAnsi="Arial" w:cs="Arial"/>
                <w:sz w:val="18"/>
                <w:szCs w:val="18"/>
              </w:rPr>
              <w:t xml:space="preserve">Appointment of Workforce Engagement Non-Executive </w:t>
            </w:r>
            <w:r w:rsidRPr="00735726">
              <w:rPr>
                <w:rFonts w:ascii="Arial" w:eastAsiaTheme="minorHAnsi" w:hAnsi="Arial" w:cs="Arial"/>
                <w:sz w:val="18"/>
                <w:szCs w:val="18"/>
              </w:rPr>
              <w:t>Director</w:t>
            </w:r>
          </w:p>
        </w:tc>
        <w:tc>
          <w:tcPr>
            <w:tcW w:w="3827" w:type="dxa"/>
          </w:tcPr>
          <w:p w14:paraId="506C9F0A" w14:textId="67926A69" w:rsidR="003F2AD1" w:rsidRPr="00735726" w:rsidRDefault="003F2AD1" w:rsidP="003F2AD1">
            <w:pPr>
              <w:rPr>
                <w:rFonts w:ascii="Arial" w:hAnsi="Arial" w:cs="Arial"/>
                <w:sz w:val="18"/>
                <w:szCs w:val="18"/>
              </w:rPr>
            </w:pPr>
            <w:r w:rsidRPr="00735726">
              <w:rPr>
                <w:rFonts w:ascii="Arial" w:hAnsi="Arial" w:cs="Arial"/>
                <w:b/>
                <w:bCs/>
                <w:sz w:val="18"/>
                <w:szCs w:val="18"/>
              </w:rPr>
              <w:t>Our People</w:t>
            </w:r>
            <w:r w:rsidRPr="00735726">
              <w:rPr>
                <w:rFonts w:ascii="Arial" w:hAnsi="Arial" w:cs="Arial"/>
                <w:b/>
                <w:bCs/>
                <w:sz w:val="18"/>
                <w:szCs w:val="18"/>
              </w:rPr>
              <w:br/>
            </w:r>
            <w:r w:rsidRPr="00735726">
              <w:rPr>
                <w:rFonts w:ascii="Arial" w:hAnsi="Arial" w:cs="Arial"/>
                <w:sz w:val="18"/>
                <w:szCs w:val="18"/>
              </w:rPr>
              <w:t>The Board assessed the impact of the appointment on promoting effective monitoring of the culture and engagement within the Company and escalating our colleagues’ views to support informed decision-making.</w:t>
            </w:r>
          </w:p>
          <w:p w14:paraId="6BAE7154" w14:textId="22E78E41" w:rsidR="00507495" w:rsidRPr="00735726" w:rsidRDefault="003F2AD1" w:rsidP="003F2AD1">
            <w:pPr>
              <w:rPr>
                <w:rFonts w:ascii="Arial" w:eastAsiaTheme="minorHAnsi" w:hAnsi="Arial" w:cs="Arial"/>
                <w:sz w:val="18"/>
                <w:szCs w:val="18"/>
              </w:rPr>
            </w:pPr>
            <w:r w:rsidRPr="00735726">
              <w:rPr>
                <w:rFonts w:ascii="Arial" w:hAnsi="Arial" w:cs="Arial"/>
                <w:b/>
                <w:bCs/>
                <w:sz w:val="18"/>
                <w:szCs w:val="18"/>
              </w:rPr>
              <w:t>Our Regulators</w:t>
            </w:r>
            <w:r w:rsidRPr="00735726">
              <w:rPr>
                <w:rFonts w:ascii="Arial" w:hAnsi="Arial" w:cs="Arial"/>
                <w:b/>
                <w:bCs/>
                <w:sz w:val="18"/>
                <w:szCs w:val="18"/>
              </w:rPr>
              <w:br/>
            </w:r>
            <w:r w:rsidRPr="00735726">
              <w:rPr>
                <w:rFonts w:ascii="Arial" w:eastAsiaTheme="minorHAnsi" w:hAnsi="Arial" w:cs="Arial"/>
                <w:sz w:val="18"/>
                <w:szCs w:val="18"/>
              </w:rPr>
              <w:t>The Board discussed the UK Corporate Governance Code 2024.</w:t>
            </w:r>
          </w:p>
        </w:tc>
        <w:tc>
          <w:tcPr>
            <w:tcW w:w="2075" w:type="dxa"/>
          </w:tcPr>
          <w:p w14:paraId="07D01D60" w14:textId="79535508" w:rsidR="00507495" w:rsidRPr="00735726" w:rsidRDefault="003F2AD1" w:rsidP="003F2AD1">
            <w:pPr>
              <w:rPr>
                <w:rFonts w:ascii="Arial" w:hAnsi="Arial" w:cs="Arial"/>
                <w:b/>
                <w:bCs/>
                <w:sz w:val="18"/>
                <w:szCs w:val="18"/>
              </w:rPr>
            </w:pPr>
            <w:r w:rsidRPr="00735726">
              <w:rPr>
                <w:rFonts w:ascii="Arial" w:hAnsi="Arial" w:cs="Arial"/>
                <w:sz w:val="18"/>
                <w:szCs w:val="18"/>
              </w:rPr>
              <w:t xml:space="preserve">In January 2026, the Board appointed a designated </w:t>
            </w:r>
            <w:r w:rsidRPr="00735726">
              <w:rPr>
                <w:rFonts w:ascii="Arial" w:eastAsiaTheme="minorHAnsi" w:hAnsi="Arial" w:cs="Arial"/>
                <w:sz w:val="18"/>
                <w:szCs w:val="18"/>
              </w:rPr>
              <w:t>Workforce Engagement Non-Executive Director.</w:t>
            </w:r>
          </w:p>
        </w:tc>
        <w:tc>
          <w:tcPr>
            <w:tcW w:w="2075" w:type="dxa"/>
          </w:tcPr>
          <w:p w14:paraId="4AECB8DF" w14:textId="36E5BE98" w:rsidR="0016495A" w:rsidRPr="00735726" w:rsidRDefault="0016495A" w:rsidP="0016495A">
            <w:pPr>
              <w:rPr>
                <w:rFonts w:ascii="Arial" w:eastAsiaTheme="minorHAnsi" w:hAnsi="Arial" w:cs="Arial"/>
                <w:b/>
                <w:bCs/>
                <w:sz w:val="18"/>
                <w:szCs w:val="18"/>
              </w:rPr>
            </w:pPr>
            <w:r w:rsidRPr="00735726">
              <w:rPr>
                <w:rFonts w:ascii="Arial" w:hAnsi="Arial" w:cs="Arial"/>
                <w:b/>
                <w:bCs/>
                <w:sz w:val="18"/>
                <w:szCs w:val="18"/>
              </w:rPr>
              <w:t xml:space="preserve">Building water resources, </w:t>
            </w:r>
            <w:r w:rsidRPr="00735726">
              <w:rPr>
                <w:rFonts w:ascii="Arial" w:eastAsiaTheme="minorHAnsi" w:hAnsi="Arial" w:cs="Arial"/>
                <w:b/>
                <w:bCs/>
                <w:sz w:val="18"/>
                <w:szCs w:val="18"/>
              </w:rPr>
              <w:t>improving water quality</w:t>
            </w:r>
          </w:p>
          <w:p w14:paraId="0C77CF3C" w14:textId="77777777" w:rsidR="0016495A" w:rsidRPr="00735726" w:rsidRDefault="0016495A" w:rsidP="0016495A">
            <w:pPr>
              <w:rPr>
                <w:rFonts w:ascii="Arial" w:eastAsiaTheme="minorHAnsi" w:hAnsi="Arial" w:cs="Arial"/>
                <w:b/>
                <w:bCs/>
                <w:sz w:val="18"/>
                <w:szCs w:val="18"/>
              </w:rPr>
            </w:pPr>
            <w:r w:rsidRPr="00735726">
              <w:rPr>
                <w:rFonts w:ascii="Arial" w:hAnsi="Arial" w:cs="Arial"/>
                <w:b/>
                <w:bCs/>
                <w:sz w:val="18"/>
                <w:szCs w:val="18"/>
              </w:rPr>
              <w:t xml:space="preserve">Tackling storm overflows and </w:t>
            </w:r>
            <w:r w:rsidRPr="00735726">
              <w:rPr>
                <w:rFonts w:ascii="Arial" w:eastAsiaTheme="minorHAnsi" w:hAnsi="Arial" w:cs="Arial"/>
                <w:b/>
                <w:bCs/>
                <w:sz w:val="18"/>
                <w:szCs w:val="18"/>
              </w:rPr>
              <w:t>pollutions</w:t>
            </w:r>
          </w:p>
          <w:p w14:paraId="534E50B6" w14:textId="0DC19F03" w:rsidR="00507495" w:rsidRPr="00735726" w:rsidRDefault="0016495A" w:rsidP="0016495A">
            <w:pPr>
              <w:rPr>
                <w:rFonts w:ascii="Arial" w:eastAsiaTheme="minorHAnsi" w:hAnsi="Arial" w:cs="Arial"/>
                <w:b/>
                <w:bCs/>
                <w:sz w:val="18"/>
                <w:szCs w:val="18"/>
              </w:rPr>
            </w:pPr>
            <w:r w:rsidRPr="00735726">
              <w:rPr>
                <w:rFonts w:ascii="Arial" w:hAnsi="Arial" w:cs="Arial"/>
                <w:b/>
                <w:bCs/>
                <w:sz w:val="18"/>
                <w:szCs w:val="18"/>
              </w:rPr>
              <w:t xml:space="preserve">Driving environmental gains and </w:t>
            </w:r>
            <w:r w:rsidRPr="00735726">
              <w:rPr>
                <w:rFonts w:ascii="Arial" w:eastAsiaTheme="minorHAnsi" w:hAnsi="Arial" w:cs="Arial"/>
                <w:b/>
                <w:bCs/>
                <w:sz w:val="18"/>
                <w:szCs w:val="18"/>
              </w:rPr>
              <w:t>delivering Net Zero</w:t>
            </w:r>
          </w:p>
        </w:tc>
      </w:tr>
      <w:tr w:rsidR="005F193B" w:rsidRPr="00735726" w14:paraId="5223B4A1" w14:textId="77777777" w:rsidTr="00507495">
        <w:tc>
          <w:tcPr>
            <w:tcW w:w="1413" w:type="dxa"/>
          </w:tcPr>
          <w:p w14:paraId="00EB7F72" w14:textId="70EB8B1E" w:rsidR="005F193B" w:rsidRPr="00735726" w:rsidRDefault="00D30526" w:rsidP="005F193B">
            <w:pPr>
              <w:autoSpaceDE w:val="0"/>
              <w:autoSpaceDN w:val="0"/>
              <w:adjustRightInd w:val="0"/>
              <w:rPr>
                <w:rFonts w:ascii="Arial" w:hAnsi="Arial" w:cs="Arial"/>
                <w:sz w:val="18"/>
                <w:szCs w:val="18"/>
              </w:rPr>
            </w:pPr>
            <w:r w:rsidRPr="00735726">
              <w:rPr>
                <w:rFonts w:ascii="Arial" w:hAnsi="Arial" w:cs="Arial"/>
                <w:sz w:val="18"/>
                <w:szCs w:val="18"/>
              </w:rPr>
              <w:t>AMP8 Capital Programme</w:t>
            </w:r>
          </w:p>
        </w:tc>
        <w:tc>
          <w:tcPr>
            <w:tcW w:w="3827" w:type="dxa"/>
          </w:tcPr>
          <w:p w14:paraId="24FC36CC" w14:textId="4B2FD60C" w:rsidR="00D30526" w:rsidRPr="00735726" w:rsidRDefault="00D30526" w:rsidP="00D30526">
            <w:pPr>
              <w:rPr>
                <w:rFonts w:ascii="Arial" w:hAnsi="Arial" w:cs="Arial"/>
                <w:sz w:val="18"/>
                <w:szCs w:val="18"/>
              </w:rPr>
            </w:pPr>
            <w:r w:rsidRPr="00735726">
              <w:rPr>
                <w:rFonts w:ascii="Arial" w:hAnsi="Arial" w:cs="Arial"/>
                <w:b/>
                <w:bCs/>
                <w:sz w:val="18"/>
                <w:szCs w:val="18"/>
              </w:rPr>
              <w:t xml:space="preserve">Our </w:t>
            </w:r>
            <w:proofErr w:type="gramStart"/>
            <w:r w:rsidRPr="00735726">
              <w:rPr>
                <w:rFonts w:ascii="Arial" w:hAnsi="Arial" w:cs="Arial"/>
                <w:b/>
                <w:bCs/>
                <w:sz w:val="18"/>
                <w:szCs w:val="18"/>
              </w:rPr>
              <w:t>Customers</w:t>
            </w:r>
            <w:proofErr w:type="gramEnd"/>
            <w:r w:rsidRPr="00735726">
              <w:rPr>
                <w:rFonts w:ascii="Arial" w:hAnsi="Arial" w:cs="Arial"/>
                <w:b/>
                <w:bCs/>
                <w:sz w:val="18"/>
                <w:szCs w:val="18"/>
              </w:rPr>
              <w:t xml:space="preserve"> and communities</w:t>
            </w:r>
            <w:r w:rsidRPr="00735726">
              <w:rPr>
                <w:rFonts w:ascii="Arial" w:hAnsi="Arial" w:cs="Arial"/>
                <w:b/>
                <w:bCs/>
                <w:sz w:val="18"/>
                <w:szCs w:val="18"/>
              </w:rPr>
              <w:br/>
            </w:r>
            <w:r w:rsidRPr="00735726">
              <w:rPr>
                <w:rFonts w:ascii="Arial" w:hAnsi="Arial" w:cs="Arial"/>
                <w:sz w:val="18"/>
                <w:szCs w:val="18"/>
              </w:rPr>
              <w:t>The Board considered the proposed capital delivery programme against regulatory and strategic priorities. In addition, consideration was given to the long-term benefit of a resilient asset base on affordability of services.</w:t>
            </w:r>
          </w:p>
          <w:p w14:paraId="68E02855" w14:textId="0266C3A0" w:rsidR="00D30526" w:rsidRPr="00735726" w:rsidRDefault="00D30526" w:rsidP="00D30526">
            <w:pPr>
              <w:rPr>
                <w:rFonts w:ascii="Arial" w:hAnsi="Arial" w:cs="Arial"/>
                <w:sz w:val="18"/>
                <w:szCs w:val="18"/>
              </w:rPr>
            </w:pPr>
            <w:r w:rsidRPr="00735726">
              <w:rPr>
                <w:rFonts w:ascii="Arial" w:hAnsi="Arial" w:cs="Arial"/>
                <w:b/>
                <w:bCs/>
                <w:sz w:val="18"/>
                <w:szCs w:val="18"/>
              </w:rPr>
              <w:t>Our Regulators</w:t>
            </w:r>
            <w:r w:rsidRPr="00735726">
              <w:rPr>
                <w:rFonts w:ascii="Arial" w:hAnsi="Arial" w:cs="Arial"/>
                <w:sz w:val="18"/>
                <w:szCs w:val="18"/>
              </w:rPr>
              <w:br/>
              <w:t>The Board considered the structure of the capital delivery programme to meet regulatory commitments.</w:t>
            </w:r>
          </w:p>
          <w:p w14:paraId="6584DAA8" w14:textId="04CA9BAA" w:rsidR="005F193B" w:rsidRPr="00735726" w:rsidRDefault="00D30526" w:rsidP="00D30526">
            <w:pPr>
              <w:rPr>
                <w:rFonts w:ascii="Arial" w:hAnsi="Arial" w:cs="Arial"/>
                <w:sz w:val="18"/>
                <w:szCs w:val="18"/>
              </w:rPr>
            </w:pPr>
            <w:r w:rsidRPr="00735726">
              <w:rPr>
                <w:rFonts w:ascii="Arial" w:hAnsi="Arial" w:cs="Arial"/>
                <w:b/>
                <w:bCs/>
                <w:sz w:val="18"/>
                <w:szCs w:val="18"/>
              </w:rPr>
              <w:t>Our Environment</w:t>
            </w:r>
            <w:r w:rsidRPr="00735726">
              <w:rPr>
                <w:rFonts w:ascii="Arial" w:hAnsi="Arial" w:cs="Arial"/>
                <w:b/>
                <w:bCs/>
                <w:sz w:val="18"/>
                <w:szCs w:val="18"/>
              </w:rPr>
              <w:br/>
            </w:r>
            <w:r w:rsidRPr="00735726">
              <w:rPr>
                <w:rFonts w:ascii="Arial" w:hAnsi="Arial" w:cs="Arial"/>
                <w:sz w:val="18"/>
                <w:szCs w:val="18"/>
              </w:rPr>
              <w:t>The Board assessed the investments on various grounds including sustainability, water resources, natural habitat and healthier rivers and seas.</w:t>
            </w:r>
          </w:p>
        </w:tc>
        <w:tc>
          <w:tcPr>
            <w:tcW w:w="2075" w:type="dxa"/>
          </w:tcPr>
          <w:p w14:paraId="34C5393F" w14:textId="6768F16F" w:rsidR="005F193B" w:rsidRPr="00735726" w:rsidRDefault="00D30526" w:rsidP="005F193B">
            <w:pPr>
              <w:rPr>
                <w:rFonts w:ascii="Arial" w:hAnsi="Arial" w:cs="Arial"/>
                <w:sz w:val="18"/>
                <w:szCs w:val="18"/>
              </w:rPr>
            </w:pPr>
            <w:r w:rsidRPr="00735726">
              <w:rPr>
                <w:rFonts w:ascii="Arial" w:hAnsi="Arial" w:cs="Arial"/>
                <w:sz w:val="18"/>
                <w:szCs w:val="18"/>
              </w:rPr>
              <w:t>The Board approved the AMP8 capital programme.</w:t>
            </w:r>
          </w:p>
        </w:tc>
        <w:tc>
          <w:tcPr>
            <w:tcW w:w="2075" w:type="dxa"/>
          </w:tcPr>
          <w:p w14:paraId="385C3CFC" w14:textId="77777777" w:rsidR="0016495A" w:rsidRPr="00735726" w:rsidRDefault="0016495A" w:rsidP="0016495A">
            <w:pPr>
              <w:rPr>
                <w:rFonts w:ascii="Arial" w:eastAsiaTheme="minorHAnsi" w:hAnsi="Arial" w:cs="Arial"/>
                <w:b/>
                <w:bCs/>
                <w:sz w:val="18"/>
                <w:szCs w:val="18"/>
              </w:rPr>
            </w:pPr>
            <w:r w:rsidRPr="00735726">
              <w:rPr>
                <w:rFonts w:ascii="Arial" w:hAnsi="Arial" w:cs="Arial"/>
                <w:b/>
                <w:bCs/>
                <w:sz w:val="18"/>
                <w:szCs w:val="18"/>
              </w:rPr>
              <w:t xml:space="preserve">Building water resources, </w:t>
            </w:r>
            <w:r w:rsidRPr="00735726">
              <w:rPr>
                <w:rFonts w:ascii="Arial" w:eastAsiaTheme="minorHAnsi" w:hAnsi="Arial" w:cs="Arial"/>
                <w:b/>
                <w:bCs/>
                <w:sz w:val="18"/>
                <w:szCs w:val="18"/>
              </w:rPr>
              <w:t>improving water quality</w:t>
            </w:r>
          </w:p>
          <w:p w14:paraId="459C511C" w14:textId="77777777" w:rsidR="0016495A" w:rsidRPr="00735726" w:rsidRDefault="0016495A" w:rsidP="0016495A">
            <w:pPr>
              <w:rPr>
                <w:rFonts w:ascii="Arial" w:eastAsiaTheme="minorHAnsi" w:hAnsi="Arial" w:cs="Arial"/>
                <w:b/>
                <w:bCs/>
                <w:sz w:val="18"/>
                <w:szCs w:val="18"/>
              </w:rPr>
            </w:pPr>
            <w:r w:rsidRPr="00735726">
              <w:rPr>
                <w:rFonts w:ascii="Arial" w:hAnsi="Arial" w:cs="Arial"/>
                <w:b/>
                <w:bCs/>
                <w:sz w:val="18"/>
                <w:szCs w:val="18"/>
              </w:rPr>
              <w:t xml:space="preserve">Tackling storm overflows and </w:t>
            </w:r>
            <w:r w:rsidRPr="00735726">
              <w:rPr>
                <w:rFonts w:ascii="Arial" w:eastAsiaTheme="minorHAnsi" w:hAnsi="Arial" w:cs="Arial"/>
                <w:b/>
                <w:bCs/>
                <w:sz w:val="18"/>
                <w:szCs w:val="18"/>
              </w:rPr>
              <w:t>pollutions</w:t>
            </w:r>
          </w:p>
          <w:p w14:paraId="389420D7" w14:textId="77777777" w:rsidR="005F193B" w:rsidRPr="00735726" w:rsidRDefault="0016495A" w:rsidP="0016495A">
            <w:pPr>
              <w:rPr>
                <w:rFonts w:ascii="Arial" w:eastAsiaTheme="minorHAnsi" w:hAnsi="Arial" w:cs="Arial"/>
                <w:b/>
                <w:bCs/>
                <w:sz w:val="18"/>
                <w:szCs w:val="18"/>
              </w:rPr>
            </w:pPr>
            <w:r w:rsidRPr="00735726">
              <w:rPr>
                <w:rFonts w:ascii="Arial" w:hAnsi="Arial" w:cs="Arial"/>
                <w:b/>
                <w:bCs/>
                <w:sz w:val="18"/>
                <w:szCs w:val="18"/>
              </w:rPr>
              <w:t xml:space="preserve">Driving environmental gains and </w:t>
            </w:r>
            <w:r w:rsidRPr="00735726">
              <w:rPr>
                <w:rFonts w:ascii="Arial" w:eastAsiaTheme="minorHAnsi" w:hAnsi="Arial" w:cs="Arial"/>
                <w:b/>
                <w:bCs/>
                <w:sz w:val="18"/>
                <w:szCs w:val="18"/>
              </w:rPr>
              <w:t>delivering Net Zero</w:t>
            </w:r>
          </w:p>
          <w:p w14:paraId="0D31FF81" w14:textId="55640AC5" w:rsidR="0016495A" w:rsidRPr="00735726" w:rsidRDefault="0016495A" w:rsidP="0016495A">
            <w:pPr>
              <w:rPr>
                <w:rFonts w:ascii="Arial" w:hAnsi="Arial" w:cs="Arial"/>
                <w:b/>
                <w:bCs/>
                <w:sz w:val="18"/>
                <w:szCs w:val="18"/>
              </w:rPr>
            </w:pPr>
            <w:r w:rsidRPr="00735726">
              <w:rPr>
                <w:rFonts w:ascii="Arial" w:hAnsi="Arial" w:cs="Arial"/>
                <w:b/>
                <w:bCs/>
                <w:sz w:val="18"/>
                <w:szCs w:val="18"/>
              </w:rPr>
              <w:t>Supporting affordability, delivering for customers</w:t>
            </w:r>
          </w:p>
        </w:tc>
      </w:tr>
      <w:tr w:rsidR="00D30526" w:rsidRPr="00735726" w14:paraId="4E0B2ABD" w14:textId="77777777" w:rsidTr="00507495">
        <w:tc>
          <w:tcPr>
            <w:tcW w:w="1413" w:type="dxa"/>
          </w:tcPr>
          <w:p w14:paraId="332CD86C" w14:textId="19B3ECA7" w:rsidR="00D30526" w:rsidRPr="00735726" w:rsidRDefault="00D30526" w:rsidP="005F193B">
            <w:pPr>
              <w:autoSpaceDE w:val="0"/>
              <w:autoSpaceDN w:val="0"/>
              <w:adjustRightInd w:val="0"/>
              <w:rPr>
                <w:rFonts w:ascii="Arial" w:hAnsi="Arial" w:cs="Arial"/>
                <w:sz w:val="18"/>
                <w:szCs w:val="18"/>
              </w:rPr>
            </w:pPr>
            <w:r w:rsidRPr="00735726">
              <w:rPr>
                <w:rFonts w:ascii="Arial" w:hAnsi="Arial" w:cs="Arial"/>
                <w:sz w:val="18"/>
                <w:szCs w:val="18"/>
              </w:rPr>
              <w:t>Ofwat delivery plan</w:t>
            </w:r>
          </w:p>
        </w:tc>
        <w:tc>
          <w:tcPr>
            <w:tcW w:w="3827" w:type="dxa"/>
          </w:tcPr>
          <w:p w14:paraId="076D0AE7" w14:textId="77777777" w:rsidR="00D30526" w:rsidRPr="00735726" w:rsidRDefault="00D30526" w:rsidP="00D30526">
            <w:pPr>
              <w:rPr>
                <w:rFonts w:ascii="Arial" w:hAnsi="Arial" w:cs="Arial"/>
                <w:sz w:val="18"/>
                <w:szCs w:val="18"/>
              </w:rPr>
            </w:pPr>
            <w:r w:rsidRPr="00735726">
              <w:rPr>
                <w:rFonts w:ascii="Arial" w:hAnsi="Arial" w:cs="Arial"/>
                <w:b/>
                <w:bCs/>
                <w:sz w:val="18"/>
                <w:szCs w:val="18"/>
              </w:rPr>
              <w:t xml:space="preserve">Our </w:t>
            </w:r>
            <w:proofErr w:type="gramStart"/>
            <w:r w:rsidRPr="00735726">
              <w:rPr>
                <w:rFonts w:ascii="Arial" w:hAnsi="Arial" w:cs="Arial"/>
                <w:b/>
                <w:bCs/>
                <w:sz w:val="18"/>
                <w:szCs w:val="18"/>
              </w:rPr>
              <w:t>Customers</w:t>
            </w:r>
            <w:proofErr w:type="gramEnd"/>
            <w:r w:rsidRPr="00735726">
              <w:rPr>
                <w:rFonts w:ascii="Arial" w:hAnsi="Arial" w:cs="Arial"/>
                <w:sz w:val="18"/>
                <w:szCs w:val="18"/>
              </w:rPr>
              <w:br/>
              <w:t xml:space="preserve">The Board considered the impact of the Company’s largest ever investment </w:t>
            </w:r>
            <w:r w:rsidRPr="00735726">
              <w:rPr>
                <w:rFonts w:ascii="Arial" w:hAnsi="Arial" w:cs="Arial"/>
                <w:sz w:val="18"/>
                <w:szCs w:val="18"/>
              </w:rPr>
              <w:lastRenderedPageBreak/>
              <w:t xml:space="preserve">programme against customer expectations and needs. </w:t>
            </w:r>
          </w:p>
          <w:p w14:paraId="5A776FFD" w14:textId="345F37A6" w:rsidR="00D30526" w:rsidRPr="00735726" w:rsidRDefault="00D30526" w:rsidP="00D30526">
            <w:pPr>
              <w:rPr>
                <w:rFonts w:ascii="Arial" w:hAnsi="Arial" w:cs="Arial"/>
                <w:b/>
                <w:bCs/>
                <w:sz w:val="18"/>
                <w:szCs w:val="18"/>
              </w:rPr>
            </w:pPr>
            <w:r w:rsidRPr="00735726">
              <w:rPr>
                <w:rFonts w:ascii="Arial" w:hAnsi="Arial" w:cs="Arial"/>
                <w:b/>
                <w:bCs/>
                <w:sz w:val="18"/>
                <w:szCs w:val="18"/>
              </w:rPr>
              <w:t>Our Regulators</w:t>
            </w:r>
            <w:r w:rsidRPr="00735726">
              <w:rPr>
                <w:rFonts w:ascii="Arial" w:hAnsi="Arial" w:cs="Arial"/>
                <w:b/>
                <w:bCs/>
                <w:sz w:val="18"/>
                <w:szCs w:val="18"/>
              </w:rPr>
              <w:br/>
            </w:r>
            <w:r w:rsidRPr="00735726">
              <w:rPr>
                <w:rFonts w:ascii="Arial" w:hAnsi="Arial" w:cs="Arial"/>
                <w:sz w:val="18"/>
                <w:szCs w:val="18"/>
              </w:rPr>
              <w:t>The Board carefully considered the expectations of our regulators in respect of the PR24 business plan and its delivery.</w:t>
            </w:r>
          </w:p>
        </w:tc>
        <w:tc>
          <w:tcPr>
            <w:tcW w:w="2075" w:type="dxa"/>
          </w:tcPr>
          <w:p w14:paraId="33102510" w14:textId="71FCC724" w:rsidR="00D30526" w:rsidRPr="00735726" w:rsidRDefault="00D30526" w:rsidP="00D30526">
            <w:pPr>
              <w:rPr>
                <w:rFonts w:ascii="Arial" w:hAnsi="Arial" w:cs="Arial"/>
                <w:sz w:val="18"/>
                <w:szCs w:val="18"/>
              </w:rPr>
            </w:pPr>
            <w:r w:rsidRPr="00735726">
              <w:rPr>
                <w:rFonts w:ascii="Arial" w:hAnsi="Arial" w:cs="Arial"/>
                <w:sz w:val="18"/>
                <w:szCs w:val="18"/>
              </w:rPr>
              <w:lastRenderedPageBreak/>
              <w:t>In August 2025, the Board approved the submission of the Ofwat delivery plan.</w:t>
            </w:r>
          </w:p>
        </w:tc>
        <w:tc>
          <w:tcPr>
            <w:tcW w:w="2075" w:type="dxa"/>
          </w:tcPr>
          <w:p w14:paraId="602886AE" w14:textId="77777777" w:rsidR="00D30526" w:rsidRPr="00735726" w:rsidRDefault="00D30526" w:rsidP="00D30526">
            <w:pPr>
              <w:rPr>
                <w:rFonts w:ascii="Arial" w:eastAsiaTheme="minorHAnsi" w:hAnsi="Arial" w:cs="Arial"/>
                <w:b/>
                <w:bCs/>
                <w:sz w:val="18"/>
                <w:szCs w:val="18"/>
              </w:rPr>
            </w:pPr>
            <w:r w:rsidRPr="00735726">
              <w:rPr>
                <w:rFonts w:ascii="Arial" w:hAnsi="Arial" w:cs="Arial"/>
                <w:b/>
                <w:bCs/>
                <w:sz w:val="18"/>
                <w:szCs w:val="18"/>
              </w:rPr>
              <w:t xml:space="preserve">Building water resources, </w:t>
            </w:r>
            <w:r w:rsidRPr="00735726">
              <w:rPr>
                <w:rFonts w:ascii="Arial" w:eastAsiaTheme="minorHAnsi" w:hAnsi="Arial" w:cs="Arial"/>
                <w:b/>
                <w:bCs/>
                <w:sz w:val="18"/>
                <w:szCs w:val="18"/>
              </w:rPr>
              <w:t>improving water quality</w:t>
            </w:r>
          </w:p>
          <w:p w14:paraId="0DC3A6E4" w14:textId="77777777" w:rsidR="00D30526" w:rsidRPr="00735726" w:rsidRDefault="00D30526" w:rsidP="00D30526">
            <w:pPr>
              <w:rPr>
                <w:rFonts w:ascii="Arial" w:eastAsiaTheme="minorHAnsi" w:hAnsi="Arial" w:cs="Arial"/>
                <w:b/>
                <w:bCs/>
                <w:sz w:val="18"/>
                <w:szCs w:val="18"/>
              </w:rPr>
            </w:pPr>
            <w:r w:rsidRPr="00735726">
              <w:rPr>
                <w:rFonts w:ascii="Arial" w:hAnsi="Arial" w:cs="Arial"/>
                <w:b/>
                <w:bCs/>
                <w:sz w:val="18"/>
                <w:szCs w:val="18"/>
              </w:rPr>
              <w:lastRenderedPageBreak/>
              <w:t xml:space="preserve">Tackling storm overflows and </w:t>
            </w:r>
            <w:r w:rsidRPr="00735726">
              <w:rPr>
                <w:rFonts w:ascii="Arial" w:eastAsiaTheme="minorHAnsi" w:hAnsi="Arial" w:cs="Arial"/>
                <w:b/>
                <w:bCs/>
                <w:sz w:val="18"/>
                <w:szCs w:val="18"/>
              </w:rPr>
              <w:t>pollutions</w:t>
            </w:r>
          </w:p>
          <w:p w14:paraId="25E63EF7" w14:textId="77777777" w:rsidR="00D30526" w:rsidRPr="00735726" w:rsidRDefault="00D30526" w:rsidP="00D30526">
            <w:pPr>
              <w:rPr>
                <w:rFonts w:ascii="Arial" w:eastAsiaTheme="minorHAnsi" w:hAnsi="Arial" w:cs="Arial"/>
                <w:b/>
                <w:bCs/>
                <w:sz w:val="18"/>
                <w:szCs w:val="18"/>
              </w:rPr>
            </w:pPr>
            <w:r w:rsidRPr="00735726">
              <w:rPr>
                <w:rFonts w:ascii="Arial" w:hAnsi="Arial" w:cs="Arial"/>
                <w:b/>
                <w:bCs/>
                <w:sz w:val="18"/>
                <w:szCs w:val="18"/>
              </w:rPr>
              <w:t xml:space="preserve">Driving environmental gains and </w:t>
            </w:r>
            <w:r w:rsidRPr="00735726">
              <w:rPr>
                <w:rFonts w:ascii="Arial" w:eastAsiaTheme="minorHAnsi" w:hAnsi="Arial" w:cs="Arial"/>
                <w:b/>
                <w:bCs/>
                <w:sz w:val="18"/>
                <w:szCs w:val="18"/>
              </w:rPr>
              <w:t>delivering Net Zero</w:t>
            </w:r>
          </w:p>
          <w:p w14:paraId="0D6A9CB9" w14:textId="0D0A3DCF" w:rsidR="00D30526" w:rsidRPr="00735726" w:rsidRDefault="00D30526" w:rsidP="00D30526">
            <w:pPr>
              <w:rPr>
                <w:rFonts w:ascii="Arial" w:hAnsi="Arial" w:cs="Arial"/>
                <w:b/>
                <w:bCs/>
                <w:sz w:val="18"/>
                <w:szCs w:val="18"/>
              </w:rPr>
            </w:pPr>
            <w:r w:rsidRPr="00735726">
              <w:rPr>
                <w:rFonts w:ascii="Arial" w:hAnsi="Arial" w:cs="Arial"/>
                <w:b/>
                <w:bCs/>
                <w:sz w:val="18"/>
                <w:szCs w:val="18"/>
              </w:rPr>
              <w:t>Supporting affordability, delivering for customers</w:t>
            </w:r>
          </w:p>
        </w:tc>
      </w:tr>
      <w:tr w:rsidR="006444C5" w:rsidRPr="00735726" w14:paraId="7E451748" w14:textId="77777777" w:rsidTr="00507495">
        <w:tc>
          <w:tcPr>
            <w:tcW w:w="1413" w:type="dxa"/>
          </w:tcPr>
          <w:p w14:paraId="37C730DC" w14:textId="2390FED6" w:rsidR="006444C5" w:rsidRPr="00735726" w:rsidRDefault="006444C5" w:rsidP="006444C5">
            <w:pPr>
              <w:autoSpaceDE w:val="0"/>
              <w:autoSpaceDN w:val="0"/>
              <w:adjustRightInd w:val="0"/>
              <w:rPr>
                <w:rFonts w:ascii="Arial" w:hAnsi="Arial" w:cs="Arial"/>
                <w:sz w:val="18"/>
                <w:szCs w:val="18"/>
              </w:rPr>
            </w:pPr>
            <w:r w:rsidRPr="00735726">
              <w:rPr>
                <w:rFonts w:ascii="Arial" w:hAnsi="Arial" w:cs="Arial"/>
                <w:sz w:val="18"/>
                <w:szCs w:val="18"/>
              </w:rPr>
              <w:lastRenderedPageBreak/>
              <w:t xml:space="preserve">Customer experience platform </w:t>
            </w:r>
            <w:r w:rsidR="006C1BA9" w:rsidRPr="00735726">
              <w:rPr>
                <w:rFonts w:ascii="Arial" w:hAnsi="Arial" w:cs="Arial"/>
                <w:sz w:val="18"/>
                <w:szCs w:val="18"/>
              </w:rPr>
              <w:t xml:space="preserve">- </w:t>
            </w:r>
            <w:r w:rsidRPr="00735726">
              <w:rPr>
                <w:rFonts w:ascii="Arial" w:hAnsi="Arial" w:cs="Arial"/>
                <w:sz w:val="18"/>
                <w:szCs w:val="18"/>
              </w:rPr>
              <w:t>Project Fusion</w:t>
            </w:r>
          </w:p>
        </w:tc>
        <w:tc>
          <w:tcPr>
            <w:tcW w:w="3827" w:type="dxa"/>
          </w:tcPr>
          <w:p w14:paraId="1DC0F246" w14:textId="29AE8BC9" w:rsidR="006444C5" w:rsidRPr="00735726" w:rsidRDefault="006444C5" w:rsidP="006444C5">
            <w:pPr>
              <w:rPr>
                <w:rFonts w:ascii="Arial" w:hAnsi="Arial" w:cs="Arial"/>
                <w:b/>
                <w:bCs/>
                <w:sz w:val="18"/>
                <w:szCs w:val="18"/>
              </w:rPr>
            </w:pPr>
            <w:r w:rsidRPr="00735726">
              <w:rPr>
                <w:rFonts w:ascii="Arial" w:hAnsi="Arial" w:cs="Arial"/>
                <w:b/>
                <w:bCs/>
                <w:sz w:val="18"/>
                <w:szCs w:val="18"/>
              </w:rPr>
              <w:t>Our People</w:t>
            </w:r>
            <w:r w:rsidRPr="00735726">
              <w:rPr>
                <w:rFonts w:ascii="Arial" w:hAnsi="Arial" w:cs="Arial"/>
                <w:b/>
                <w:bCs/>
                <w:sz w:val="18"/>
                <w:szCs w:val="18"/>
              </w:rPr>
              <w:br/>
            </w:r>
            <w:r w:rsidRPr="00735726">
              <w:rPr>
                <w:rFonts w:ascii="Arial" w:hAnsi="Arial" w:cs="Arial"/>
                <w:sz w:val="18"/>
                <w:szCs w:val="18"/>
              </w:rPr>
              <w:t>The Board considered the impact of the proposed customer experience platform on our colleagues and their experience at work.</w:t>
            </w:r>
          </w:p>
          <w:p w14:paraId="44733EF5" w14:textId="22365348" w:rsidR="006444C5" w:rsidRPr="00735726" w:rsidRDefault="006444C5" w:rsidP="006444C5">
            <w:pPr>
              <w:rPr>
                <w:rFonts w:ascii="Arial" w:hAnsi="Arial" w:cs="Arial"/>
                <w:b/>
                <w:bCs/>
                <w:sz w:val="18"/>
                <w:szCs w:val="18"/>
              </w:rPr>
            </w:pPr>
            <w:r w:rsidRPr="00735726">
              <w:rPr>
                <w:rFonts w:ascii="Arial" w:hAnsi="Arial" w:cs="Arial"/>
                <w:b/>
                <w:bCs/>
                <w:sz w:val="18"/>
                <w:szCs w:val="18"/>
              </w:rPr>
              <w:t xml:space="preserve">Our </w:t>
            </w:r>
            <w:proofErr w:type="gramStart"/>
            <w:r w:rsidRPr="00735726">
              <w:rPr>
                <w:rFonts w:ascii="Arial" w:hAnsi="Arial" w:cs="Arial"/>
                <w:b/>
                <w:bCs/>
                <w:sz w:val="18"/>
                <w:szCs w:val="18"/>
              </w:rPr>
              <w:t>Customers</w:t>
            </w:r>
            <w:proofErr w:type="gramEnd"/>
            <w:r w:rsidRPr="00735726">
              <w:rPr>
                <w:rFonts w:ascii="Arial" w:hAnsi="Arial" w:cs="Arial"/>
                <w:b/>
                <w:bCs/>
                <w:sz w:val="18"/>
                <w:szCs w:val="18"/>
              </w:rPr>
              <w:br/>
            </w:r>
            <w:r w:rsidRPr="00735726">
              <w:rPr>
                <w:rFonts w:ascii="Arial" w:hAnsi="Arial" w:cs="Arial"/>
                <w:sz w:val="18"/>
                <w:szCs w:val="18"/>
              </w:rPr>
              <w:t>The Board assessed the platform against customer experience and service quality.</w:t>
            </w:r>
          </w:p>
          <w:p w14:paraId="6FAA2848" w14:textId="0F7784F9" w:rsidR="006444C5" w:rsidRPr="00735726" w:rsidRDefault="006444C5" w:rsidP="006444C5">
            <w:pPr>
              <w:rPr>
                <w:rFonts w:ascii="Arial" w:hAnsi="Arial" w:cs="Arial"/>
                <w:b/>
                <w:bCs/>
                <w:sz w:val="18"/>
                <w:szCs w:val="18"/>
              </w:rPr>
            </w:pPr>
            <w:r w:rsidRPr="00735726">
              <w:rPr>
                <w:rFonts w:ascii="Arial" w:hAnsi="Arial" w:cs="Arial"/>
                <w:b/>
                <w:bCs/>
                <w:sz w:val="18"/>
                <w:szCs w:val="18"/>
              </w:rPr>
              <w:t>Our Regulators</w:t>
            </w:r>
            <w:r w:rsidRPr="00735726">
              <w:rPr>
                <w:rFonts w:ascii="Arial" w:hAnsi="Arial" w:cs="Arial"/>
                <w:b/>
                <w:bCs/>
                <w:sz w:val="18"/>
                <w:szCs w:val="18"/>
              </w:rPr>
              <w:br/>
            </w:r>
            <w:r w:rsidRPr="00735726">
              <w:rPr>
                <w:rFonts w:ascii="Arial" w:hAnsi="Arial" w:cs="Arial"/>
                <w:sz w:val="18"/>
                <w:szCs w:val="18"/>
              </w:rPr>
              <w:t xml:space="preserve">The Board carefully considered the expectations of our regulators in rolling out the new platform in particular </w:t>
            </w:r>
            <w:proofErr w:type="gramStart"/>
            <w:r w:rsidRPr="00735726">
              <w:rPr>
                <w:rFonts w:ascii="Arial" w:hAnsi="Arial" w:cs="Arial"/>
                <w:sz w:val="18"/>
                <w:szCs w:val="18"/>
              </w:rPr>
              <w:t>with regard to</w:t>
            </w:r>
            <w:proofErr w:type="gramEnd"/>
            <w:r w:rsidRPr="00735726">
              <w:rPr>
                <w:rFonts w:ascii="Arial" w:hAnsi="Arial" w:cs="Arial"/>
                <w:sz w:val="18"/>
                <w:szCs w:val="18"/>
              </w:rPr>
              <w:t xml:space="preserve"> transparency and customer commitments.</w:t>
            </w:r>
          </w:p>
        </w:tc>
        <w:tc>
          <w:tcPr>
            <w:tcW w:w="2075" w:type="dxa"/>
          </w:tcPr>
          <w:p w14:paraId="6DD8537B" w14:textId="1AF880B3" w:rsidR="006444C5" w:rsidRPr="00735726" w:rsidRDefault="006444C5" w:rsidP="006444C5">
            <w:pPr>
              <w:rPr>
                <w:rFonts w:ascii="Arial" w:hAnsi="Arial" w:cs="Arial"/>
                <w:sz w:val="18"/>
                <w:szCs w:val="18"/>
              </w:rPr>
            </w:pPr>
            <w:r w:rsidRPr="00735726">
              <w:rPr>
                <w:rFonts w:ascii="Arial" w:hAnsi="Arial" w:cs="Arial"/>
                <w:sz w:val="18"/>
                <w:szCs w:val="18"/>
              </w:rPr>
              <w:t>The Board approved the additional expenditure on Project Fusion.</w:t>
            </w:r>
          </w:p>
        </w:tc>
        <w:tc>
          <w:tcPr>
            <w:tcW w:w="2075" w:type="dxa"/>
          </w:tcPr>
          <w:p w14:paraId="515850A5" w14:textId="77777777" w:rsidR="006444C5" w:rsidRPr="00735726" w:rsidRDefault="006444C5" w:rsidP="006444C5">
            <w:pPr>
              <w:rPr>
                <w:rFonts w:ascii="Arial" w:eastAsiaTheme="minorHAnsi" w:hAnsi="Arial" w:cs="Arial"/>
                <w:b/>
                <w:bCs/>
                <w:sz w:val="18"/>
                <w:szCs w:val="18"/>
              </w:rPr>
            </w:pPr>
            <w:r w:rsidRPr="00735726">
              <w:rPr>
                <w:rFonts w:ascii="Arial" w:hAnsi="Arial" w:cs="Arial"/>
                <w:b/>
                <w:bCs/>
                <w:sz w:val="18"/>
                <w:szCs w:val="18"/>
              </w:rPr>
              <w:t xml:space="preserve">Building water resources, </w:t>
            </w:r>
            <w:r w:rsidRPr="00735726">
              <w:rPr>
                <w:rFonts w:ascii="Arial" w:eastAsiaTheme="minorHAnsi" w:hAnsi="Arial" w:cs="Arial"/>
                <w:b/>
                <w:bCs/>
                <w:sz w:val="18"/>
                <w:szCs w:val="18"/>
              </w:rPr>
              <w:t>improving water quality</w:t>
            </w:r>
          </w:p>
          <w:p w14:paraId="441AA49B" w14:textId="77777777" w:rsidR="006444C5" w:rsidRPr="00735726" w:rsidRDefault="006444C5" w:rsidP="006444C5">
            <w:pPr>
              <w:rPr>
                <w:rFonts w:ascii="Arial" w:eastAsiaTheme="minorHAnsi" w:hAnsi="Arial" w:cs="Arial"/>
                <w:b/>
                <w:bCs/>
                <w:sz w:val="18"/>
                <w:szCs w:val="18"/>
              </w:rPr>
            </w:pPr>
            <w:r w:rsidRPr="00735726">
              <w:rPr>
                <w:rFonts w:ascii="Arial" w:hAnsi="Arial" w:cs="Arial"/>
                <w:b/>
                <w:bCs/>
                <w:sz w:val="18"/>
                <w:szCs w:val="18"/>
              </w:rPr>
              <w:t xml:space="preserve">Tackling storm overflows and </w:t>
            </w:r>
            <w:r w:rsidRPr="00735726">
              <w:rPr>
                <w:rFonts w:ascii="Arial" w:eastAsiaTheme="minorHAnsi" w:hAnsi="Arial" w:cs="Arial"/>
                <w:b/>
                <w:bCs/>
                <w:sz w:val="18"/>
                <w:szCs w:val="18"/>
              </w:rPr>
              <w:t>pollutions</w:t>
            </w:r>
          </w:p>
          <w:p w14:paraId="4D299FE8" w14:textId="77777777" w:rsidR="006444C5" w:rsidRPr="00735726" w:rsidRDefault="006444C5" w:rsidP="006444C5">
            <w:pPr>
              <w:rPr>
                <w:rFonts w:ascii="Arial" w:eastAsiaTheme="minorHAnsi" w:hAnsi="Arial" w:cs="Arial"/>
                <w:b/>
                <w:bCs/>
                <w:sz w:val="18"/>
                <w:szCs w:val="18"/>
              </w:rPr>
            </w:pPr>
            <w:r w:rsidRPr="00735726">
              <w:rPr>
                <w:rFonts w:ascii="Arial" w:hAnsi="Arial" w:cs="Arial"/>
                <w:b/>
                <w:bCs/>
                <w:sz w:val="18"/>
                <w:szCs w:val="18"/>
              </w:rPr>
              <w:t xml:space="preserve">Driving environmental gains and </w:t>
            </w:r>
            <w:r w:rsidRPr="00735726">
              <w:rPr>
                <w:rFonts w:ascii="Arial" w:eastAsiaTheme="minorHAnsi" w:hAnsi="Arial" w:cs="Arial"/>
                <w:b/>
                <w:bCs/>
                <w:sz w:val="18"/>
                <w:szCs w:val="18"/>
              </w:rPr>
              <w:t>delivering Net Zero</w:t>
            </w:r>
          </w:p>
          <w:p w14:paraId="1F07834E" w14:textId="50E859B4" w:rsidR="006444C5" w:rsidRPr="00735726" w:rsidRDefault="006444C5" w:rsidP="006444C5">
            <w:pPr>
              <w:rPr>
                <w:rFonts w:ascii="Arial" w:hAnsi="Arial" w:cs="Arial"/>
                <w:b/>
                <w:bCs/>
                <w:sz w:val="18"/>
                <w:szCs w:val="18"/>
              </w:rPr>
            </w:pPr>
            <w:r w:rsidRPr="00735726">
              <w:rPr>
                <w:rFonts w:ascii="Arial" w:hAnsi="Arial" w:cs="Arial"/>
                <w:b/>
                <w:bCs/>
                <w:sz w:val="18"/>
                <w:szCs w:val="18"/>
              </w:rPr>
              <w:t>Supporting affordability, delivering for customers</w:t>
            </w:r>
          </w:p>
        </w:tc>
      </w:tr>
    </w:tbl>
    <w:p w14:paraId="56AC5E85" w14:textId="77777777" w:rsidR="004F030D" w:rsidRPr="009A2CAE" w:rsidRDefault="004F030D" w:rsidP="004F030D">
      <w:pPr>
        <w:pStyle w:val="AccountsHeading"/>
        <w:spacing w:line="240" w:lineRule="auto"/>
        <w:outlineLvl w:val="0"/>
      </w:pPr>
    </w:p>
    <w:p w14:paraId="2DB2FBA5" w14:textId="77777777" w:rsidR="004F030D" w:rsidRPr="009A2CAE" w:rsidRDefault="004F030D" w:rsidP="004F030D">
      <w:pPr>
        <w:spacing w:after="160" w:line="259" w:lineRule="auto"/>
        <w:rPr>
          <w:rFonts w:ascii="Arial" w:eastAsia="Times New Roman" w:hAnsi="Arial" w:cs="Arial"/>
          <w:b/>
          <w:bCs/>
          <w:caps/>
          <w:color w:val="000000"/>
          <w:sz w:val="18"/>
          <w:szCs w:val="18"/>
        </w:rPr>
      </w:pPr>
      <w:r w:rsidRPr="009A2CAE">
        <w:rPr>
          <w:rFonts w:ascii="Arial" w:eastAsia="Times New Roman" w:hAnsi="Arial" w:cs="Arial"/>
          <w:b/>
          <w:bCs/>
          <w:caps/>
          <w:color w:val="000000"/>
          <w:sz w:val="18"/>
          <w:szCs w:val="18"/>
        </w:rPr>
        <w:br w:type="page"/>
      </w:r>
    </w:p>
    <w:p w14:paraId="2952A9F9" w14:textId="2B4BFB3B" w:rsidR="004F030D" w:rsidRPr="00735726" w:rsidRDefault="004F030D" w:rsidP="004F030D">
      <w:pPr>
        <w:pStyle w:val="AccountsHeading"/>
        <w:spacing w:line="276" w:lineRule="auto"/>
      </w:pPr>
      <w:bookmarkStart w:id="32" w:name="_Hlk135210971"/>
      <w:r w:rsidRPr="00735726">
        <w:lastRenderedPageBreak/>
        <w:t>nomination COMMITTEE report</w:t>
      </w:r>
    </w:p>
    <w:bookmarkEnd w:id="32"/>
    <w:p w14:paraId="0384C1A9" w14:textId="24BA8840" w:rsidR="004F030D" w:rsidRPr="00735726" w:rsidRDefault="0019661E" w:rsidP="0019661E">
      <w:pPr>
        <w:pStyle w:val="AccountsHeading"/>
        <w:spacing w:line="276" w:lineRule="auto"/>
        <w:rPr>
          <w:rFonts w:eastAsiaTheme="minorHAnsi" w:cs="Arial"/>
          <w:caps w:val="0"/>
          <w:color w:val="auto"/>
          <w:sz w:val="18"/>
          <w:szCs w:val="18"/>
        </w:rPr>
      </w:pPr>
      <w:r w:rsidRPr="00735726">
        <w:rPr>
          <w:rFonts w:eastAsiaTheme="minorHAnsi" w:cs="Arial"/>
          <w:caps w:val="0"/>
          <w:color w:val="auto"/>
          <w:sz w:val="18"/>
          <w:szCs w:val="18"/>
        </w:rPr>
        <w:t xml:space="preserve">The Nomination Committee continues to play a pivotal role in shaping the Board’s long-term leadership, ensuring its composition remains aligned with </w:t>
      </w:r>
      <w:proofErr w:type="gramStart"/>
      <w:r w:rsidR="0039681F" w:rsidRPr="00735726">
        <w:rPr>
          <w:rFonts w:eastAsiaTheme="minorHAnsi" w:cs="Arial"/>
          <w:caps w:val="0"/>
          <w:color w:val="auto"/>
          <w:sz w:val="18"/>
          <w:szCs w:val="18"/>
        </w:rPr>
        <w:t>South West</w:t>
      </w:r>
      <w:proofErr w:type="gramEnd"/>
      <w:r w:rsidR="0039681F" w:rsidRPr="00735726">
        <w:rPr>
          <w:rFonts w:eastAsiaTheme="minorHAnsi" w:cs="Arial"/>
          <w:caps w:val="0"/>
          <w:color w:val="auto"/>
          <w:sz w:val="18"/>
          <w:szCs w:val="18"/>
        </w:rPr>
        <w:t xml:space="preserve"> Water’s</w:t>
      </w:r>
      <w:r w:rsidRPr="00735726">
        <w:rPr>
          <w:rFonts w:eastAsiaTheme="minorHAnsi" w:cs="Arial"/>
          <w:caps w:val="0"/>
          <w:color w:val="auto"/>
          <w:sz w:val="18"/>
          <w:szCs w:val="18"/>
        </w:rPr>
        <w:t xml:space="preserve"> strategic direction.</w:t>
      </w:r>
    </w:p>
    <w:p w14:paraId="3C504886" w14:textId="77777777" w:rsidR="0019661E" w:rsidRPr="009A2CAE" w:rsidRDefault="0019661E" w:rsidP="0019661E">
      <w:pPr>
        <w:pStyle w:val="AccountsHeading"/>
        <w:spacing w:line="276" w:lineRule="auto"/>
        <w:rPr>
          <w:rFonts w:eastAsiaTheme="minorHAnsi" w:cs="Arial"/>
          <w:caps w:val="0"/>
          <w:color w:val="auto"/>
          <w:sz w:val="18"/>
          <w:szCs w:val="1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2"/>
        <w:gridCol w:w="2260"/>
        <w:gridCol w:w="1139"/>
      </w:tblGrid>
      <w:tr w:rsidR="004F030D" w:rsidRPr="00735726" w14:paraId="0A6D0684" w14:textId="77777777" w:rsidTr="00881565">
        <w:trPr>
          <w:trHeight w:val="295"/>
          <w:tblHeader/>
        </w:trPr>
        <w:tc>
          <w:tcPr>
            <w:tcW w:w="3402"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170617E2" w14:textId="77777777" w:rsidR="004F030D" w:rsidRPr="00735726" w:rsidRDefault="004F030D" w:rsidP="00881565">
            <w:pPr>
              <w:pStyle w:val="03body"/>
              <w:spacing w:line="360" w:lineRule="auto"/>
              <w:rPr>
                <w:b/>
              </w:rPr>
            </w:pPr>
            <w:r w:rsidRPr="00735726">
              <w:rPr>
                <w:b/>
              </w:rPr>
              <w:t>Membership</w:t>
            </w:r>
          </w:p>
        </w:tc>
        <w:tc>
          <w:tcPr>
            <w:tcW w:w="2260"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5FCF0860" w14:textId="77777777" w:rsidR="004F030D" w:rsidRPr="00735726" w:rsidRDefault="004F030D" w:rsidP="00881565">
            <w:pPr>
              <w:pStyle w:val="03body"/>
              <w:spacing w:line="360" w:lineRule="auto"/>
              <w:rPr>
                <w:b/>
              </w:rPr>
            </w:pPr>
            <w:r w:rsidRPr="00735726">
              <w:rPr>
                <w:b/>
              </w:rPr>
              <w:t>Role</w:t>
            </w:r>
          </w:p>
        </w:tc>
        <w:tc>
          <w:tcPr>
            <w:tcW w:w="1139" w:type="dxa"/>
            <w:tcBorders>
              <w:top w:val="single" w:sz="4" w:space="0" w:color="auto"/>
              <w:left w:val="single" w:sz="4" w:space="0" w:color="auto"/>
              <w:bottom w:val="single" w:sz="4" w:space="0" w:color="auto"/>
              <w:right w:val="single" w:sz="4" w:space="0" w:color="auto"/>
            </w:tcBorders>
            <w:hideMark/>
          </w:tcPr>
          <w:p w14:paraId="24812B76" w14:textId="77777777" w:rsidR="004F030D" w:rsidRPr="00735726" w:rsidRDefault="004F030D" w:rsidP="00881565">
            <w:pPr>
              <w:pStyle w:val="03body"/>
              <w:spacing w:line="360" w:lineRule="auto"/>
              <w:rPr>
                <w:b/>
              </w:rPr>
            </w:pPr>
            <w:r w:rsidRPr="00735726">
              <w:rPr>
                <w:b/>
              </w:rPr>
              <w:t>Attendance</w:t>
            </w:r>
          </w:p>
        </w:tc>
      </w:tr>
      <w:tr w:rsidR="007F3912" w:rsidRPr="00735726" w14:paraId="5F36DC13"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hideMark/>
          </w:tcPr>
          <w:p w14:paraId="139FB5B8" w14:textId="12123981" w:rsidR="007F3912" w:rsidRPr="00735726" w:rsidRDefault="007F3912" w:rsidP="007F3912">
            <w:pPr>
              <w:pStyle w:val="03body"/>
              <w:spacing w:line="360" w:lineRule="auto"/>
              <w:rPr>
                <w:vertAlign w:val="superscript"/>
              </w:rPr>
            </w:pPr>
            <w:r w:rsidRPr="00735726">
              <w:rPr>
                <w:rFonts w:cs="Arial"/>
                <w:b/>
              </w:rPr>
              <w:t>David Sproul</w:t>
            </w:r>
          </w:p>
        </w:tc>
        <w:tc>
          <w:tcPr>
            <w:tcW w:w="2260" w:type="dxa"/>
            <w:tcBorders>
              <w:top w:val="single" w:sz="4" w:space="0" w:color="auto"/>
              <w:left w:val="single" w:sz="4" w:space="0" w:color="auto"/>
              <w:bottom w:val="single" w:sz="4" w:space="0" w:color="auto"/>
              <w:right w:val="single" w:sz="4" w:space="0" w:color="auto"/>
            </w:tcBorders>
            <w:hideMark/>
          </w:tcPr>
          <w:p w14:paraId="710B1D6C" w14:textId="77777777" w:rsidR="007F3912" w:rsidRPr="00735726" w:rsidRDefault="007F3912" w:rsidP="007F3912">
            <w:pPr>
              <w:pStyle w:val="03body"/>
              <w:spacing w:line="360" w:lineRule="auto"/>
            </w:pPr>
            <w:r w:rsidRPr="00735726">
              <w:t>Chair</w:t>
            </w:r>
          </w:p>
        </w:tc>
        <w:tc>
          <w:tcPr>
            <w:tcW w:w="1139" w:type="dxa"/>
            <w:tcBorders>
              <w:top w:val="single" w:sz="4" w:space="0" w:color="auto"/>
              <w:left w:val="single" w:sz="4" w:space="0" w:color="auto"/>
              <w:bottom w:val="single" w:sz="4" w:space="0" w:color="auto"/>
              <w:right w:val="single" w:sz="4" w:space="0" w:color="auto"/>
            </w:tcBorders>
            <w:hideMark/>
          </w:tcPr>
          <w:p w14:paraId="5274A04F" w14:textId="5372AA51" w:rsidR="007F3912" w:rsidRPr="00735726" w:rsidRDefault="0019661E" w:rsidP="007F3912">
            <w:pPr>
              <w:pStyle w:val="03body"/>
              <w:spacing w:line="360" w:lineRule="auto"/>
            </w:pPr>
            <w:r w:rsidRPr="00735726">
              <w:t>3/3</w:t>
            </w:r>
          </w:p>
        </w:tc>
      </w:tr>
      <w:tr w:rsidR="0019661E" w:rsidRPr="00735726" w14:paraId="4C762751"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tcPr>
          <w:p w14:paraId="769AF3AE" w14:textId="3B9D0694" w:rsidR="0019661E" w:rsidRPr="00735726" w:rsidRDefault="0019661E" w:rsidP="0019661E">
            <w:pPr>
              <w:pStyle w:val="03body"/>
              <w:spacing w:line="360" w:lineRule="auto"/>
              <w:rPr>
                <w:rFonts w:cs="Arial"/>
                <w:b/>
              </w:rPr>
            </w:pPr>
            <w:r w:rsidRPr="00735726">
              <w:rPr>
                <w:rFonts w:cs="Arial"/>
              </w:rPr>
              <w:t>Andrea Blance</w:t>
            </w:r>
            <w:r w:rsidRPr="00735726">
              <w:rPr>
                <w:rFonts w:cs="Arial"/>
                <w:vertAlign w:val="superscript"/>
              </w:rPr>
              <w:t>1</w:t>
            </w:r>
          </w:p>
        </w:tc>
        <w:tc>
          <w:tcPr>
            <w:tcW w:w="2260" w:type="dxa"/>
            <w:tcBorders>
              <w:top w:val="single" w:sz="4" w:space="0" w:color="auto"/>
              <w:left w:val="single" w:sz="4" w:space="0" w:color="auto"/>
              <w:bottom w:val="single" w:sz="4" w:space="0" w:color="auto"/>
              <w:right w:val="single" w:sz="4" w:space="0" w:color="auto"/>
            </w:tcBorders>
          </w:tcPr>
          <w:p w14:paraId="31835ADD" w14:textId="6B03E7EF" w:rsidR="0019661E" w:rsidRPr="00735726" w:rsidRDefault="0019661E" w:rsidP="0019661E">
            <w:pPr>
              <w:pStyle w:val="03body"/>
              <w:spacing w:line="360" w:lineRule="auto"/>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1741A57B" w14:textId="321D8222" w:rsidR="0019661E" w:rsidRPr="00735726" w:rsidRDefault="0019661E" w:rsidP="0019661E">
            <w:pPr>
              <w:pStyle w:val="03body"/>
              <w:spacing w:line="360" w:lineRule="auto"/>
            </w:pPr>
            <w:r w:rsidRPr="00735726">
              <w:t>3/3</w:t>
            </w:r>
          </w:p>
        </w:tc>
      </w:tr>
      <w:tr w:rsidR="0019661E" w:rsidRPr="00735726" w14:paraId="0EBCF83A"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tcPr>
          <w:p w14:paraId="4452607C" w14:textId="74D7EBC5" w:rsidR="0019661E" w:rsidRPr="00735726" w:rsidRDefault="0019661E" w:rsidP="0019661E">
            <w:pPr>
              <w:pStyle w:val="03body"/>
              <w:spacing w:line="360" w:lineRule="auto"/>
              <w:rPr>
                <w:rFonts w:cs="Arial"/>
              </w:rPr>
            </w:pPr>
            <w:r w:rsidRPr="00735726">
              <w:rPr>
                <w:rFonts w:cs="Arial"/>
              </w:rPr>
              <w:t>Iain Evans</w:t>
            </w:r>
            <w:r w:rsidRPr="00735726">
              <w:rPr>
                <w:rFonts w:cs="Arial"/>
                <w:vertAlign w:val="superscript"/>
              </w:rPr>
              <w:t>2</w:t>
            </w:r>
          </w:p>
        </w:tc>
        <w:tc>
          <w:tcPr>
            <w:tcW w:w="2260" w:type="dxa"/>
            <w:tcBorders>
              <w:top w:val="single" w:sz="4" w:space="0" w:color="auto"/>
              <w:left w:val="single" w:sz="4" w:space="0" w:color="auto"/>
              <w:bottom w:val="single" w:sz="4" w:space="0" w:color="auto"/>
              <w:right w:val="single" w:sz="4" w:space="0" w:color="auto"/>
            </w:tcBorders>
          </w:tcPr>
          <w:p w14:paraId="274C411A" w14:textId="5FD562AC" w:rsidR="0019661E" w:rsidRPr="00735726" w:rsidRDefault="0019661E" w:rsidP="0019661E">
            <w:pPr>
              <w:pStyle w:val="03body"/>
              <w:spacing w:line="360" w:lineRule="auto"/>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336A43EF" w14:textId="29723951" w:rsidR="0019661E" w:rsidRPr="00735726" w:rsidRDefault="0019661E" w:rsidP="0019661E">
            <w:pPr>
              <w:pStyle w:val="03body"/>
              <w:spacing w:line="360" w:lineRule="auto"/>
            </w:pPr>
            <w:r w:rsidRPr="00735726">
              <w:t>2/3</w:t>
            </w:r>
          </w:p>
        </w:tc>
      </w:tr>
      <w:tr w:rsidR="0019661E" w:rsidRPr="00735726" w14:paraId="1DBE677E"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tcPr>
          <w:p w14:paraId="66753C82" w14:textId="1F940E32" w:rsidR="0019661E" w:rsidRPr="00735726" w:rsidRDefault="0019661E" w:rsidP="0019661E">
            <w:pPr>
              <w:pStyle w:val="03body"/>
              <w:spacing w:line="360" w:lineRule="auto"/>
              <w:rPr>
                <w:rFonts w:cs="Arial"/>
              </w:rPr>
            </w:pPr>
            <w:r w:rsidRPr="00735726">
              <w:rPr>
                <w:rFonts w:cs="Arial"/>
              </w:rPr>
              <w:t>Jon Butterworth</w:t>
            </w:r>
          </w:p>
        </w:tc>
        <w:tc>
          <w:tcPr>
            <w:tcW w:w="2260" w:type="dxa"/>
            <w:tcBorders>
              <w:top w:val="single" w:sz="4" w:space="0" w:color="auto"/>
              <w:left w:val="single" w:sz="4" w:space="0" w:color="auto"/>
              <w:bottom w:val="single" w:sz="4" w:space="0" w:color="auto"/>
              <w:right w:val="single" w:sz="4" w:space="0" w:color="auto"/>
            </w:tcBorders>
          </w:tcPr>
          <w:p w14:paraId="3A9F22F0" w14:textId="0DF154E8" w:rsidR="0019661E" w:rsidRPr="00735726" w:rsidRDefault="0019661E" w:rsidP="0019661E">
            <w:pPr>
              <w:pStyle w:val="03body"/>
              <w:spacing w:line="360" w:lineRule="auto"/>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060C379E" w14:textId="53A5905C" w:rsidR="0019661E" w:rsidRPr="00735726" w:rsidRDefault="0019661E" w:rsidP="0019661E">
            <w:pPr>
              <w:pStyle w:val="03body"/>
              <w:spacing w:line="360" w:lineRule="auto"/>
            </w:pPr>
            <w:r w:rsidRPr="00735726">
              <w:t>3/3</w:t>
            </w:r>
          </w:p>
        </w:tc>
      </w:tr>
      <w:tr w:rsidR="0019661E" w:rsidRPr="00735726" w14:paraId="71635FEB"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tcPr>
          <w:p w14:paraId="4B96E249" w14:textId="50351749" w:rsidR="0019661E" w:rsidRPr="00735726" w:rsidRDefault="0019661E" w:rsidP="0019661E">
            <w:pPr>
              <w:pStyle w:val="03body"/>
              <w:spacing w:line="360" w:lineRule="auto"/>
              <w:rPr>
                <w:rFonts w:cs="Arial"/>
              </w:rPr>
            </w:pPr>
            <w:r w:rsidRPr="00735726">
              <w:rPr>
                <w:rFonts w:cs="Arial"/>
              </w:rPr>
              <w:t>Dorothy Burwell</w:t>
            </w:r>
          </w:p>
        </w:tc>
        <w:tc>
          <w:tcPr>
            <w:tcW w:w="2260" w:type="dxa"/>
            <w:tcBorders>
              <w:top w:val="single" w:sz="4" w:space="0" w:color="auto"/>
              <w:left w:val="single" w:sz="4" w:space="0" w:color="auto"/>
              <w:bottom w:val="single" w:sz="4" w:space="0" w:color="auto"/>
              <w:right w:val="single" w:sz="4" w:space="0" w:color="auto"/>
            </w:tcBorders>
          </w:tcPr>
          <w:p w14:paraId="7673EC13" w14:textId="1FCB35D8" w:rsidR="0019661E" w:rsidRPr="00735726" w:rsidRDefault="0019661E" w:rsidP="0019661E">
            <w:pPr>
              <w:pStyle w:val="03body"/>
              <w:spacing w:line="360" w:lineRule="auto"/>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583481C6" w14:textId="41B41275" w:rsidR="0019661E" w:rsidRPr="00735726" w:rsidRDefault="0019661E" w:rsidP="0019661E">
            <w:pPr>
              <w:pStyle w:val="03body"/>
              <w:spacing w:line="360" w:lineRule="auto"/>
            </w:pPr>
            <w:r w:rsidRPr="00735726">
              <w:t>3/3</w:t>
            </w:r>
          </w:p>
        </w:tc>
      </w:tr>
      <w:tr w:rsidR="0019661E" w:rsidRPr="00735726" w14:paraId="39C49362"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tcPr>
          <w:p w14:paraId="4486AFFF" w14:textId="3710CE0E" w:rsidR="0019661E" w:rsidRPr="00735726" w:rsidRDefault="0019661E" w:rsidP="0019661E">
            <w:pPr>
              <w:pStyle w:val="03body"/>
              <w:spacing w:line="360" w:lineRule="auto"/>
              <w:rPr>
                <w:rFonts w:cs="Arial"/>
              </w:rPr>
            </w:pPr>
            <w:r w:rsidRPr="00735726">
              <w:rPr>
                <w:rFonts w:cs="Arial"/>
              </w:rPr>
              <w:t>Loraine Woodhouse</w:t>
            </w:r>
          </w:p>
        </w:tc>
        <w:tc>
          <w:tcPr>
            <w:tcW w:w="2260" w:type="dxa"/>
            <w:tcBorders>
              <w:top w:val="single" w:sz="4" w:space="0" w:color="auto"/>
              <w:left w:val="single" w:sz="4" w:space="0" w:color="auto"/>
              <w:bottom w:val="single" w:sz="4" w:space="0" w:color="auto"/>
              <w:right w:val="single" w:sz="4" w:space="0" w:color="auto"/>
            </w:tcBorders>
          </w:tcPr>
          <w:p w14:paraId="7E1AAD5D" w14:textId="1ABDC302" w:rsidR="0019661E" w:rsidRPr="00735726" w:rsidRDefault="0019661E" w:rsidP="0019661E">
            <w:pPr>
              <w:pStyle w:val="03body"/>
              <w:spacing w:line="360" w:lineRule="auto"/>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6079BFEB" w14:textId="6EBA6DDC" w:rsidR="0019661E" w:rsidRPr="00735726" w:rsidRDefault="0019661E" w:rsidP="0019661E">
            <w:pPr>
              <w:pStyle w:val="03body"/>
              <w:spacing w:line="360" w:lineRule="auto"/>
            </w:pPr>
            <w:r w:rsidRPr="00735726">
              <w:t>3/3</w:t>
            </w:r>
          </w:p>
        </w:tc>
      </w:tr>
      <w:tr w:rsidR="0019661E" w:rsidRPr="00735726" w14:paraId="2CFDA430"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hideMark/>
          </w:tcPr>
          <w:p w14:paraId="56A5BBE3" w14:textId="4255E6CF" w:rsidR="0019661E" w:rsidRPr="00735726" w:rsidRDefault="0019661E" w:rsidP="0019661E">
            <w:pPr>
              <w:pStyle w:val="03body"/>
              <w:spacing w:line="360" w:lineRule="auto"/>
              <w:rPr>
                <w:vertAlign w:val="superscript"/>
              </w:rPr>
            </w:pPr>
            <w:r w:rsidRPr="00735726">
              <w:rPr>
                <w:rFonts w:cs="Arial"/>
              </w:rPr>
              <w:t>Sir Andrew Haines</w:t>
            </w:r>
            <w:r w:rsidRPr="00735726">
              <w:rPr>
                <w:rFonts w:cs="Arial"/>
                <w:vertAlign w:val="superscript"/>
              </w:rPr>
              <w:t>3</w:t>
            </w:r>
          </w:p>
        </w:tc>
        <w:tc>
          <w:tcPr>
            <w:tcW w:w="2260" w:type="dxa"/>
            <w:tcBorders>
              <w:top w:val="single" w:sz="4" w:space="0" w:color="auto"/>
              <w:left w:val="single" w:sz="4" w:space="0" w:color="auto"/>
              <w:bottom w:val="single" w:sz="4" w:space="0" w:color="auto"/>
              <w:right w:val="single" w:sz="4" w:space="0" w:color="auto"/>
            </w:tcBorders>
            <w:hideMark/>
          </w:tcPr>
          <w:p w14:paraId="2F25DE64" w14:textId="68108A29" w:rsidR="0019661E" w:rsidRPr="00735726" w:rsidRDefault="0019661E" w:rsidP="0019661E">
            <w:pPr>
              <w:pStyle w:val="03body"/>
              <w:spacing w:line="360" w:lineRule="auto"/>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5AD15D85" w14:textId="25A146F3" w:rsidR="0019661E" w:rsidRPr="00735726" w:rsidRDefault="0019661E" w:rsidP="0019661E">
            <w:pPr>
              <w:pStyle w:val="03body"/>
              <w:spacing w:line="360" w:lineRule="auto"/>
            </w:pPr>
            <w:r w:rsidRPr="00735726">
              <w:t>1/1</w:t>
            </w:r>
          </w:p>
        </w:tc>
      </w:tr>
    </w:tbl>
    <w:p w14:paraId="433948A5" w14:textId="6D109E68" w:rsidR="004F030D" w:rsidRPr="00735726" w:rsidRDefault="007F3912" w:rsidP="00646F4F">
      <w:pPr>
        <w:pStyle w:val="AccountsHeading"/>
        <w:numPr>
          <w:ilvl w:val="0"/>
          <w:numId w:val="42"/>
        </w:numPr>
        <w:spacing w:line="276" w:lineRule="auto"/>
        <w:rPr>
          <w:rFonts w:cs="DINOT-Light"/>
          <w:caps w:val="0"/>
          <w:sz w:val="14"/>
          <w:szCs w:val="14"/>
        </w:rPr>
      </w:pPr>
      <w:r w:rsidRPr="00735726">
        <w:rPr>
          <w:rFonts w:cs="DINOT-Light"/>
          <w:caps w:val="0"/>
          <w:sz w:val="14"/>
          <w:szCs w:val="14"/>
        </w:rPr>
        <w:t xml:space="preserve">Appointed </w:t>
      </w:r>
      <w:r w:rsidR="0019661E" w:rsidRPr="00735726">
        <w:rPr>
          <w:rFonts w:cs="DINOT-Light"/>
          <w:caps w:val="0"/>
          <w:sz w:val="14"/>
          <w:szCs w:val="14"/>
        </w:rPr>
        <w:t>8 April 2025</w:t>
      </w:r>
    </w:p>
    <w:p w14:paraId="23365FD3" w14:textId="1C4C5AA2" w:rsidR="007F3912" w:rsidRPr="00735726" w:rsidRDefault="007F3912" w:rsidP="00646F4F">
      <w:pPr>
        <w:pStyle w:val="AccountsHeading"/>
        <w:numPr>
          <w:ilvl w:val="0"/>
          <w:numId w:val="42"/>
        </w:numPr>
        <w:spacing w:line="276" w:lineRule="auto"/>
        <w:rPr>
          <w:rFonts w:cs="DINOT-Light"/>
          <w:caps w:val="0"/>
          <w:sz w:val="14"/>
          <w:szCs w:val="14"/>
        </w:rPr>
      </w:pPr>
      <w:r w:rsidRPr="00735726">
        <w:rPr>
          <w:rFonts w:cs="DINOT-Light"/>
          <w:caps w:val="0"/>
          <w:sz w:val="14"/>
          <w:szCs w:val="14"/>
        </w:rPr>
        <w:t xml:space="preserve">Resigned </w:t>
      </w:r>
      <w:r w:rsidR="0019661E" w:rsidRPr="00735726">
        <w:rPr>
          <w:rFonts w:cs="DINOT-Light"/>
          <w:caps w:val="0"/>
          <w:sz w:val="14"/>
          <w:szCs w:val="14"/>
        </w:rPr>
        <w:t>31 March 2026</w:t>
      </w:r>
    </w:p>
    <w:p w14:paraId="0F450890" w14:textId="670C9BC8" w:rsidR="007F3912" w:rsidRPr="00735726" w:rsidRDefault="0019661E" w:rsidP="00646F4F">
      <w:pPr>
        <w:pStyle w:val="AccountsHeading"/>
        <w:numPr>
          <w:ilvl w:val="0"/>
          <w:numId w:val="42"/>
        </w:numPr>
        <w:spacing w:line="276" w:lineRule="auto"/>
        <w:rPr>
          <w:rFonts w:cs="DINOT-Light"/>
          <w:caps w:val="0"/>
          <w:sz w:val="14"/>
          <w:szCs w:val="14"/>
        </w:rPr>
      </w:pPr>
      <w:r w:rsidRPr="00735726">
        <w:rPr>
          <w:rFonts w:cs="DINOT-Light"/>
          <w:caps w:val="0"/>
          <w:sz w:val="14"/>
          <w:szCs w:val="14"/>
        </w:rPr>
        <w:t>Appointed 1 November 2025</w:t>
      </w:r>
    </w:p>
    <w:p w14:paraId="07A4BFFB" w14:textId="77777777" w:rsidR="004F030D" w:rsidRPr="00735726" w:rsidRDefault="004F030D" w:rsidP="004F030D">
      <w:pPr>
        <w:pStyle w:val="AccountsHeading"/>
        <w:spacing w:line="276" w:lineRule="auto"/>
        <w:rPr>
          <w:rFonts w:cs="DINOT-Light"/>
          <w:b/>
          <w:bCs/>
          <w:caps w:val="0"/>
          <w:sz w:val="18"/>
          <w:szCs w:val="18"/>
          <w:vertAlign w:val="superscript"/>
        </w:rPr>
      </w:pPr>
    </w:p>
    <w:p w14:paraId="7DEE160C" w14:textId="77777777" w:rsidR="004A75EA" w:rsidRPr="00735726" w:rsidRDefault="004A75EA" w:rsidP="004A75EA">
      <w:pPr>
        <w:pStyle w:val="AccountsHeading"/>
        <w:spacing w:line="276" w:lineRule="auto"/>
        <w:rPr>
          <w:rFonts w:eastAsiaTheme="minorHAnsi" w:cs="Arial"/>
          <w:caps w:val="0"/>
          <w:color w:val="auto"/>
          <w:sz w:val="18"/>
          <w:szCs w:val="18"/>
        </w:rPr>
      </w:pPr>
      <w:r w:rsidRPr="00735726">
        <w:rPr>
          <w:rFonts w:eastAsiaTheme="minorHAnsi" w:cs="Arial"/>
          <w:caps w:val="0"/>
          <w:color w:val="auto"/>
          <w:sz w:val="18"/>
          <w:szCs w:val="18"/>
        </w:rPr>
        <w:t>Three additional Nomination Committee meetings were held during the year.</w:t>
      </w:r>
    </w:p>
    <w:p w14:paraId="4BD67908" w14:textId="77777777" w:rsidR="004A75EA" w:rsidRPr="009A2CAE" w:rsidRDefault="004A75EA" w:rsidP="004F030D">
      <w:pPr>
        <w:pStyle w:val="AccountsHeading"/>
        <w:spacing w:line="276" w:lineRule="auto"/>
        <w:rPr>
          <w:rFonts w:cs="DINOT-Light"/>
          <w:b/>
          <w:bCs/>
          <w:caps w:val="0"/>
          <w:sz w:val="18"/>
          <w:szCs w:val="18"/>
          <w:vertAlign w:val="superscript"/>
        </w:rPr>
      </w:pPr>
    </w:p>
    <w:p w14:paraId="7C3E2C2D" w14:textId="77777777" w:rsidR="002B48CB" w:rsidRPr="00735726" w:rsidRDefault="002B48CB" w:rsidP="002B48CB">
      <w:pPr>
        <w:rPr>
          <w:rFonts w:ascii="Arial" w:hAnsi="Arial" w:cs="Arial"/>
          <w:i/>
          <w:iCs/>
          <w:sz w:val="18"/>
          <w:szCs w:val="18"/>
        </w:rPr>
      </w:pPr>
      <w:r w:rsidRPr="00735726">
        <w:rPr>
          <w:rFonts w:ascii="Arial" w:hAnsi="Arial" w:cs="Arial"/>
          <w:i/>
          <w:iCs/>
          <w:sz w:val="18"/>
          <w:szCs w:val="18"/>
        </w:rPr>
        <w:t>ROLE OF THE NOMINATION COMMITTEE</w:t>
      </w:r>
    </w:p>
    <w:p w14:paraId="7831B574" w14:textId="77777777" w:rsidR="002B48CB" w:rsidRPr="00735726" w:rsidRDefault="002B48CB"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Regularly review the structure, size and composition (including skills, knowledge, independence, diversity and experience) required of the Board.</w:t>
      </w:r>
    </w:p>
    <w:p w14:paraId="260B0DC4" w14:textId="732DBCCA" w:rsidR="002B48CB" w:rsidRPr="00735726" w:rsidRDefault="002B48CB"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Consider succession planning for the Board and senior management, overseeing the development of a diverse pipeline.</w:t>
      </w:r>
    </w:p>
    <w:p w14:paraId="111BDDF7" w14:textId="77777777" w:rsidR="002B48CB" w:rsidRPr="00735726" w:rsidRDefault="002B48CB"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Identify and nominate candidates to fill Board vacancies.</w:t>
      </w:r>
    </w:p>
    <w:p w14:paraId="751F0453" w14:textId="77777777" w:rsidR="002B48CB" w:rsidRPr="00735726" w:rsidRDefault="002B48CB"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Assist in the annual Board evaluation process to assess performance and effectiveness of the Board and its Committees.</w:t>
      </w:r>
    </w:p>
    <w:p w14:paraId="41F5DBD0" w14:textId="77777777" w:rsidR="002B48CB" w:rsidRPr="00735726" w:rsidRDefault="002B48CB"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Evaluate the balance of skills, knowledge, independence, diversity and experience on the Board.</w:t>
      </w:r>
    </w:p>
    <w:p w14:paraId="0FFE978D" w14:textId="2F05BA31" w:rsidR="002B48CB" w:rsidRPr="00735726" w:rsidRDefault="002B48CB"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 xml:space="preserve">Review the leadership needs of the Company, both executive and </w:t>
      </w:r>
      <w:proofErr w:type="gramStart"/>
      <w:r w:rsidR="002522C6">
        <w:rPr>
          <w:rFonts w:ascii="Arial" w:hAnsi="Arial" w:cs="Arial"/>
          <w:sz w:val="18"/>
          <w:szCs w:val="18"/>
        </w:rPr>
        <w:t>N</w:t>
      </w:r>
      <w:r w:rsidRPr="00735726">
        <w:rPr>
          <w:rFonts w:ascii="Arial" w:hAnsi="Arial" w:cs="Arial"/>
          <w:sz w:val="18"/>
          <w:szCs w:val="18"/>
        </w:rPr>
        <w:t>on-</w:t>
      </w:r>
      <w:r w:rsidR="002522C6">
        <w:rPr>
          <w:rFonts w:ascii="Arial" w:hAnsi="Arial" w:cs="Arial"/>
          <w:sz w:val="18"/>
          <w:szCs w:val="18"/>
        </w:rPr>
        <w:t>E</w:t>
      </w:r>
      <w:r w:rsidRPr="00735726">
        <w:rPr>
          <w:rFonts w:ascii="Arial" w:hAnsi="Arial" w:cs="Arial"/>
          <w:sz w:val="18"/>
          <w:szCs w:val="18"/>
        </w:rPr>
        <w:t>xecutive</w:t>
      </w:r>
      <w:proofErr w:type="gramEnd"/>
      <w:r w:rsidRPr="00735726">
        <w:rPr>
          <w:rFonts w:ascii="Arial" w:hAnsi="Arial" w:cs="Arial"/>
          <w:sz w:val="18"/>
          <w:szCs w:val="18"/>
        </w:rPr>
        <w:t>, with a view to ensuring the continued success of the Company.</w:t>
      </w:r>
    </w:p>
    <w:p w14:paraId="3508BFA9" w14:textId="5F0D6977" w:rsidR="002B48CB" w:rsidRPr="00735726" w:rsidRDefault="002B48CB"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Review the Company’s policy on Diversity, Respect and Inclusion (see www.pennon-group.co.uk/about-us/governance-and-remuneration), including gender, and the progress against objectives.</w:t>
      </w:r>
    </w:p>
    <w:p w14:paraId="2BAD7C28" w14:textId="77777777" w:rsidR="002B48CB" w:rsidRPr="00735726" w:rsidRDefault="002B48CB"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Review membership of the Board Committees.</w:t>
      </w:r>
    </w:p>
    <w:p w14:paraId="50722121" w14:textId="016A3912" w:rsidR="00EC35D5" w:rsidRPr="00735726" w:rsidRDefault="00EC35D5" w:rsidP="00EC35D5">
      <w:pPr>
        <w:rPr>
          <w:rFonts w:ascii="Arial" w:hAnsi="Arial" w:cs="Arial"/>
          <w:i/>
          <w:iCs/>
          <w:sz w:val="18"/>
          <w:szCs w:val="18"/>
        </w:rPr>
      </w:pPr>
      <w:r w:rsidRPr="00735726">
        <w:rPr>
          <w:rFonts w:ascii="Arial" w:hAnsi="Arial" w:cs="Arial"/>
          <w:i/>
          <w:iCs/>
          <w:sz w:val="18"/>
          <w:szCs w:val="18"/>
        </w:rPr>
        <w:t>THE COMMITTEE’S FOCUS FOR 2025</w:t>
      </w:r>
      <w:r w:rsidR="002B48CB" w:rsidRPr="00735726">
        <w:rPr>
          <w:rFonts w:ascii="Arial" w:hAnsi="Arial" w:cs="Arial"/>
          <w:i/>
          <w:iCs/>
          <w:sz w:val="18"/>
          <w:szCs w:val="18"/>
        </w:rPr>
        <w:t>/26</w:t>
      </w:r>
    </w:p>
    <w:p w14:paraId="456DC4EF" w14:textId="77777777" w:rsidR="00EC35D5" w:rsidRPr="00735726" w:rsidRDefault="00EC35D5"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Ensured that the Board has the appropriate mix of skills, experience and diversity and oversaw the effectiveness of the Board’s succession plan.</w:t>
      </w:r>
    </w:p>
    <w:p w14:paraId="1F28DC6B" w14:textId="77777777" w:rsidR="00EC35D5" w:rsidRPr="00735726" w:rsidRDefault="00EC35D5"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Continuously reviewed the development and evolution of the Executive leadership team and succession planning.</w:t>
      </w:r>
    </w:p>
    <w:p w14:paraId="7D9CB54E" w14:textId="77777777" w:rsidR="00EC35D5" w:rsidRPr="00735726" w:rsidRDefault="00EC35D5"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Conducted the annual review of Board effectiveness and Board composition.</w:t>
      </w:r>
    </w:p>
    <w:p w14:paraId="12F9FDC2" w14:textId="1CF1E179" w:rsidR="002B48CB" w:rsidRPr="00735726" w:rsidRDefault="002B48CB"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Oversaw the recruitment and selection of a new C</w:t>
      </w:r>
      <w:r w:rsidR="009F7C25" w:rsidRPr="00735726">
        <w:rPr>
          <w:rFonts w:ascii="Arial" w:hAnsi="Arial" w:cs="Arial"/>
          <w:sz w:val="18"/>
          <w:szCs w:val="18"/>
        </w:rPr>
        <w:t xml:space="preserve">hief </w:t>
      </w:r>
      <w:r w:rsidRPr="00735726">
        <w:rPr>
          <w:rFonts w:ascii="Arial" w:hAnsi="Arial" w:cs="Arial"/>
          <w:sz w:val="18"/>
          <w:szCs w:val="18"/>
        </w:rPr>
        <w:t>E</w:t>
      </w:r>
      <w:r w:rsidR="009F7C25" w:rsidRPr="00735726">
        <w:rPr>
          <w:rFonts w:ascii="Arial" w:hAnsi="Arial" w:cs="Arial"/>
          <w:sz w:val="18"/>
          <w:szCs w:val="18"/>
        </w:rPr>
        <w:t xml:space="preserve">xecutive </w:t>
      </w:r>
      <w:r w:rsidRPr="00735726">
        <w:rPr>
          <w:rFonts w:ascii="Arial" w:hAnsi="Arial" w:cs="Arial"/>
          <w:sz w:val="18"/>
          <w:szCs w:val="18"/>
        </w:rPr>
        <w:t>O</w:t>
      </w:r>
      <w:r w:rsidR="009F7C25" w:rsidRPr="00735726">
        <w:rPr>
          <w:rFonts w:ascii="Arial" w:hAnsi="Arial" w:cs="Arial"/>
          <w:sz w:val="18"/>
          <w:szCs w:val="18"/>
        </w:rPr>
        <w:t>fficer</w:t>
      </w:r>
      <w:r w:rsidRPr="00735726">
        <w:rPr>
          <w:rFonts w:ascii="Arial" w:hAnsi="Arial" w:cs="Arial"/>
          <w:sz w:val="18"/>
          <w:szCs w:val="18"/>
        </w:rPr>
        <w:t xml:space="preserve">, Keith Haslett, who joined the Company in </w:t>
      </w:r>
      <w:r w:rsidR="007850CE" w:rsidRPr="00735726">
        <w:rPr>
          <w:rFonts w:ascii="Arial" w:hAnsi="Arial" w:cs="Arial"/>
          <w:sz w:val="18"/>
          <w:szCs w:val="18"/>
        </w:rPr>
        <w:t xml:space="preserve">May </w:t>
      </w:r>
      <w:r w:rsidRPr="00735726">
        <w:rPr>
          <w:rFonts w:ascii="Arial" w:hAnsi="Arial" w:cs="Arial"/>
          <w:sz w:val="18"/>
          <w:szCs w:val="18"/>
        </w:rPr>
        <w:t>2026.</w:t>
      </w:r>
    </w:p>
    <w:p w14:paraId="7FE479A0" w14:textId="370103C1" w:rsidR="00EC35D5" w:rsidRPr="00735726" w:rsidRDefault="00EC35D5" w:rsidP="00646F4F">
      <w:pPr>
        <w:pStyle w:val="ListParagraph"/>
        <w:numPr>
          <w:ilvl w:val="0"/>
          <w:numId w:val="53"/>
        </w:numPr>
        <w:spacing w:after="160"/>
        <w:rPr>
          <w:rFonts w:ascii="Arial" w:hAnsi="Arial" w:cs="Arial"/>
          <w:sz w:val="18"/>
          <w:szCs w:val="18"/>
        </w:rPr>
      </w:pPr>
      <w:r w:rsidRPr="00735726">
        <w:rPr>
          <w:rFonts w:ascii="Arial" w:hAnsi="Arial" w:cs="Arial"/>
          <w:sz w:val="18"/>
          <w:szCs w:val="18"/>
        </w:rPr>
        <w:t xml:space="preserve">Oversaw the annual review and approval of the Company policy on Diversity, Respect and Inclusion and the </w:t>
      </w:r>
      <w:r w:rsidR="00B24693" w:rsidRPr="00735726">
        <w:rPr>
          <w:rFonts w:ascii="Arial" w:hAnsi="Arial" w:cs="Arial"/>
          <w:sz w:val="18"/>
          <w:szCs w:val="18"/>
        </w:rPr>
        <w:t>Company’s</w:t>
      </w:r>
      <w:r w:rsidRPr="00735726">
        <w:rPr>
          <w:rFonts w:ascii="Arial" w:hAnsi="Arial" w:cs="Arial"/>
          <w:sz w:val="18"/>
          <w:szCs w:val="18"/>
        </w:rPr>
        <w:t xml:space="preserve"> progress on diversity in line with the Parker Review, including the outcome of the FTSE Women Leaders Review and the Company’s position on </w:t>
      </w:r>
      <w:r w:rsidR="002B48CB" w:rsidRPr="00735726">
        <w:rPr>
          <w:rFonts w:ascii="Arial" w:hAnsi="Arial" w:cs="Arial"/>
          <w:sz w:val="18"/>
          <w:szCs w:val="18"/>
        </w:rPr>
        <w:t>g</w:t>
      </w:r>
      <w:r w:rsidRPr="00735726">
        <w:rPr>
          <w:rFonts w:ascii="Arial" w:hAnsi="Arial" w:cs="Arial"/>
          <w:sz w:val="18"/>
          <w:szCs w:val="18"/>
        </w:rPr>
        <w:t xml:space="preserve">ender and </w:t>
      </w:r>
      <w:r w:rsidR="002B48CB" w:rsidRPr="00735726">
        <w:rPr>
          <w:rFonts w:ascii="Arial" w:hAnsi="Arial" w:cs="Arial"/>
          <w:sz w:val="18"/>
          <w:szCs w:val="18"/>
        </w:rPr>
        <w:t>e</w:t>
      </w:r>
      <w:r w:rsidRPr="00735726">
        <w:rPr>
          <w:rFonts w:ascii="Arial" w:hAnsi="Arial" w:cs="Arial"/>
          <w:sz w:val="18"/>
          <w:szCs w:val="18"/>
        </w:rPr>
        <w:t xml:space="preserve">thnicity </w:t>
      </w:r>
      <w:r w:rsidR="002B48CB" w:rsidRPr="00735726">
        <w:rPr>
          <w:rFonts w:ascii="Arial" w:hAnsi="Arial" w:cs="Arial"/>
          <w:sz w:val="18"/>
          <w:szCs w:val="18"/>
        </w:rPr>
        <w:t>p</w:t>
      </w:r>
      <w:r w:rsidRPr="00735726">
        <w:rPr>
          <w:rFonts w:ascii="Arial" w:hAnsi="Arial" w:cs="Arial"/>
          <w:sz w:val="18"/>
          <w:szCs w:val="18"/>
        </w:rPr>
        <w:t>ay.</w:t>
      </w:r>
    </w:p>
    <w:p w14:paraId="63F0AEE2" w14:textId="77777777" w:rsidR="0039681F" w:rsidRPr="009A2CAE" w:rsidRDefault="0039681F" w:rsidP="005A5668">
      <w:pPr>
        <w:spacing w:after="0"/>
        <w:rPr>
          <w:rFonts w:ascii="Arial" w:hAnsi="Arial" w:cs="Arial"/>
          <w:sz w:val="18"/>
          <w:szCs w:val="18"/>
        </w:rPr>
      </w:pPr>
    </w:p>
    <w:p w14:paraId="0082E8C4" w14:textId="77777777" w:rsidR="0039681F" w:rsidRPr="00735726" w:rsidRDefault="0039681F" w:rsidP="0039681F">
      <w:pPr>
        <w:spacing w:after="0"/>
        <w:rPr>
          <w:rFonts w:ascii="Arial" w:hAnsi="Arial" w:cs="Arial"/>
          <w:sz w:val="18"/>
          <w:szCs w:val="18"/>
        </w:rPr>
      </w:pPr>
      <w:r w:rsidRPr="00735726">
        <w:rPr>
          <w:rFonts w:ascii="Arial" w:hAnsi="Arial" w:cs="Arial"/>
          <w:sz w:val="18"/>
          <w:szCs w:val="18"/>
        </w:rPr>
        <w:t xml:space="preserve">Over the course of the year, the Committee has continued to focus on ensuring strong and sustainable leadership across the Board and Executive team and welcomed Andrea </w:t>
      </w:r>
      <w:proofErr w:type="spellStart"/>
      <w:r w:rsidRPr="00735726">
        <w:rPr>
          <w:rFonts w:ascii="Arial" w:hAnsi="Arial" w:cs="Arial"/>
          <w:sz w:val="18"/>
          <w:szCs w:val="18"/>
        </w:rPr>
        <w:t>Blance</w:t>
      </w:r>
      <w:proofErr w:type="spellEnd"/>
      <w:r w:rsidRPr="00735726">
        <w:rPr>
          <w:rFonts w:ascii="Arial" w:hAnsi="Arial" w:cs="Arial"/>
          <w:sz w:val="18"/>
          <w:szCs w:val="18"/>
        </w:rPr>
        <w:t xml:space="preserve"> who joined the Board on 8 April 2025. </w:t>
      </w:r>
    </w:p>
    <w:p w14:paraId="5C409CE7" w14:textId="77777777" w:rsidR="0039681F" w:rsidRPr="00735726" w:rsidRDefault="0039681F" w:rsidP="0039681F">
      <w:pPr>
        <w:spacing w:after="0"/>
        <w:rPr>
          <w:rFonts w:ascii="Arial" w:hAnsi="Arial" w:cs="Arial"/>
          <w:sz w:val="18"/>
          <w:szCs w:val="18"/>
        </w:rPr>
      </w:pPr>
    </w:p>
    <w:p w14:paraId="4932F353" w14:textId="76D5D6A0" w:rsidR="0039681F" w:rsidRPr="00735726" w:rsidRDefault="0039681F" w:rsidP="0039681F">
      <w:pPr>
        <w:spacing w:after="0"/>
        <w:rPr>
          <w:rFonts w:ascii="Arial" w:hAnsi="Arial" w:cs="Arial"/>
          <w:sz w:val="18"/>
          <w:szCs w:val="18"/>
        </w:rPr>
      </w:pPr>
      <w:r w:rsidRPr="00735726">
        <w:rPr>
          <w:rFonts w:ascii="Arial" w:hAnsi="Arial" w:cs="Arial"/>
          <w:sz w:val="18"/>
          <w:szCs w:val="18"/>
        </w:rPr>
        <w:t>As part of our ongoing succession planning and with the support of Heidrick and Struggles, we were delighted to</w:t>
      </w:r>
    </w:p>
    <w:p w14:paraId="18C564C2" w14:textId="49C6D470" w:rsidR="0039681F" w:rsidRPr="00735726" w:rsidRDefault="0039681F" w:rsidP="0039681F">
      <w:pPr>
        <w:spacing w:after="0"/>
        <w:rPr>
          <w:rFonts w:ascii="Arial" w:hAnsi="Arial" w:cs="Arial"/>
          <w:sz w:val="18"/>
          <w:szCs w:val="18"/>
        </w:rPr>
      </w:pPr>
      <w:r w:rsidRPr="00735726">
        <w:rPr>
          <w:rFonts w:ascii="Arial" w:hAnsi="Arial" w:cs="Arial"/>
          <w:sz w:val="18"/>
          <w:szCs w:val="18"/>
        </w:rPr>
        <w:t>welcome Sir Andrew Haines to the Board in November 2025, bringing with him extensive leadership experience</w:t>
      </w:r>
    </w:p>
    <w:p w14:paraId="3C3A0D4C" w14:textId="77777777" w:rsidR="0039681F" w:rsidRPr="00735726" w:rsidRDefault="0039681F" w:rsidP="0039681F">
      <w:pPr>
        <w:spacing w:after="0"/>
        <w:rPr>
          <w:rFonts w:ascii="Arial" w:hAnsi="Arial" w:cs="Arial"/>
          <w:sz w:val="18"/>
          <w:szCs w:val="18"/>
        </w:rPr>
      </w:pPr>
      <w:r w:rsidRPr="00735726">
        <w:rPr>
          <w:rFonts w:ascii="Arial" w:hAnsi="Arial" w:cs="Arial"/>
          <w:sz w:val="18"/>
          <w:szCs w:val="18"/>
        </w:rPr>
        <w:t>from across the UK’s transport and regulatory sectors, most recently as Chief Executive of Network Rail from</w:t>
      </w:r>
    </w:p>
    <w:p w14:paraId="415949C4" w14:textId="77777777" w:rsidR="0039681F" w:rsidRPr="00735726" w:rsidRDefault="0039681F" w:rsidP="0039681F">
      <w:pPr>
        <w:spacing w:after="0"/>
        <w:rPr>
          <w:rFonts w:ascii="Arial" w:hAnsi="Arial" w:cs="Arial"/>
          <w:sz w:val="18"/>
          <w:szCs w:val="18"/>
        </w:rPr>
      </w:pPr>
      <w:r w:rsidRPr="00735726">
        <w:rPr>
          <w:rFonts w:ascii="Arial" w:hAnsi="Arial" w:cs="Arial"/>
          <w:sz w:val="18"/>
          <w:szCs w:val="18"/>
        </w:rPr>
        <w:lastRenderedPageBreak/>
        <w:t xml:space="preserve">2018 to 2025. Sir Andrew’s appointment forms an important element of our planned transition as Iain Evans retired from the Board at the end of the financial year. We thank Iain for his wise counsel and significant contribution and wish him well for the future. </w:t>
      </w:r>
    </w:p>
    <w:p w14:paraId="6E61C319" w14:textId="77777777" w:rsidR="0039681F" w:rsidRPr="00735726" w:rsidRDefault="0039681F" w:rsidP="0039681F">
      <w:pPr>
        <w:spacing w:after="0"/>
        <w:rPr>
          <w:rFonts w:ascii="Arial" w:hAnsi="Arial" w:cs="Arial"/>
          <w:sz w:val="18"/>
          <w:szCs w:val="18"/>
        </w:rPr>
      </w:pPr>
    </w:p>
    <w:p w14:paraId="191D1B2C" w14:textId="0663AD09" w:rsidR="0039681F" w:rsidRPr="00735726" w:rsidRDefault="0039681F" w:rsidP="0039681F">
      <w:pPr>
        <w:spacing w:after="0"/>
        <w:rPr>
          <w:rFonts w:ascii="Arial" w:hAnsi="Arial" w:cs="Arial"/>
          <w:sz w:val="18"/>
          <w:szCs w:val="18"/>
        </w:rPr>
      </w:pPr>
      <w:r w:rsidRPr="00735726">
        <w:rPr>
          <w:rFonts w:ascii="Arial" w:hAnsi="Arial" w:cs="Arial"/>
          <w:sz w:val="18"/>
          <w:szCs w:val="18"/>
        </w:rPr>
        <w:t xml:space="preserve">The Committee has also devoted significant attention to ensuring a smooth and well-managed transition following Susan Davy’s decision to retire as Chief Executive Officer. We are pleased to have completed a comprehensive recruitment process (supported by Russell Reynolds) and to be welcoming Keith Haslett, who brings extensive industry experience and joined the Company </w:t>
      </w:r>
      <w:r w:rsidR="007850CE" w:rsidRPr="00735726">
        <w:rPr>
          <w:rFonts w:ascii="Arial" w:hAnsi="Arial" w:cs="Arial"/>
          <w:sz w:val="18"/>
          <w:szCs w:val="18"/>
        </w:rPr>
        <w:t>in May</w:t>
      </w:r>
      <w:r w:rsidRPr="00735726">
        <w:rPr>
          <w:rFonts w:ascii="Arial" w:hAnsi="Arial" w:cs="Arial"/>
          <w:sz w:val="18"/>
          <w:szCs w:val="18"/>
        </w:rPr>
        <w:t xml:space="preserve">. The Committee is confident that Keith’s leadership will support the continued delivery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strategic ambitions.</w:t>
      </w:r>
    </w:p>
    <w:p w14:paraId="038F29CE" w14:textId="77777777" w:rsidR="0039681F" w:rsidRPr="00735726" w:rsidRDefault="0039681F" w:rsidP="0039681F">
      <w:pPr>
        <w:spacing w:after="0"/>
        <w:rPr>
          <w:rFonts w:ascii="Arial" w:hAnsi="Arial" w:cs="Arial"/>
          <w:sz w:val="18"/>
          <w:szCs w:val="18"/>
        </w:rPr>
      </w:pPr>
    </w:p>
    <w:p w14:paraId="13D7C4FA" w14:textId="2B00B214" w:rsidR="0039681F" w:rsidRPr="00735726" w:rsidRDefault="0039681F" w:rsidP="0039681F">
      <w:pPr>
        <w:spacing w:after="0"/>
        <w:rPr>
          <w:rFonts w:ascii="Arial" w:hAnsi="Arial" w:cs="Arial"/>
          <w:sz w:val="18"/>
          <w:szCs w:val="18"/>
        </w:rPr>
      </w:pPr>
      <w:r w:rsidRPr="00735726">
        <w:rPr>
          <w:rFonts w:ascii="Arial" w:hAnsi="Arial" w:cs="Arial"/>
          <w:sz w:val="18"/>
          <w:szCs w:val="18"/>
        </w:rPr>
        <w:t xml:space="preserve">The Committee held three scheduled meetings during the year and held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ad-hoc meetings, in person and by Teams call, to fulfil the duties set out in its terms of reference.</w:t>
      </w:r>
    </w:p>
    <w:p w14:paraId="5F323227" w14:textId="77777777" w:rsidR="0039681F" w:rsidRPr="00735726" w:rsidRDefault="0039681F" w:rsidP="0039681F">
      <w:pPr>
        <w:spacing w:after="0"/>
        <w:rPr>
          <w:rFonts w:ascii="Arial" w:hAnsi="Arial" w:cs="Arial"/>
          <w:sz w:val="18"/>
          <w:szCs w:val="18"/>
        </w:rPr>
      </w:pPr>
    </w:p>
    <w:p w14:paraId="65128499" w14:textId="09B2E334" w:rsidR="0039681F" w:rsidRPr="00735726" w:rsidRDefault="0039681F" w:rsidP="0039681F">
      <w:pPr>
        <w:spacing w:after="0"/>
        <w:rPr>
          <w:rFonts w:ascii="Arial" w:hAnsi="Arial" w:cs="Arial"/>
          <w:sz w:val="18"/>
          <w:szCs w:val="18"/>
        </w:rPr>
      </w:pPr>
      <w:r w:rsidRPr="00735726">
        <w:rPr>
          <w:rFonts w:ascii="Arial" w:hAnsi="Arial" w:cs="Arial"/>
          <w:sz w:val="18"/>
          <w:szCs w:val="18"/>
        </w:rPr>
        <w:t>Committee meetings are attended by its members, with other senior leaders invited as appropriate. During the year, regular attendees included the Chief Executive Officer, the General Counsel and Company Secretary, and the Chief People Officer. Committee members do not take part in discussions relating to their own roles or succession.</w:t>
      </w:r>
    </w:p>
    <w:p w14:paraId="5EAC8963" w14:textId="77777777" w:rsidR="00EC35D5" w:rsidRPr="00735726" w:rsidRDefault="00EC35D5" w:rsidP="00EC35D5">
      <w:pPr>
        <w:spacing w:after="0"/>
        <w:rPr>
          <w:rFonts w:ascii="Arial" w:hAnsi="Arial" w:cs="Arial"/>
          <w:sz w:val="18"/>
          <w:szCs w:val="18"/>
        </w:rPr>
      </w:pPr>
    </w:p>
    <w:p w14:paraId="53CEADCC" w14:textId="77777777" w:rsidR="004F030D" w:rsidRPr="00735726" w:rsidRDefault="004F030D" w:rsidP="0024293B">
      <w:pPr>
        <w:pStyle w:val="Headinglevel4"/>
        <w:spacing w:line="276" w:lineRule="auto"/>
        <w:outlineLvl w:val="0"/>
      </w:pPr>
      <w:bookmarkStart w:id="33" w:name="_Hlk165460226"/>
      <w:bookmarkStart w:id="34" w:name="_Hlk135210983"/>
      <w:r w:rsidRPr="00735726">
        <w:t xml:space="preserve">Board diversity </w:t>
      </w:r>
    </w:p>
    <w:p w14:paraId="58C4F511" w14:textId="5669B99B" w:rsidR="00474D71" w:rsidRPr="00735726" w:rsidRDefault="00474D71" w:rsidP="00474D71">
      <w:pPr>
        <w:pStyle w:val="Headinglevel4"/>
        <w:spacing w:line="276" w:lineRule="auto"/>
        <w:outlineLvl w:val="0"/>
        <w:rPr>
          <w:rFonts w:eastAsiaTheme="minorHAnsi"/>
          <w:b w:val="0"/>
          <w:bCs w:val="0"/>
          <w:caps w:val="0"/>
          <w:color w:val="auto"/>
        </w:rPr>
      </w:pPr>
      <w:bookmarkStart w:id="35" w:name="_Hlk165460238"/>
      <w:bookmarkEnd w:id="33"/>
      <w:bookmarkEnd w:id="34"/>
      <w:r w:rsidRPr="00735726">
        <w:rPr>
          <w:rFonts w:eastAsiaTheme="minorHAnsi"/>
          <w:b w:val="0"/>
          <w:bCs w:val="0"/>
          <w:caps w:val="0"/>
          <w:color w:val="auto"/>
        </w:rPr>
        <w:t xml:space="preserve">Fostering a diverse and inclusive culture remains a core priority for </w:t>
      </w:r>
      <w:proofErr w:type="gramStart"/>
      <w:r w:rsidRPr="00735726">
        <w:rPr>
          <w:rFonts w:eastAsiaTheme="minorHAnsi"/>
          <w:b w:val="0"/>
          <w:bCs w:val="0"/>
          <w:caps w:val="0"/>
          <w:color w:val="auto"/>
        </w:rPr>
        <w:t>South West</w:t>
      </w:r>
      <w:proofErr w:type="gramEnd"/>
      <w:r w:rsidRPr="00735726">
        <w:rPr>
          <w:rFonts w:eastAsiaTheme="minorHAnsi"/>
          <w:b w:val="0"/>
          <w:bCs w:val="0"/>
          <w:caps w:val="0"/>
          <w:color w:val="auto"/>
        </w:rPr>
        <w:t xml:space="preserve"> Water. The Committee continues to monitor the Company’s progress in promoting diversity across gender, ethnicity and social mobility, regularly reviewing the composition of both our workforce and our leadership teams. We have seen how bringing together a broader range of perspectives has strengthened our culture, helping us to evolve into a more caring, considerate organisation with a strong focus on wellbeing.</w:t>
      </w:r>
    </w:p>
    <w:p w14:paraId="400D84DB" w14:textId="77777777" w:rsidR="00474D71" w:rsidRPr="00735726" w:rsidRDefault="00474D71" w:rsidP="00474D71">
      <w:pPr>
        <w:pStyle w:val="Headinglevel4"/>
        <w:spacing w:line="276" w:lineRule="auto"/>
        <w:outlineLvl w:val="0"/>
        <w:rPr>
          <w:rFonts w:eastAsiaTheme="minorHAnsi"/>
          <w:b w:val="0"/>
          <w:bCs w:val="0"/>
          <w:caps w:val="0"/>
          <w:color w:val="auto"/>
        </w:rPr>
      </w:pPr>
    </w:p>
    <w:p w14:paraId="502F2DF1" w14:textId="0C8D0FDE" w:rsidR="00474D71" w:rsidRPr="00735726" w:rsidRDefault="00474D71" w:rsidP="00474D71">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As of 31 March 2026, female representation on the Board stood at 50%. In the 2026 FTSE Women Leaders Report, our parent </w:t>
      </w:r>
      <w:r w:rsidR="003B36A4" w:rsidRPr="00735726">
        <w:rPr>
          <w:rFonts w:eastAsiaTheme="minorHAnsi"/>
          <w:b w:val="0"/>
          <w:bCs w:val="0"/>
          <w:caps w:val="0"/>
          <w:color w:val="auto"/>
        </w:rPr>
        <w:t>C</w:t>
      </w:r>
      <w:r w:rsidRPr="00735726">
        <w:rPr>
          <w:rFonts w:eastAsiaTheme="minorHAnsi"/>
          <w:b w:val="0"/>
          <w:bCs w:val="0"/>
          <w:caps w:val="0"/>
          <w:color w:val="auto"/>
        </w:rPr>
        <w:t>ompany, Pennon was ranked 1st in the FTSE 250 for female representation on boards, a significant achievement that reflects our continued commitment to diversity and inclusion. The report, independently conducted and supported by the Government, provides strong external validation of the progress we are making in advancing gender equality across the organisation. We are exceptionally proud of this recognition and the powerful message it sends to our female colleagues about the opportunities for leadership and progression within the Company.</w:t>
      </w:r>
    </w:p>
    <w:p w14:paraId="6952DD38" w14:textId="77777777" w:rsidR="00474D71" w:rsidRPr="00735726" w:rsidRDefault="00474D71" w:rsidP="00474D71">
      <w:pPr>
        <w:pStyle w:val="Headinglevel4"/>
        <w:spacing w:line="276" w:lineRule="auto"/>
        <w:outlineLvl w:val="0"/>
        <w:rPr>
          <w:rFonts w:eastAsiaTheme="minorHAnsi"/>
          <w:b w:val="0"/>
          <w:bCs w:val="0"/>
          <w:caps w:val="0"/>
          <w:color w:val="auto"/>
        </w:rPr>
      </w:pPr>
    </w:p>
    <w:p w14:paraId="1557E1A3" w14:textId="5DC7EF30" w:rsidR="00474D71" w:rsidRPr="00735726" w:rsidRDefault="00474D71" w:rsidP="00474D71">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The Company is an advocate of Sir John Parker’s review of ethnic board diversity, meeting the external targets required of a responsible and inclusive business ahead of the required dates. For the third-year running, in line with our commitment to the Change the Race Ratio campaign, we have also voluntarily published our ethnicity pay gap of </w:t>
      </w:r>
      <w:r w:rsidR="00382B94" w:rsidRPr="00735726">
        <w:rPr>
          <w:rFonts w:eastAsiaTheme="minorHAnsi"/>
          <w:b w:val="0"/>
          <w:bCs w:val="0"/>
          <w:caps w:val="0"/>
          <w:color w:val="auto"/>
        </w:rPr>
        <w:t>10.0</w:t>
      </w:r>
      <w:r w:rsidRPr="00735726">
        <w:rPr>
          <w:rFonts w:eastAsiaTheme="minorHAnsi"/>
          <w:b w:val="0"/>
          <w:bCs w:val="0"/>
          <w:caps w:val="0"/>
          <w:color w:val="auto"/>
        </w:rPr>
        <w:t>% (mean). The Committee will continue to monitor pay gaps. Building our representation across the Company is a focus, given the area we serve has lower representation than the national average, where ethnic representation is</w:t>
      </w:r>
      <w:r w:rsidR="00B36298" w:rsidRPr="00735726">
        <w:rPr>
          <w:rFonts w:eastAsiaTheme="minorHAnsi"/>
          <w:b w:val="0"/>
          <w:bCs w:val="0"/>
          <w:caps w:val="0"/>
          <w:color w:val="auto"/>
        </w:rPr>
        <w:t xml:space="preserve"> around 6</w:t>
      </w:r>
      <w:r w:rsidR="00CE39CC" w:rsidRPr="00735726">
        <w:rPr>
          <w:rFonts w:eastAsiaTheme="minorHAnsi"/>
          <w:b w:val="0"/>
          <w:bCs w:val="0"/>
          <w:caps w:val="0"/>
          <w:color w:val="auto"/>
        </w:rPr>
        <w:t>.0</w:t>
      </w:r>
      <w:r w:rsidR="00B36298" w:rsidRPr="00735726">
        <w:rPr>
          <w:rFonts w:eastAsiaTheme="minorHAnsi"/>
          <w:b w:val="0"/>
          <w:bCs w:val="0"/>
          <w:caps w:val="0"/>
          <w:color w:val="auto"/>
        </w:rPr>
        <w:t>%</w:t>
      </w:r>
      <w:r w:rsidRPr="00735726">
        <w:rPr>
          <w:rFonts w:eastAsiaTheme="minorHAnsi"/>
          <w:b w:val="0"/>
          <w:bCs w:val="0"/>
          <w:caps w:val="0"/>
          <w:color w:val="auto"/>
        </w:rPr>
        <w:t xml:space="preserve">. </w:t>
      </w:r>
      <w:r w:rsidR="009B2FA9" w:rsidRPr="00735726">
        <w:rPr>
          <w:rFonts w:eastAsiaTheme="minorEastAsia"/>
          <w:b w:val="0"/>
          <w:caps w:val="0"/>
          <w:color w:val="auto"/>
        </w:rPr>
        <w:t>Our Company ethnic diversity has reduced slightly in the year to 2.7% from 3</w:t>
      </w:r>
      <w:r w:rsidR="00CE39CC" w:rsidRPr="00735726">
        <w:rPr>
          <w:rFonts w:eastAsiaTheme="minorEastAsia"/>
          <w:b w:val="0"/>
          <w:caps w:val="0"/>
          <w:color w:val="auto"/>
        </w:rPr>
        <w:t>.0</w:t>
      </w:r>
      <w:r w:rsidR="009B2FA9" w:rsidRPr="00735726">
        <w:rPr>
          <w:rFonts w:eastAsiaTheme="minorEastAsia"/>
          <w:b w:val="0"/>
          <w:caps w:val="0"/>
          <w:color w:val="auto"/>
        </w:rPr>
        <w:t>%.</w:t>
      </w:r>
    </w:p>
    <w:p w14:paraId="7D60D6E2" w14:textId="77777777" w:rsidR="00474D71" w:rsidRPr="009A2CAE" w:rsidRDefault="00474D71" w:rsidP="00474D71">
      <w:pPr>
        <w:pStyle w:val="Headinglevel4"/>
        <w:spacing w:line="276" w:lineRule="auto"/>
        <w:outlineLvl w:val="0"/>
        <w:rPr>
          <w:rFonts w:eastAsiaTheme="minorHAnsi"/>
          <w:b w:val="0"/>
          <w:bCs w:val="0"/>
          <w:caps w:val="0"/>
          <w:color w:val="auto"/>
        </w:rPr>
      </w:pPr>
    </w:p>
    <w:p w14:paraId="51C4EB3D" w14:textId="6777E388" w:rsidR="004F030D" w:rsidRPr="00735726" w:rsidRDefault="004F030D" w:rsidP="00474D71">
      <w:pPr>
        <w:pStyle w:val="Headinglevel4"/>
        <w:spacing w:line="276" w:lineRule="auto"/>
        <w:outlineLvl w:val="0"/>
      </w:pPr>
      <w:r w:rsidRPr="00735726">
        <w:t>Board diversity, respect AND INCLUSION policy</w:t>
      </w:r>
    </w:p>
    <w:p w14:paraId="0A8170B5" w14:textId="55A4F409" w:rsidR="004F030D" w:rsidRPr="00735726" w:rsidRDefault="004F030D" w:rsidP="005A5668">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Board requires the Committee to review and monitor compliance with the Board’s diversity policy and report on the targets, achievement against those targets and overall compliance in the Annual Report each year. The policy was </w:t>
      </w:r>
      <w:r w:rsidR="00297665" w:rsidRPr="00735726">
        <w:rPr>
          <w:rFonts w:ascii="Arial" w:eastAsia="Times New Roman" w:hAnsi="Arial" w:cs="DINOT-Light"/>
          <w:color w:val="000000"/>
          <w:sz w:val="18"/>
          <w:szCs w:val="18"/>
        </w:rPr>
        <w:t xml:space="preserve">last </w:t>
      </w:r>
      <w:r w:rsidRPr="00735726">
        <w:rPr>
          <w:rFonts w:ascii="Arial" w:eastAsia="Times New Roman" w:hAnsi="Arial" w:cs="DINOT-Light"/>
          <w:color w:val="000000"/>
          <w:sz w:val="18"/>
          <w:szCs w:val="18"/>
        </w:rPr>
        <w:t>reviewed in March 202</w:t>
      </w:r>
      <w:r w:rsidR="00EC35D5" w:rsidRPr="00735726">
        <w:rPr>
          <w:rFonts w:ascii="Arial" w:eastAsia="Times New Roman" w:hAnsi="Arial" w:cs="DINOT-Light"/>
          <w:color w:val="000000"/>
          <w:sz w:val="18"/>
          <w:szCs w:val="18"/>
        </w:rPr>
        <w:t>5</w:t>
      </w:r>
      <w:r w:rsidRPr="00735726">
        <w:rPr>
          <w:rFonts w:ascii="Arial" w:eastAsia="Times New Roman" w:hAnsi="Arial" w:cs="DINOT-Light"/>
          <w:color w:val="000000"/>
          <w:sz w:val="18"/>
          <w:szCs w:val="18"/>
        </w:rPr>
        <w:t>.</w:t>
      </w:r>
    </w:p>
    <w:p w14:paraId="490F6AB3" w14:textId="77777777" w:rsidR="00297665" w:rsidRPr="00735726" w:rsidRDefault="00297665" w:rsidP="00297665">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Policy reaffirms the Board’s commitment to ensuring that all Board and senior leadership appointments are made on merit, assessed against objective criteria, and supported by a search process that actively promotes diversity of gender, social background and ethnicity. </w:t>
      </w:r>
    </w:p>
    <w:p w14:paraId="19E1ADBF" w14:textId="7DB0590F" w:rsidR="00297665" w:rsidRPr="00735726" w:rsidRDefault="004F030D" w:rsidP="00297665">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In </w:t>
      </w:r>
      <w:r w:rsidR="00297665" w:rsidRPr="00735726">
        <w:rPr>
          <w:rFonts w:ascii="Arial" w:eastAsia="Times New Roman" w:hAnsi="Arial" w:cs="DINOT-Light"/>
          <w:color w:val="000000"/>
          <w:sz w:val="18"/>
          <w:szCs w:val="18"/>
        </w:rPr>
        <w:t>line with this commitment,</w:t>
      </w:r>
      <w:r w:rsidRPr="00735726">
        <w:rPr>
          <w:rFonts w:ascii="Arial" w:eastAsia="Times New Roman" w:hAnsi="Arial" w:cs="DINOT-Light"/>
          <w:color w:val="000000"/>
          <w:sz w:val="18"/>
          <w:szCs w:val="18"/>
        </w:rPr>
        <w:t xml:space="preserve"> the Board </w:t>
      </w:r>
      <w:r w:rsidR="00297665" w:rsidRPr="00735726">
        <w:rPr>
          <w:rFonts w:ascii="Arial" w:eastAsia="Times New Roman" w:hAnsi="Arial" w:cs="DINOT-Light"/>
          <w:color w:val="000000"/>
          <w:sz w:val="18"/>
          <w:szCs w:val="18"/>
        </w:rPr>
        <w:t xml:space="preserve">continues to work towards </w:t>
      </w:r>
      <w:r w:rsidR="006C1BA9" w:rsidRPr="00735726">
        <w:rPr>
          <w:rFonts w:ascii="Arial" w:eastAsia="Times New Roman" w:hAnsi="Arial" w:cs="DINOT-Light"/>
          <w:color w:val="000000"/>
          <w:sz w:val="18"/>
          <w:szCs w:val="18"/>
        </w:rPr>
        <w:t xml:space="preserve">- </w:t>
      </w:r>
      <w:r w:rsidR="00297665" w:rsidRPr="00735726">
        <w:rPr>
          <w:rFonts w:ascii="Arial" w:eastAsia="Times New Roman" w:hAnsi="Arial" w:cs="DINOT-Light"/>
          <w:color w:val="000000"/>
          <w:sz w:val="18"/>
          <w:szCs w:val="18"/>
        </w:rPr>
        <w:t xml:space="preserve">and maintain </w:t>
      </w:r>
      <w:r w:rsidR="006C1BA9" w:rsidRPr="00735726">
        <w:rPr>
          <w:rFonts w:ascii="Arial" w:eastAsia="Times New Roman" w:hAnsi="Arial" w:cs="DINOT-Light"/>
          <w:color w:val="000000"/>
          <w:sz w:val="18"/>
          <w:szCs w:val="18"/>
        </w:rPr>
        <w:t xml:space="preserve">- </w:t>
      </w:r>
      <w:r w:rsidR="00297665" w:rsidRPr="00735726">
        <w:rPr>
          <w:rFonts w:ascii="Arial" w:eastAsia="Times New Roman" w:hAnsi="Arial" w:cs="DINOT-Light"/>
          <w:color w:val="000000"/>
          <w:sz w:val="18"/>
          <w:szCs w:val="18"/>
        </w:rPr>
        <w:t>the following targets:</w:t>
      </w:r>
    </w:p>
    <w:p w14:paraId="25C271EE" w14:textId="761A7D8E" w:rsidR="004F030D" w:rsidRPr="00735726" w:rsidRDefault="004F030D" w:rsidP="00297665">
      <w:pPr>
        <w:pStyle w:val="ListParagraph"/>
        <w:numPr>
          <w:ilvl w:val="1"/>
          <w:numId w:val="18"/>
        </w:num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A minimum of</w:t>
      </w:r>
      <w:r w:rsidR="009863AE"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33% female representation on the Board</w:t>
      </w:r>
    </w:p>
    <w:p w14:paraId="794AAD6C" w14:textId="290A92DC" w:rsidR="00AF1A22" w:rsidRPr="00735726" w:rsidRDefault="00AF1A22" w:rsidP="005A5668">
      <w:pPr>
        <w:pStyle w:val="ListParagraph"/>
        <w:numPr>
          <w:ilvl w:val="1"/>
          <w:numId w:val="18"/>
        </w:num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At least one racially or ethnically diverse Board member</w:t>
      </w:r>
    </w:p>
    <w:p w14:paraId="6B501423" w14:textId="77777777" w:rsidR="00AF1A22" w:rsidRPr="00735726" w:rsidRDefault="004F030D" w:rsidP="00AF1A22">
      <w:pPr>
        <w:pStyle w:val="ListParagraph"/>
        <w:numPr>
          <w:ilvl w:val="1"/>
          <w:numId w:val="18"/>
        </w:num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A minimum of 33% female representation on the Company’s senior management</w:t>
      </w:r>
      <w:bookmarkEnd w:id="35"/>
      <w:r w:rsidR="00AF1A22" w:rsidRPr="00735726">
        <w:rPr>
          <w:rFonts w:ascii="Arial" w:eastAsia="Times New Roman" w:hAnsi="Arial" w:cs="DINOT-Light"/>
          <w:color w:val="000000"/>
          <w:sz w:val="18"/>
          <w:szCs w:val="18"/>
        </w:rPr>
        <w:t xml:space="preserve"> level</w:t>
      </w:r>
    </w:p>
    <w:p w14:paraId="0C4E5642" w14:textId="2A0B46EE" w:rsidR="004F030D" w:rsidRPr="00735726" w:rsidRDefault="00AF1A22" w:rsidP="00AF1A22">
      <w:pPr>
        <w:pStyle w:val="ListParagraph"/>
        <w:numPr>
          <w:ilvl w:val="1"/>
          <w:numId w:val="18"/>
        </w:num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Assurance that succession planning for the Board and senior management delivers an appropriate balance of skills, experience and independence, while supporting the progressive refresh of the Board.</w:t>
      </w:r>
    </w:p>
    <w:p w14:paraId="6B02155E" w14:textId="77777777" w:rsidR="00AF1A22" w:rsidRPr="009A2CAE" w:rsidRDefault="00AF1A22" w:rsidP="00AF1A22">
      <w:pPr>
        <w:autoSpaceDE w:val="0"/>
        <w:autoSpaceDN w:val="0"/>
        <w:adjustRightInd w:val="0"/>
        <w:spacing w:after="0" w:line="240" w:lineRule="auto"/>
        <w:rPr>
          <w:rFonts w:ascii="Arial" w:eastAsia="Times New Roman" w:hAnsi="Arial" w:cs="DINOT-Light"/>
          <w:color w:val="000000"/>
          <w:sz w:val="18"/>
          <w:szCs w:val="18"/>
        </w:rPr>
      </w:pPr>
    </w:p>
    <w:p w14:paraId="7AFF587F" w14:textId="77777777" w:rsidR="00AF1A22" w:rsidRPr="009A2CAE" w:rsidRDefault="00AF1A22" w:rsidP="00AF1A22">
      <w:pPr>
        <w:autoSpaceDE w:val="0"/>
        <w:autoSpaceDN w:val="0"/>
        <w:adjustRightInd w:val="0"/>
        <w:spacing w:after="0" w:line="240" w:lineRule="auto"/>
        <w:rPr>
          <w:rFonts w:ascii="Arial" w:eastAsia="Times New Roman" w:hAnsi="Arial" w:cs="DINOT-Light"/>
          <w:color w:val="000000"/>
          <w:sz w:val="18"/>
          <w:szCs w:val="18"/>
        </w:rPr>
      </w:pPr>
    </w:p>
    <w:p w14:paraId="404A6644" w14:textId="7D0F7E2D" w:rsidR="00AF1A22" w:rsidRPr="00735726" w:rsidRDefault="004F030D" w:rsidP="00AF1A2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approach to Company-wide diversity is detailed on page </w:t>
      </w:r>
      <w:r w:rsidR="007943E2" w:rsidRPr="009A2CAE">
        <w:rPr>
          <w:rFonts w:ascii="Arial" w:eastAsia="Times New Roman" w:hAnsi="Arial" w:cs="DINOT-Light"/>
          <w:color w:val="000000"/>
          <w:sz w:val="18"/>
          <w:szCs w:val="18"/>
        </w:rPr>
        <w:t>154</w:t>
      </w:r>
      <w:r w:rsidRPr="009A2CAE">
        <w:rPr>
          <w:rFonts w:ascii="Arial" w:eastAsia="Times New Roman" w:hAnsi="Arial" w:cs="DINOT-Light"/>
          <w:color w:val="000000"/>
          <w:sz w:val="18"/>
          <w:szCs w:val="18"/>
        </w:rPr>
        <w:t xml:space="preserve"> </w:t>
      </w:r>
      <w:bookmarkStart w:id="36" w:name="_Hlk135211002"/>
      <w:r w:rsidR="00AF1A22" w:rsidRPr="00735726">
        <w:rPr>
          <w:rFonts w:ascii="Arial" w:eastAsia="Times New Roman" w:hAnsi="Arial" w:cs="DINOT-Light"/>
          <w:color w:val="000000"/>
          <w:sz w:val="18"/>
          <w:szCs w:val="18"/>
        </w:rPr>
        <w:t>applies equally to the Remuneration, Audit and Nomination Committees. As each Committee is composed of Board members, the principles and expectations of the Board’s Diversity, Respect and Inclusion Policy apply consistently across all three Committees. We can confirm that we currently exceed all Policy targets.</w:t>
      </w:r>
    </w:p>
    <w:p w14:paraId="16606E60" w14:textId="4C2D5C13" w:rsidR="00AF1A22" w:rsidRPr="00735726" w:rsidRDefault="00AF1A22" w:rsidP="00AF1A22">
      <w:pPr>
        <w:rPr>
          <w:rFonts w:ascii="Arial" w:eastAsia="Times New Roman" w:hAnsi="Arial" w:cs="DINOT-Light"/>
          <w:color w:val="000000"/>
          <w:sz w:val="18"/>
          <w:szCs w:val="18"/>
        </w:rPr>
      </w:pPr>
      <w:r w:rsidRPr="00735726">
        <w:rPr>
          <w:rFonts w:ascii="Arial" w:eastAsia="Times New Roman" w:hAnsi="Arial" w:cs="DINOT-Light"/>
          <w:color w:val="000000"/>
          <w:sz w:val="18"/>
          <w:szCs w:val="18"/>
        </w:rPr>
        <w:t>To support monitoring and statutory reporting, including FCA Diversity disclosures and our gender and ethnicity pay gap reporting, colleagues - including the Board and senior leadership - are invited to provide personal data relating to protected characteristics. This information is collected during recruitment and onboarding, with colleagues encouraged to review and update their data periodically. All information is held securely on the Company’s HR management systems and forms the basis of the reporting reflected in the table below. Participation remains entirely voluntary.</w:t>
      </w:r>
    </w:p>
    <w:p w14:paraId="55E2F2BD" w14:textId="3D330F99" w:rsidR="0002663E" w:rsidRPr="00735726" w:rsidRDefault="0002663E" w:rsidP="00AF1A22">
      <w:pPr>
        <w:rPr>
          <w:rFonts w:ascii="Arial" w:hAnsi="Arial" w:cs="Arial"/>
          <w:sz w:val="18"/>
          <w:szCs w:val="18"/>
        </w:rPr>
      </w:pPr>
      <w:r w:rsidRPr="00735726">
        <w:rPr>
          <w:rFonts w:ascii="Arial" w:hAnsi="Arial" w:cs="Arial"/>
          <w:b/>
          <w:bCs/>
          <w:sz w:val="18"/>
          <w:szCs w:val="18"/>
        </w:rPr>
        <w:t>FCA DIVERSITY DISCLOSURE TABLE</w:t>
      </w:r>
      <w:r w:rsidRPr="00735726">
        <w:rPr>
          <w:rFonts w:ascii="Arial" w:hAnsi="Arial" w:cs="Arial"/>
          <w:b/>
          <w:bCs/>
          <w:sz w:val="18"/>
          <w:szCs w:val="18"/>
        </w:rPr>
        <w:br/>
      </w:r>
      <w:r w:rsidRPr="00735726">
        <w:rPr>
          <w:rFonts w:ascii="Arial" w:hAnsi="Arial" w:cs="Arial"/>
          <w:sz w:val="18"/>
          <w:szCs w:val="18"/>
        </w:rPr>
        <w:t xml:space="preserve">The Committee is pleased to report against the FCA’s new diversity disclosure requirements, as set out in the table below. At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‘executive management’ is defined as the Executive Board. The figures in the table are stated as </w:t>
      </w:r>
      <w:proofErr w:type="gramStart"/>
      <w:r w:rsidRPr="00735726">
        <w:rPr>
          <w:rFonts w:ascii="Arial" w:hAnsi="Arial" w:cs="Arial"/>
          <w:sz w:val="18"/>
          <w:szCs w:val="18"/>
        </w:rPr>
        <w:t>at</w:t>
      </w:r>
      <w:proofErr w:type="gramEnd"/>
      <w:r w:rsidRPr="00735726">
        <w:rPr>
          <w:rFonts w:ascii="Arial" w:hAnsi="Arial" w:cs="Arial"/>
          <w:sz w:val="18"/>
          <w:szCs w:val="18"/>
        </w:rPr>
        <w:t xml:space="preserve"> 31 March 202</w:t>
      </w:r>
      <w:r w:rsidR="00AF1A22" w:rsidRPr="00735726">
        <w:rPr>
          <w:rFonts w:ascii="Arial" w:hAnsi="Arial" w:cs="Arial"/>
          <w:sz w:val="18"/>
          <w:szCs w:val="18"/>
        </w:rPr>
        <w:t>6</w:t>
      </w:r>
      <w:r w:rsidRPr="00735726">
        <w:rPr>
          <w:rFonts w:ascii="Arial" w:hAnsi="Arial" w:cs="Arial"/>
          <w:sz w:val="18"/>
          <w:szCs w:val="18"/>
        </w:rPr>
        <w:t xml:space="preserve"> and have been calculated based on diversity data provided upon employment.</w:t>
      </w:r>
    </w:p>
    <w:p w14:paraId="6F30A5DB" w14:textId="77777777" w:rsidR="004F030D" w:rsidRPr="00735726" w:rsidRDefault="004F030D" w:rsidP="005A5668">
      <w:pPr>
        <w:rPr>
          <w:rFonts w:cs="DINOT-Light"/>
          <w:b/>
          <w:bCs/>
          <w:caps/>
        </w:rPr>
      </w:pPr>
      <w:bookmarkStart w:id="37" w:name="_Hlk201053560"/>
      <w:r w:rsidRPr="00735726">
        <w:rPr>
          <w:rFonts w:ascii="Arial" w:eastAsia="Times New Roman" w:hAnsi="Arial" w:cs="Arial"/>
          <w:b/>
          <w:bCs/>
          <w:caps/>
          <w:color w:val="000000"/>
          <w:sz w:val="18"/>
          <w:szCs w:val="18"/>
        </w:rPr>
        <w:t>The ethnic Represantation of our Board and Leadership</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4F030D" w:rsidRPr="00735726" w14:paraId="5CF90C4D" w14:textId="77777777" w:rsidTr="0024293B">
        <w:tc>
          <w:tcPr>
            <w:tcW w:w="1838" w:type="dxa"/>
            <w:shd w:val="clear" w:color="auto" w:fill="002060"/>
          </w:tcPr>
          <w:p w14:paraId="3857A29E" w14:textId="77777777" w:rsidR="004F030D" w:rsidRPr="00735726" w:rsidRDefault="004F030D" w:rsidP="00881565">
            <w:pPr>
              <w:pStyle w:val="Headinglevel4"/>
              <w:spacing w:line="360" w:lineRule="auto"/>
              <w:outlineLvl w:val="0"/>
              <w:rPr>
                <w:color w:val="FFFFFF" w:themeColor="background1"/>
              </w:rPr>
            </w:pPr>
          </w:p>
        </w:tc>
        <w:tc>
          <w:tcPr>
            <w:tcW w:w="1166" w:type="dxa"/>
            <w:shd w:val="clear" w:color="auto" w:fill="002060"/>
          </w:tcPr>
          <w:p w14:paraId="15065C25" w14:textId="77777777" w:rsidR="004F030D" w:rsidRPr="00735726" w:rsidRDefault="004F030D" w:rsidP="00881565">
            <w:pPr>
              <w:pStyle w:val="Headinglevel4"/>
              <w:spacing w:line="360" w:lineRule="auto"/>
              <w:jc w:val="center"/>
              <w:outlineLvl w:val="0"/>
              <w:rPr>
                <w:rFonts w:cs="DINOT-Light"/>
                <w:caps w:val="0"/>
                <w:color w:val="FFFFFF" w:themeColor="background1"/>
              </w:rPr>
            </w:pPr>
            <w:r w:rsidRPr="00735726">
              <w:rPr>
                <w:rFonts w:cs="DINOT-Light"/>
                <w:caps w:val="0"/>
                <w:color w:val="FFFFFF" w:themeColor="background1"/>
              </w:rPr>
              <w:t>Number of Board Members</w:t>
            </w:r>
          </w:p>
        </w:tc>
        <w:tc>
          <w:tcPr>
            <w:tcW w:w="1503" w:type="dxa"/>
            <w:shd w:val="clear" w:color="auto" w:fill="002060"/>
          </w:tcPr>
          <w:p w14:paraId="3009BBA1" w14:textId="77777777" w:rsidR="004F030D" w:rsidRPr="00735726" w:rsidRDefault="004F030D" w:rsidP="00881565">
            <w:pPr>
              <w:pStyle w:val="Headinglevel4"/>
              <w:spacing w:line="360" w:lineRule="auto"/>
              <w:outlineLvl w:val="0"/>
              <w:rPr>
                <w:rFonts w:cs="DINOT-Light"/>
                <w:caps w:val="0"/>
                <w:color w:val="FFFFFF" w:themeColor="background1"/>
              </w:rPr>
            </w:pPr>
            <w:r w:rsidRPr="00735726">
              <w:rPr>
                <w:rFonts w:cs="DINOT-Light"/>
                <w:caps w:val="0"/>
                <w:color w:val="FFFFFF" w:themeColor="background1"/>
              </w:rPr>
              <w:t>% of the Board</w:t>
            </w:r>
          </w:p>
        </w:tc>
        <w:tc>
          <w:tcPr>
            <w:tcW w:w="1503" w:type="dxa"/>
            <w:shd w:val="clear" w:color="auto" w:fill="002060"/>
          </w:tcPr>
          <w:p w14:paraId="006FCE35" w14:textId="77777777" w:rsidR="004F030D" w:rsidRPr="00735726" w:rsidRDefault="004F030D" w:rsidP="00881565">
            <w:pPr>
              <w:pStyle w:val="Headinglevel4"/>
              <w:spacing w:line="360" w:lineRule="auto"/>
              <w:outlineLvl w:val="0"/>
              <w:rPr>
                <w:rFonts w:cs="DINOT-Light"/>
                <w:caps w:val="0"/>
                <w:color w:val="FFFFFF" w:themeColor="background1"/>
              </w:rPr>
            </w:pPr>
            <w:r w:rsidRPr="00735726">
              <w:rPr>
                <w:rFonts w:cs="DINOT-Light"/>
                <w:caps w:val="0"/>
                <w:color w:val="FFFFFF" w:themeColor="background1"/>
              </w:rPr>
              <w:t>Number of senior</w:t>
            </w:r>
            <w:r w:rsidRPr="00735726">
              <w:rPr>
                <w:rFonts w:cs="DINOT-Light"/>
                <w:caps w:val="0"/>
                <w:color w:val="FFFFFF" w:themeColor="background1"/>
              </w:rPr>
              <w:br/>
              <w:t>Board positions (CEO, CFO, SID, Chair)</w:t>
            </w:r>
          </w:p>
        </w:tc>
        <w:tc>
          <w:tcPr>
            <w:tcW w:w="1503" w:type="dxa"/>
            <w:shd w:val="clear" w:color="auto" w:fill="002060"/>
          </w:tcPr>
          <w:p w14:paraId="5C467C01" w14:textId="77777777" w:rsidR="004F030D" w:rsidRPr="00735726" w:rsidRDefault="004F030D" w:rsidP="00881565">
            <w:pPr>
              <w:pStyle w:val="Headinglevel4"/>
              <w:spacing w:line="360" w:lineRule="auto"/>
              <w:outlineLvl w:val="0"/>
              <w:rPr>
                <w:rFonts w:cs="DINOT-Light"/>
                <w:caps w:val="0"/>
                <w:color w:val="FFFFFF" w:themeColor="background1"/>
              </w:rPr>
            </w:pPr>
            <w:r w:rsidRPr="00735726">
              <w:rPr>
                <w:rFonts w:cs="DINOT-Light"/>
                <w:caps w:val="0"/>
                <w:color w:val="FFFFFF" w:themeColor="background1"/>
              </w:rPr>
              <w:t>Number in executive management</w:t>
            </w:r>
          </w:p>
        </w:tc>
        <w:tc>
          <w:tcPr>
            <w:tcW w:w="1503" w:type="dxa"/>
            <w:shd w:val="clear" w:color="auto" w:fill="002060"/>
          </w:tcPr>
          <w:p w14:paraId="17100769" w14:textId="77777777" w:rsidR="004F030D" w:rsidRPr="00735726" w:rsidRDefault="004F030D" w:rsidP="00881565">
            <w:pPr>
              <w:pStyle w:val="Headinglevel4"/>
              <w:spacing w:line="360" w:lineRule="auto"/>
              <w:outlineLvl w:val="0"/>
              <w:rPr>
                <w:rFonts w:cs="DINOT-Light"/>
                <w:caps w:val="0"/>
                <w:color w:val="FFFFFF" w:themeColor="background1"/>
              </w:rPr>
            </w:pPr>
            <w:r w:rsidRPr="00735726">
              <w:rPr>
                <w:rFonts w:cs="DINOT-Light"/>
                <w:caps w:val="0"/>
                <w:color w:val="FFFFFF" w:themeColor="background1"/>
              </w:rPr>
              <w:t>% of executive management</w:t>
            </w:r>
          </w:p>
        </w:tc>
      </w:tr>
      <w:tr w:rsidR="00AF1A22" w:rsidRPr="00735726" w14:paraId="48A7374D" w14:textId="77777777" w:rsidTr="0024293B">
        <w:tc>
          <w:tcPr>
            <w:tcW w:w="1838" w:type="dxa"/>
          </w:tcPr>
          <w:p w14:paraId="5959D8E9" w14:textId="77777777" w:rsidR="00AF1A22" w:rsidRPr="00735726" w:rsidRDefault="00AF1A22" w:rsidP="00AF1A22">
            <w:pPr>
              <w:pStyle w:val="Headinglevel4"/>
              <w:spacing w:line="360" w:lineRule="auto"/>
              <w:outlineLvl w:val="0"/>
              <w:rPr>
                <w:rFonts w:cs="DINOT-Light"/>
                <w:b w:val="0"/>
                <w:bCs w:val="0"/>
                <w:caps w:val="0"/>
              </w:rPr>
            </w:pPr>
            <w:r w:rsidRPr="00735726">
              <w:rPr>
                <w:rFonts w:cs="DINOT-Light"/>
                <w:b w:val="0"/>
                <w:bCs w:val="0"/>
                <w:caps w:val="0"/>
              </w:rPr>
              <w:t>White, British or other White (incl. minority white groups)</w:t>
            </w:r>
          </w:p>
        </w:tc>
        <w:tc>
          <w:tcPr>
            <w:tcW w:w="1166" w:type="dxa"/>
          </w:tcPr>
          <w:p w14:paraId="66E354E8" w14:textId="7D512DAA" w:rsidR="00AF1A22" w:rsidRPr="00735726" w:rsidRDefault="00F035A4" w:rsidP="00AF1A22">
            <w:pPr>
              <w:pStyle w:val="Headinglevel4"/>
              <w:spacing w:line="360" w:lineRule="auto"/>
              <w:outlineLvl w:val="0"/>
              <w:rPr>
                <w:rFonts w:cs="DINOT-Light"/>
                <w:b w:val="0"/>
                <w:bCs w:val="0"/>
                <w:caps w:val="0"/>
              </w:rPr>
            </w:pPr>
            <w:r w:rsidRPr="00735726">
              <w:rPr>
                <w:rFonts w:cs="DINOT-Light"/>
                <w:b w:val="0"/>
                <w:bCs w:val="0"/>
                <w:caps w:val="0"/>
              </w:rPr>
              <w:t>7</w:t>
            </w:r>
          </w:p>
        </w:tc>
        <w:tc>
          <w:tcPr>
            <w:tcW w:w="1503" w:type="dxa"/>
          </w:tcPr>
          <w:p w14:paraId="3A3D488F" w14:textId="0C314B6C" w:rsidR="00AF1A22" w:rsidRPr="00735726" w:rsidRDefault="00F035A4" w:rsidP="00AF1A22">
            <w:pPr>
              <w:pStyle w:val="Headinglevel4"/>
              <w:spacing w:line="360" w:lineRule="auto"/>
              <w:outlineLvl w:val="0"/>
              <w:rPr>
                <w:rFonts w:cs="DINOT-Light"/>
                <w:b w:val="0"/>
                <w:bCs w:val="0"/>
                <w:caps w:val="0"/>
              </w:rPr>
            </w:pPr>
            <w:r w:rsidRPr="00735726">
              <w:rPr>
                <w:rFonts w:cs="DINOT-Light"/>
                <w:b w:val="0"/>
                <w:bCs w:val="0"/>
                <w:caps w:val="0"/>
              </w:rPr>
              <w:t>87.5%</w:t>
            </w:r>
          </w:p>
        </w:tc>
        <w:tc>
          <w:tcPr>
            <w:tcW w:w="1503" w:type="dxa"/>
          </w:tcPr>
          <w:p w14:paraId="5C156E97" w14:textId="38F1F016" w:rsidR="00AF1A22" w:rsidRPr="00735726" w:rsidRDefault="007411D4" w:rsidP="00AF1A22">
            <w:pPr>
              <w:pStyle w:val="Headinglevel4"/>
              <w:spacing w:line="360" w:lineRule="auto"/>
              <w:outlineLvl w:val="0"/>
              <w:rPr>
                <w:rFonts w:cs="DINOT-Light"/>
                <w:b w:val="0"/>
                <w:bCs w:val="0"/>
                <w:caps w:val="0"/>
              </w:rPr>
            </w:pPr>
            <w:r w:rsidRPr="00735726">
              <w:rPr>
                <w:rFonts w:cs="DINOT-Light"/>
                <w:b w:val="0"/>
                <w:bCs w:val="0"/>
                <w:caps w:val="0"/>
              </w:rPr>
              <w:t>3</w:t>
            </w:r>
          </w:p>
        </w:tc>
        <w:tc>
          <w:tcPr>
            <w:tcW w:w="1503" w:type="dxa"/>
          </w:tcPr>
          <w:p w14:paraId="3D406C20" w14:textId="34945036" w:rsidR="00AF1A22" w:rsidRPr="00735726" w:rsidRDefault="007411D4" w:rsidP="00AF1A22">
            <w:pPr>
              <w:pStyle w:val="Headinglevel4"/>
              <w:spacing w:line="360" w:lineRule="auto"/>
              <w:outlineLvl w:val="0"/>
              <w:rPr>
                <w:rFonts w:cs="DINOT-Light"/>
                <w:b w:val="0"/>
                <w:bCs w:val="0"/>
                <w:caps w:val="0"/>
              </w:rPr>
            </w:pPr>
            <w:r w:rsidRPr="00735726">
              <w:rPr>
                <w:rFonts w:cs="DINOT-Light"/>
                <w:b w:val="0"/>
                <w:bCs w:val="0"/>
                <w:caps w:val="0"/>
              </w:rPr>
              <w:t>9</w:t>
            </w:r>
          </w:p>
        </w:tc>
        <w:tc>
          <w:tcPr>
            <w:tcW w:w="1503" w:type="dxa"/>
          </w:tcPr>
          <w:p w14:paraId="6B80D639" w14:textId="5D61BBC1" w:rsidR="00AF1A22" w:rsidRPr="00735726" w:rsidRDefault="00F035A4" w:rsidP="00AF1A22">
            <w:pPr>
              <w:pStyle w:val="Headinglevel4"/>
              <w:spacing w:line="360" w:lineRule="auto"/>
              <w:outlineLvl w:val="0"/>
              <w:rPr>
                <w:rFonts w:cs="DINOT-Light"/>
                <w:b w:val="0"/>
                <w:bCs w:val="0"/>
                <w:caps w:val="0"/>
              </w:rPr>
            </w:pPr>
            <w:r w:rsidRPr="00735726">
              <w:rPr>
                <w:rFonts w:cs="DINOT-Light"/>
                <w:b w:val="0"/>
                <w:bCs w:val="0"/>
                <w:caps w:val="0"/>
              </w:rPr>
              <w:t>100%</w:t>
            </w:r>
          </w:p>
        </w:tc>
      </w:tr>
      <w:tr w:rsidR="00F035A4" w:rsidRPr="00735726" w14:paraId="4D455297" w14:textId="77777777" w:rsidTr="0024293B">
        <w:tc>
          <w:tcPr>
            <w:tcW w:w="1838" w:type="dxa"/>
          </w:tcPr>
          <w:p w14:paraId="520162B5" w14:textId="77777777"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Mixed / multiple Ethnic Groups</w:t>
            </w:r>
          </w:p>
        </w:tc>
        <w:tc>
          <w:tcPr>
            <w:tcW w:w="1166" w:type="dxa"/>
          </w:tcPr>
          <w:p w14:paraId="1A349C83" w14:textId="293B782E"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6F651080" w14:textId="2BECB750"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1336E036" w14:textId="63A1C627"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3B4425B3" w14:textId="49949BFD"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406712B4" w14:textId="37DB7739"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r>
      <w:tr w:rsidR="00F035A4" w:rsidRPr="00735726" w14:paraId="0CD4F48A" w14:textId="77777777" w:rsidTr="0024293B">
        <w:tc>
          <w:tcPr>
            <w:tcW w:w="1838" w:type="dxa"/>
          </w:tcPr>
          <w:p w14:paraId="777E4477" w14:textId="77777777"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Asian / Asian British</w:t>
            </w:r>
          </w:p>
        </w:tc>
        <w:tc>
          <w:tcPr>
            <w:tcW w:w="1166" w:type="dxa"/>
          </w:tcPr>
          <w:p w14:paraId="421592B9" w14:textId="2BDCF2A6"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50AAA909" w14:textId="6B32251F"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3E239257" w14:textId="1ACC7A85"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75B1E5CD" w14:textId="289D4AEC"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44C9CD47" w14:textId="4929F832"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r>
      <w:tr w:rsidR="00F035A4" w:rsidRPr="00735726" w14:paraId="1B13E6E4" w14:textId="77777777" w:rsidTr="0024293B">
        <w:tc>
          <w:tcPr>
            <w:tcW w:w="1838" w:type="dxa"/>
          </w:tcPr>
          <w:p w14:paraId="60B5FA25" w14:textId="77777777"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Black / African / Caribbean / Black British</w:t>
            </w:r>
          </w:p>
        </w:tc>
        <w:tc>
          <w:tcPr>
            <w:tcW w:w="1166" w:type="dxa"/>
          </w:tcPr>
          <w:p w14:paraId="404A3722" w14:textId="0A379FFF"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1</w:t>
            </w:r>
          </w:p>
        </w:tc>
        <w:tc>
          <w:tcPr>
            <w:tcW w:w="1503" w:type="dxa"/>
          </w:tcPr>
          <w:p w14:paraId="7A31D715" w14:textId="6FA20444"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12.5%</w:t>
            </w:r>
          </w:p>
        </w:tc>
        <w:tc>
          <w:tcPr>
            <w:tcW w:w="1503" w:type="dxa"/>
          </w:tcPr>
          <w:p w14:paraId="6515489F" w14:textId="58F051B9"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7C8FEFAC" w14:textId="58E71CA1"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38EA999D" w14:textId="6DA09B9E"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r>
      <w:tr w:rsidR="00F035A4" w:rsidRPr="00735726" w14:paraId="0E39E9FC" w14:textId="77777777" w:rsidTr="0024293B">
        <w:tc>
          <w:tcPr>
            <w:tcW w:w="1838" w:type="dxa"/>
          </w:tcPr>
          <w:p w14:paraId="658D7DE9" w14:textId="77777777" w:rsidR="00F035A4" w:rsidRPr="00735726" w:rsidRDefault="00F035A4" w:rsidP="00F035A4">
            <w:pPr>
              <w:pStyle w:val="Headinglevel4"/>
              <w:spacing w:line="360" w:lineRule="auto"/>
              <w:outlineLvl w:val="0"/>
              <w:rPr>
                <w:rFonts w:cs="DINOT-Light"/>
                <w:b w:val="0"/>
                <w:bCs w:val="0"/>
                <w:caps w:val="0"/>
              </w:rPr>
            </w:pPr>
            <w:proofErr w:type="gramStart"/>
            <w:r w:rsidRPr="00735726">
              <w:rPr>
                <w:rFonts w:cs="DINOT-Light"/>
                <w:b w:val="0"/>
                <w:bCs w:val="0"/>
                <w:caps w:val="0"/>
              </w:rPr>
              <w:t>Other</w:t>
            </w:r>
            <w:proofErr w:type="gramEnd"/>
            <w:r w:rsidRPr="00735726">
              <w:rPr>
                <w:rFonts w:cs="DINOT-Light"/>
                <w:b w:val="0"/>
                <w:bCs w:val="0"/>
                <w:caps w:val="0"/>
              </w:rPr>
              <w:t xml:space="preserve"> ethnic group including Arab</w:t>
            </w:r>
          </w:p>
        </w:tc>
        <w:tc>
          <w:tcPr>
            <w:tcW w:w="1166" w:type="dxa"/>
          </w:tcPr>
          <w:p w14:paraId="00243F9F" w14:textId="1F756AF6"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09A9606D" w14:textId="5EE875CB"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41E4E8C6" w14:textId="2D68660D"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05C2DE79" w14:textId="4990CA7A"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1FDD7764" w14:textId="31D04729"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r>
      <w:tr w:rsidR="00F035A4" w:rsidRPr="00735726" w14:paraId="0F799427" w14:textId="77777777" w:rsidTr="0024293B">
        <w:tc>
          <w:tcPr>
            <w:tcW w:w="1838" w:type="dxa"/>
          </w:tcPr>
          <w:p w14:paraId="5ED213EE" w14:textId="638A3C6D"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Not specified / prefer not to disclose</w:t>
            </w:r>
          </w:p>
        </w:tc>
        <w:tc>
          <w:tcPr>
            <w:tcW w:w="1166" w:type="dxa"/>
          </w:tcPr>
          <w:p w14:paraId="3C5371D2" w14:textId="52877D0B"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68424F64" w14:textId="58F4C100"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52ECA1D1" w14:textId="740B2F43"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5B08BDBE" w14:textId="70677FC6"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c>
          <w:tcPr>
            <w:tcW w:w="1503" w:type="dxa"/>
          </w:tcPr>
          <w:p w14:paraId="796414A9" w14:textId="1CB8E2D8"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w:t>
            </w:r>
          </w:p>
        </w:tc>
      </w:tr>
    </w:tbl>
    <w:p w14:paraId="46356047" w14:textId="77777777" w:rsidR="004F030D" w:rsidRPr="009A2CAE" w:rsidRDefault="004F030D" w:rsidP="004F030D">
      <w:pPr>
        <w:pStyle w:val="Headinglevel4"/>
        <w:spacing w:line="360" w:lineRule="auto"/>
        <w:outlineLvl w:val="0"/>
      </w:pPr>
    </w:p>
    <w:p w14:paraId="4B4AB55C" w14:textId="77777777" w:rsidR="00057D91" w:rsidRPr="00735726" w:rsidRDefault="00057D91" w:rsidP="00C45B83">
      <w:pPr>
        <w:spacing w:after="160" w:line="259" w:lineRule="auto"/>
        <w:rPr>
          <w:rFonts w:ascii="Arial" w:eastAsia="Times New Roman" w:hAnsi="Arial" w:cs="Arial"/>
          <w:b/>
          <w:bCs/>
          <w:caps/>
          <w:color w:val="000000"/>
          <w:sz w:val="18"/>
          <w:szCs w:val="18"/>
        </w:rPr>
      </w:pPr>
    </w:p>
    <w:p w14:paraId="717741D5" w14:textId="77777777" w:rsidR="00057D91" w:rsidRPr="00735726" w:rsidRDefault="00057D91" w:rsidP="00C45B83">
      <w:pPr>
        <w:spacing w:after="160" w:line="259" w:lineRule="auto"/>
        <w:rPr>
          <w:rFonts w:ascii="Arial" w:eastAsia="Times New Roman" w:hAnsi="Arial" w:cs="Arial"/>
          <w:b/>
          <w:bCs/>
          <w:caps/>
          <w:color w:val="000000"/>
          <w:sz w:val="18"/>
          <w:szCs w:val="18"/>
        </w:rPr>
      </w:pPr>
    </w:p>
    <w:p w14:paraId="1CCC0D55" w14:textId="77777777" w:rsidR="00057D91" w:rsidRPr="00735726" w:rsidRDefault="00057D91" w:rsidP="00C45B83">
      <w:pPr>
        <w:spacing w:after="160" w:line="259" w:lineRule="auto"/>
        <w:rPr>
          <w:rFonts w:ascii="Arial" w:eastAsia="Times New Roman" w:hAnsi="Arial" w:cs="Arial"/>
          <w:b/>
          <w:bCs/>
          <w:caps/>
          <w:color w:val="000000"/>
          <w:sz w:val="18"/>
          <w:szCs w:val="18"/>
        </w:rPr>
      </w:pPr>
    </w:p>
    <w:p w14:paraId="23B9EC1B" w14:textId="77777777" w:rsidR="00057D91" w:rsidRPr="00735726" w:rsidRDefault="00057D91" w:rsidP="00C45B83">
      <w:pPr>
        <w:spacing w:after="160" w:line="259" w:lineRule="auto"/>
        <w:rPr>
          <w:rFonts w:ascii="Arial" w:eastAsia="Times New Roman" w:hAnsi="Arial" w:cs="Arial"/>
          <w:b/>
          <w:bCs/>
          <w:caps/>
          <w:color w:val="000000"/>
          <w:sz w:val="18"/>
          <w:szCs w:val="18"/>
        </w:rPr>
      </w:pPr>
    </w:p>
    <w:p w14:paraId="29D1BCD1" w14:textId="77777777" w:rsidR="00057D91" w:rsidRPr="00735726" w:rsidRDefault="00057D91" w:rsidP="00C45B83">
      <w:pPr>
        <w:spacing w:after="160" w:line="259" w:lineRule="auto"/>
        <w:rPr>
          <w:rFonts w:ascii="Arial" w:eastAsia="Times New Roman" w:hAnsi="Arial" w:cs="Arial"/>
          <w:b/>
          <w:bCs/>
          <w:caps/>
          <w:color w:val="000000"/>
          <w:sz w:val="18"/>
          <w:szCs w:val="18"/>
        </w:rPr>
      </w:pPr>
    </w:p>
    <w:p w14:paraId="0FA2CAE4" w14:textId="77777777" w:rsidR="00057D91" w:rsidRPr="00735726" w:rsidRDefault="00057D91" w:rsidP="00C45B83">
      <w:pPr>
        <w:spacing w:after="160" w:line="259" w:lineRule="auto"/>
        <w:rPr>
          <w:rFonts w:ascii="Arial" w:eastAsia="Times New Roman" w:hAnsi="Arial" w:cs="Arial"/>
          <w:b/>
          <w:bCs/>
          <w:caps/>
          <w:color w:val="000000"/>
          <w:sz w:val="18"/>
          <w:szCs w:val="18"/>
        </w:rPr>
      </w:pPr>
    </w:p>
    <w:p w14:paraId="08BB61E8" w14:textId="6A1A57AF" w:rsidR="004F030D" w:rsidRPr="00735726" w:rsidRDefault="004F030D" w:rsidP="00C45B83">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The Gender Represantation of our Board and Leadership</w:t>
      </w:r>
    </w:p>
    <w:tbl>
      <w:tblPr>
        <w:tblStyle w:val="TableGrid"/>
        <w:tblW w:w="0" w:type="auto"/>
        <w:tblLook w:val="04A0" w:firstRow="1" w:lastRow="0" w:firstColumn="1" w:lastColumn="0" w:noHBand="0" w:noVBand="1"/>
      </w:tblPr>
      <w:tblGrid>
        <w:gridCol w:w="1838"/>
        <w:gridCol w:w="1136"/>
        <w:gridCol w:w="1492"/>
        <w:gridCol w:w="1498"/>
        <w:gridCol w:w="1526"/>
        <w:gridCol w:w="1526"/>
      </w:tblGrid>
      <w:tr w:rsidR="004F030D" w:rsidRPr="00735726" w14:paraId="5CB15A76" w14:textId="77777777" w:rsidTr="0024293B">
        <w:tc>
          <w:tcPr>
            <w:tcW w:w="1838" w:type="dxa"/>
            <w:shd w:val="clear" w:color="auto" w:fill="002060"/>
          </w:tcPr>
          <w:p w14:paraId="17A7BA28" w14:textId="77777777" w:rsidR="004F030D" w:rsidRPr="00735726" w:rsidRDefault="004F030D" w:rsidP="00881565">
            <w:pPr>
              <w:pStyle w:val="Headinglevel4"/>
              <w:spacing w:line="360" w:lineRule="auto"/>
              <w:outlineLvl w:val="0"/>
              <w:rPr>
                <w:color w:val="FFFFFF" w:themeColor="background1"/>
              </w:rPr>
            </w:pPr>
          </w:p>
        </w:tc>
        <w:tc>
          <w:tcPr>
            <w:tcW w:w="1136" w:type="dxa"/>
            <w:shd w:val="clear" w:color="auto" w:fill="002060"/>
          </w:tcPr>
          <w:p w14:paraId="189D3ED7" w14:textId="77777777" w:rsidR="004F030D" w:rsidRPr="00735726" w:rsidRDefault="004F030D" w:rsidP="00881565">
            <w:pPr>
              <w:pStyle w:val="Headinglevel4"/>
              <w:spacing w:line="360" w:lineRule="auto"/>
              <w:outlineLvl w:val="0"/>
              <w:rPr>
                <w:rFonts w:cs="DINOT-Light"/>
                <w:caps w:val="0"/>
                <w:color w:val="FFFFFF" w:themeColor="background1"/>
              </w:rPr>
            </w:pPr>
            <w:r w:rsidRPr="00735726">
              <w:rPr>
                <w:rFonts w:cs="DINOT-Light"/>
                <w:caps w:val="0"/>
                <w:color w:val="FFFFFF" w:themeColor="background1"/>
              </w:rPr>
              <w:t>Number of Board Members</w:t>
            </w:r>
          </w:p>
        </w:tc>
        <w:tc>
          <w:tcPr>
            <w:tcW w:w="1492" w:type="dxa"/>
            <w:shd w:val="clear" w:color="auto" w:fill="002060"/>
          </w:tcPr>
          <w:p w14:paraId="63807B52" w14:textId="77777777" w:rsidR="004F030D" w:rsidRPr="00735726" w:rsidRDefault="004F030D" w:rsidP="00881565">
            <w:pPr>
              <w:pStyle w:val="Headinglevel4"/>
              <w:spacing w:line="360" w:lineRule="auto"/>
              <w:outlineLvl w:val="0"/>
              <w:rPr>
                <w:rFonts w:cs="DINOT-Light"/>
                <w:caps w:val="0"/>
                <w:color w:val="FFFFFF" w:themeColor="background1"/>
              </w:rPr>
            </w:pPr>
            <w:r w:rsidRPr="00735726">
              <w:rPr>
                <w:rFonts w:cs="DINOT-Light"/>
                <w:caps w:val="0"/>
                <w:color w:val="FFFFFF" w:themeColor="background1"/>
              </w:rPr>
              <w:t>% of the Board</w:t>
            </w:r>
          </w:p>
        </w:tc>
        <w:tc>
          <w:tcPr>
            <w:tcW w:w="1498" w:type="dxa"/>
            <w:shd w:val="clear" w:color="auto" w:fill="002060"/>
          </w:tcPr>
          <w:p w14:paraId="5307E1FD" w14:textId="77777777" w:rsidR="004F030D" w:rsidRPr="00735726" w:rsidRDefault="004F030D" w:rsidP="00881565">
            <w:pPr>
              <w:pStyle w:val="Headinglevel4"/>
              <w:spacing w:line="360" w:lineRule="auto"/>
              <w:outlineLvl w:val="0"/>
              <w:rPr>
                <w:rFonts w:cs="DINOT-Light"/>
                <w:caps w:val="0"/>
                <w:color w:val="FFFFFF" w:themeColor="background1"/>
              </w:rPr>
            </w:pPr>
            <w:r w:rsidRPr="00735726">
              <w:rPr>
                <w:rFonts w:cs="DINOT-Light"/>
                <w:caps w:val="0"/>
                <w:color w:val="FFFFFF" w:themeColor="background1"/>
              </w:rPr>
              <w:t>Number of senior</w:t>
            </w:r>
            <w:r w:rsidRPr="00735726">
              <w:rPr>
                <w:rFonts w:cs="DINOT-Light"/>
                <w:caps w:val="0"/>
                <w:color w:val="FFFFFF" w:themeColor="background1"/>
              </w:rPr>
              <w:br/>
              <w:t>Board positions (CEO, CFO, SID, Chair)</w:t>
            </w:r>
          </w:p>
        </w:tc>
        <w:tc>
          <w:tcPr>
            <w:tcW w:w="1526" w:type="dxa"/>
            <w:shd w:val="clear" w:color="auto" w:fill="002060"/>
          </w:tcPr>
          <w:p w14:paraId="707581A5" w14:textId="77777777" w:rsidR="004F030D" w:rsidRPr="00735726" w:rsidRDefault="004F030D" w:rsidP="00881565">
            <w:pPr>
              <w:pStyle w:val="Headinglevel4"/>
              <w:spacing w:line="360" w:lineRule="auto"/>
              <w:outlineLvl w:val="0"/>
              <w:rPr>
                <w:rFonts w:cs="DINOT-Light"/>
                <w:caps w:val="0"/>
                <w:color w:val="FFFFFF" w:themeColor="background1"/>
              </w:rPr>
            </w:pPr>
            <w:r w:rsidRPr="00735726">
              <w:rPr>
                <w:rFonts w:cs="DINOT-Light"/>
                <w:caps w:val="0"/>
                <w:color w:val="FFFFFF" w:themeColor="background1"/>
              </w:rPr>
              <w:t>Number in</w:t>
            </w:r>
            <w:r w:rsidRPr="00735726">
              <w:rPr>
                <w:rFonts w:cs="DINOT-Light"/>
                <w:caps w:val="0"/>
                <w:color w:val="FFFFFF" w:themeColor="background1"/>
              </w:rPr>
              <w:br/>
              <w:t>executive management</w:t>
            </w:r>
          </w:p>
        </w:tc>
        <w:tc>
          <w:tcPr>
            <w:tcW w:w="1526" w:type="dxa"/>
            <w:shd w:val="clear" w:color="auto" w:fill="002060"/>
          </w:tcPr>
          <w:p w14:paraId="66FB95DE" w14:textId="77777777" w:rsidR="004F030D" w:rsidRPr="00735726" w:rsidRDefault="004F030D" w:rsidP="00881565">
            <w:pPr>
              <w:pStyle w:val="Headinglevel4"/>
              <w:spacing w:line="360" w:lineRule="auto"/>
              <w:outlineLvl w:val="0"/>
              <w:rPr>
                <w:rFonts w:cs="DINOT-Light"/>
                <w:caps w:val="0"/>
                <w:color w:val="FFFFFF" w:themeColor="background1"/>
              </w:rPr>
            </w:pPr>
            <w:r w:rsidRPr="00735726">
              <w:rPr>
                <w:rFonts w:cs="DINOT-Light"/>
                <w:caps w:val="0"/>
                <w:color w:val="FFFFFF" w:themeColor="background1"/>
              </w:rPr>
              <w:t>% of executive management</w:t>
            </w:r>
          </w:p>
        </w:tc>
      </w:tr>
      <w:tr w:rsidR="00AF1A22" w:rsidRPr="00735726" w14:paraId="66E38BDE" w14:textId="77777777" w:rsidTr="0024293B">
        <w:tc>
          <w:tcPr>
            <w:tcW w:w="1838" w:type="dxa"/>
          </w:tcPr>
          <w:p w14:paraId="1AE84187" w14:textId="77777777" w:rsidR="00AF1A22" w:rsidRPr="00735726" w:rsidRDefault="00AF1A22" w:rsidP="00AF1A22">
            <w:pPr>
              <w:pStyle w:val="Headinglevel4"/>
              <w:spacing w:line="360" w:lineRule="auto"/>
              <w:outlineLvl w:val="0"/>
              <w:rPr>
                <w:rFonts w:cs="DINOT-Light"/>
                <w:b w:val="0"/>
                <w:bCs w:val="0"/>
                <w:caps w:val="0"/>
              </w:rPr>
            </w:pPr>
            <w:r w:rsidRPr="00735726">
              <w:rPr>
                <w:rFonts w:cs="DINOT-Light"/>
                <w:b w:val="0"/>
                <w:bCs w:val="0"/>
                <w:caps w:val="0"/>
              </w:rPr>
              <w:t>Men</w:t>
            </w:r>
          </w:p>
        </w:tc>
        <w:tc>
          <w:tcPr>
            <w:tcW w:w="1136" w:type="dxa"/>
          </w:tcPr>
          <w:p w14:paraId="5B2697A8" w14:textId="2D4537D6" w:rsidR="00AF1A22" w:rsidRPr="00735726" w:rsidRDefault="00F035A4" w:rsidP="00AF1A22">
            <w:pPr>
              <w:pStyle w:val="Headinglevel4"/>
              <w:spacing w:line="360" w:lineRule="auto"/>
              <w:outlineLvl w:val="0"/>
              <w:rPr>
                <w:b w:val="0"/>
                <w:bCs w:val="0"/>
              </w:rPr>
            </w:pPr>
            <w:r w:rsidRPr="00735726">
              <w:rPr>
                <w:b w:val="0"/>
                <w:bCs w:val="0"/>
              </w:rPr>
              <w:t>4</w:t>
            </w:r>
          </w:p>
        </w:tc>
        <w:tc>
          <w:tcPr>
            <w:tcW w:w="1492" w:type="dxa"/>
          </w:tcPr>
          <w:p w14:paraId="7294EA09" w14:textId="596965AC" w:rsidR="00AF1A22" w:rsidRPr="00735726" w:rsidRDefault="00F035A4" w:rsidP="00AF1A22">
            <w:pPr>
              <w:pStyle w:val="Headinglevel4"/>
              <w:spacing w:line="360" w:lineRule="auto"/>
              <w:outlineLvl w:val="0"/>
              <w:rPr>
                <w:b w:val="0"/>
                <w:bCs w:val="0"/>
              </w:rPr>
            </w:pPr>
            <w:r w:rsidRPr="00735726">
              <w:rPr>
                <w:b w:val="0"/>
                <w:bCs w:val="0"/>
              </w:rPr>
              <w:t>50%</w:t>
            </w:r>
          </w:p>
        </w:tc>
        <w:tc>
          <w:tcPr>
            <w:tcW w:w="1498" w:type="dxa"/>
          </w:tcPr>
          <w:p w14:paraId="55E34B96" w14:textId="38D607C0" w:rsidR="00AF1A22" w:rsidRPr="00735726" w:rsidRDefault="007411D4" w:rsidP="00AF1A22">
            <w:pPr>
              <w:pStyle w:val="Headinglevel4"/>
              <w:spacing w:line="360" w:lineRule="auto"/>
              <w:outlineLvl w:val="0"/>
              <w:rPr>
                <w:b w:val="0"/>
                <w:bCs w:val="0"/>
              </w:rPr>
            </w:pPr>
            <w:r w:rsidRPr="00735726">
              <w:rPr>
                <w:b w:val="0"/>
                <w:bCs w:val="0"/>
              </w:rPr>
              <w:t>2</w:t>
            </w:r>
          </w:p>
        </w:tc>
        <w:tc>
          <w:tcPr>
            <w:tcW w:w="1526" w:type="dxa"/>
          </w:tcPr>
          <w:p w14:paraId="0BD79E20" w14:textId="05F42C51" w:rsidR="00AF1A22" w:rsidRPr="00735726" w:rsidRDefault="007411D4" w:rsidP="00AF1A22">
            <w:pPr>
              <w:pStyle w:val="Headinglevel4"/>
              <w:spacing w:line="360" w:lineRule="auto"/>
              <w:outlineLvl w:val="0"/>
              <w:rPr>
                <w:b w:val="0"/>
                <w:bCs w:val="0"/>
              </w:rPr>
            </w:pPr>
            <w:r w:rsidRPr="00735726">
              <w:rPr>
                <w:b w:val="0"/>
                <w:bCs w:val="0"/>
              </w:rPr>
              <w:t>5</w:t>
            </w:r>
          </w:p>
        </w:tc>
        <w:tc>
          <w:tcPr>
            <w:tcW w:w="1526" w:type="dxa"/>
          </w:tcPr>
          <w:p w14:paraId="69D9E2ED" w14:textId="0354D18F" w:rsidR="00AF1A22" w:rsidRPr="00735726" w:rsidRDefault="007411D4" w:rsidP="00AF1A22">
            <w:pPr>
              <w:pStyle w:val="Headinglevel4"/>
              <w:spacing w:line="360" w:lineRule="auto"/>
              <w:outlineLvl w:val="0"/>
              <w:rPr>
                <w:b w:val="0"/>
                <w:bCs w:val="0"/>
              </w:rPr>
            </w:pPr>
            <w:r w:rsidRPr="00735726">
              <w:rPr>
                <w:b w:val="0"/>
                <w:bCs w:val="0"/>
              </w:rPr>
              <w:t>56</w:t>
            </w:r>
            <w:r w:rsidR="00F035A4" w:rsidRPr="00735726">
              <w:rPr>
                <w:b w:val="0"/>
                <w:bCs w:val="0"/>
              </w:rPr>
              <w:t>%</w:t>
            </w:r>
          </w:p>
        </w:tc>
      </w:tr>
      <w:tr w:rsidR="00AF1A22" w:rsidRPr="00735726" w14:paraId="62E5C1A3" w14:textId="77777777" w:rsidTr="0024293B">
        <w:tc>
          <w:tcPr>
            <w:tcW w:w="1838" w:type="dxa"/>
          </w:tcPr>
          <w:p w14:paraId="4279A175" w14:textId="77777777" w:rsidR="00AF1A22" w:rsidRPr="00735726" w:rsidRDefault="00AF1A22" w:rsidP="00AF1A22">
            <w:pPr>
              <w:pStyle w:val="Headinglevel4"/>
              <w:spacing w:line="360" w:lineRule="auto"/>
              <w:outlineLvl w:val="0"/>
              <w:rPr>
                <w:rFonts w:cs="DINOT-Light"/>
                <w:b w:val="0"/>
                <w:bCs w:val="0"/>
                <w:caps w:val="0"/>
              </w:rPr>
            </w:pPr>
            <w:r w:rsidRPr="00735726">
              <w:rPr>
                <w:rFonts w:cs="DINOT-Light"/>
                <w:b w:val="0"/>
                <w:bCs w:val="0"/>
                <w:caps w:val="0"/>
              </w:rPr>
              <w:t>Women</w:t>
            </w:r>
          </w:p>
        </w:tc>
        <w:tc>
          <w:tcPr>
            <w:tcW w:w="1136" w:type="dxa"/>
          </w:tcPr>
          <w:p w14:paraId="4F33EF3A" w14:textId="64F900D4" w:rsidR="00AF1A22" w:rsidRPr="00735726" w:rsidRDefault="00F035A4" w:rsidP="00AF1A22">
            <w:pPr>
              <w:pStyle w:val="Headinglevel4"/>
              <w:spacing w:line="360" w:lineRule="auto"/>
              <w:outlineLvl w:val="0"/>
              <w:rPr>
                <w:b w:val="0"/>
                <w:bCs w:val="0"/>
              </w:rPr>
            </w:pPr>
            <w:r w:rsidRPr="00735726">
              <w:rPr>
                <w:b w:val="0"/>
                <w:bCs w:val="0"/>
              </w:rPr>
              <w:t>4</w:t>
            </w:r>
          </w:p>
        </w:tc>
        <w:tc>
          <w:tcPr>
            <w:tcW w:w="1492" w:type="dxa"/>
          </w:tcPr>
          <w:p w14:paraId="166D693A" w14:textId="136FB121" w:rsidR="00AF1A22" w:rsidRPr="00735726" w:rsidRDefault="00F035A4" w:rsidP="00AF1A22">
            <w:pPr>
              <w:pStyle w:val="Headinglevel4"/>
              <w:spacing w:line="360" w:lineRule="auto"/>
              <w:outlineLvl w:val="0"/>
              <w:rPr>
                <w:b w:val="0"/>
                <w:bCs w:val="0"/>
              </w:rPr>
            </w:pPr>
            <w:r w:rsidRPr="00735726">
              <w:rPr>
                <w:b w:val="0"/>
                <w:bCs w:val="0"/>
              </w:rPr>
              <w:t>50%</w:t>
            </w:r>
          </w:p>
        </w:tc>
        <w:tc>
          <w:tcPr>
            <w:tcW w:w="1498" w:type="dxa"/>
          </w:tcPr>
          <w:p w14:paraId="7E6A91C9" w14:textId="3EEB008D" w:rsidR="00AF1A22" w:rsidRPr="00735726" w:rsidRDefault="00F035A4" w:rsidP="00AF1A22">
            <w:pPr>
              <w:pStyle w:val="Headinglevel4"/>
              <w:spacing w:line="360" w:lineRule="auto"/>
              <w:outlineLvl w:val="0"/>
              <w:rPr>
                <w:b w:val="0"/>
                <w:bCs w:val="0"/>
              </w:rPr>
            </w:pPr>
            <w:r w:rsidRPr="00735726">
              <w:rPr>
                <w:b w:val="0"/>
                <w:bCs w:val="0"/>
              </w:rPr>
              <w:t>1</w:t>
            </w:r>
          </w:p>
        </w:tc>
        <w:tc>
          <w:tcPr>
            <w:tcW w:w="1526" w:type="dxa"/>
          </w:tcPr>
          <w:p w14:paraId="5967C34E" w14:textId="5880F896" w:rsidR="00AF1A22" w:rsidRPr="00735726" w:rsidRDefault="00F035A4" w:rsidP="00AF1A22">
            <w:pPr>
              <w:pStyle w:val="Headinglevel4"/>
              <w:spacing w:line="360" w:lineRule="auto"/>
              <w:outlineLvl w:val="0"/>
              <w:rPr>
                <w:b w:val="0"/>
                <w:bCs w:val="0"/>
              </w:rPr>
            </w:pPr>
            <w:r w:rsidRPr="00735726">
              <w:rPr>
                <w:b w:val="0"/>
                <w:bCs w:val="0"/>
              </w:rPr>
              <w:t>4</w:t>
            </w:r>
          </w:p>
        </w:tc>
        <w:tc>
          <w:tcPr>
            <w:tcW w:w="1526" w:type="dxa"/>
          </w:tcPr>
          <w:p w14:paraId="7CBC67C4" w14:textId="67F7FBEA" w:rsidR="00AF1A22" w:rsidRPr="00735726" w:rsidRDefault="00F035A4" w:rsidP="00AF1A22">
            <w:pPr>
              <w:pStyle w:val="Headinglevel4"/>
              <w:spacing w:line="360" w:lineRule="auto"/>
              <w:outlineLvl w:val="0"/>
              <w:rPr>
                <w:b w:val="0"/>
                <w:bCs w:val="0"/>
              </w:rPr>
            </w:pPr>
            <w:r w:rsidRPr="00735726">
              <w:rPr>
                <w:b w:val="0"/>
                <w:bCs w:val="0"/>
              </w:rPr>
              <w:t>4</w:t>
            </w:r>
            <w:r w:rsidR="007411D4" w:rsidRPr="00735726">
              <w:rPr>
                <w:b w:val="0"/>
                <w:bCs w:val="0"/>
              </w:rPr>
              <w:t>4</w:t>
            </w:r>
            <w:r w:rsidRPr="00735726">
              <w:rPr>
                <w:b w:val="0"/>
                <w:bCs w:val="0"/>
              </w:rPr>
              <w:t>%</w:t>
            </w:r>
          </w:p>
        </w:tc>
      </w:tr>
      <w:tr w:rsidR="00F035A4" w:rsidRPr="00735726" w14:paraId="643F583E" w14:textId="77777777" w:rsidTr="0024293B">
        <w:tc>
          <w:tcPr>
            <w:tcW w:w="1838" w:type="dxa"/>
          </w:tcPr>
          <w:p w14:paraId="234278BC" w14:textId="77777777"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Other categories</w:t>
            </w:r>
          </w:p>
        </w:tc>
        <w:tc>
          <w:tcPr>
            <w:tcW w:w="1136" w:type="dxa"/>
          </w:tcPr>
          <w:p w14:paraId="481E9B10" w14:textId="36B191C7" w:rsidR="00F035A4" w:rsidRPr="009A2CAE" w:rsidRDefault="00F035A4" w:rsidP="00F035A4">
            <w:pPr>
              <w:pStyle w:val="Headinglevel4"/>
              <w:spacing w:line="360" w:lineRule="auto"/>
              <w:outlineLvl w:val="0"/>
            </w:pPr>
            <w:r w:rsidRPr="00735726">
              <w:rPr>
                <w:rFonts w:cs="DINOT-Light"/>
                <w:b w:val="0"/>
                <w:bCs w:val="0"/>
                <w:caps w:val="0"/>
              </w:rPr>
              <w:t>-</w:t>
            </w:r>
          </w:p>
        </w:tc>
        <w:tc>
          <w:tcPr>
            <w:tcW w:w="1492" w:type="dxa"/>
          </w:tcPr>
          <w:p w14:paraId="592F9BB0" w14:textId="553244FA" w:rsidR="00F035A4" w:rsidRPr="009A2CAE" w:rsidRDefault="00F035A4" w:rsidP="00F035A4">
            <w:pPr>
              <w:pStyle w:val="Headinglevel4"/>
              <w:spacing w:line="360" w:lineRule="auto"/>
              <w:outlineLvl w:val="0"/>
            </w:pPr>
            <w:r w:rsidRPr="00735726">
              <w:rPr>
                <w:rFonts w:cs="DINOT-Light"/>
                <w:b w:val="0"/>
                <w:bCs w:val="0"/>
                <w:caps w:val="0"/>
              </w:rPr>
              <w:t>-</w:t>
            </w:r>
          </w:p>
        </w:tc>
        <w:tc>
          <w:tcPr>
            <w:tcW w:w="1498" w:type="dxa"/>
          </w:tcPr>
          <w:p w14:paraId="127497D7" w14:textId="048D01D1" w:rsidR="00F035A4" w:rsidRPr="009A2CAE" w:rsidRDefault="00F035A4" w:rsidP="00F035A4">
            <w:pPr>
              <w:pStyle w:val="Headinglevel4"/>
              <w:spacing w:line="360" w:lineRule="auto"/>
              <w:outlineLvl w:val="0"/>
            </w:pPr>
            <w:r w:rsidRPr="00735726">
              <w:rPr>
                <w:rFonts w:cs="DINOT-Light"/>
                <w:b w:val="0"/>
                <w:bCs w:val="0"/>
                <w:caps w:val="0"/>
              </w:rPr>
              <w:t>-</w:t>
            </w:r>
          </w:p>
        </w:tc>
        <w:tc>
          <w:tcPr>
            <w:tcW w:w="1526" w:type="dxa"/>
          </w:tcPr>
          <w:p w14:paraId="1DF1D1F9" w14:textId="308B5DFB" w:rsidR="00F035A4" w:rsidRPr="009A2CAE" w:rsidRDefault="00F035A4" w:rsidP="00F035A4">
            <w:pPr>
              <w:pStyle w:val="Headinglevel4"/>
              <w:spacing w:line="360" w:lineRule="auto"/>
              <w:outlineLvl w:val="0"/>
            </w:pPr>
            <w:r w:rsidRPr="00735726">
              <w:rPr>
                <w:rFonts w:cs="DINOT-Light"/>
                <w:b w:val="0"/>
                <w:bCs w:val="0"/>
                <w:caps w:val="0"/>
              </w:rPr>
              <w:t>-</w:t>
            </w:r>
          </w:p>
        </w:tc>
        <w:tc>
          <w:tcPr>
            <w:tcW w:w="1526" w:type="dxa"/>
          </w:tcPr>
          <w:p w14:paraId="61110024" w14:textId="6DA142B8" w:rsidR="00F035A4" w:rsidRPr="009A2CAE" w:rsidRDefault="00F035A4" w:rsidP="00F035A4">
            <w:pPr>
              <w:pStyle w:val="Headinglevel4"/>
              <w:spacing w:line="360" w:lineRule="auto"/>
              <w:outlineLvl w:val="0"/>
            </w:pPr>
            <w:r w:rsidRPr="00735726">
              <w:rPr>
                <w:rFonts w:cs="DINOT-Light"/>
                <w:b w:val="0"/>
                <w:bCs w:val="0"/>
                <w:caps w:val="0"/>
              </w:rPr>
              <w:t>-</w:t>
            </w:r>
          </w:p>
        </w:tc>
      </w:tr>
      <w:tr w:rsidR="00F035A4" w:rsidRPr="00735726" w14:paraId="2DEAD6D8" w14:textId="77777777" w:rsidTr="0024293B">
        <w:tc>
          <w:tcPr>
            <w:tcW w:w="1838" w:type="dxa"/>
          </w:tcPr>
          <w:p w14:paraId="6D292354" w14:textId="77777777" w:rsidR="00F035A4" w:rsidRPr="00735726" w:rsidRDefault="00F035A4" w:rsidP="00F035A4">
            <w:pPr>
              <w:pStyle w:val="Headinglevel4"/>
              <w:spacing w:line="360" w:lineRule="auto"/>
              <w:outlineLvl w:val="0"/>
              <w:rPr>
                <w:rFonts w:cs="DINOT-Light"/>
                <w:b w:val="0"/>
                <w:bCs w:val="0"/>
                <w:caps w:val="0"/>
              </w:rPr>
            </w:pPr>
            <w:r w:rsidRPr="00735726">
              <w:rPr>
                <w:rFonts w:cs="DINOT-Light"/>
                <w:b w:val="0"/>
                <w:bCs w:val="0"/>
                <w:caps w:val="0"/>
              </w:rPr>
              <w:t>Not specified / prefer not to disclose</w:t>
            </w:r>
          </w:p>
        </w:tc>
        <w:tc>
          <w:tcPr>
            <w:tcW w:w="1136" w:type="dxa"/>
          </w:tcPr>
          <w:p w14:paraId="5E3D416E" w14:textId="5E897332" w:rsidR="00F035A4" w:rsidRPr="009A2CAE" w:rsidRDefault="00F035A4" w:rsidP="00F035A4">
            <w:pPr>
              <w:pStyle w:val="Headinglevel4"/>
              <w:spacing w:line="360" w:lineRule="auto"/>
              <w:outlineLvl w:val="0"/>
            </w:pPr>
            <w:r w:rsidRPr="00735726">
              <w:rPr>
                <w:rFonts w:cs="DINOT-Light"/>
                <w:b w:val="0"/>
                <w:bCs w:val="0"/>
                <w:caps w:val="0"/>
              </w:rPr>
              <w:t>-</w:t>
            </w:r>
          </w:p>
        </w:tc>
        <w:tc>
          <w:tcPr>
            <w:tcW w:w="1492" w:type="dxa"/>
          </w:tcPr>
          <w:p w14:paraId="6F03F2CC" w14:textId="5A1523CC" w:rsidR="00F035A4" w:rsidRPr="009A2CAE" w:rsidRDefault="00F035A4" w:rsidP="00F035A4">
            <w:pPr>
              <w:pStyle w:val="Headinglevel4"/>
              <w:spacing w:line="360" w:lineRule="auto"/>
              <w:outlineLvl w:val="0"/>
            </w:pPr>
            <w:r w:rsidRPr="00735726">
              <w:rPr>
                <w:rFonts w:cs="DINOT-Light"/>
                <w:b w:val="0"/>
                <w:bCs w:val="0"/>
                <w:caps w:val="0"/>
              </w:rPr>
              <w:t>-</w:t>
            </w:r>
          </w:p>
        </w:tc>
        <w:tc>
          <w:tcPr>
            <w:tcW w:w="1498" w:type="dxa"/>
          </w:tcPr>
          <w:p w14:paraId="05867426" w14:textId="780B32C1" w:rsidR="00F035A4" w:rsidRPr="009A2CAE" w:rsidRDefault="00F035A4" w:rsidP="00F035A4">
            <w:pPr>
              <w:pStyle w:val="Headinglevel4"/>
              <w:spacing w:line="360" w:lineRule="auto"/>
              <w:outlineLvl w:val="0"/>
            </w:pPr>
            <w:r w:rsidRPr="00735726">
              <w:rPr>
                <w:rFonts w:cs="DINOT-Light"/>
                <w:b w:val="0"/>
                <w:bCs w:val="0"/>
                <w:caps w:val="0"/>
              </w:rPr>
              <w:t>-</w:t>
            </w:r>
          </w:p>
        </w:tc>
        <w:tc>
          <w:tcPr>
            <w:tcW w:w="1526" w:type="dxa"/>
          </w:tcPr>
          <w:p w14:paraId="122288FC" w14:textId="60A71AA9" w:rsidR="00F035A4" w:rsidRPr="009A2CAE" w:rsidRDefault="00F035A4" w:rsidP="00F035A4">
            <w:pPr>
              <w:pStyle w:val="Headinglevel4"/>
              <w:spacing w:line="360" w:lineRule="auto"/>
              <w:outlineLvl w:val="0"/>
            </w:pPr>
            <w:r w:rsidRPr="00735726">
              <w:rPr>
                <w:rFonts w:cs="DINOT-Light"/>
                <w:b w:val="0"/>
                <w:bCs w:val="0"/>
                <w:caps w:val="0"/>
              </w:rPr>
              <w:t>-</w:t>
            </w:r>
          </w:p>
        </w:tc>
        <w:tc>
          <w:tcPr>
            <w:tcW w:w="1526" w:type="dxa"/>
          </w:tcPr>
          <w:p w14:paraId="51EDE158" w14:textId="05B6ABAD" w:rsidR="00F035A4" w:rsidRPr="009A2CAE" w:rsidRDefault="00F035A4" w:rsidP="00F035A4">
            <w:pPr>
              <w:pStyle w:val="Headinglevel4"/>
              <w:spacing w:line="360" w:lineRule="auto"/>
              <w:outlineLvl w:val="0"/>
            </w:pPr>
            <w:r w:rsidRPr="00735726">
              <w:rPr>
                <w:rFonts w:cs="DINOT-Light"/>
                <w:b w:val="0"/>
                <w:bCs w:val="0"/>
                <w:caps w:val="0"/>
              </w:rPr>
              <w:t>-</w:t>
            </w:r>
          </w:p>
        </w:tc>
      </w:tr>
      <w:bookmarkEnd w:id="36"/>
      <w:bookmarkEnd w:id="37"/>
    </w:tbl>
    <w:p w14:paraId="2540E933" w14:textId="77777777" w:rsidR="004F030D" w:rsidRPr="009A2CAE" w:rsidRDefault="004F030D" w:rsidP="004F030D">
      <w:pPr>
        <w:pStyle w:val="Headinglevel4"/>
        <w:spacing w:line="360" w:lineRule="auto"/>
        <w:outlineLvl w:val="0"/>
      </w:pPr>
    </w:p>
    <w:p w14:paraId="3E58C325" w14:textId="77777777" w:rsidR="004F030D" w:rsidRPr="00735726" w:rsidRDefault="004F030D" w:rsidP="005A5668">
      <w:pPr>
        <w:rPr>
          <w:rFonts w:ascii="Arial" w:hAnsi="Arial" w:cs="Arial"/>
          <w:sz w:val="18"/>
          <w:szCs w:val="18"/>
        </w:rPr>
      </w:pPr>
      <w:r w:rsidRPr="00735726">
        <w:rPr>
          <w:rFonts w:ascii="Arial" w:hAnsi="Arial" w:cs="Arial"/>
          <w:b/>
          <w:bCs/>
          <w:sz w:val="18"/>
          <w:szCs w:val="18"/>
        </w:rPr>
        <w:t>BOARD PERFORMANCE REVIEW</w:t>
      </w:r>
      <w:r w:rsidRPr="00735726">
        <w:rPr>
          <w:rFonts w:ascii="Arial" w:hAnsi="Arial" w:cs="Arial"/>
          <w:b/>
          <w:bCs/>
          <w:sz w:val="18"/>
          <w:szCs w:val="18"/>
        </w:rPr>
        <w:br/>
      </w:r>
      <w:r w:rsidRPr="00735726">
        <w:rPr>
          <w:rFonts w:ascii="Arial" w:hAnsi="Arial" w:cs="Arial"/>
          <w:sz w:val="18"/>
          <w:szCs w:val="18"/>
        </w:rPr>
        <w:t>The Board undertakes a formal and rigorous review of its performance and that of its Committees and Directors each year. This ensures that they continue to operate effectively and are identifying opportunities for improvement and best practice, as well as helping to inform future agenda items and areas of focus.</w:t>
      </w:r>
    </w:p>
    <w:p w14:paraId="7931163F" w14:textId="0C82869D" w:rsidR="001D6E0D" w:rsidRPr="00735726" w:rsidRDefault="004F030D" w:rsidP="001D6E0D">
      <w:pPr>
        <w:spacing w:after="0"/>
        <w:rPr>
          <w:rFonts w:ascii="Arial" w:hAnsi="Arial" w:cs="Arial"/>
          <w:sz w:val="18"/>
          <w:szCs w:val="18"/>
        </w:rPr>
      </w:pPr>
      <w:r w:rsidRPr="00735726">
        <w:rPr>
          <w:rFonts w:ascii="Arial" w:hAnsi="Arial" w:cs="Arial"/>
          <w:i/>
          <w:iCs/>
          <w:sz w:val="18"/>
          <w:szCs w:val="18"/>
        </w:rPr>
        <w:t>202</w:t>
      </w:r>
      <w:r w:rsidR="001D6E0D" w:rsidRPr="00735726">
        <w:rPr>
          <w:rFonts w:ascii="Arial" w:hAnsi="Arial" w:cs="Arial"/>
          <w:i/>
          <w:iCs/>
          <w:sz w:val="18"/>
          <w:szCs w:val="18"/>
        </w:rPr>
        <w:t>5</w:t>
      </w:r>
      <w:r w:rsidRPr="00735726">
        <w:rPr>
          <w:rFonts w:ascii="Arial" w:hAnsi="Arial" w:cs="Arial"/>
          <w:i/>
          <w:iCs/>
          <w:sz w:val="18"/>
          <w:szCs w:val="18"/>
        </w:rPr>
        <w:t xml:space="preserve"> BOARD PERFORMANCE REVIEW</w:t>
      </w:r>
      <w:r w:rsidRPr="00735726">
        <w:rPr>
          <w:rFonts w:ascii="Arial" w:hAnsi="Arial" w:cs="Arial"/>
          <w:i/>
          <w:iCs/>
          <w:sz w:val="18"/>
          <w:szCs w:val="18"/>
        </w:rPr>
        <w:br/>
      </w:r>
      <w:r w:rsidR="001D6E0D" w:rsidRPr="00735726">
        <w:rPr>
          <w:rFonts w:ascii="Arial" w:hAnsi="Arial" w:cs="Arial"/>
          <w:sz w:val="18"/>
          <w:szCs w:val="18"/>
        </w:rPr>
        <w:t>The evaluation was carried out in March 2025 via questionnaires created internally by the General Counsel and Company Secretary in consultation with the Chief Executive Officer and Chair.</w:t>
      </w:r>
    </w:p>
    <w:p w14:paraId="4D2FCCC2" w14:textId="77777777" w:rsidR="001D6E0D" w:rsidRPr="00735726" w:rsidRDefault="001D6E0D" w:rsidP="001D6E0D">
      <w:pPr>
        <w:spacing w:after="0"/>
        <w:rPr>
          <w:rFonts w:ascii="Arial" w:hAnsi="Arial" w:cs="Arial"/>
          <w:sz w:val="18"/>
          <w:szCs w:val="18"/>
        </w:rPr>
      </w:pPr>
    </w:p>
    <w:p w14:paraId="1478261B" w14:textId="750FF227" w:rsidR="001D6E0D" w:rsidRPr="00735726" w:rsidRDefault="001D6E0D" w:rsidP="001D6E0D">
      <w:pPr>
        <w:spacing w:after="0"/>
        <w:rPr>
          <w:rFonts w:ascii="Arial" w:hAnsi="Arial" w:cs="Arial"/>
          <w:sz w:val="18"/>
          <w:szCs w:val="18"/>
        </w:rPr>
      </w:pPr>
      <w:r w:rsidRPr="00735726">
        <w:rPr>
          <w:rFonts w:ascii="Arial" w:hAnsi="Arial" w:cs="Arial"/>
          <w:sz w:val="18"/>
          <w:szCs w:val="18"/>
        </w:rPr>
        <w:t>The questionnaires focused on the ongoing effectiveness of the Board during the year in setting the Company’s</w:t>
      </w:r>
    </w:p>
    <w:p w14:paraId="108E514B" w14:textId="15B65F00" w:rsidR="001D6E0D" w:rsidRPr="00735726" w:rsidRDefault="001D6E0D" w:rsidP="001D6E0D">
      <w:pPr>
        <w:spacing w:after="0"/>
        <w:rPr>
          <w:rFonts w:ascii="Arial" w:hAnsi="Arial" w:cs="Arial"/>
          <w:sz w:val="18"/>
          <w:szCs w:val="18"/>
        </w:rPr>
      </w:pPr>
      <w:r w:rsidRPr="00735726">
        <w:rPr>
          <w:rFonts w:ascii="Arial" w:hAnsi="Arial" w:cs="Arial"/>
          <w:sz w:val="18"/>
          <w:szCs w:val="18"/>
        </w:rPr>
        <w:t>strategy for the next AMP, the Board dynamics, ensuring that the Board has a clear understanding of the views</w:t>
      </w:r>
    </w:p>
    <w:p w14:paraId="477D722B" w14:textId="1F446ACC" w:rsidR="003C0017" w:rsidRPr="00735726" w:rsidRDefault="001D6E0D" w:rsidP="001D6E0D">
      <w:pPr>
        <w:spacing w:after="0"/>
        <w:rPr>
          <w:rFonts w:ascii="Arial" w:hAnsi="Arial" w:cs="Arial"/>
          <w:sz w:val="18"/>
          <w:szCs w:val="18"/>
        </w:rPr>
      </w:pPr>
      <w:r w:rsidRPr="00735726">
        <w:rPr>
          <w:rFonts w:ascii="Arial" w:hAnsi="Arial" w:cs="Arial"/>
          <w:sz w:val="18"/>
          <w:szCs w:val="18"/>
        </w:rPr>
        <w:t>of its stakeholders, ensuring the Board takes the lead in promoting a strong health and safety culture throughout the Company, and ensuring the Board has an appropriate level of focus on risk appetite and the internal control framework, and ensuring that the processes are in place to identify risks.</w:t>
      </w:r>
    </w:p>
    <w:p w14:paraId="0F9BDBBD" w14:textId="77777777" w:rsidR="001D6E0D" w:rsidRPr="00735726" w:rsidRDefault="001D6E0D" w:rsidP="001D6E0D">
      <w:pPr>
        <w:spacing w:after="0"/>
        <w:rPr>
          <w:rFonts w:ascii="Arial" w:hAnsi="Arial" w:cs="Arial"/>
          <w:sz w:val="18"/>
          <w:szCs w:val="18"/>
        </w:rPr>
      </w:pPr>
    </w:p>
    <w:p w14:paraId="148A7F08" w14:textId="77777777" w:rsidR="001D6E0D" w:rsidRPr="00735726" w:rsidRDefault="001D6E0D" w:rsidP="001D6E0D">
      <w:pPr>
        <w:spacing w:after="0"/>
        <w:rPr>
          <w:rFonts w:ascii="Arial" w:hAnsi="Arial" w:cs="Arial"/>
          <w:sz w:val="18"/>
          <w:szCs w:val="18"/>
        </w:rPr>
      </w:pPr>
      <w:r w:rsidRPr="00735726">
        <w:rPr>
          <w:rFonts w:ascii="Arial" w:hAnsi="Arial" w:cs="Arial"/>
          <w:sz w:val="18"/>
          <w:szCs w:val="18"/>
        </w:rPr>
        <w:t>The review concluded that:</w:t>
      </w:r>
    </w:p>
    <w:p w14:paraId="3C377264" w14:textId="77777777"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t>There is an appropriate current focus on the Company’s operational performance with the agenda developing to reflect the current stakeholder environment.</w:t>
      </w:r>
    </w:p>
    <w:p w14:paraId="1B1F99D0" w14:textId="6B7DC7ED"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t>The Board dynamics are developing but work well, with open, effective debate and appropriate challenge and good meeting preparation. There is good support for the Executive and a feeling that the Board functions best when being totally transparent about the challenges the organisation is facing.</w:t>
      </w:r>
    </w:p>
    <w:p w14:paraId="47418483" w14:textId="212BA813"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t>The Board Committees are well run and have sufficient independent membership to ensure that they can make high-quality decisions that address the diverse customer and stakeholder needs of the Company.</w:t>
      </w:r>
    </w:p>
    <w:p w14:paraId="2984DFF8" w14:textId="7893BA14"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t>The 2025 Board and Committee performance reviews identified several recommendations and action points for the Board to consider, which were presented to the Board for discussion at its meeting in May 2025.</w:t>
      </w:r>
    </w:p>
    <w:p w14:paraId="786D350D" w14:textId="2F883D37"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t>As part of its succession planning, the Board should consider candidates with infrastructure experience. (This was enacted with the appointment of Sir Andrew Haines)</w:t>
      </w:r>
      <w:r w:rsidR="00CE39CC" w:rsidRPr="00735726">
        <w:rPr>
          <w:rFonts w:ascii="Arial" w:hAnsi="Arial" w:cs="Arial"/>
          <w:sz w:val="18"/>
          <w:szCs w:val="18"/>
        </w:rPr>
        <w:t>.</w:t>
      </w:r>
    </w:p>
    <w:p w14:paraId="37AB2850" w14:textId="18A14578"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t xml:space="preserve">Members of the Board would appreciate deeper dives into the business and more site visits. (Deep dives are now part of Board and Committee agendas and members have individually and collectively made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site visits)</w:t>
      </w:r>
      <w:r w:rsidR="00CE39CC" w:rsidRPr="00735726">
        <w:rPr>
          <w:rFonts w:ascii="Arial" w:hAnsi="Arial" w:cs="Arial"/>
          <w:sz w:val="18"/>
          <w:szCs w:val="18"/>
        </w:rPr>
        <w:t>.</w:t>
      </w:r>
    </w:p>
    <w:p w14:paraId="2612A89A" w14:textId="3CFE0A34"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t xml:space="preserve">The Board would appreciate an upweighting in the principal controls. (A new Director of Internal Audit has been </w:t>
      </w:r>
      <w:proofErr w:type="gramStart"/>
      <w:r w:rsidRPr="00735726">
        <w:rPr>
          <w:rFonts w:ascii="Arial" w:hAnsi="Arial" w:cs="Arial"/>
          <w:sz w:val="18"/>
          <w:szCs w:val="18"/>
        </w:rPr>
        <w:t>appointed</w:t>
      </w:r>
      <w:proofErr w:type="gramEnd"/>
      <w:r w:rsidRPr="00735726">
        <w:rPr>
          <w:rFonts w:ascii="Arial" w:hAnsi="Arial" w:cs="Arial"/>
          <w:sz w:val="18"/>
          <w:szCs w:val="18"/>
        </w:rPr>
        <w:t xml:space="preserve"> and KPMG have been assisting with the review of the internal controls environment).</w:t>
      </w:r>
    </w:p>
    <w:p w14:paraId="78262059" w14:textId="67AD530E"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t xml:space="preserve">There could be better linkage between KPIs and strategic delivery, knowledge of senior management and the resources required to enable effective and efficient delivery. (A KPI pack has been developed and </w:t>
      </w:r>
      <w:proofErr w:type="gramStart"/>
      <w:r w:rsidRPr="00735726">
        <w:rPr>
          <w:rFonts w:ascii="Arial" w:hAnsi="Arial" w:cs="Arial"/>
          <w:sz w:val="18"/>
          <w:szCs w:val="18"/>
        </w:rPr>
        <w:t>deep-dives</w:t>
      </w:r>
      <w:proofErr w:type="gramEnd"/>
      <w:r w:rsidRPr="00735726">
        <w:rPr>
          <w:rFonts w:ascii="Arial" w:hAnsi="Arial" w:cs="Arial"/>
          <w:sz w:val="18"/>
          <w:szCs w:val="18"/>
        </w:rPr>
        <w:t xml:space="preserve"> have taken place on talent). </w:t>
      </w:r>
    </w:p>
    <w:p w14:paraId="6AD24C22" w14:textId="689B9E8D"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lastRenderedPageBreak/>
        <w:t>The Board would value the ‘outside-in’ perspective from stakeholders. (A weekly corporate affairs report is sent to the Board).</w:t>
      </w:r>
    </w:p>
    <w:p w14:paraId="6775D7A8" w14:textId="4495BB6D" w:rsidR="001D6E0D" w:rsidRPr="00735726" w:rsidRDefault="001D6E0D" w:rsidP="00646F4F">
      <w:pPr>
        <w:pStyle w:val="ListParagraph"/>
        <w:numPr>
          <w:ilvl w:val="0"/>
          <w:numId w:val="98"/>
        </w:numPr>
        <w:spacing w:after="0"/>
        <w:rPr>
          <w:rFonts w:ascii="Arial" w:hAnsi="Arial" w:cs="Arial"/>
          <w:sz w:val="18"/>
          <w:szCs w:val="18"/>
        </w:rPr>
      </w:pPr>
      <w:r w:rsidRPr="00735726">
        <w:rPr>
          <w:rFonts w:ascii="Arial" w:hAnsi="Arial" w:cs="Arial"/>
          <w:sz w:val="18"/>
          <w:szCs w:val="18"/>
        </w:rPr>
        <w:t>The length of Board papers should be reviewed. (Further instructions have been sent out on the composition of Board papers).</w:t>
      </w:r>
    </w:p>
    <w:p w14:paraId="125BDFCE" w14:textId="77777777" w:rsidR="001D6E0D" w:rsidRPr="00735726" w:rsidRDefault="001D6E0D" w:rsidP="001D6E0D">
      <w:pPr>
        <w:spacing w:after="0"/>
        <w:rPr>
          <w:rFonts w:ascii="Arial" w:hAnsi="Arial" w:cs="Arial"/>
          <w:sz w:val="18"/>
          <w:szCs w:val="18"/>
        </w:rPr>
      </w:pPr>
    </w:p>
    <w:p w14:paraId="68335C00" w14:textId="10B097F4" w:rsidR="00B10356" w:rsidRPr="00735726" w:rsidRDefault="00B10356" w:rsidP="005A5668">
      <w:pPr>
        <w:spacing w:after="0"/>
        <w:rPr>
          <w:rFonts w:ascii="Arial" w:hAnsi="Arial" w:cs="Arial"/>
          <w:i/>
          <w:iCs/>
          <w:sz w:val="18"/>
          <w:szCs w:val="18"/>
        </w:rPr>
      </w:pPr>
      <w:r w:rsidRPr="00735726">
        <w:rPr>
          <w:rFonts w:ascii="Arial" w:hAnsi="Arial" w:cs="Arial"/>
          <w:i/>
          <w:iCs/>
          <w:sz w:val="18"/>
          <w:szCs w:val="18"/>
        </w:rPr>
        <w:t>202</w:t>
      </w:r>
      <w:r w:rsidR="001D6E0D" w:rsidRPr="00735726">
        <w:rPr>
          <w:rFonts w:ascii="Arial" w:hAnsi="Arial" w:cs="Arial"/>
          <w:i/>
          <w:iCs/>
          <w:sz w:val="18"/>
          <w:szCs w:val="18"/>
        </w:rPr>
        <w:t>6</w:t>
      </w:r>
      <w:r w:rsidRPr="00735726">
        <w:rPr>
          <w:rFonts w:ascii="Arial" w:hAnsi="Arial" w:cs="Arial"/>
          <w:i/>
          <w:iCs/>
          <w:sz w:val="18"/>
          <w:szCs w:val="18"/>
        </w:rPr>
        <w:t xml:space="preserve"> BOARD PERFORMANCE REVIEW</w:t>
      </w:r>
    </w:p>
    <w:p w14:paraId="186C4C88" w14:textId="40BBEC11" w:rsidR="001D6E0D" w:rsidRPr="00735726" w:rsidRDefault="001D6E0D" w:rsidP="001D6E0D">
      <w:pPr>
        <w:spacing w:after="160"/>
        <w:rPr>
          <w:rFonts w:ascii="Arial" w:hAnsi="Arial" w:cs="Arial"/>
          <w:sz w:val="18"/>
          <w:szCs w:val="18"/>
        </w:rPr>
      </w:pPr>
      <w:r w:rsidRPr="00735726">
        <w:rPr>
          <w:rFonts w:ascii="Arial" w:hAnsi="Arial" w:cs="Arial"/>
          <w:sz w:val="18"/>
          <w:szCs w:val="18"/>
        </w:rPr>
        <w:t>This review is currently under way now that Keith Haslett has joined the Company. It is being conducted by Chris Saul Associates and will comprise a combination of interviews with members of the Board and Executive, meeting observation and a report to be prepared in consultation with the Chair, Chief Executive Officer and General Counsel and Company Secretary.</w:t>
      </w:r>
    </w:p>
    <w:p w14:paraId="1A56C6B4" w14:textId="7DF2C1F0" w:rsidR="003C0017" w:rsidRPr="009A2CAE" w:rsidRDefault="001D6E0D" w:rsidP="001D6E0D">
      <w:pPr>
        <w:spacing w:after="160"/>
        <w:rPr>
          <w:rFonts w:ascii="Arial" w:hAnsi="Arial" w:cs="Arial"/>
          <w:sz w:val="18"/>
          <w:szCs w:val="18"/>
        </w:rPr>
      </w:pPr>
      <w:r w:rsidRPr="00735726">
        <w:rPr>
          <w:rFonts w:ascii="Arial" w:hAnsi="Arial" w:cs="Arial"/>
          <w:sz w:val="18"/>
          <w:szCs w:val="18"/>
        </w:rPr>
        <w:t xml:space="preserve">The outcome will be reported in the 2026/27 Annual Report and </w:t>
      </w:r>
      <w:r w:rsidR="00E362AD" w:rsidRPr="00735726">
        <w:rPr>
          <w:rFonts w:ascii="Arial" w:hAnsi="Arial" w:cs="Arial"/>
          <w:sz w:val="18"/>
          <w:szCs w:val="18"/>
        </w:rPr>
        <w:t>financial statements</w:t>
      </w:r>
      <w:r w:rsidRPr="00735726">
        <w:rPr>
          <w:rFonts w:ascii="Arial" w:hAnsi="Arial" w:cs="Arial"/>
          <w:sz w:val="18"/>
          <w:szCs w:val="18"/>
        </w:rPr>
        <w:t xml:space="preserve">. In accordance with Provision 21 </w:t>
      </w:r>
      <w:r w:rsidR="00C14ECD" w:rsidRPr="00735726">
        <w:rPr>
          <w:rFonts w:ascii="Arial" w:hAnsi="Arial" w:cs="Arial"/>
          <w:sz w:val="18"/>
          <w:szCs w:val="18"/>
        </w:rPr>
        <w:t>o</w:t>
      </w:r>
      <w:r w:rsidRPr="00735726">
        <w:rPr>
          <w:rFonts w:ascii="Arial" w:hAnsi="Arial" w:cs="Arial"/>
          <w:sz w:val="18"/>
          <w:szCs w:val="18"/>
        </w:rPr>
        <w:t>f the UK Corporate Governance Code 2024, the Board confirms that Chris Saul Associates is an independent third party and has no other commercial relationship with the Company or any of the Directors.</w:t>
      </w:r>
      <w:r w:rsidR="003C0017" w:rsidRPr="009A2CAE">
        <w:rPr>
          <w:rFonts w:ascii="Arial" w:hAnsi="Arial" w:cs="Arial"/>
          <w:sz w:val="18"/>
          <w:szCs w:val="18"/>
        </w:rPr>
        <w:br w:type="page"/>
      </w:r>
    </w:p>
    <w:p w14:paraId="1A4A563C" w14:textId="2FF1954A" w:rsidR="004F030D" w:rsidRPr="00735726" w:rsidRDefault="004F030D" w:rsidP="004F030D">
      <w:pPr>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Audit Committee report</w:t>
      </w:r>
    </w:p>
    <w:p w14:paraId="30DAF019" w14:textId="08552D0E" w:rsidR="004F030D" w:rsidRPr="00735726" w:rsidRDefault="008D6DD0" w:rsidP="004F030D">
      <w:pPr>
        <w:rPr>
          <w:rFonts w:ascii="Arial" w:hAnsi="Arial" w:cs="Arial"/>
          <w:sz w:val="18"/>
          <w:szCs w:val="18"/>
        </w:rPr>
      </w:pPr>
      <w:r w:rsidRPr="00735726">
        <w:rPr>
          <w:rFonts w:ascii="Arial" w:hAnsi="Arial" w:cs="Arial"/>
          <w:sz w:val="18"/>
          <w:szCs w:val="18"/>
        </w:rPr>
        <w:t xml:space="preserve">The </w:t>
      </w:r>
      <w:r w:rsidR="007F236A" w:rsidRPr="00735726">
        <w:rPr>
          <w:rFonts w:ascii="Arial" w:hAnsi="Arial" w:cs="Arial"/>
          <w:sz w:val="18"/>
          <w:szCs w:val="18"/>
        </w:rPr>
        <w:t>A</w:t>
      </w:r>
      <w:r w:rsidRPr="00735726">
        <w:rPr>
          <w:rFonts w:ascii="Arial" w:hAnsi="Arial" w:cs="Arial"/>
          <w:sz w:val="18"/>
          <w:szCs w:val="18"/>
        </w:rPr>
        <w:t xml:space="preserve">udit </w:t>
      </w:r>
      <w:r w:rsidR="007F236A" w:rsidRPr="00735726">
        <w:rPr>
          <w:rFonts w:ascii="Arial" w:hAnsi="Arial" w:cs="Arial"/>
          <w:sz w:val="18"/>
          <w:szCs w:val="18"/>
        </w:rPr>
        <w:t>C</w:t>
      </w:r>
      <w:r w:rsidRPr="00735726">
        <w:rPr>
          <w:rFonts w:ascii="Arial" w:hAnsi="Arial" w:cs="Arial"/>
          <w:sz w:val="18"/>
          <w:szCs w:val="18"/>
        </w:rPr>
        <w:t>ommittee is focused on ensuring sound financial and risk management to support the Company’s strategy</w:t>
      </w:r>
    </w:p>
    <w:tbl>
      <w:tblPr>
        <w:tblW w:w="70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3"/>
        <w:gridCol w:w="2553"/>
        <w:gridCol w:w="1844"/>
      </w:tblGrid>
      <w:tr w:rsidR="009863AE" w:rsidRPr="00735726" w14:paraId="7E0011FA" w14:textId="77777777" w:rsidTr="00881565">
        <w:trPr>
          <w:trHeight w:val="295"/>
          <w:tblHeader/>
        </w:trPr>
        <w:tc>
          <w:tcPr>
            <w:tcW w:w="2683"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5A39C0AD" w14:textId="7A40B97F" w:rsidR="009863AE" w:rsidRPr="00735726" w:rsidRDefault="009863AE" w:rsidP="009863AE">
            <w:pPr>
              <w:pStyle w:val="03body"/>
              <w:spacing w:line="360" w:lineRule="auto"/>
              <w:rPr>
                <w:b/>
              </w:rPr>
            </w:pPr>
            <w:r w:rsidRPr="00735726">
              <w:rPr>
                <w:b/>
              </w:rPr>
              <w:t>Membership</w:t>
            </w:r>
          </w:p>
        </w:tc>
        <w:tc>
          <w:tcPr>
            <w:tcW w:w="2553"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74A1A5A1" w14:textId="03AF0038" w:rsidR="009863AE" w:rsidRPr="00735726" w:rsidRDefault="009863AE" w:rsidP="009863AE">
            <w:pPr>
              <w:pStyle w:val="03body"/>
              <w:spacing w:line="360" w:lineRule="auto"/>
              <w:rPr>
                <w:b/>
              </w:rPr>
            </w:pPr>
            <w:r w:rsidRPr="00735726">
              <w:rPr>
                <w:b/>
              </w:rPr>
              <w:t>Position</w:t>
            </w:r>
          </w:p>
        </w:tc>
        <w:tc>
          <w:tcPr>
            <w:tcW w:w="1844"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785C0A32" w14:textId="291CD6AE" w:rsidR="009863AE" w:rsidRPr="00735726" w:rsidRDefault="009863AE" w:rsidP="009863AE">
            <w:pPr>
              <w:pStyle w:val="03body"/>
              <w:spacing w:line="360" w:lineRule="auto"/>
              <w:rPr>
                <w:b/>
              </w:rPr>
            </w:pPr>
            <w:r w:rsidRPr="00735726">
              <w:rPr>
                <w:b/>
              </w:rPr>
              <w:t>Attendance</w:t>
            </w:r>
          </w:p>
        </w:tc>
      </w:tr>
      <w:tr w:rsidR="009863AE" w:rsidRPr="00735726" w14:paraId="0F25C0B1" w14:textId="77777777" w:rsidTr="00881565">
        <w:trPr>
          <w:trHeight w:val="226"/>
        </w:trPr>
        <w:tc>
          <w:tcPr>
            <w:tcW w:w="2683" w:type="dxa"/>
            <w:tcBorders>
              <w:top w:val="single" w:sz="4" w:space="0" w:color="auto"/>
              <w:left w:val="single" w:sz="4" w:space="0" w:color="auto"/>
              <w:bottom w:val="single" w:sz="4" w:space="0" w:color="auto"/>
              <w:right w:val="single" w:sz="4" w:space="0" w:color="auto"/>
            </w:tcBorders>
          </w:tcPr>
          <w:p w14:paraId="63BEA0B9" w14:textId="7953B6CA" w:rsidR="009863AE" w:rsidRPr="00735726" w:rsidRDefault="009863AE" w:rsidP="009863AE">
            <w:pPr>
              <w:pStyle w:val="03body"/>
              <w:spacing w:line="360" w:lineRule="auto"/>
              <w:rPr>
                <w:b/>
                <w:bCs/>
              </w:rPr>
            </w:pPr>
            <w:r w:rsidRPr="00735726">
              <w:rPr>
                <w:b/>
                <w:bCs/>
              </w:rPr>
              <w:t>Loraine Woodhouse</w:t>
            </w:r>
          </w:p>
        </w:tc>
        <w:tc>
          <w:tcPr>
            <w:tcW w:w="2553" w:type="dxa"/>
            <w:tcBorders>
              <w:top w:val="single" w:sz="4" w:space="0" w:color="auto"/>
              <w:left w:val="single" w:sz="4" w:space="0" w:color="auto"/>
              <w:bottom w:val="single" w:sz="4" w:space="0" w:color="auto"/>
              <w:right w:val="single" w:sz="4" w:space="0" w:color="auto"/>
            </w:tcBorders>
          </w:tcPr>
          <w:p w14:paraId="2328D19E" w14:textId="40C6BC84" w:rsidR="009863AE" w:rsidRPr="00735726" w:rsidRDefault="009863AE" w:rsidP="009863AE">
            <w:pPr>
              <w:pStyle w:val="03body"/>
              <w:spacing w:line="360" w:lineRule="auto"/>
            </w:pPr>
            <w:r w:rsidRPr="00735726">
              <w:t>Chair</w:t>
            </w:r>
          </w:p>
        </w:tc>
        <w:tc>
          <w:tcPr>
            <w:tcW w:w="1844" w:type="dxa"/>
            <w:tcBorders>
              <w:top w:val="single" w:sz="4" w:space="0" w:color="auto"/>
              <w:left w:val="single" w:sz="4" w:space="0" w:color="auto"/>
              <w:bottom w:val="single" w:sz="4" w:space="0" w:color="auto"/>
              <w:right w:val="single" w:sz="4" w:space="0" w:color="auto"/>
            </w:tcBorders>
          </w:tcPr>
          <w:p w14:paraId="6FFE7043" w14:textId="5C3CA7EB" w:rsidR="009863AE" w:rsidRPr="00735726" w:rsidRDefault="008D6DD0" w:rsidP="009863AE">
            <w:pPr>
              <w:pStyle w:val="03body"/>
              <w:spacing w:line="360" w:lineRule="auto"/>
            </w:pPr>
            <w:r w:rsidRPr="00735726">
              <w:t>4/4</w:t>
            </w:r>
          </w:p>
        </w:tc>
      </w:tr>
      <w:tr w:rsidR="00C45B83" w:rsidRPr="00735726" w14:paraId="7D65E060" w14:textId="77777777" w:rsidTr="00881565">
        <w:trPr>
          <w:trHeight w:val="226"/>
        </w:trPr>
        <w:tc>
          <w:tcPr>
            <w:tcW w:w="2683" w:type="dxa"/>
            <w:tcBorders>
              <w:top w:val="single" w:sz="4" w:space="0" w:color="auto"/>
              <w:left w:val="single" w:sz="4" w:space="0" w:color="auto"/>
              <w:bottom w:val="single" w:sz="4" w:space="0" w:color="auto"/>
              <w:right w:val="single" w:sz="4" w:space="0" w:color="auto"/>
            </w:tcBorders>
          </w:tcPr>
          <w:p w14:paraId="018E3A46" w14:textId="2D8BB6DF" w:rsidR="00C45B83" w:rsidRPr="00735726" w:rsidRDefault="00C45B83" w:rsidP="00C45B83">
            <w:pPr>
              <w:pStyle w:val="03body"/>
              <w:spacing w:line="360" w:lineRule="auto"/>
            </w:pPr>
            <w:r w:rsidRPr="00735726">
              <w:t>Iain Evans</w:t>
            </w:r>
            <w:r w:rsidR="008D6DD0" w:rsidRPr="00735726">
              <w:rPr>
                <w:vertAlign w:val="superscript"/>
              </w:rPr>
              <w:t>1</w:t>
            </w:r>
          </w:p>
        </w:tc>
        <w:tc>
          <w:tcPr>
            <w:tcW w:w="2553" w:type="dxa"/>
            <w:tcBorders>
              <w:top w:val="single" w:sz="4" w:space="0" w:color="auto"/>
              <w:left w:val="single" w:sz="4" w:space="0" w:color="auto"/>
              <w:bottom w:val="single" w:sz="4" w:space="0" w:color="auto"/>
              <w:right w:val="single" w:sz="4" w:space="0" w:color="auto"/>
            </w:tcBorders>
          </w:tcPr>
          <w:p w14:paraId="485E3964" w14:textId="138BB053" w:rsidR="00C45B83" w:rsidRPr="00735726" w:rsidRDefault="00C45B83" w:rsidP="00C45B83">
            <w:pPr>
              <w:pStyle w:val="03body"/>
              <w:spacing w:line="360" w:lineRule="auto"/>
            </w:pPr>
            <w:r w:rsidRPr="00735726">
              <w:t>Non-Executive Director</w:t>
            </w:r>
          </w:p>
        </w:tc>
        <w:tc>
          <w:tcPr>
            <w:tcW w:w="1844" w:type="dxa"/>
            <w:tcBorders>
              <w:top w:val="single" w:sz="4" w:space="0" w:color="auto"/>
              <w:left w:val="single" w:sz="4" w:space="0" w:color="auto"/>
              <w:bottom w:val="single" w:sz="4" w:space="0" w:color="auto"/>
              <w:right w:val="single" w:sz="4" w:space="0" w:color="auto"/>
            </w:tcBorders>
          </w:tcPr>
          <w:p w14:paraId="61CC8060" w14:textId="591305F8" w:rsidR="00C45B83" w:rsidRPr="00735726" w:rsidRDefault="008D6DD0" w:rsidP="00C45B83">
            <w:pPr>
              <w:pStyle w:val="03body"/>
              <w:spacing w:line="360" w:lineRule="auto"/>
            </w:pPr>
            <w:r w:rsidRPr="00735726">
              <w:t>3/4</w:t>
            </w:r>
          </w:p>
        </w:tc>
      </w:tr>
      <w:tr w:rsidR="00C45B83" w:rsidRPr="00735726" w14:paraId="00951015" w14:textId="77777777" w:rsidTr="00881565">
        <w:trPr>
          <w:trHeight w:val="226"/>
        </w:trPr>
        <w:tc>
          <w:tcPr>
            <w:tcW w:w="2683" w:type="dxa"/>
            <w:tcBorders>
              <w:top w:val="single" w:sz="4" w:space="0" w:color="auto"/>
              <w:left w:val="single" w:sz="4" w:space="0" w:color="auto"/>
              <w:bottom w:val="single" w:sz="4" w:space="0" w:color="auto"/>
              <w:right w:val="single" w:sz="4" w:space="0" w:color="auto"/>
            </w:tcBorders>
          </w:tcPr>
          <w:p w14:paraId="65240162" w14:textId="43D5CA2F" w:rsidR="00C45B83" w:rsidRPr="00735726" w:rsidRDefault="00C45B83" w:rsidP="00C45B83">
            <w:pPr>
              <w:pStyle w:val="03body"/>
              <w:spacing w:line="360" w:lineRule="auto"/>
              <w:rPr>
                <w:vertAlign w:val="superscript"/>
              </w:rPr>
            </w:pPr>
            <w:r w:rsidRPr="00735726">
              <w:t>Andrea Blance</w:t>
            </w:r>
            <w:r w:rsidRPr="00735726">
              <w:rPr>
                <w:vertAlign w:val="superscript"/>
              </w:rPr>
              <w:t>2</w:t>
            </w:r>
          </w:p>
        </w:tc>
        <w:tc>
          <w:tcPr>
            <w:tcW w:w="2553" w:type="dxa"/>
            <w:tcBorders>
              <w:top w:val="single" w:sz="4" w:space="0" w:color="auto"/>
              <w:left w:val="single" w:sz="4" w:space="0" w:color="auto"/>
              <w:bottom w:val="single" w:sz="4" w:space="0" w:color="auto"/>
              <w:right w:val="single" w:sz="4" w:space="0" w:color="auto"/>
            </w:tcBorders>
          </w:tcPr>
          <w:p w14:paraId="3155FF78" w14:textId="690840ED" w:rsidR="00C45B83" w:rsidRPr="00735726" w:rsidRDefault="00C45B83" w:rsidP="00C45B83">
            <w:pPr>
              <w:pStyle w:val="03body"/>
              <w:spacing w:line="360" w:lineRule="auto"/>
            </w:pPr>
            <w:r w:rsidRPr="00735726">
              <w:t>Non-Executive Director</w:t>
            </w:r>
          </w:p>
        </w:tc>
        <w:tc>
          <w:tcPr>
            <w:tcW w:w="1844" w:type="dxa"/>
            <w:tcBorders>
              <w:top w:val="single" w:sz="4" w:space="0" w:color="auto"/>
              <w:left w:val="single" w:sz="4" w:space="0" w:color="auto"/>
              <w:bottom w:val="single" w:sz="4" w:space="0" w:color="auto"/>
              <w:right w:val="single" w:sz="4" w:space="0" w:color="auto"/>
            </w:tcBorders>
          </w:tcPr>
          <w:p w14:paraId="4B366387" w14:textId="203E3181" w:rsidR="00C45B83" w:rsidRPr="00735726" w:rsidRDefault="008D6DD0" w:rsidP="00C45B83">
            <w:pPr>
              <w:pStyle w:val="03body"/>
              <w:spacing w:line="360" w:lineRule="auto"/>
            </w:pPr>
            <w:r w:rsidRPr="00735726">
              <w:t>4/4</w:t>
            </w:r>
          </w:p>
        </w:tc>
      </w:tr>
    </w:tbl>
    <w:p w14:paraId="3BF2C7CF" w14:textId="0A54751B" w:rsidR="00081803" w:rsidRPr="00735726" w:rsidRDefault="008D6DD0" w:rsidP="00646F4F">
      <w:pPr>
        <w:pStyle w:val="ListParagraph"/>
        <w:numPr>
          <w:ilvl w:val="0"/>
          <w:numId w:val="45"/>
        </w:numPr>
        <w:rPr>
          <w:rFonts w:ascii="Arial" w:hAnsi="Arial" w:cs="Arial"/>
          <w:sz w:val="14"/>
          <w:szCs w:val="14"/>
        </w:rPr>
      </w:pPr>
      <w:r w:rsidRPr="00735726">
        <w:rPr>
          <w:rFonts w:ascii="Arial" w:hAnsi="Arial" w:cs="Arial"/>
          <w:sz w:val="14"/>
          <w:szCs w:val="14"/>
        </w:rPr>
        <w:t>Resigned 31 March 2026</w:t>
      </w:r>
    </w:p>
    <w:p w14:paraId="389FB310" w14:textId="66428183" w:rsidR="00C45B83" w:rsidRPr="00735726" w:rsidRDefault="00C45B83" w:rsidP="00646F4F">
      <w:pPr>
        <w:pStyle w:val="ListParagraph"/>
        <w:numPr>
          <w:ilvl w:val="0"/>
          <w:numId w:val="45"/>
        </w:numPr>
        <w:rPr>
          <w:rFonts w:ascii="Arial" w:hAnsi="Arial" w:cs="Arial"/>
          <w:sz w:val="14"/>
          <w:szCs w:val="14"/>
        </w:rPr>
      </w:pPr>
      <w:r w:rsidRPr="00735726">
        <w:rPr>
          <w:rFonts w:ascii="Arial" w:hAnsi="Arial" w:cs="Arial"/>
          <w:sz w:val="14"/>
          <w:szCs w:val="14"/>
        </w:rPr>
        <w:t>Appointed 8 April 2025</w:t>
      </w:r>
    </w:p>
    <w:p w14:paraId="0F261095" w14:textId="77777777" w:rsidR="004A75EA" w:rsidRPr="00735726" w:rsidRDefault="004A75EA" w:rsidP="004A75EA">
      <w:pPr>
        <w:rPr>
          <w:rFonts w:ascii="Arial" w:hAnsi="Arial" w:cs="Arial"/>
          <w:sz w:val="18"/>
          <w:szCs w:val="18"/>
        </w:rPr>
      </w:pPr>
      <w:r w:rsidRPr="00735726">
        <w:rPr>
          <w:rFonts w:ascii="Arial" w:hAnsi="Arial" w:cs="Arial"/>
          <w:sz w:val="18"/>
          <w:szCs w:val="18"/>
        </w:rPr>
        <w:t>Sir Andrew Haines became a member of the Audit Committee effective 1 April 2026.</w:t>
      </w:r>
    </w:p>
    <w:p w14:paraId="4256D535" w14:textId="7CF22871" w:rsidR="004A75EA" w:rsidRPr="00735726" w:rsidRDefault="004A75EA" w:rsidP="004A75EA">
      <w:pPr>
        <w:rPr>
          <w:rFonts w:ascii="Arial" w:hAnsi="Arial" w:cs="Arial"/>
          <w:sz w:val="18"/>
          <w:szCs w:val="18"/>
        </w:rPr>
      </w:pPr>
      <w:r w:rsidRPr="00735726">
        <w:rPr>
          <w:rFonts w:ascii="Arial" w:hAnsi="Arial" w:cs="Arial"/>
          <w:sz w:val="18"/>
          <w:szCs w:val="18"/>
        </w:rPr>
        <w:t xml:space="preserve">For the period between 1 April 2025 and the appointment of Andrea </w:t>
      </w:r>
      <w:proofErr w:type="spellStart"/>
      <w:r w:rsidRPr="00735726">
        <w:rPr>
          <w:rFonts w:ascii="Arial" w:hAnsi="Arial" w:cs="Arial"/>
          <w:sz w:val="18"/>
          <w:szCs w:val="18"/>
        </w:rPr>
        <w:t>Blance</w:t>
      </w:r>
      <w:proofErr w:type="spellEnd"/>
      <w:r w:rsidRPr="00735726">
        <w:rPr>
          <w:rFonts w:ascii="Arial" w:hAnsi="Arial" w:cs="Arial"/>
          <w:sz w:val="18"/>
          <w:szCs w:val="18"/>
        </w:rPr>
        <w:t xml:space="preserve"> on April 8</w:t>
      </w:r>
      <w:proofErr w:type="gramStart"/>
      <w:r w:rsidRPr="00735726">
        <w:rPr>
          <w:rFonts w:ascii="Arial" w:hAnsi="Arial" w:cs="Arial"/>
          <w:sz w:val="18"/>
          <w:szCs w:val="18"/>
        </w:rPr>
        <w:t xml:space="preserve"> 2025</w:t>
      </w:r>
      <w:proofErr w:type="gramEnd"/>
      <w:r w:rsidRPr="00735726">
        <w:rPr>
          <w:rFonts w:ascii="Arial" w:hAnsi="Arial" w:cs="Arial"/>
          <w:sz w:val="18"/>
          <w:szCs w:val="18"/>
        </w:rPr>
        <w:t xml:space="preserve">, the </w:t>
      </w:r>
      <w:r w:rsidR="00EB074B" w:rsidRPr="00735726">
        <w:rPr>
          <w:rFonts w:ascii="Arial" w:hAnsi="Arial" w:cs="Arial"/>
          <w:sz w:val="18"/>
          <w:szCs w:val="18"/>
        </w:rPr>
        <w:t>C</w:t>
      </w:r>
      <w:r w:rsidRPr="00735726">
        <w:rPr>
          <w:rFonts w:ascii="Arial" w:hAnsi="Arial" w:cs="Arial"/>
          <w:sz w:val="18"/>
          <w:szCs w:val="18"/>
        </w:rPr>
        <w:t xml:space="preserve">ommittee composition was not in compliance with Provision 24 of the UK Corporate Governance Code 2024. However, there were no </w:t>
      </w:r>
      <w:r w:rsidR="00EB074B" w:rsidRPr="00735726">
        <w:rPr>
          <w:rFonts w:ascii="Arial" w:hAnsi="Arial" w:cs="Arial"/>
          <w:sz w:val="18"/>
          <w:szCs w:val="18"/>
        </w:rPr>
        <w:t>C</w:t>
      </w:r>
      <w:r w:rsidRPr="00735726">
        <w:rPr>
          <w:rFonts w:ascii="Arial" w:hAnsi="Arial" w:cs="Arial"/>
          <w:sz w:val="18"/>
          <w:szCs w:val="18"/>
        </w:rPr>
        <w:t xml:space="preserve">ommittee meetings </w:t>
      </w:r>
      <w:proofErr w:type="gramStart"/>
      <w:r w:rsidRPr="00735726">
        <w:rPr>
          <w:rFonts w:ascii="Arial" w:hAnsi="Arial" w:cs="Arial"/>
          <w:sz w:val="18"/>
          <w:szCs w:val="18"/>
        </w:rPr>
        <w:t>held</w:t>
      </w:r>
      <w:proofErr w:type="gramEnd"/>
      <w:r w:rsidRPr="00735726">
        <w:rPr>
          <w:rFonts w:ascii="Arial" w:hAnsi="Arial" w:cs="Arial"/>
          <w:sz w:val="18"/>
          <w:szCs w:val="18"/>
        </w:rPr>
        <w:t xml:space="preserve"> or decisions made during the relevant period.</w:t>
      </w:r>
    </w:p>
    <w:p w14:paraId="04316966" w14:textId="77777777" w:rsidR="004F030D" w:rsidRPr="00735726" w:rsidRDefault="004F030D" w:rsidP="005A5668">
      <w:pPr>
        <w:rPr>
          <w:rFonts w:ascii="Arial" w:hAnsi="Arial" w:cs="Arial"/>
          <w:i/>
          <w:iCs/>
          <w:sz w:val="18"/>
          <w:szCs w:val="18"/>
        </w:rPr>
      </w:pPr>
      <w:r w:rsidRPr="00735726">
        <w:rPr>
          <w:rFonts w:ascii="Arial" w:hAnsi="Arial" w:cs="Arial"/>
          <w:i/>
          <w:iCs/>
          <w:sz w:val="18"/>
          <w:szCs w:val="18"/>
        </w:rPr>
        <w:t>ROLE OF THE AUDIT COMMITTEE</w:t>
      </w:r>
    </w:p>
    <w:p w14:paraId="655905FD" w14:textId="301997E5" w:rsidR="009E1EB1" w:rsidRPr="00735726" w:rsidRDefault="009E1EB1" w:rsidP="00646F4F">
      <w:pPr>
        <w:pStyle w:val="ListParagraph"/>
        <w:numPr>
          <w:ilvl w:val="0"/>
          <w:numId w:val="99"/>
        </w:numPr>
        <w:rPr>
          <w:rFonts w:ascii="Arial" w:hAnsi="Arial" w:cs="Arial"/>
          <w:sz w:val="18"/>
          <w:szCs w:val="18"/>
        </w:rPr>
      </w:pPr>
      <w:r w:rsidRPr="00735726">
        <w:rPr>
          <w:rFonts w:ascii="Arial" w:hAnsi="Arial" w:cs="Arial"/>
          <w:sz w:val="18"/>
          <w:szCs w:val="18"/>
        </w:rPr>
        <w:t>Monitor and review the effectiveness of the Company’s risk management and internal control framework, including financial, operational, reporting and compliance controls.</w:t>
      </w:r>
    </w:p>
    <w:p w14:paraId="1AB6BF23" w14:textId="30BEDE3C" w:rsidR="009E1EB1" w:rsidRPr="00735726" w:rsidRDefault="009E1EB1" w:rsidP="00646F4F">
      <w:pPr>
        <w:pStyle w:val="ListParagraph"/>
        <w:numPr>
          <w:ilvl w:val="0"/>
          <w:numId w:val="99"/>
        </w:numPr>
        <w:rPr>
          <w:rFonts w:ascii="Arial" w:hAnsi="Arial" w:cs="Arial"/>
          <w:sz w:val="18"/>
          <w:szCs w:val="18"/>
        </w:rPr>
      </w:pPr>
      <w:r w:rsidRPr="00735726">
        <w:rPr>
          <w:rFonts w:ascii="Arial" w:hAnsi="Arial" w:cs="Arial"/>
          <w:sz w:val="18"/>
          <w:szCs w:val="18"/>
        </w:rPr>
        <w:t>Monitor the integrity of the Company’s financial and regulatory reporting, including significant reporting judgements.</w:t>
      </w:r>
    </w:p>
    <w:p w14:paraId="4BD835DF" w14:textId="1D81A65E" w:rsidR="009E1EB1" w:rsidRPr="00735726" w:rsidRDefault="009E1EB1" w:rsidP="00646F4F">
      <w:pPr>
        <w:pStyle w:val="ListParagraph"/>
        <w:numPr>
          <w:ilvl w:val="0"/>
          <w:numId w:val="99"/>
        </w:numPr>
        <w:rPr>
          <w:rFonts w:ascii="Arial" w:hAnsi="Arial" w:cs="Arial"/>
          <w:sz w:val="18"/>
          <w:szCs w:val="18"/>
        </w:rPr>
      </w:pPr>
      <w:r w:rsidRPr="00735726">
        <w:rPr>
          <w:rFonts w:ascii="Arial" w:hAnsi="Arial" w:cs="Arial"/>
          <w:sz w:val="18"/>
          <w:szCs w:val="18"/>
        </w:rPr>
        <w:t>Oversee the effectiveness and independence of Internal Audit and the adequacy of the Company’s assurance framework.</w:t>
      </w:r>
    </w:p>
    <w:p w14:paraId="3D2D1DFB" w14:textId="581ED14E" w:rsidR="009E1EB1" w:rsidRPr="00735726" w:rsidRDefault="009E1EB1" w:rsidP="00646F4F">
      <w:pPr>
        <w:pStyle w:val="ListParagraph"/>
        <w:numPr>
          <w:ilvl w:val="0"/>
          <w:numId w:val="99"/>
        </w:numPr>
        <w:rPr>
          <w:rFonts w:ascii="Arial" w:hAnsi="Arial" w:cs="Arial"/>
          <w:sz w:val="18"/>
          <w:szCs w:val="18"/>
        </w:rPr>
      </w:pPr>
      <w:r w:rsidRPr="00735726">
        <w:rPr>
          <w:rFonts w:ascii="Arial" w:hAnsi="Arial" w:cs="Arial"/>
          <w:sz w:val="18"/>
          <w:szCs w:val="18"/>
        </w:rPr>
        <w:t>Review key Company policies within the Committee’s remit, including Risk Management, Treasury, Tax and the Delegated Authorities Schedule.</w:t>
      </w:r>
    </w:p>
    <w:p w14:paraId="74F6FFA4" w14:textId="77777777" w:rsidR="009E1EB1" w:rsidRPr="00735726" w:rsidRDefault="009E1EB1" w:rsidP="00646F4F">
      <w:pPr>
        <w:pStyle w:val="ListParagraph"/>
        <w:numPr>
          <w:ilvl w:val="0"/>
          <w:numId w:val="99"/>
        </w:numPr>
        <w:rPr>
          <w:rFonts w:ascii="Arial" w:hAnsi="Arial" w:cs="Arial"/>
          <w:sz w:val="18"/>
          <w:szCs w:val="18"/>
        </w:rPr>
      </w:pPr>
      <w:r w:rsidRPr="00735726">
        <w:rPr>
          <w:rFonts w:ascii="Arial" w:hAnsi="Arial" w:cs="Arial"/>
          <w:sz w:val="18"/>
          <w:szCs w:val="18"/>
        </w:rPr>
        <w:t xml:space="preserve">Oversee the external audit process, including auditor appointment (as appropriate), audit quality and independence, and approval of non-audit services. </w:t>
      </w:r>
    </w:p>
    <w:p w14:paraId="38F912DD" w14:textId="77777777" w:rsidR="009E1EB1" w:rsidRPr="00735726" w:rsidRDefault="009E1EB1" w:rsidP="00646F4F">
      <w:pPr>
        <w:pStyle w:val="ListParagraph"/>
        <w:numPr>
          <w:ilvl w:val="0"/>
          <w:numId w:val="99"/>
        </w:numPr>
        <w:rPr>
          <w:rFonts w:ascii="Arial" w:hAnsi="Arial" w:cs="Arial"/>
          <w:sz w:val="18"/>
          <w:szCs w:val="18"/>
        </w:rPr>
      </w:pPr>
      <w:r w:rsidRPr="00735726">
        <w:rPr>
          <w:rFonts w:ascii="Arial" w:hAnsi="Arial" w:cs="Arial"/>
          <w:sz w:val="18"/>
          <w:szCs w:val="18"/>
        </w:rPr>
        <w:t>Review the effectiveness of arrangements for whistleblowing and fraud risk management.</w:t>
      </w:r>
    </w:p>
    <w:p w14:paraId="1090F13B" w14:textId="29FAAF84" w:rsidR="004F030D" w:rsidRPr="00735726" w:rsidRDefault="004F030D" w:rsidP="009E1EB1">
      <w:pPr>
        <w:rPr>
          <w:rFonts w:ascii="Arial" w:hAnsi="Arial" w:cs="Arial"/>
          <w:i/>
          <w:iCs/>
          <w:sz w:val="18"/>
          <w:szCs w:val="18"/>
        </w:rPr>
      </w:pPr>
      <w:r w:rsidRPr="00735726">
        <w:rPr>
          <w:rFonts w:ascii="Arial" w:hAnsi="Arial" w:cs="Arial"/>
          <w:i/>
          <w:iCs/>
          <w:sz w:val="18"/>
          <w:szCs w:val="18"/>
        </w:rPr>
        <w:t xml:space="preserve">THE COMMITTEE’S FOCUS FOR </w:t>
      </w:r>
      <w:r w:rsidR="0072510F" w:rsidRPr="00735726">
        <w:rPr>
          <w:rFonts w:ascii="Arial" w:hAnsi="Arial" w:cs="Arial"/>
          <w:i/>
          <w:iCs/>
          <w:sz w:val="18"/>
          <w:szCs w:val="18"/>
        </w:rPr>
        <w:t>202</w:t>
      </w:r>
      <w:r w:rsidR="00A960C8" w:rsidRPr="00735726">
        <w:rPr>
          <w:rFonts w:ascii="Arial" w:hAnsi="Arial" w:cs="Arial"/>
          <w:i/>
          <w:iCs/>
          <w:sz w:val="18"/>
          <w:szCs w:val="18"/>
        </w:rPr>
        <w:t>5/26</w:t>
      </w:r>
    </w:p>
    <w:p w14:paraId="0FC3CBA1" w14:textId="3D40E6AA" w:rsidR="00A960C8" w:rsidRPr="00735726" w:rsidRDefault="00A960C8" w:rsidP="00646F4F">
      <w:pPr>
        <w:pStyle w:val="ListParagraph"/>
        <w:numPr>
          <w:ilvl w:val="0"/>
          <w:numId w:val="100"/>
        </w:numPr>
        <w:rPr>
          <w:rFonts w:ascii="Arial" w:hAnsi="Arial" w:cs="Arial"/>
          <w:sz w:val="18"/>
          <w:szCs w:val="18"/>
        </w:rPr>
      </w:pPr>
      <w:r w:rsidRPr="00735726">
        <w:rPr>
          <w:rFonts w:ascii="Arial" w:hAnsi="Arial" w:cs="Arial"/>
          <w:sz w:val="18"/>
          <w:szCs w:val="18"/>
        </w:rPr>
        <w:t>Strengthen oversight of the Company’s risk management and internal control framework, including targeted deep dives.</w:t>
      </w:r>
    </w:p>
    <w:p w14:paraId="6567A4DF" w14:textId="095BFECF" w:rsidR="00A960C8" w:rsidRPr="00735726" w:rsidRDefault="00A960C8" w:rsidP="00646F4F">
      <w:pPr>
        <w:pStyle w:val="ListParagraph"/>
        <w:numPr>
          <w:ilvl w:val="0"/>
          <w:numId w:val="100"/>
        </w:numPr>
        <w:rPr>
          <w:rFonts w:ascii="Arial" w:hAnsi="Arial" w:cs="Arial"/>
          <w:sz w:val="18"/>
          <w:szCs w:val="18"/>
        </w:rPr>
      </w:pPr>
      <w:r w:rsidRPr="00735726">
        <w:rPr>
          <w:rFonts w:ascii="Arial" w:hAnsi="Arial" w:cs="Arial"/>
          <w:sz w:val="18"/>
          <w:szCs w:val="18"/>
        </w:rPr>
        <w:t>Challenge key financial reporting judgements.</w:t>
      </w:r>
    </w:p>
    <w:p w14:paraId="0086DE51" w14:textId="7D765F4F" w:rsidR="00A960C8" w:rsidRPr="00735726" w:rsidRDefault="00A960C8" w:rsidP="00646F4F">
      <w:pPr>
        <w:pStyle w:val="ListParagraph"/>
        <w:numPr>
          <w:ilvl w:val="0"/>
          <w:numId w:val="100"/>
        </w:numPr>
        <w:rPr>
          <w:rFonts w:ascii="Arial" w:hAnsi="Arial" w:cs="Arial"/>
          <w:sz w:val="18"/>
          <w:szCs w:val="18"/>
        </w:rPr>
      </w:pPr>
      <w:r w:rsidRPr="00735726">
        <w:rPr>
          <w:rFonts w:ascii="Arial" w:hAnsi="Arial" w:cs="Arial"/>
          <w:sz w:val="18"/>
          <w:szCs w:val="18"/>
        </w:rPr>
        <w:t>Oversee external assurance, including audit scope, key risks, materiality, independence and approval of non-audit services, as well as regulatory assurance on the Annual Performance Report.</w:t>
      </w:r>
    </w:p>
    <w:p w14:paraId="3FEBE54A" w14:textId="122DC19E" w:rsidR="00A960C8" w:rsidRPr="00735726" w:rsidRDefault="00A960C8" w:rsidP="00646F4F">
      <w:pPr>
        <w:pStyle w:val="ListParagraph"/>
        <w:numPr>
          <w:ilvl w:val="0"/>
          <w:numId w:val="100"/>
        </w:numPr>
        <w:rPr>
          <w:rFonts w:ascii="Arial" w:hAnsi="Arial" w:cs="Arial"/>
          <w:sz w:val="18"/>
          <w:szCs w:val="18"/>
        </w:rPr>
      </w:pPr>
      <w:r w:rsidRPr="00735726">
        <w:rPr>
          <w:rFonts w:ascii="Arial" w:hAnsi="Arial" w:cs="Arial"/>
          <w:sz w:val="18"/>
          <w:szCs w:val="18"/>
        </w:rPr>
        <w:t>Review Internal Audit findings, monitor delivery of management actions, and approve the audit plan.</w:t>
      </w:r>
    </w:p>
    <w:p w14:paraId="0A6123F5" w14:textId="2633F184" w:rsidR="00A960C8" w:rsidRPr="00735726" w:rsidRDefault="00A960C8" w:rsidP="00646F4F">
      <w:pPr>
        <w:pStyle w:val="ListParagraph"/>
        <w:numPr>
          <w:ilvl w:val="0"/>
          <w:numId w:val="100"/>
        </w:numPr>
        <w:rPr>
          <w:rFonts w:ascii="Arial" w:hAnsi="Arial" w:cs="Arial"/>
          <w:sz w:val="18"/>
          <w:szCs w:val="18"/>
        </w:rPr>
      </w:pPr>
      <w:r w:rsidRPr="00735726">
        <w:rPr>
          <w:rFonts w:ascii="Arial" w:hAnsi="Arial" w:cs="Arial"/>
          <w:sz w:val="18"/>
          <w:szCs w:val="18"/>
        </w:rPr>
        <w:t>Support readiness for the UK Corporate Governance Code reforms, including Provision 29 requirements for audit, risk and internal controls.</w:t>
      </w:r>
    </w:p>
    <w:p w14:paraId="7D6BC18E" w14:textId="09840553" w:rsidR="00A960C8" w:rsidRPr="00735726" w:rsidRDefault="00A960C8" w:rsidP="00A960C8">
      <w:pPr>
        <w:rPr>
          <w:rFonts w:ascii="Arial" w:hAnsi="Arial" w:cs="Arial"/>
          <w:sz w:val="18"/>
          <w:szCs w:val="18"/>
        </w:rPr>
      </w:pPr>
      <w:r w:rsidRPr="00735726">
        <w:rPr>
          <w:rFonts w:ascii="Arial" w:hAnsi="Arial" w:cs="Arial"/>
          <w:sz w:val="18"/>
          <w:szCs w:val="18"/>
        </w:rPr>
        <w:t xml:space="preserve">This was an important year for the </w:t>
      </w:r>
      <w:r w:rsidR="00BF3CD5" w:rsidRPr="00735726">
        <w:rPr>
          <w:rFonts w:ascii="Arial" w:hAnsi="Arial" w:cs="Arial"/>
          <w:sz w:val="18"/>
          <w:szCs w:val="18"/>
        </w:rPr>
        <w:t>Company</w:t>
      </w:r>
      <w:r w:rsidRPr="00735726">
        <w:rPr>
          <w:rFonts w:ascii="Arial" w:hAnsi="Arial" w:cs="Arial"/>
          <w:sz w:val="18"/>
          <w:szCs w:val="18"/>
        </w:rPr>
        <w:t>, reflecting the start of the AMP8</w:t>
      </w:r>
      <w:r w:rsidR="00BF3CD5" w:rsidRPr="00735726">
        <w:rPr>
          <w:rFonts w:ascii="Arial" w:hAnsi="Arial" w:cs="Arial"/>
          <w:sz w:val="18"/>
          <w:szCs w:val="18"/>
        </w:rPr>
        <w:t xml:space="preserve"> </w:t>
      </w:r>
      <w:r w:rsidRPr="00735726">
        <w:rPr>
          <w:rFonts w:ascii="Arial" w:hAnsi="Arial" w:cs="Arial"/>
          <w:sz w:val="18"/>
          <w:szCs w:val="18"/>
        </w:rPr>
        <w:t>regulatory period, evolving reporting requirements and a</w:t>
      </w:r>
      <w:r w:rsidR="00BF3CD5" w:rsidRPr="00735726">
        <w:rPr>
          <w:rFonts w:ascii="Arial" w:hAnsi="Arial" w:cs="Arial"/>
          <w:sz w:val="18"/>
          <w:szCs w:val="18"/>
        </w:rPr>
        <w:t xml:space="preserve"> </w:t>
      </w:r>
      <w:r w:rsidRPr="00735726">
        <w:rPr>
          <w:rFonts w:ascii="Arial" w:hAnsi="Arial" w:cs="Arial"/>
          <w:sz w:val="18"/>
          <w:szCs w:val="18"/>
        </w:rPr>
        <w:t>change in Chief Executive Officer.</w:t>
      </w:r>
    </w:p>
    <w:p w14:paraId="433E42E1" w14:textId="0046F1F2" w:rsidR="00A960C8" w:rsidRPr="00735726" w:rsidRDefault="00A960C8" w:rsidP="00A960C8">
      <w:pPr>
        <w:rPr>
          <w:rFonts w:ascii="Arial" w:hAnsi="Arial" w:cs="Arial"/>
          <w:sz w:val="18"/>
          <w:szCs w:val="18"/>
        </w:rPr>
      </w:pPr>
      <w:r w:rsidRPr="00735726">
        <w:rPr>
          <w:rFonts w:ascii="Arial" w:hAnsi="Arial" w:cs="Arial"/>
          <w:sz w:val="18"/>
          <w:szCs w:val="18"/>
        </w:rPr>
        <w:t>This report describes how the Committee discharged the</w:t>
      </w:r>
      <w:r w:rsidR="00BF3CD5" w:rsidRPr="00735726">
        <w:rPr>
          <w:rFonts w:ascii="Arial" w:hAnsi="Arial" w:cs="Arial"/>
          <w:sz w:val="18"/>
          <w:szCs w:val="18"/>
        </w:rPr>
        <w:t xml:space="preserve"> </w:t>
      </w:r>
      <w:r w:rsidRPr="00735726">
        <w:rPr>
          <w:rFonts w:ascii="Arial" w:hAnsi="Arial" w:cs="Arial"/>
          <w:sz w:val="18"/>
          <w:szCs w:val="18"/>
        </w:rPr>
        <w:t>responsibilities delegated to it by the Board, including</w:t>
      </w:r>
      <w:r w:rsidR="00BF3CD5" w:rsidRPr="00735726">
        <w:rPr>
          <w:rFonts w:ascii="Arial" w:hAnsi="Arial" w:cs="Arial"/>
          <w:sz w:val="18"/>
          <w:szCs w:val="18"/>
        </w:rPr>
        <w:t xml:space="preserve"> </w:t>
      </w:r>
      <w:r w:rsidRPr="00735726">
        <w:rPr>
          <w:rFonts w:ascii="Arial" w:hAnsi="Arial" w:cs="Arial"/>
          <w:sz w:val="18"/>
          <w:szCs w:val="18"/>
        </w:rPr>
        <w:t>monitoring the integrity of the financial statements and</w:t>
      </w:r>
      <w:r w:rsidR="00BF3CD5" w:rsidRPr="00735726">
        <w:rPr>
          <w:rFonts w:ascii="Arial" w:hAnsi="Arial" w:cs="Arial"/>
          <w:sz w:val="18"/>
          <w:szCs w:val="18"/>
        </w:rPr>
        <w:t xml:space="preserve"> </w:t>
      </w:r>
      <w:r w:rsidRPr="00735726">
        <w:rPr>
          <w:rFonts w:ascii="Arial" w:hAnsi="Arial" w:cs="Arial"/>
          <w:sz w:val="18"/>
          <w:szCs w:val="18"/>
        </w:rPr>
        <w:t>related disclosures, reviewing the effectiveness of the</w:t>
      </w:r>
      <w:r w:rsidR="00BF3CD5" w:rsidRPr="00735726">
        <w:rPr>
          <w:rFonts w:ascii="Arial" w:hAnsi="Arial" w:cs="Arial"/>
          <w:sz w:val="18"/>
          <w:szCs w:val="18"/>
        </w:rPr>
        <w:t xml:space="preserve"> Company’s</w:t>
      </w:r>
      <w:r w:rsidRPr="00735726">
        <w:rPr>
          <w:rFonts w:ascii="Arial" w:hAnsi="Arial" w:cs="Arial"/>
          <w:sz w:val="18"/>
          <w:szCs w:val="18"/>
        </w:rPr>
        <w:t xml:space="preserve"> risk management and internal control systems,</w:t>
      </w:r>
      <w:r w:rsidR="00BF3CD5" w:rsidRPr="00735726">
        <w:rPr>
          <w:rFonts w:ascii="Arial" w:hAnsi="Arial" w:cs="Arial"/>
          <w:sz w:val="18"/>
          <w:szCs w:val="18"/>
        </w:rPr>
        <w:t xml:space="preserve"> </w:t>
      </w:r>
      <w:r w:rsidRPr="00735726">
        <w:rPr>
          <w:rFonts w:ascii="Arial" w:hAnsi="Arial" w:cs="Arial"/>
          <w:sz w:val="18"/>
          <w:szCs w:val="18"/>
        </w:rPr>
        <w:t>and supporting the Board’s assessment that the 2025/26</w:t>
      </w:r>
      <w:r w:rsidR="00BF3CD5" w:rsidRPr="00735726">
        <w:rPr>
          <w:rFonts w:ascii="Arial" w:hAnsi="Arial" w:cs="Arial"/>
          <w:sz w:val="18"/>
          <w:szCs w:val="18"/>
        </w:rPr>
        <w:t xml:space="preserve"> </w:t>
      </w:r>
      <w:r w:rsidRPr="00735726">
        <w:rPr>
          <w:rFonts w:ascii="Arial" w:hAnsi="Arial" w:cs="Arial"/>
          <w:sz w:val="18"/>
          <w:szCs w:val="18"/>
        </w:rPr>
        <w:t>Annual Report is fair, balanced and understandable.</w:t>
      </w:r>
    </w:p>
    <w:p w14:paraId="46988821" w14:textId="77777777" w:rsidR="00A960C8" w:rsidRPr="00735726" w:rsidRDefault="00A960C8" w:rsidP="00A960C8">
      <w:pPr>
        <w:rPr>
          <w:rFonts w:ascii="Arial" w:hAnsi="Arial" w:cs="Arial"/>
          <w:sz w:val="18"/>
          <w:szCs w:val="18"/>
        </w:rPr>
      </w:pPr>
      <w:r w:rsidRPr="00735726">
        <w:rPr>
          <w:rFonts w:ascii="Arial" w:hAnsi="Arial" w:cs="Arial"/>
          <w:sz w:val="18"/>
          <w:szCs w:val="18"/>
        </w:rPr>
        <w:t>We have focused on the following key priority areas:</w:t>
      </w:r>
    </w:p>
    <w:p w14:paraId="685D8E6B" w14:textId="7B36A435" w:rsidR="00A960C8" w:rsidRPr="00735726" w:rsidRDefault="00A960C8" w:rsidP="00646F4F">
      <w:pPr>
        <w:pStyle w:val="ListParagraph"/>
        <w:numPr>
          <w:ilvl w:val="0"/>
          <w:numId w:val="101"/>
        </w:numPr>
        <w:rPr>
          <w:rFonts w:ascii="Arial" w:hAnsi="Arial" w:cs="Arial"/>
          <w:sz w:val="18"/>
          <w:szCs w:val="18"/>
        </w:rPr>
      </w:pPr>
      <w:r w:rsidRPr="00735726">
        <w:rPr>
          <w:rFonts w:ascii="Arial" w:hAnsi="Arial" w:cs="Arial"/>
          <w:sz w:val="18"/>
          <w:szCs w:val="18"/>
        </w:rPr>
        <w:t xml:space="preserve">Internal controls and risk: Development of the </w:t>
      </w:r>
      <w:r w:rsidR="00BF3CD5" w:rsidRPr="00735726">
        <w:rPr>
          <w:rFonts w:ascii="Arial" w:hAnsi="Arial" w:cs="Arial"/>
          <w:sz w:val="18"/>
          <w:szCs w:val="18"/>
        </w:rPr>
        <w:t xml:space="preserve">Company’s </w:t>
      </w:r>
      <w:r w:rsidRPr="00735726">
        <w:rPr>
          <w:rFonts w:ascii="Arial" w:hAnsi="Arial" w:cs="Arial"/>
          <w:sz w:val="18"/>
          <w:szCs w:val="18"/>
        </w:rPr>
        <w:t>risk management and internal control framework,</w:t>
      </w:r>
      <w:r w:rsidR="00BF3CD5" w:rsidRPr="00735726">
        <w:rPr>
          <w:rFonts w:ascii="Arial" w:hAnsi="Arial" w:cs="Arial"/>
          <w:sz w:val="18"/>
          <w:szCs w:val="18"/>
        </w:rPr>
        <w:t xml:space="preserve"> </w:t>
      </w:r>
      <w:r w:rsidRPr="00735726">
        <w:rPr>
          <w:rFonts w:ascii="Arial" w:hAnsi="Arial" w:cs="Arial"/>
          <w:sz w:val="18"/>
          <w:szCs w:val="18"/>
        </w:rPr>
        <w:t>including deep dives on incident management, cyber</w:t>
      </w:r>
      <w:r w:rsidR="00BF3CD5" w:rsidRPr="00735726">
        <w:rPr>
          <w:rFonts w:ascii="Arial" w:hAnsi="Arial" w:cs="Arial"/>
          <w:sz w:val="18"/>
          <w:szCs w:val="18"/>
        </w:rPr>
        <w:t xml:space="preserve"> </w:t>
      </w:r>
      <w:r w:rsidRPr="00735726">
        <w:rPr>
          <w:rFonts w:ascii="Arial" w:hAnsi="Arial" w:cs="Arial"/>
          <w:sz w:val="18"/>
          <w:szCs w:val="18"/>
        </w:rPr>
        <w:t>security, and wastewater processes and controls.</w:t>
      </w:r>
    </w:p>
    <w:p w14:paraId="43F22DF4" w14:textId="64EBBAC9" w:rsidR="00A960C8" w:rsidRPr="00735726" w:rsidRDefault="00A960C8" w:rsidP="00646F4F">
      <w:pPr>
        <w:pStyle w:val="ListParagraph"/>
        <w:numPr>
          <w:ilvl w:val="0"/>
          <w:numId w:val="101"/>
        </w:numPr>
        <w:rPr>
          <w:rFonts w:ascii="Arial" w:hAnsi="Arial" w:cs="Arial"/>
          <w:sz w:val="18"/>
          <w:szCs w:val="18"/>
        </w:rPr>
      </w:pPr>
      <w:r w:rsidRPr="00735726">
        <w:rPr>
          <w:rFonts w:ascii="Arial" w:hAnsi="Arial" w:cs="Arial"/>
          <w:sz w:val="18"/>
          <w:szCs w:val="18"/>
        </w:rPr>
        <w:lastRenderedPageBreak/>
        <w:t>Financial reporting and FBU (fair, balanced and</w:t>
      </w:r>
      <w:r w:rsidR="00BF3CD5" w:rsidRPr="00735726">
        <w:rPr>
          <w:rFonts w:ascii="Arial" w:hAnsi="Arial" w:cs="Arial"/>
          <w:sz w:val="18"/>
          <w:szCs w:val="18"/>
        </w:rPr>
        <w:t xml:space="preserve"> </w:t>
      </w:r>
      <w:r w:rsidRPr="00735726">
        <w:rPr>
          <w:rFonts w:ascii="Arial" w:hAnsi="Arial" w:cs="Arial"/>
          <w:sz w:val="18"/>
          <w:szCs w:val="18"/>
        </w:rPr>
        <w:t>understandable): Challenge key financial reporting</w:t>
      </w:r>
      <w:r w:rsidR="00BF3CD5" w:rsidRPr="00735726">
        <w:rPr>
          <w:rFonts w:ascii="Arial" w:hAnsi="Arial" w:cs="Arial"/>
          <w:sz w:val="18"/>
          <w:szCs w:val="18"/>
        </w:rPr>
        <w:t xml:space="preserve"> </w:t>
      </w:r>
      <w:r w:rsidRPr="00735726">
        <w:rPr>
          <w:rFonts w:ascii="Arial" w:hAnsi="Arial" w:cs="Arial"/>
          <w:sz w:val="18"/>
          <w:szCs w:val="18"/>
        </w:rPr>
        <w:t>judgements (including climate-related considerations)</w:t>
      </w:r>
      <w:r w:rsidR="00BF3CD5" w:rsidRPr="00735726">
        <w:rPr>
          <w:rFonts w:ascii="Arial" w:hAnsi="Arial" w:cs="Arial"/>
          <w:sz w:val="18"/>
          <w:szCs w:val="18"/>
        </w:rPr>
        <w:t xml:space="preserve"> </w:t>
      </w:r>
      <w:r w:rsidRPr="00735726">
        <w:rPr>
          <w:rFonts w:ascii="Arial" w:hAnsi="Arial" w:cs="Arial"/>
          <w:sz w:val="18"/>
          <w:szCs w:val="18"/>
        </w:rPr>
        <w:t>and support the Board’s assessment that the Annual</w:t>
      </w:r>
      <w:r w:rsidR="00BF3CD5" w:rsidRPr="00735726">
        <w:rPr>
          <w:rFonts w:ascii="Arial" w:hAnsi="Arial" w:cs="Arial"/>
          <w:sz w:val="18"/>
          <w:szCs w:val="18"/>
        </w:rPr>
        <w:t xml:space="preserve"> </w:t>
      </w:r>
      <w:r w:rsidRPr="00735726">
        <w:rPr>
          <w:rFonts w:ascii="Arial" w:hAnsi="Arial" w:cs="Arial"/>
          <w:sz w:val="18"/>
          <w:szCs w:val="18"/>
        </w:rPr>
        <w:t>Report is fair, balanced and understandable.</w:t>
      </w:r>
    </w:p>
    <w:p w14:paraId="1C109668" w14:textId="7A467678" w:rsidR="00A960C8" w:rsidRPr="00735726" w:rsidRDefault="00A960C8" w:rsidP="00646F4F">
      <w:pPr>
        <w:pStyle w:val="ListParagraph"/>
        <w:numPr>
          <w:ilvl w:val="0"/>
          <w:numId w:val="101"/>
        </w:numPr>
        <w:rPr>
          <w:rFonts w:ascii="Arial" w:hAnsi="Arial" w:cs="Arial"/>
          <w:sz w:val="18"/>
          <w:szCs w:val="18"/>
        </w:rPr>
      </w:pPr>
      <w:r w:rsidRPr="00735726">
        <w:rPr>
          <w:rFonts w:ascii="Arial" w:hAnsi="Arial" w:cs="Arial"/>
          <w:sz w:val="18"/>
          <w:szCs w:val="18"/>
        </w:rPr>
        <w:t>External audit: Oversee the work of PwC as External Auditor, including audit scope, key risks,</w:t>
      </w:r>
      <w:r w:rsidR="00BF3CD5" w:rsidRPr="00735726">
        <w:rPr>
          <w:rFonts w:ascii="Arial" w:hAnsi="Arial" w:cs="Arial"/>
          <w:sz w:val="18"/>
          <w:szCs w:val="18"/>
        </w:rPr>
        <w:t xml:space="preserve"> </w:t>
      </w:r>
      <w:r w:rsidRPr="00735726">
        <w:rPr>
          <w:rFonts w:ascii="Arial" w:hAnsi="Arial" w:cs="Arial"/>
          <w:sz w:val="18"/>
          <w:szCs w:val="18"/>
        </w:rPr>
        <w:t>materiality, independence and approval of non-audit</w:t>
      </w:r>
      <w:r w:rsidR="00BF3CD5" w:rsidRPr="00735726">
        <w:rPr>
          <w:rFonts w:ascii="Arial" w:hAnsi="Arial" w:cs="Arial"/>
          <w:sz w:val="18"/>
          <w:szCs w:val="18"/>
        </w:rPr>
        <w:t xml:space="preserve"> </w:t>
      </w:r>
      <w:r w:rsidRPr="00735726">
        <w:rPr>
          <w:rFonts w:ascii="Arial" w:hAnsi="Arial" w:cs="Arial"/>
          <w:sz w:val="18"/>
          <w:szCs w:val="18"/>
        </w:rPr>
        <w:t>services.</w:t>
      </w:r>
    </w:p>
    <w:p w14:paraId="5F378908" w14:textId="636D7EA2" w:rsidR="00A960C8" w:rsidRPr="00735726" w:rsidRDefault="00A960C8" w:rsidP="00646F4F">
      <w:pPr>
        <w:pStyle w:val="ListParagraph"/>
        <w:numPr>
          <w:ilvl w:val="0"/>
          <w:numId w:val="101"/>
        </w:numPr>
        <w:rPr>
          <w:rFonts w:ascii="Arial" w:hAnsi="Arial" w:cs="Arial"/>
          <w:sz w:val="18"/>
          <w:szCs w:val="18"/>
        </w:rPr>
      </w:pPr>
      <w:r w:rsidRPr="00735726">
        <w:rPr>
          <w:rFonts w:ascii="Arial" w:hAnsi="Arial" w:cs="Arial"/>
          <w:sz w:val="18"/>
          <w:szCs w:val="18"/>
        </w:rPr>
        <w:t>Assurance and internal audit: Review Internal Audit</w:t>
      </w:r>
      <w:r w:rsidR="00BF3CD5" w:rsidRPr="00735726">
        <w:rPr>
          <w:rFonts w:ascii="Arial" w:hAnsi="Arial" w:cs="Arial"/>
          <w:sz w:val="18"/>
          <w:szCs w:val="18"/>
        </w:rPr>
        <w:t xml:space="preserve"> </w:t>
      </w:r>
      <w:r w:rsidRPr="00735726">
        <w:rPr>
          <w:rFonts w:ascii="Arial" w:hAnsi="Arial" w:cs="Arial"/>
          <w:sz w:val="18"/>
          <w:szCs w:val="18"/>
        </w:rPr>
        <w:t>findings, monitor delivery of management actions, and</w:t>
      </w:r>
      <w:r w:rsidR="00BF3CD5" w:rsidRPr="00735726">
        <w:rPr>
          <w:rFonts w:ascii="Arial" w:hAnsi="Arial" w:cs="Arial"/>
          <w:sz w:val="18"/>
          <w:szCs w:val="18"/>
        </w:rPr>
        <w:t xml:space="preserve"> </w:t>
      </w:r>
      <w:r w:rsidRPr="00735726">
        <w:rPr>
          <w:rFonts w:ascii="Arial" w:hAnsi="Arial" w:cs="Arial"/>
          <w:sz w:val="18"/>
          <w:szCs w:val="18"/>
        </w:rPr>
        <w:t>ensure the audit plan remains aligned to principal and</w:t>
      </w:r>
      <w:r w:rsidR="00BF3CD5" w:rsidRPr="00735726">
        <w:rPr>
          <w:rFonts w:ascii="Arial" w:hAnsi="Arial" w:cs="Arial"/>
          <w:sz w:val="18"/>
          <w:szCs w:val="18"/>
        </w:rPr>
        <w:t xml:space="preserve"> </w:t>
      </w:r>
      <w:r w:rsidRPr="00735726">
        <w:rPr>
          <w:rFonts w:ascii="Arial" w:hAnsi="Arial" w:cs="Arial"/>
          <w:sz w:val="18"/>
          <w:szCs w:val="18"/>
        </w:rPr>
        <w:t>emerging risks.</w:t>
      </w:r>
    </w:p>
    <w:p w14:paraId="0B8C06BC" w14:textId="5A71FF77" w:rsidR="00A960C8" w:rsidRPr="00735726" w:rsidRDefault="00A960C8" w:rsidP="00646F4F">
      <w:pPr>
        <w:pStyle w:val="ListParagraph"/>
        <w:numPr>
          <w:ilvl w:val="0"/>
          <w:numId w:val="101"/>
        </w:numPr>
        <w:rPr>
          <w:rFonts w:ascii="Arial" w:hAnsi="Arial" w:cs="Arial"/>
          <w:sz w:val="18"/>
          <w:szCs w:val="18"/>
        </w:rPr>
      </w:pPr>
      <w:r w:rsidRPr="00735726">
        <w:rPr>
          <w:rFonts w:ascii="Arial" w:hAnsi="Arial" w:cs="Arial"/>
          <w:sz w:val="18"/>
          <w:szCs w:val="18"/>
        </w:rPr>
        <w:t>Resilience, regulatory and governance readiness:</w:t>
      </w:r>
      <w:r w:rsidR="00BF3CD5" w:rsidRPr="00735726">
        <w:rPr>
          <w:rFonts w:ascii="Arial" w:hAnsi="Arial" w:cs="Arial"/>
          <w:sz w:val="18"/>
          <w:szCs w:val="18"/>
        </w:rPr>
        <w:t xml:space="preserve"> </w:t>
      </w:r>
      <w:r w:rsidRPr="00735726">
        <w:rPr>
          <w:rFonts w:ascii="Arial" w:hAnsi="Arial" w:cs="Arial"/>
          <w:sz w:val="18"/>
          <w:szCs w:val="18"/>
        </w:rPr>
        <w:t>Oversee going concern and longer-term viability work,</w:t>
      </w:r>
      <w:r w:rsidR="00BF3CD5" w:rsidRPr="00735726">
        <w:rPr>
          <w:rFonts w:ascii="Arial" w:hAnsi="Arial" w:cs="Arial"/>
          <w:sz w:val="18"/>
          <w:szCs w:val="18"/>
        </w:rPr>
        <w:t xml:space="preserve"> </w:t>
      </w:r>
      <w:r w:rsidRPr="00735726">
        <w:rPr>
          <w:rFonts w:ascii="Arial" w:hAnsi="Arial" w:cs="Arial"/>
          <w:sz w:val="18"/>
          <w:szCs w:val="18"/>
        </w:rPr>
        <w:t>regulatory reporting/assurance activity (including</w:t>
      </w:r>
      <w:r w:rsidR="00BF3CD5" w:rsidRPr="00735726">
        <w:rPr>
          <w:rFonts w:ascii="Arial" w:hAnsi="Arial" w:cs="Arial"/>
          <w:sz w:val="18"/>
          <w:szCs w:val="18"/>
        </w:rPr>
        <w:t xml:space="preserve"> </w:t>
      </w:r>
      <w:r w:rsidRPr="00735726">
        <w:rPr>
          <w:rFonts w:ascii="Arial" w:hAnsi="Arial" w:cs="Arial"/>
          <w:sz w:val="18"/>
          <w:szCs w:val="18"/>
        </w:rPr>
        <w:t>AMP8 regulatory assurance), and preparations for</w:t>
      </w:r>
      <w:r w:rsidR="00BF3CD5" w:rsidRPr="00735726">
        <w:rPr>
          <w:rFonts w:ascii="Arial" w:hAnsi="Arial" w:cs="Arial"/>
          <w:sz w:val="18"/>
          <w:szCs w:val="18"/>
        </w:rPr>
        <w:t xml:space="preserve"> </w:t>
      </w:r>
      <w:r w:rsidRPr="00735726">
        <w:rPr>
          <w:rFonts w:ascii="Arial" w:hAnsi="Arial" w:cs="Arial"/>
          <w:sz w:val="18"/>
          <w:szCs w:val="18"/>
        </w:rPr>
        <w:t>UK Corporate Governance Code reforms including</w:t>
      </w:r>
      <w:r w:rsidR="00BF3CD5" w:rsidRPr="00735726">
        <w:rPr>
          <w:rFonts w:ascii="Arial" w:hAnsi="Arial" w:cs="Arial"/>
          <w:sz w:val="18"/>
          <w:szCs w:val="18"/>
        </w:rPr>
        <w:t xml:space="preserve"> </w:t>
      </w:r>
      <w:r w:rsidRPr="00735726">
        <w:rPr>
          <w:rFonts w:ascii="Arial" w:hAnsi="Arial" w:cs="Arial"/>
          <w:sz w:val="18"/>
          <w:szCs w:val="18"/>
        </w:rPr>
        <w:t>the programme of work to support the Board’s future</w:t>
      </w:r>
      <w:r w:rsidR="00BF3CD5" w:rsidRPr="00735726">
        <w:rPr>
          <w:rFonts w:ascii="Arial" w:hAnsi="Arial" w:cs="Arial"/>
          <w:sz w:val="18"/>
          <w:szCs w:val="18"/>
        </w:rPr>
        <w:t xml:space="preserve"> </w:t>
      </w:r>
      <w:r w:rsidRPr="00735726">
        <w:rPr>
          <w:rFonts w:ascii="Arial" w:hAnsi="Arial" w:cs="Arial"/>
          <w:sz w:val="18"/>
          <w:szCs w:val="18"/>
        </w:rPr>
        <w:t>Provision 29 declaration on material internal controls.</w:t>
      </w:r>
    </w:p>
    <w:p w14:paraId="6FBC8D0A" w14:textId="03B8BDDE" w:rsidR="00A960C8" w:rsidRPr="00735726" w:rsidRDefault="00A960C8" w:rsidP="00A960C8">
      <w:pPr>
        <w:rPr>
          <w:rFonts w:ascii="Arial" w:hAnsi="Arial" w:cs="Arial"/>
          <w:sz w:val="18"/>
          <w:szCs w:val="18"/>
        </w:rPr>
      </w:pPr>
      <w:r w:rsidRPr="00735726">
        <w:rPr>
          <w:rFonts w:ascii="Arial" w:hAnsi="Arial" w:cs="Arial"/>
          <w:sz w:val="18"/>
          <w:szCs w:val="18"/>
        </w:rPr>
        <w:t>The Committee provided robust challenge to</w:t>
      </w:r>
      <w:r w:rsidR="00BF3CD5" w:rsidRPr="00735726">
        <w:rPr>
          <w:rFonts w:ascii="Arial" w:hAnsi="Arial" w:cs="Arial"/>
          <w:sz w:val="18"/>
          <w:szCs w:val="18"/>
        </w:rPr>
        <w:t xml:space="preserve"> </w:t>
      </w:r>
      <w:r w:rsidRPr="00735726">
        <w:rPr>
          <w:rFonts w:ascii="Arial" w:hAnsi="Arial" w:cs="Arial"/>
          <w:sz w:val="18"/>
          <w:szCs w:val="18"/>
        </w:rPr>
        <w:t>management’s key judgements and the related</w:t>
      </w:r>
      <w:r w:rsidR="00BF3CD5" w:rsidRPr="00735726">
        <w:rPr>
          <w:rFonts w:ascii="Arial" w:hAnsi="Arial" w:cs="Arial"/>
          <w:sz w:val="18"/>
          <w:szCs w:val="18"/>
        </w:rPr>
        <w:t xml:space="preserve"> </w:t>
      </w:r>
      <w:r w:rsidRPr="00735726">
        <w:rPr>
          <w:rFonts w:ascii="Arial" w:hAnsi="Arial" w:cs="Arial"/>
          <w:sz w:val="18"/>
          <w:szCs w:val="18"/>
        </w:rPr>
        <w:t>disclosures, supported by the External Auditor</w:t>
      </w:r>
      <w:r w:rsidR="00AF04D7" w:rsidRPr="00735726">
        <w:rPr>
          <w:rFonts w:ascii="Arial" w:hAnsi="Arial" w:cs="Arial"/>
          <w:sz w:val="18"/>
          <w:szCs w:val="18"/>
        </w:rPr>
        <w:t>s</w:t>
      </w:r>
      <w:r w:rsidRPr="00735726">
        <w:rPr>
          <w:rFonts w:ascii="Arial" w:hAnsi="Arial" w:cs="Arial"/>
          <w:sz w:val="18"/>
          <w:szCs w:val="18"/>
        </w:rPr>
        <w:t xml:space="preserve"> and</w:t>
      </w:r>
      <w:r w:rsidR="00BF3CD5" w:rsidRPr="00735726">
        <w:rPr>
          <w:rFonts w:ascii="Arial" w:hAnsi="Arial" w:cs="Arial"/>
          <w:sz w:val="18"/>
          <w:szCs w:val="18"/>
        </w:rPr>
        <w:t xml:space="preserve"> </w:t>
      </w:r>
      <w:r w:rsidRPr="00735726">
        <w:rPr>
          <w:rFonts w:ascii="Arial" w:hAnsi="Arial" w:cs="Arial"/>
          <w:sz w:val="18"/>
          <w:szCs w:val="18"/>
        </w:rPr>
        <w:t>specialist assurance providers. Following PwC’s</w:t>
      </w:r>
      <w:r w:rsidR="00BF3CD5" w:rsidRPr="00735726">
        <w:rPr>
          <w:rFonts w:ascii="Arial" w:hAnsi="Arial" w:cs="Arial"/>
          <w:sz w:val="18"/>
          <w:szCs w:val="18"/>
        </w:rPr>
        <w:t xml:space="preserve"> </w:t>
      </w:r>
      <w:r w:rsidRPr="00735726">
        <w:rPr>
          <w:rFonts w:ascii="Arial" w:hAnsi="Arial" w:cs="Arial"/>
          <w:sz w:val="18"/>
          <w:szCs w:val="18"/>
        </w:rPr>
        <w:t>appointment as External Auditor</w:t>
      </w:r>
      <w:r w:rsidR="00AF04D7" w:rsidRPr="00735726">
        <w:rPr>
          <w:rFonts w:ascii="Arial" w:hAnsi="Arial" w:cs="Arial"/>
          <w:sz w:val="18"/>
          <w:szCs w:val="18"/>
        </w:rPr>
        <w:t>s</w:t>
      </w:r>
      <w:r w:rsidRPr="00735726">
        <w:rPr>
          <w:rFonts w:ascii="Arial" w:hAnsi="Arial" w:cs="Arial"/>
          <w:sz w:val="18"/>
          <w:szCs w:val="18"/>
        </w:rPr>
        <w:t xml:space="preserve"> for the 2024/25 financial</w:t>
      </w:r>
      <w:r w:rsidR="00BF3CD5" w:rsidRPr="00735726">
        <w:rPr>
          <w:rFonts w:ascii="Arial" w:hAnsi="Arial" w:cs="Arial"/>
          <w:sz w:val="18"/>
          <w:szCs w:val="18"/>
        </w:rPr>
        <w:t xml:space="preserve"> </w:t>
      </w:r>
      <w:r w:rsidRPr="00735726">
        <w:rPr>
          <w:rFonts w:ascii="Arial" w:hAnsi="Arial" w:cs="Arial"/>
          <w:sz w:val="18"/>
          <w:szCs w:val="18"/>
        </w:rPr>
        <w:t>year (after a competitive tender in 2023/24), we oversaw</w:t>
      </w:r>
      <w:r w:rsidR="00BF3CD5" w:rsidRPr="00735726">
        <w:rPr>
          <w:rFonts w:ascii="Arial" w:hAnsi="Arial" w:cs="Arial"/>
          <w:sz w:val="18"/>
          <w:szCs w:val="18"/>
        </w:rPr>
        <w:t xml:space="preserve"> </w:t>
      </w:r>
      <w:r w:rsidRPr="00735726">
        <w:rPr>
          <w:rFonts w:ascii="Arial" w:hAnsi="Arial" w:cs="Arial"/>
          <w:sz w:val="18"/>
          <w:szCs w:val="18"/>
        </w:rPr>
        <w:t>audit delivery,</w:t>
      </w:r>
      <w:r w:rsidR="00BF3CD5" w:rsidRPr="00735726">
        <w:rPr>
          <w:rFonts w:ascii="Arial" w:hAnsi="Arial" w:cs="Arial"/>
          <w:sz w:val="18"/>
          <w:szCs w:val="18"/>
        </w:rPr>
        <w:t xml:space="preserve"> </w:t>
      </w:r>
      <w:r w:rsidRPr="00735726">
        <w:rPr>
          <w:rFonts w:ascii="Arial" w:hAnsi="Arial" w:cs="Arial"/>
          <w:sz w:val="18"/>
          <w:szCs w:val="18"/>
        </w:rPr>
        <w:t>monitored independence (including non</w:t>
      </w:r>
      <w:r w:rsidR="00BF3CD5" w:rsidRPr="00735726">
        <w:rPr>
          <w:rFonts w:ascii="Arial" w:hAnsi="Arial" w:cs="Arial"/>
          <w:sz w:val="18"/>
          <w:szCs w:val="18"/>
        </w:rPr>
        <w:t>-</w:t>
      </w:r>
      <w:r w:rsidRPr="00735726">
        <w:rPr>
          <w:rFonts w:ascii="Arial" w:hAnsi="Arial" w:cs="Arial"/>
          <w:sz w:val="18"/>
          <w:szCs w:val="18"/>
        </w:rPr>
        <w:t>audit</w:t>
      </w:r>
      <w:r w:rsidR="00BF3CD5" w:rsidRPr="00735726">
        <w:rPr>
          <w:rFonts w:ascii="Arial" w:hAnsi="Arial" w:cs="Arial"/>
          <w:sz w:val="18"/>
          <w:szCs w:val="18"/>
        </w:rPr>
        <w:t xml:space="preserve"> </w:t>
      </w:r>
      <w:r w:rsidRPr="00735726">
        <w:rPr>
          <w:rFonts w:ascii="Arial" w:hAnsi="Arial" w:cs="Arial"/>
          <w:sz w:val="18"/>
          <w:szCs w:val="18"/>
        </w:rPr>
        <w:t>services approvals) and assessed the effectiveness</w:t>
      </w:r>
      <w:r w:rsidR="00BF3CD5" w:rsidRPr="00735726">
        <w:rPr>
          <w:rFonts w:ascii="Arial" w:hAnsi="Arial" w:cs="Arial"/>
          <w:sz w:val="18"/>
          <w:szCs w:val="18"/>
        </w:rPr>
        <w:t xml:space="preserve"> </w:t>
      </w:r>
      <w:r w:rsidRPr="00735726">
        <w:rPr>
          <w:rFonts w:ascii="Arial" w:hAnsi="Arial" w:cs="Arial"/>
          <w:sz w:val="18"/>
          <w:szCs w:val="18"/>
        </w:rPr>
        <w:t>of the audit process.</w:t>
      </w:r>
    </w:p>
    <w:p w14:paraId="2565618E" w14:textId="7F95AADD" w:rsidR="00AE0C40" w:rsidRPr="009A2CAE" w:rsidRDefault="00AE0C40" w:rsidP="00AE0C40">
      <w:pPr>
        <w:rPr>
          <w:rFonts w:ascii="Arial" w:hAnsi="Arial" w:cs="Arial"/>
          <w:sz w:val="18"/>
          <w:szCs w:val="18"/>
        </w:rPr>
      </w:pPr>
      <w:r w:rsidRPr="00735726">
        <w:rPr>
          <w:rFonts w:ascii="Arial" w:hAnsi="Arial" w:cs="Arial"/>
          <w:sz w:val="18"/>
          <w:szCs w:val="18"/>
        </w:rPr>
        <w:t>The Committee advised the Board on its statement that the 2025/26 Annual Report, taken as a whole, is fair, balanced and understandable and provides the information necessary for stakeholders to assess the Company’s position, performance, business model and strategy. In doing so, we considered the effectiveness of the verification and review processes supporting the Annual Report and challenged management to improve clarity and balance where needed. The key financial reporting judgements considered by the Committee are summarised later in this report (see page</w:t>
      </w:r>
      <w:r w:rsidR="00390ECE" w:rsidRPr="00735726">
        <w:rPr>
          <w:rFonts w:ascii="Arial" w:hAnsi="Arial" w:cs="Arial"/>
          <w:sz w:val="18"/>
          <w:szCs w:val="18"/>
        </w:rPr>
        <w:t>s</w:t>
      </w:r>
      <w:r w:rsidRPr="00735726">
        <w:rPr>
          <w:rFonts w:ascii="Arial" w:hAnsi="Arial" w:cs="Arial"/>
          <w:sz w:val="18"/>
          <w:szCs w:val="18"/>
        </w:rPr>
        <w:t xml:space="preserve"> </w:t>
      </w:r>
      <w:r w:rsidR="00390ECE" w:rsidRPr="009A2CAE">
        <w:rPr>
          <w:rFonts w:ascii="Arial" w:hAnsi="Arial" w:cs="Arial"/>
          <w:sz w:val="18"/>
          <w:szCs w:val="18"/>
        </w:rPr>
        <w:t>132 to 133</w:t>
      </w:r>
      <w:r w:rsidRPr="009A2CAE">
        <w:rPr>
          <w:rFonts w:ascii="Arial" w:hAnsi="Arial" w:cs="Arial"/>
          <w:sz w:val="18"/>
          <w:szCs w:val="18"/>
        </w:rPr>
        <w:t>).</w:t>
      </w:r>
    </w:p>
    <w:p w14:paraId="24A31C1E" w14:textId="75A419F0" w:rsidR="00AE0C40" w:rsidRPr="00735726" w:rsidRDefault="00AE0C40" w:rsidP="00AE0C40">
      <w:pPr>
        <w:rPr>
          <w:rFonts w:ascii="Arial" w:hAnsi="Arial" w:cs="Arial"/>
          <w:sz w:val="18"/>
          <w:szCs w:val="18"/>
        </w:rPr>
      </w:pPr>
      <w:r w:rsidRPr="00735726">
        <w:rPr>
          <w:rFonts w:ascii="Arial" w:hAnsi="Arial" w:cs="Arial"/>
          <w:sz w:val="18"/>
          <w:szCs w:val="18"/>
        </w:rPr>
        <w:t>Our work programme is aligned to the annual reporting cycle and the Committee’s terms of reference, enabling timely review of matters as they arise and appropriate challenge ahead of key Board decisions.</w:t>
      </w:r>
    </w:p>
    <w:p w14:paraId="27C2008B" w14:textId="00DD4481" w:rsidR="00AE0C40" w:rsidRPr="00735726" w:rsidRDefault="00AE0C40" w:rsidP="00AE0C40">
      <w:pPr>
        <w:rPr>
          <w:rFonts w:ascii="Arial" w:hAnsi="Arial" w:cs="Arial"/>
          <w:sz w:val="18"/>
          <w:szCs w:val="18"/>
        </w:rPr>
      </w:pPr>
      <w:r w:rsidRPr="00735726">
        <w:rPr>
          <w:rFonts w:ascii="Arial" w:hAnsi="Arial" w:cs="Arial"/>
          <w:sz w:val="18"/>
          <w:szCs w:val="18"/>
        </w:rPr>
        <w:t>We reviewed the effectiveness of the Company’s risk management and internal control systems through regular reporting on the operation of the risk framework, the outcomes of key assurance activity and the work of the independent Internal Audit function.</w:t>
      </w:r>
    </w:p>
    <w:p w14:paraId="3AE000A0" w14:textId="3F46B6FA" w:rsidR="00AE0C40" w:rsidRPr="00735726" w:rsidRDefault="00AE0C40" w:rsidP="00AE0C40">
      <w:pPr>
        <w:rPr>
          <w:rFonts w:ascii="Arial" w:hAnsi="Arial" w:cs="Arial"/>
          <w:sz w:val="18"/>
          <w:szCs w:val="18"/>
        </w:rPr>
      </w:pPr>
      <w:r w:rsidRPr="00735726">
        <w:rPr>
          <w:rFonts w:ascii="Arial" w:hAnsi="Arial" w:cs="Arial"/>
          <w:sz w:val="18"/>
          <w:szCs w:val="18"/>
        </w:rPr>
        <w:t>Additionally, the Audit Committee undertakes risk deep dives focused on aspects of the Company’s principal risks.</w:t>
      </w:r>
      <w:r w:rsidR="00047CDC" w:rsidRPr="00735726">
        <w:rPr>
          <w:rFonts w:ascii="Arial" w:hAnsi="Arial" w:cs="Arial"/>
          <w:sz w:val="18"/>
          <w:szCs w:val="18"/>
        </w:rPr>
        <w:t xml:space="preserve"> </w:t>
      </w:r>
      <w:r w:rsidRPr="00735726">
        <w:rPr>
          <w:rFonts w:ascii="Arial" w:hAnsi="Arial" w:cs="Arial"/>
          <w:sz w:val="18"/>
          <w:szCs w:val="18"/>
        </w:rPr>
        <w:t>During 2025/26, the Committee performed deep dives on the following areas:</w:t>
      </w:r>
    </w:p>
    <w:p w14:paraId="20DFDF8A" w14:textId="71066BDC" w:rsidR="00AE0C40" w:rsidRPr="00735726" w:rsidRDefault="00AE0C40" w:rsidP="00646F4F">
      <w:pPr>
        <w:pStyle w:val="ListParagraph"/>
        <w:numPr>
          <w:ilvl w:val="0"/>
          <w:numId w:val="102"/>
        </w:numPr>
        <w:rPr>
          <w:rFonts w:ascii="Arial" w:hAnsi="Arial" w:cs="Arial"/>
          <w:sz w:val="18"/>
          <w:szCs w:val="18"/>
        </w:rPr>
      </w:pPr>
      <w:r w:rsidRPr="00735726">
        <w:rPr>
          <w:rFonts w:ascii="Arial" w:hAnsi="Arial" w:cs="Arial"/>
          <w:sz w:val="18"/>
          <w:szCs w:val="18"/>
        </w:rPr>
        <w:t xml:space="preserve">Incident management </w:t>
      </w:r>
      <w:r w:rsidR="006C1BA9" w:rsidRPr="00735726">
        <w:rPr>
          <w:rFonts w:ascii="Arial" w:hAnsi="Arial" w:cs="Arial"/>
          <w:sz w:val="18"/>
          <w:szCs w:val="18"/>
        </w:rPr>
        <w:t xml:space="preserve">- </w:t>
      </w:r>
      <w:r w:rsidRPr="00735726">
        <w:rPr>
          <w:rFonts w:ascii="Arial" w:hAnsi="Arial" w:cs="Arial"/>
          <w:sz w:val="18"/>
          <w:szCs w:val="18"/>
        </w:rPr>
        <w:t>in particular following incidents arising during the current or prior year to ensure that lessons are learned and embedded in the processes and systems operating across the Company.</w:t>
      </w:r>
    </w:p>
    <w:p w14:paraId="3ACF62AE" w14:textId="1E64DE05" w:rsidR="00AE0C40" w:rsidRPr="00735726" w:rsidRDefault="00AE0C40" w:rsidP="00646F4F">
      <w:pPr>
        <w:pStyle w:val="ListParagraph"/>
        <w:numPr>
          <w:ilvl w:val="0"/>
          <w:numId w:val="102"/>
        </w:numPr>
        <w:rPr>
          <w:rFonts w:ascii="Arial" w:hAnsi="Arial" w:cs="Arial"/>
          <w:sz w:val="18"/>
          <w:szCs w:val="18"/>
        </w:rPr>
      </w:pPr>
      <w:r w:rsidRPr="00735726">
        <w:rPr>
          <w:rFonts w:ascii="Arial" w:hAnsi="Arial" w:cs="Arial"/>
          <w:sz w:val="18"/>
          <w:szCs w:val="18"/>
        </w:rPr>
        <w:t xml:space="preserve">Cyber security </w:t>
      </w:r>
      <w:r w:rsidR="006C1BA9" w:rsidRPr="00735726">
        <w:rPr>
          <w:rFonts w:ascii="Arial" w:hAnsi="Arial" w:cs="Arial"/>
          <w:sz w:val="18"/>
          <w:szCs w:val="18"/>
        </w:rPr>
        <w:t xml:space="preserve">- </w:t>
      </w:r>
      <w:r w:rsidRPr="00735726">
        <w:rPr>
          <w:rFonts w:ascii="Arial" w:hAnsi="Arial" w:cs="Arial"/>
          <w:sz w:val="18"/>
          <w:szCs w:val="18"/>
        </w:rPr>
        <w:t>as one of our principal risks, this has been a key focus for the Committee, including updates on our cyber-resilience plans at each Audit Committee meeting, as well as cyber exercises taking place during the year, including involvement from the Board.</w:t>
      </w:r>
    </w:p>
    <w:p w14:paraId="64BAA8FC" w14:textId="54F7061E" w:rsidR="00A960C8" w:rsidRPr="009A2CAE" w:rsidRDefault="00AE0C40" w:rsidP="00646F4F">
      <w:pPr>
        <w:pStyle w:val="ListParagraph"/>
        <w:numPr>
          <w:ilvl w:val="0"/>
          <w:numId w:val="102"/>
        </w:numPr>
        <w:rPr>
          <w:rFonts w:ascii="Arial" w:hAnsi="Arial" w:cs="Arial"/>
          <w:sz w:val="18"/>
          <w:szCs w:val="18"/>
        </w:rPr>
      </w:pPr>
      <w:r w:rsidRPr="00735726">
        <w:rPr>
          <w:rFonts w:ascii="Arial" w:hAnsi="Arial" w:cs="Arial"/>
          <w:sz w:val="18"/>
          <w:szCs w:val="18"/>
        </w:rPr>
        <w:t xml:space="preserve">Wastewater processes and controls </w:t>
      </w:r>
      <w:r w:rsidR="006C1BA9" w:rsidRPr="00735726">
        <w:rPr>
          <w:rFonts w:ascii="Arial" w:hAnsi="Arial" w:cs="Arial"/>
          <w:sz w:val="18"/>
          <w:szCs w:val="18"/>
        </w:rPr>
        <w:t xml:space="preserve">- </w:t>
      </w:r>
      <w:r w:rsidRPr="00735726">
        <w:rPr>
          <w:rFonts w:ascii="Arial" w:hAnsi="Arial" w:cs="Arial"/>
          <w:sz w:val="18"/>
          <w:szCs w:val="18"/>
        </w:rPr>
        <w:t xml:space="preserve">the effectiveness of our controls, monitoring and reporting processes in wastewater are critical, and we recognised the historic challenges across the sector in offering Enforcement Undertakings in August 2025 in response to legacy issues (see also page </w:t>
      </w:r>
      <w:r w:rsidR="00390ECE" w:rsidRPr="009A2CAE">
        <w:rPr>
          <w:rFonts w:ascii="Arial" w:hAnsi="Arial" w:cs="Arial"/>
          <w:sz w:val="18"/>
          <w:szCs w:val="18"/>
        </w:rPr>
        <w:t>4</w:t>
      </w:r>
      <w:r w:rsidR="00A747B9" w:rsidRPr="009A2CAE">
        <w:rPr>
          <w:rFonts w:ascii="Arial" w:hAnsi="Arial" w:cs="Arial"/>
          <w:sz w:val="18"/>
          <w:szCs w:val="18"/>
        </w:rPr>
        <w:t>3</w:t>
      </w:r>
      <w:r w:rsidRPr="009A2CAE">
        <w:rPr>
          <w:rFonts w:ascii="Arial" w:hAnsi="Arial" w:cs="Arial"/>
          <w:sz w:val="18"/>
          <w:szCs w:val="18"/>
        </w:rPr>
        <w:t xml:space="preserve">). </w:t>
      </w:r>
      <w:r w:rsidRPr="00735726">
        <w:rPr>
          <w:rFonts w:ascii="Arial" w:hAnsi="Arial" w:cs="Arial"/>
          <w:sz w:val="18"/>
          <w:szCs w:val="18"/>
        </w:rPr>
        <w:t>The Audit Committee has undertaken a risk deep dive into the wastewater processes and controls, as well as having received updates from Internal Audit on the implementation of the action plan agreed in response to the 2024 Environment Agency prosecution.</w:t>
      </w:r>
    </w:p>
    <w:p w14:paraId="46630312" w14:textId="585FA352" w:rsidR="00AE0C40" w:rsidRPr="009A2CAE" w:rsidRDefault="00AE0C40" w:rsidP="00AE0C40">
      <w:pPr>
        <w:rPr>
          <w:rFonts w:ascii="Arial" w:hAnsi="Arial" w:cs="Arial"/>
          <w:sz w:val="18"/>
          <w:szCs w:val="18"/>
        </w:rPr>
      </w:pPr>
      <w:r w:rsidRPr="00735726">
        <w:rPr>
          <w:rFonts w:ascii="Arial" w:hAnsi="Arial" w:cs="Arial"/>
          <w:sz w:val="18"/>
          <w:szCs w:val="18"/>
        </w:rPr>
        <w:t xml:space="preserve">More detail on our risk management processes, principal risks and their associated mitigation can be found on pages </w:t>
      </w:r>
      <w:r w:rsidR="00390ECE" w:rsidRPr="009A2CAE">
        <w:rPr>
          <w:rFonts w:ascii="Arial" w:hAnsi="Arial" w:cs="Arial"/>
          <w:sz w:val="18"/>
          <w:szCs w:val="18"/>
        </w:rPr>
        <w:t>62</w:t>
      </w:r>
      <w:r w:rsidRPr="009A2CAE">
        <w:rPr>
          <w:rFonts w:ascii="Arial" w:hAnsi="Arial" w:cs="Arial"/>
          <w:sz w:val="18"/>
          <w:szCs w:val="18"/>
        </w:rPr>
        <w:t xml:space="preserve"> to </w:t>
      </w:r>
      <w:r w:rsidR="00390ECE" w:rsidRPr="009A2CAE">
        <w:rPr>
          <w:rFonts w:ascii="Arial" w:hAnsi="Arial" w:cs="Arial"/>
          <w:sz w:val="18"/>
          <w:szCs w:val="18"/>
        </w:rPr>
        <w:t>74</w:t>
      </w:r>
      <w:r w:rsidRPr="009A2CAE">
        <w:rPr>
          <w:rFonts w:ascii="Arial" w:hAnsi="Arial" w:cs="Arial"/>
          <w:sz w:val="18"/>
          <w:szCs w:val="18"/>
        </w:rPr>
        <w:t>.</w:t>
      </w:r>
    </w:p>
    <w:p w14:paraId="2C9D9FD1" w14:textId="5B26FE2A" w:rsidR="00AE0C40" w:rsidRPr="00735726" w:rsidRDefault="00AE0C40" w:rsidP="00AE0C40">
      <w:pPr>
        <w:rPr>
          <w:rFonts w:ascii="Arial" w:hAnsi="Arial" w:cs="Arial"/>
          <w:sz w:val="18"/>
          <w:szCs w:val="18"/>
        </w:rPr>
      </w:pPr>
      <w:r w:rsidRPr="00735726">
        <w:rPr>
          <w:rFonts w:ascii="Arial" w:hAnsi="Arial" w:cs="Arial"/>
          <w:sz w:val="18"/>
          <w:szCs w:val="18"/>
        </w:rPr>
        <w:t>The Committee received regular updates on preparations</w:t>
      </w:r>
      <w:r w:rsidR="004E5B0B" w:rsidRPr="00735726">
        <w:rPr>
          <w:rFonts w:ascii="Arial" w:hAnsi="Arial" w:cs="Arial"/>
          <w:sz w:val="18"/>
          <w:szCs w:val="18"/>
        </w:rPr>
        <w:t xml:space="preserve"> </w:t>
      </w:r>
      <w:r w:rsidRPr="00735726">
        <w:rPr>
          <w:rFonts w:ascii="Arial" w:hAnsi="Arial" w:cs="Arial"/>
          <w:sz w:val="18"/>
          <w:szCs w:val="18"/>
        </w:rPr>
        <w:t>for the 2024 UK Corporate Governance Code reforms, in</w:t>
      </w:r>
      <w:r w:rsidR="004E5B0B" w:rsidRPr="00735726">
        <w:rPr>
          <w:rFonts w:ascii="Arial" w:hAnsi="Arial" w:cs="Arial"/>
          <w:sz w:val="18"/>
          <w:szCs w:val="18"/>
        </w:rPr>
        <w:t xml:space="preserve"> </w:t>
      </w:r>
      <w:r w:rsidRPr="00735726">
        <w:rPr>
          <w:rFonts w:ascii="Arial" w:hAnsi="Arial" w:cs="Arial"/>
          <w:sz w:val="18"/>
          <w:szCs w:val="18"/>
        </w:rPr>
        <w:t>particular Provision 29 and the strengthened expectation</w:t>
      </w:r>
      <w:r w:rsidR="004E5B0B" w:rsidRPr="00735726">
        <w:rPr>
          <w:rFonts w:ascii="Arial" w:hAnsi="Arial" w:cs="Arial"/>
          <w:sz w:val="18"/>
          <w:szCs w:val="18"/>
        </w:rPr>
        <w:t xml:space="preserve"> </w:t>
      </w:r>
      <w:r w:rsidRPr="00735726">
        <w:rPr>
          <w:rFonts w:ascii="Arial" w:hAnsi="Arial" w:cs="Arial"/>
          <w:sz w:val="18"/>
          <w:szCs w:val="18"/>
        </w:rPr>
        <w:t>for the Board to make a declaration on the</w:t>
      </w:r>
      <w:r w:rsidR="004E5B0B" w:rsidRPr="00735726">
        <w:rPr>
          <w:rFonts w:ascii="Arial" w:hAnsi="Arial" w:cs="Arial"/>
          <w:sz w:val="18"/>
          <w:szCs w:val="18"/>
        </w:rPr>
        <w:t xml:space="preserve"> </w:t>
      </w:r>
      <w:r w:rsidRPr="00735726">
        <w:rPr>
          <w:rFonts w:ascii="Arial" w:hAnsi="Arial" w:cs="Arial"/>
          <w:sz w:val="18"/>
          <w:szCs w:val="18"/>
        </w:rPr>
        <w:t>effectiveness</w:t>
      </w:r>
      <w:r w:rsidR="004E5B0B" w:rsidRPr="00735726">
        <w:rPr>
          <w:rFonts w:ascii="Arial" w:hAnsi="Arial" w:cs="Arial"/>
          <w:sz w:val="18"/>
          <w:szCs w:val="18"/>
        </w:rPr>
        <w:t xml:space="preserve"> </w:t>
      </w:r>
      <w:r w:rsidRPr="00735726">
        <w:rPr>
          <w:rFonts w:ascii="Arial" w:hAnsi="Arial" w:cs="Arial"/>
          <w:sz w:val="18"/>
          <w:szCs w:val="18"/>
        </w:rPr>
        <w:t>of material internal controls. During the year we</w:t>
      </w:r>
      <w:r w:rsidR="004E5B0B" w:rsidRPr="00735726">
        <w:rPr>
          <w:rFonts w:ascii="Arial" w:hAnsi="Arial" w:cs="Arial"/>
          <w:sz w:val="18"/>
          <w:szCs w:val="18"/>
        </w:rPr>
        <w:t xml:space="preserve"> </w:t>
      </w:r>
      <w:r w:rsidRPr="00735726">
        <w:rPr>
          <w:rFonts w:ascii="Arial" w:hAnsi="Arial" w:cs="Arial"/>
          <w:sz w:val="18"/>
          <w:szCs w:val="18"/>
        </w:rPr>
        <w:t>progressed the identification and confirmation of material</w:t>
      </w:r>
      <w:r w:rsidR="004E5B0B" w:rsidRPr="00735726">
        <w:rPr>
          <w:rFonts w:ascii="Arial" w:hAnsi="Arial" w:cs="Arial"/>
          <w:sz w:val="18"/>
          <w:szCs w:val="18"/>
        </w:rPr>
        <w:t xml:space="preserve"> </w:t>
      </w:r>
      <w:r w:rsidRPr="00735726">
        <w:rPr>
          <w:rFonts w:ascii="Arial" w:hAnsi="Arial" w:cs="Arial"/>
          <w:sz w:val="18"/>
          <w:szCs w:val="18"/>
        </w:rPr>
        <w:t>controls across financial and non-financial areas, with a</w:t>
      </w:r>
      <w:r w:rsidR="004E5B0B" w:rsidRPr="00735726">
        <w:rPr>
          <w:rFonts w:ascii="Arial" w:hAnsi="Arial" w:cs="Arial"/>
          <w:sz w:val="18"/>
          <w:szCs w:val="18"/>
        </w:rPr>
        <w:t xml:space="preserve"> </w:t>
      </w:r>
      <w:r w:rsidRPr="00735726">
        <w:rPr>
          <w:rFonts w:ascii="Arial" w:hAnsi="Arial" w:cs="Arial"/>
          <w:sz w:val="18"/>
          <w:szCs w:val="18"/>
        </w:rPr>
        <w:t>plan being finalised for testing across 2026/27.</w:t>
      </w:r>
    </w:p>
    <w:p w14:paraId="5324D997" w14:textId="54BA7966" w:rsidR="00AE0C40" w:rsidRPr="00735726" w:rsidRDefault="00AE0C40" w:rsidP="00AE0C40">
      <w:pPr>
        <w:rPr>
          <w:rFonts w:ascii="Arial" w:hAnsi="Arial" w:cs="Arial"/>
          <w:sz w:val="18"/>
          <w:szCs w:val="18"/>
        </w:rPr>
      </w:pPr>
      <w:r w:rsidRPr="00735726">
        <w:rPr>
          <w:rFonts w:ascii="Arial" w:hAnsi="Arial" w:cs="Arial"/>
          <w:sz w:val="18"/>
          <w:szCs w:val="18"/>
        </w:rPr>
        <w:t xml:space="preserve">The Committee also reviewed the </w:t>
      </w:r>
      <w:r w:rsidR="004E5B0B" w:rsidRPr="00735726">
        <w:rPr>
          <w:rFonts w:ascii="Arial" w:hAnsi="Arial" w:cs="Arial"/>
          <w:sz w:val="18"/>
          <w:szCs w:val="18"/>
        </w:rPr>
        <w:t>Company’s</w:t>
      </w:r>
      <w:r w:rsidRPr="00735726">
        <w:rPr>
          <w:rFonts w:ascii="Arial" w:hAnsi="Arial" w:cs="Arial"/>
          <w:sz w:val="18"/>
          <w:szCs w:val="18"/>
        </w:rPr>
        <w:t xml:space="preserve"> financial</w:t>
      </w:r>
      <w:r w:rsidR="004E5B0B" w:rsidRPr="00735726">
        <w:rPr>
          <w:rFonts w:ascii="Arial" w:hAnsi="Arial" w:cs="Arial"/>
          <w:sz w:val="18"/>
          <w:szCs w:val="18"/>
        </w:rPr>
        <w:t xml:space="preserve"> </w:t>
      </w:r>
      <w:r w:rsidRPr="00735726">
        <w:rPr>
          <w:rFonts w:ascii="Arial" w:hAnsi="Arial" w:cs="Arial"/>
          <w:sz w:val="18"/>
          <w:szCs w:val="18"/>
        </w:rPr>
        <w:t>resilience throughout the year. On behalf of the Board,</w:t>
      </w:r>
      <w:r w:rsidR="004E5B0B" w:rsidRPr="00735726">
        <w:rPr>
          <w:rFonts w:ascii="Arial" w:hAnsi="Arial" w:cs="Arial"/>
          <w:sz w:val="18"/>
          <w:szCs w:val="18"/>
        </w:rPr>
        <w:t xml:space="preserve"> </w:t>
      </w:r>
      <w:r w:rsidRPr="00735726">
        <w:rPr>
          <w:rFonts w:ascii="Arial" w:hAnsi="Arial" w:cs="Arial"/>
          <w:sz w:val="18"/>
          <w:szCs w:val="18"/>
        </w:rPr>
        <w:t>we considered the going concern assessment over a</w:t>
      </w:r>
      <w:r w:rsidR="004E5B0B" w:rsidRPr="00735726">
        <w:rPr>
          <w:rFonts w:ascii="Arial" w:hAnsi="Arial" w:cs="Arial"/>
          <w:sz w:val="18"/>
          <w:szCs w:val="18"/>
        </w:rPr>
        <w:t xml:space="preserve"> </w:t>
      </w:r>
      <w:r w:rsidRPr="00735726">
        <w:rPr>
          <w:rFonts w:ascii="Arial" w:hAnsi="Arial" w:cs="Arial"/>
          <w:sz w:val="18"/>
          <w:szCs w:val="18"/>
        </w:rPr>
        <w:t xml:space="preserve">15 month ‘look-forward’ period aligned to the </w:t>
      </w:r>
      <w:r w:rsidR="004E5B0B" w:rsidRPr="00735726">
        <w:rPr>
          <w:rFonts w:ascii="Arial" w:hAnsi="Arial" w:cs="Arial"/>
          <w:sz w:val="18"/>
          <w:szCs w:val="18"/>
        </w:rPr>
        <w:t xml:space="preserve">Company’s </w:t>
      </w:r>
      <w:r w:rsidRPr="00735726">
        <w:rPr>
          <w:rFonts w:ascii="Arial" w:hAnsi="Arial" w:cs="Arial"/>
          <w:sz w:val="18"/>
          <w:szCs w:val="18"/>
        </w:rPr>
        <w:t xml:space="preserve">liquidity </w:t>
      </w:r>
      <w:proofErr w:type="gramStart"/>
      <w:r w:rsidRPr="00735726">
        <w:rPr>
          <w:rFonts w:ascii="Arial" w:hAnsi="Arial" w:cs="Arial"/>
          <w:sz w:val="18"/>
          <w:szCs w:val="18"/>
        </w:rPr>
        <w:t>policy, and</w:t>
      </w:r>
      <w:proofErr w:type="gramEnd"/>
      <w:r w:rsidRPr="00735726">
        <w:rPr>
          <w:rFonts w:ascii="Arial" w:hAnsi="Arial" w:cs="Arial"/>
          <w:sz w:val="18"/>
          <w:szCs w:val="18"/>
        </w:rPr>
        <w:t xml:space="preserve"> reviewed the </w:t>
      </w:r>
      <w:r w:rsidR="004E5B0B" w:rsidRPr="00735726">
        <w:rPr>
          <w:rFonts w:ascii="Arial" w:hAnsi="Arial" w:cs="Arial"/>
          <w:sz w:val="18"/>
          <w:szCs w:val="18"/>
        </w:rPr>
        <w:t xml:space="preserve">Company’s </w:t>
      </w:r>
      <w:r w:rsidRPr="00735726">
        <w:rPr>
          <w:rFonts w:ascii="Arial" w:hAnsi="Arial" w:cs="Arial"/>
          <w:sz w:val="18"/>
          <w:szCs w:val="18"/>
        </w:rPr>
        <w:t>longer-term</w:t>
      </w:r>
      <w:r w:rsidR="004E5B0B" w:rsidRPr="00735726">
        <w:rPr>
          <w:rFonts w:ascii="Arial" w:hAnsi="Arial" w:cs="Arial"/>
          <w:sz w:val="18"/>
          <w:szCs w:val="18"/>
        </w:rPr>
        <w:t xml:space="preserve"> </w:t>
      </w:r>
      <w:r w:rsidRPr="00735726">
        <w:rPr>
          <w:rFonts w:ascii="Arial" w:hAnsi="Arial" w:cs="Arial"/>
          <w:sz w:val="18"/>
          <w:szCs w:val="18"/>
        </w:rPr>
        <w:t>viability over seven years. This assessment considered</w:t>
      </w:r>
      <w:r w:rsidR="004E5B0B" w:rsidRPr="00735726">
        <w:rPr>
          <w:rFonts w:ascii="Arial" w:hAnsi="Arial" w:cs="Arial"/>
          <w:sz w:val="18"/>
          <w:szCs w:val="18"/>
        </w:rPr>
        <w:t xml:space="preserve"> </w:t>
      </w:r>
      <w:r w:rsidRPr="00735726">
        <w:rPr>
          <w:rFonts w:ascii="Arial" w:hAnsi="Arial" w:cs="Arial"/>
          <w:sz w:val="18"/>
          <w:szCs w:val="18"/>
        </w:rPr>
        <w:lastRenderedPageBreak/>
        <w:t>projections and scenarios reflecting the external</w:t>
      </w:r>
      <w:r w:rsidR="004E5B0B" w:rsidRPr="00735726">
        <w:rPr>
          <w:rFonts w:ascii="Arial" w:hAnsi="Arial" w:cs="Arial"/>
          <w:sz w:val="18"/>
          <w:szCs w:val="18"/>
        </w:rPr>
        <w:t xml:space="preserve"> </w:t>
      </w:r>
      <w:r w:rsidRPr="00735726">
        <w:rPr>
          <w:rFonts w:ascii="Arial" w:hAnsi="Arial" w:cs="Arial"/>
          <w:sz w:val="18"/>
          <w:szCs w:val="18"/>
        </w:rPr>
        <w:t>environment, including economic uncertainty, inflation</w:t>
      </w:r>
      <w:r w:rsidR="004E5B0B" w:rsidRPr="00735726">
        <w:rPr>
          <w:rFonts w:ascii="Arial" w:hAnsi="Arial" w:cs="Arial"/>
          <w:sz w:val="18"/>
          <w:szCs w:val="18"/>
        </w:rPr>
        <w:t xml:space="preserve"> </w:t>
      </w:r>
      <w:r w:rsidRPr="00735726">
        <w:rPr>
          <w:rFonts w:ascii="Arial" w:hAnsi="Arial" w:cs="Arial"/>
          <w:sz w:val="18"/>
          <w:szCs w:val="18"/>
        </w:rPr>
        <w:t>and the potential impact of regulatory incentives and</w:t>
      </w:r>
      <w:r w:rsidR="004E5B0B" w:rsidRPr="00735726">
        <w:rPr>
          <w:rFonts w:ascii="Arial" w:hAnsi="Arial" w:cs="Arial"/>
          <w:sz w:val="18"/>
          <w:szCs w:val="18"/>
        </w:rPr>
        <w:t xml:space="preserve"> </w:t>
      </w:r>
      <w:r w:rsidRPr="00735726">
        <w:rPr>
          <w:rFonts w:ascii="Arial" w:hAnsi="Arial" w:cs="Arial"/>
          <w:sz w:val="18"/>
          <w:szCs w:val="18"/>
        </w:rPr>
        <w:t>penalties.</w:t>
      </w:r>
    </w:p>
    <w:p w14:paraId="7695F606" w14:textId="118FE375" w:rsidR="00AE0C40" w:rsidRPr="009A2CAE" w:rsidRDefault="00AE0C40" w:rsidP="00AE0C40">
      <w:pPr>
        <w:rPr>
          <w:rFonts w:ascii="Arial" w:hAnsi="Arial" w:cs="Arial"/>
          <w:sz w:val="18"/>
          <w:szCs w:val="18"/>
        </w:rPr>
      </w:pPr>
      <w:r w:rsidRPr="00735726">
        <w:rPr>
          <w:rFonts w:ascii="Arial" w:hAnsi="Arial" w:cs="Arial"/>
          <w:sz w:val="18"/>
          <w:szCs w:val="18"/>
        </w:rPr>
        <w:t>The Board has maintained the seven-year period for the</w:t>
      </w:r>
      <w:r w:rsidR="004E5B0B" w:rsidRPr="00735726">
        <w:rPr>
          <w:rFonts w:ascii="Arial" w:hAnsi="Arial" w:cs="Arial"/>
          <w:sz w:val="18"/>
          <w:szCs w:val="18"/>
        </w:rPr>
        <w:t xml:space="preserve"> </w:t>
      </w:r>
      <w:r w:rsidRPr="00735726">
        <w:rPr>
          <w:rFonts w:ascii="Arial" w:hAnsi="Arial" w:cs="Arial"/>
          <w:sz w:val="18"/>
          <w:szCs w:val="18"/>
        </w:rPr>
        <w:t>viability assessment. In the current year, this includes</w:t>
      </w:r>
      <w:r w:rsidR="004E5B0B" w:rsidRPr="00735726">
        <w:rPr>
          <w:rFonts w:ascii="Arial" w:hAnsi="Arial" w:cs="Arial"/>
          <w:sz w:val="18"/>
          <w:szCs w:val="18"/>
        </w:rPr>
        <w:t xml:space="preserve"> </w:t>
      </w:r>
      <w:r w:rsidRPr="00735726">
        <w:rPr>
          <w:rFonts w:ascii="Arial" w:hAnsi="Arial" w:cs="Arial"/>
          <w:sz w:val="18"/>
          <w:szCs w:val="18"/>
        </w:rPr>
        <w:t>the four years remaining of AMP8 alongside longer</w:t>
      </w:r>
      <w:r w:rsidR="004E5B0B" w:rsidRPr="00735726">
        <w:rPr>
          <w:rFonts w:ascii="Arial" w:hAnsi="Arial" w:cs="Arial"/>
          <w:sz w:val="18"/>
          <w:szCs w:val="18"/>
        </w:rPr>
        <w:t>-</w:t>
      </w:r>
      <w:r w:rsidRPr="00735726">
        <w:rPr>
          <w:rFonts w:ascii="Arial" w:hAnsi="Arial" w:cs="Arial"/>
          <w:sz w:val="18"/>
          <w:szCs w:val="18"/>
        </w:rPr>
        <w:t>term</w:t>
      </w:r>
      <w:r w:rsidR="004E5B0B" w:rsidRPr="00735726">
        <w:rPr>
          <w:rFonts w:ascii="Arial" w:hAnsi="Arial" w:cs="Arial"/>
          <w:sz w:val="18"/>
          <w:szCs w:val="18"/>
        </w:rPr>
        <w:t xml:space="preserve"> </w:t>
      </w:r>
      <w:r w:rsidRPr="00735726">
        <w:rPr>
          <w:rFonts w:ascii="Arial" w:hAnsi="Arial" w:cs="Arial"/>
          <w:sz w:val="18"/>
          <w:szCs w:val="18"/>
        </w:rPr>
        <w:t>forecasts informed by early AMP9 projections. The</w:t>
      </w:r>
      <w:r w:rsidR="004E5B0B" w:rsidRPr="00735726">
        <w:rPr>
          <w:rFonts w:ascii="Arial" w:hAnsi="Arial" w:cs="Arial"/>
          <w:sz w:val="18"/>
          <w:szCs w:val="18"/>
        </w:rPr>
        <w:t xml:space="preserve"> </w:t>
      </w:r>
      <w:r w:rsidRPr="00735726">
        <w:rPr>
          <w:rFonts w:ascii="Arial" w:hAnsi="Arial" w:cs="Arial"/>
          <w:sz w:val="18"/>
          <w:szCs w:val="18"/>
        </w:rPr>
        <w:t xml:space="preserve">viability statement is set out on pages </w:t>
      </w:r>
      <w:r w:rsidR="00390ECE" w:rsidRPr="009A2CAE">
        <w:rPr>
          <w:rFonts w:ascii="Arial" w:hAnsi="Arial" w:cs="Arial"/>
          <w:sz w:val="18"/>
          <w:szCs w:val="18"/>
        </w:rPr>
        <w:t xml:space="preserve">75 </w:t>
      </w:r>
      <w:r w:rsidRPr="009A2CAE">
        <w:rPr>
          <w:rFonts w:ascii="Arial" w:hAnsi="Arial" w:cs="Arial"/>
          <w:sz w:val="18"/>
          <w:szCs w:val="18"/>
        </w:rPr>
        <w:t xml:space="preserve">to </w:t>
      </w:r>
      <w:r w:rsidR="00390ECE" w:rsidRPr="009A2CAE">
        <w:rPr>
          <w:rFonts w:ascii="Arial" w:hAnsi="Arial" w:cs="Arial"/>
          <w:sz w:val="18"/>
          <w:szCs w:val="18"/>
        </w:rPr>
        <w:t>77</w:t>
      </w:r>
      <w:r w:rsidRPr="009A2CAE">
        <w:rPr>
          <w:rFonts w:ascii="Arial" w:hAnsi="Arial" w:cs="Arial"/>
          <w:sz w:val="18"/>
          <w:szCs w:val="18"/>
        </w:rPr>
        <w:t>.</w:t>
      </w:r>
    </w:p>
    <w:p w14:paraId="0BD5F725" w14:textId="108F9231" w:rsidR="00AE0C40" w:rsidRPr="009A2CAE" w:rsidRDefault="00AE0C40" w:rsidP="00AE0C40">
      <w:pPr>
        <w:rPr>
          <w:rFonts w:ascii="Arial" w:hAnsi="Arial" w:cs="Arial"/>
          <w:sz w:val="18"/>
          <w:szCs w:val="18"/>
        </w:rPr>
      </w:pPr>
      <w:r w:rsidRPr="00735726">
        <w:rPr>
          <w:rFonts w:ascii="Arial" w:hAnsi="Arial" w:cs="Arial"/>
          <w:sz w:val="18"/>
          <w:szCs w:val="18"/>
        </w:rPr>
        <w:t>I would like to thank Iain for his significant contribution</w:t>
      </w:r>
      <w:r w:rsidR="004E5B0B" w:rsidRPr="00735726">
        <w:rPr>
          <w:rFonts w:ascii="Arial" w:hAnsi="Arial" w:cs="Arial"/>
          <w:sz w:val="18"/>
          <w:szCs w:val="18"/>
        </w:rPr>
        <w:t xml:space="preserve"> </w:t>
      </w:r>
      <w:r w:rsidRPr="00735726">
        <w:rPr>
          <w:rFonts w:ascii="Arial" w:hAnsi="Arial" w:cs="Arial"/>
          <w:sz w:val="18"/>
          <w:szCs w:val="18"/>
        </w:rPr>
        <w:t>to the Committee over many years, and I am pleased to</w:t>
      </w:r>
      <w:r w:rsidR="004E5B0B" w:rsidRPr="00735726">
        <w:rPr>
          <w:rFonts w:ascii="Arial" w:hAnsi="Arial" w:cs="Arial"/>
          <w:sz w:val="18"/>
          <w:szCs w:val="18"/>
        </w:rPr>
        <w:t xml:space="preserve"> </w:t>
      </w:r>
      <w:r w:rsidRPr="00735726">
        <w:rPr>
          <w:rFonts w:ascii="Arial" w:hAnsi="Arial" w:cs="Arial"/>
          <w:sz w:val="18"/>
          <w:szCs w:val="18"/>
        </w:rPr>
        <w:t>welcome Sir Andrew Haines to the Committee following</w:t>
      </w:r>
      <w:r w:rsidR="004E5B0B" w:rsidRPr="00735726">
        <w:rPr>
          <w:rFonts w:ascii="Arial" w:hAnsi="Arial" w:cs="Arial"/>
          <w:sz w:val="18"/>
          <w:szCs w:val="18"/>
        </w:rPr>
        <w:t xml:space="preserve"> </w:t>
      </w:r>
      <w:r w:rsidRPr="00735726">
        <w:rPr>
          <w:rFonts w:ascii="Arial" w:hAnsi="Arial" w:cs="Arial"/>
          <w:sz w:val="18"/>
          <w:szCs w:val="18"/>
        </w:rPr>
        <w:t>his appointment to the Board during the year.</w:t>
      </w:r>
    </w:p>
    <w:p w14:paraId="443CCD90" w14:textId="6F9C9C7E" w:rsidR="004F030D" w:rsidRPr="00735726" w:rsidRDefault="004F030D" w:rsidP="005A5668">
      <w:pPr>
        <w:pStyle w:val="Headinglevel4"/>
        <w:spacing w:line="276" w:lineRule="auto"/>
        <w:outlineLvl w:val="0"/>
      </w:pPr>
      <w:r w:rsidRPr="00735726">
        <w:t xml:space="preserve">Audit Committee composition </w:t>
      </w:r>
    </w:p>
    <w:p w14:paraId="6BA6DBD6" w14:textId="0EF7858C" w:rsidR="004F030D" w:rsidRPr="00735726" w:rsidRDefault="004F030D" w:rsidP="005A5668">
      <w:pPr>
        <w:rPr>
          <w:rFonts w:ascii="Arial" w:hAnsi="Arial" w:cs="Arial"/>
          <w:sz w:val="18"/>
          <w:szCs w:val="18"/>
        </w:rPr>
      </w:pPr>
      <w:r w:rsidRPr="00735726">
        <w:rPr>
          <w:rFonts w:ascii="Arial" w:hAnsi="Arial" w:cs="Arial"/>
          <w:sz w:val="18"/>
          <w:szCs w:val="18"/>
        </w:rPr>
        <w:t>All members of the Committee are Independent Non-Executive Directors of the Board. In accordance with the UK Code, the Board is satisfied that Loraine Woodhouse</w:t>
      </w:r>
      <w:r w:rsidR="00BD6FB9" w:rsidRPr="00735726">
        <w:rPr>
          <w:rFonts w:ascii="Arial" w:hAnsi="Arial" w:cs="Arial"/>
          <w:sz w:val="18"/>
          <w:szCs w:val="18"/>
        </w:rPr>
        <w:t xml:space="preserve">, Iain Evans and Andrea </w:t>
      </w:r>
      <w:proofErr w:type="spellStart"/>
      <w:r w:rsidR="00BD6FB9" w:rsidRPr="00735726">
        <w:rPr>
          <w:rFonts w:ascii="Arial" w:hAnsi="Arial" w:cs="Arial"/>
          <w:sz w:val="18"/>
          <w:szCs w:val="18"/>
        </w:rPr>
        <w:t>Blance</w:t>
      </w:r>
      <w:proofErr w:type="spellEnd"/>
      <w:r w:rsidRPr="00735726">
        <w:rPr>
          <w:rFonts w:ascii="Arial" w:hAnsi="Arial" w:cs="Arial"/>
          <w:sz w:val="18"/>
          <w:szCs w:val="18"/>
        </w:rPr>
        <w:t xml:space="preserve">, all of whom served on the Committee during the year under review have recent and relevant financial experience </w:t>
      </w:r>
      <w:proofErr w:type="gramStart"/>
      <w:r w:rsidRPr="00735726">
        <w:rPr>
          <w:rFonts w:ascii="Arial" w:hAnsi="Arial" w:cs="Arial"/>
          <w:sz w:val="18"/>
          <w:szCs w:val="18"/>
        </w:rPr>
        <w:t>and also</w:t>
      </w:r>
      <w:proofErr w:type="gramEnd"/>
      <w:r w:rsidRPr="00735726">
        <w:rPr>
          <w:rFonts w:ascii="Arial" w:hAnsi="Arial" w:cs="Arial"/>
          <w:sz w:val="18"/>
          <w:szCs w:val="18"/>
        </w:rPr>
        <w:t xml:space="preserve"> have competence in accounting or auditing. </w:t>
      </w:r>
    </w:p>
    <w:p w14:paraId="7B4C885D" w14:textId="2CE0ACDE" w:rsidR="004F030D" w:rsidRPr="00735726" w:rsidRDefault="004F030D" w:rsidP="005A5668">
      <w:pPr>
        <w:rPr>
          <w:rFonts w:ascii="Arial" w:hAnsi="Arial" w:cs="Arial"/>
          <w:sz w:val="18"/>
          <w:szCs w:val="18"/>
        </w:rPr>
      </w:pPr>
      <w:r w:rsidRPr="00735726">
        <w:rPr>
          <w:rFonts w:ascii="Arial" w:hAnsi="Arial" w:cs="Arial"/>
          <w:sz w:val="18"/>
          <w:szCs w:val="18"/>
        </w:rPr>
        <w:t>Only members of the Committee have the right to attend Committee meetings. Other regular attendees at meetings, at the invitation of the Committee, include the Chair of the Board, the Chief Executive, the Chief Financial Officer, the General Counsel and Company Secretary, Director of Risk and Assurance, Financial Controller and the External Auditor</w:t>
      </w:r>
      <w:r w:rsidR="00D4075A" w:rsidRPr="00735726">
        <w:rPr>
          <w:rFonts w:ascii="Arial" w:hAnsi="Arial" w:cs="Arial"/>
          <w:sz w:val="18"/>
          <w:szCs w:val="18"/>
        </w:rPr>
        <w:t>s</w:t>
      </w:r>
      <w:r w:rsidRPr="00735726">
        <w:rPr>
          <w:rFonts w:ascii="Arial" w:hAnsi="Arial" w:cs="Arial"/>
          <w:sz w:val="18"/>
          <w:szCs w:val="18"/>
        </w:rPr>
        <w:t>.</w:t>
      </w:r>
    </w:p>
    <w:p w14:paraId="42186014" w14:textId="67960D72" w:rsidR="004F030D" w:rsidRPr="00735726" w:rsidRDefault="004F030D" w:rsidP="005A5668">
      <w:pPr>
        <w:rPr>
          <w:rFonts w:ascii="Arial" w:hAnsi="Arial" w:cs="Arial"/>
          <w:sz w:val="18"/>
          <w:szCs w:val="18"/>
        </w:rPr>
      </w:pPr>
      <w:r w:rsidRPr="00735726">
        <w:rPr>
          <w:rFonts w:ascii="Arial" w:hAnsi="Arial" w:cs="Arial"/>
          <w:sz w:val="18"/>
          <w:szCs w:val="18"/>
        </w:rPr>
        <w:t>The Committee regularly holds private discussions with the External Auditor</w:t>
      </w:r>
      <w:r w:rsidR="00AF04D7" w:rsidRPr="00735726">
        <w:rPr>
          <w:rFonts w:ascii="Arial" w:hAnsi="Arial" w:cs="Arial"/>
          <w:sz w:val="18"/>
          <w:szCs w:val="18"/>
        </w:rPr>
        <w:t>s</w:t>
      </w:r>
      <w:r w:rsidRPr="00735726">
        <w:rPr>
          <w:rFonts w:ascii="Arial" w:hAnsi="Arial" w:cs="Arial"/>
          <w:sz w:val="18"/>
          <w:szCs w:val="18"/>
        </w:rPr>
        <w:t xml:space="preserve"> </w:t>
      </w:r>
      <w:r w:rsidR="00BD6FB9" w:rsidRPr="00735726">
        <w:rPr>
          <w:rFonts w:ascii="Arial" w:hAnsi="Arial" w:cs="Arial"/>
          <w:sz w:val="18"/>
          <w:szCs w:val="18"/>
        </w:rPr>
        <w:t xml:space="preserve">and the Director of Risk and Assurance </w:t>
      </w:r>
      <w:r w:rsidRPr="00735726">
        <w:rPr>
          <w:rFonts w:ascii="Arial" w:hAnsi="Arial" w:cs="Arial"/>
          <w:sz w:val="18"/>
          <w:szCs w:val="18"/>
        </w:rPr>
        <w:t>without management present. Further, the Committee Chair regularly communicates with the Chief Financial Officer, the External Auditor</w:t>
      </w:r>
      <w:r w:rsidR="00AF04D7" w:rsidRPr="00735726">
        <w:rPr>
          <w:rFonts w:ascii="Arial" w:hAnsi="Arial" w:cs="Arial"/>
          <w:sz w:val="18"/>
          <w:szCs w:val="18"/>
        </w:rPr>
        <w:t>s</w:t>
      </w:r>
      <w:r w:rsidRPr="00735726">
        <w:rPr>
          <w:rFonts w:ascii="Arial" w:hAnsi="Arial" w:cs="Arial"/>
          <w:sz w:val="18"/>
          <w:szCs w:val="18"/>
        </w:rPr>
        <w:t xml:space="preserve"> and with Committee members outside the meetings to better understand any issues or areas for concern.</w:t>
      </w:r>
    </w:p>
    <w:p w14:paraId="3C2AC8B1" w14:textId="589D9645" w:rsidR="004F030D" w:rsidRPr="00735726" w:rsidRDefault="004F030D" w:rsidP="005A5668">
      <w:pPr>
        <w:rPr>
          <w:rFonts w:ascii="Arial" w:hAnsi="Arial" w:cs="Arial"/>
          <w:i/>
          <w:iCs/>
          <w:sz w:val="18"/>
          <w:szCs w:val="18"/>
        </w:rPr>
      </w:pPr>
      <w:r w:rsidRPr="00735726">
        <w:rPr>
          <w:rFonts w:ascii="Arial" w:hAnsi="Arial" w:cs="Arial"/>
          <w:i/>
          <w:iCs/>
          <w:sz w:val="18"/>
          <w:szCs w:val="18"/>
        </w:rPr>
        <w:t xml:space="preserve">MATTERS OF SIGNIFICANCE IN </w:t>
      </w:r>
      <w:r w:rsidR="00D4075A" w:rsidRPr="00735726">
        <w:rPr>
          <w:rFonts w:ascii="Arial" w:hAnsi="Arial" w:cs="Arial"/>
          <w:i/>
          <w:iCs/>
          <w:sz w:val="18"/>
          <w:szCs w:val="18"/>
        </w:rPr>
        <w:t>202</w:t>
      </w:r>
      <w:r w:rsidR="00BD6FB9" w:rsidRPr="00735726">
        <w:rPr>
          <w:rFonts w:ascii="Arial" w:hAnsi="Arial" w:cs="Arial"/>
          <w:i/>
          <w:iCs/>
          <w:sz w:val="18"/>
          <w:szCs w:val="18"/>
        </w:rPr>
        <w:t>5/26</w:t>
      </w:r>
    </w:p>
    <w:tbl>
      <w:tblPr>
        <w:tblW w:w="0" w:type="auto"/>
        <w:tblLook w:val="04A0" w:firstRow="1" w:lastRow="0" w:firstColumn="1" w:lastColumn="0" w:noHBand="0" w:noVBand="1"/>
      </w:tblPr>
      <w:tblGrid>
        <w:gridCol w:w="1655"/>
        <w:gridCol w:w="7361"/>
      </w:tblGrid>
      <w:tr w:rsidR="004F030D" w:rsidRPr="00735726" w14:paraId="6F49838A" w14:textId="77777777" w:rsidTr="00881565">
        <w:trPr>
          <w:cantSplit/>
        </w:trPr>
        <w:tc>
          <w:tcPr>
            <w:tcW w:w="1655" w:type="dxa"/>
            <w:tcBorders>
              <w:top w:val="single" w:sz="4" w:space="0" w:color="auto"/>
              <w:left w:val="single" w:sz="4" w:space="0" w:color="auto"/>
              <w:bottom w:val="single" w:sz="4" w:space="0" w:color="auto"/>
              <w:right w:val="single" w:sz="4" w:space="0" w:color="auto"/>
            </w:tcBorders>
            <w:hideMark/>
          </w:tcPr>
          <w:p w14:paraId="5061F794" w14:textId="77777777" w:rsidR="004F030D" w:rsidRPr="00735726" w:rsidRDefault="004F030D" w:rsidP="005A5668">
            <w:pPr>
              <w:rPr>
                <w:rFonts w:ascii="Arial" w:hAnsi="Arial" w:cs="Arial"/>
                <w:b/>
                <w:sz w:val="18"/>
                <w:szCs w:val="18"/>
              </w:rPr>
            </w:pPr>
            <w:r w:rsidRPr="00735726">
              <w:rPr>
                <w:rFonts w:ascii="Arial" w:hAnsi="Arial" w:cs="Arial"/>
                <w:b/>
                <w:sz w:val="18"/>
                <w:szCs w:val="18"/>
              </w:rPr>
              <w:t>Financial reporting</w:t>
            </w:r>
          </w:p>
        </w:tc>
        <w:tc>
          <w:tcPr>
            <w:tcW w:w="7361" w:type="dxa"/>
            <w:tcBorders>
              <w:top w:val="single" w:sz="4" w:space="0" w:color="auto"/>
              <w:left w:val="single" w:sz="4" w:space="0" w:color="auto"/>
              <w:bottom w:val="single" w:sz="4" w:space="0" w:color="auto"/>
              <w:right w:val="single" w:sz="4" w:space="0" w:color="auto"/>
            </w:tcBorders>
            <w:hideMark/>
          </w:tcPr>
          <w:p w14:paraId="5963DB54" w14:textId="392ADF09" w:rsidR="004F030D" w:rsidRPr="00735726" w:rsidRDefault="004F030D" w:rsidP="0024293B">
            <w:pPr>
              <w:pStyle w:val="GenericStylesHeading1"/>
              <w:numPr>
                <w:ilvl w:val="0"/>
                <w:numId w:val="17"/>
              </w:numPr>
              <w:spacing w:line="276" w:lineRule="auto"/>
              <w:rPr>
                <w:rFonts w:ascii="Arial" w:hAnsi="Arial" w:cs="Arial"/>
                <w:sz w:val="18"/>
                <w:szCs w:val="18"/>
              </w:rPr>
            </w:pPr>
            <w:r w:rsidRPr="00735726">
              <w:rPr>
                <w:rFonts w:ascii="Arial" w:hAnsi="Arial" w:cs="Arial"/>
                <w:sz w:val="18"/>
                <w:szCs w:val="18"/>
              </w:rPr>
              <w:t>Reviewed and discussed reports from management on the financial statements, considered managements significant accounting judgements and policies being applied, and assess</w:t>
            </w:r>
            <w:r w:rsidR="008F2D37" w:rsidRPr="00735726">
              <w:rPr>
                <w:rFonts w:ascii="Arial" w:hAnsi="Arial" w:cs="Arial"/>
                <w:sz w:val="18"/>
                <w:szCs w:val="18"/>
              </w:rPr>
              <w:t>ed</w:t>
            </w:r>
            <w:r w:rsidRPr="00735726">
              <w:rPr>
                <w:rFonts w:ascii="Arial" w:hAnsi="Arial" w:cs="Arial"/>
                <w:sz w:val="18"/>
                <w:szCs w:val="18"/>
              </w:rPr>
              <w:t xml:space="preserve"> the findings of the statutory audit in respect of the integrity of the financial reporting of full and ha</w:t>
            </w:r>
            <w:r w:rsidR="00760DBF" w:rsidRPr="00735726">
              <w:rPr>
                <w:rFonts w:ascii="Arial" w:hAnsi="Arial" w:cs="Arial"/>
                <w:sz w:val="18"/>
                <w:szCs w:val="18"/>
              </w:rPr>
              <w:t>lf-year results</w:t>
            </w:r>
          </w:p>
          <w:p w14:paraId="66E21B4D" w14:textId="14A5D316" w:rsidR="004F030D" w:rsidRPr="00735726" w:rsidRDefault="004F030D" w:rsidP="0024293B">
            <w:pPr>
              <w:pStyle w:val="GenericStylesHeading1"/>
              <w:numPr>
                <w:ilvl w:val="0"/>
                <w:numId w:val="17"/>
              </w:numPr>
              <w:spacing w:line="276" w:lineRule="auto"/>
              <w:rPr>
                <w:rFonts w:ascii="Arial" w:hAnsi="Arial" w:cs="Arial"/>
                <w:sz w:val="18"/>
                <w:szCs w:val="18"/>
              </w:rPr>
            </w:pPr>
            <w:r w:rsidRPr="00735726">
              <w:rPr>
                <w:rFonts w:ascii="Arial" w:hAnsi="Arial" w:cs="Arial"/>
                <w:sz w:val="18"/>
                <w:szCs w:val="18"/>
              </w:rPr>
              <w:t xml:space="preserve">Reviewed the internal assessment of </w:t>
            </w:r>
            <w:r w:rsidR="00760DBF" w:rsidRPr="00735726">
              <w:rPr>
                <w:rFonts w:ascii="Arial" w:hAnsi="Arial" w:cs="Arial"/>
                <w:sz w:val="18"/>
                <w:szCs w:val="18"/>
              </w:rPr>
              <w:t>g</w:t>
            </w:r>
            <w:r w:rsidRPr="00735726">
              <w:rPr>
                <w:rFonts w:ascii="Arial" w:hAnsi="Arial" w:cs="Arial"/>
                <w:sz w:val="18"/>
                <w:szCs w:val="18"/>
              </w:rPr>
              <w:t xml:space="preserve">oing </w:t>
            </w:r>
            <w:r w:rsidR="00760DBF" w:rsidRPr="00735726">
              <w:rPr>
                <w:rFonts w:ascii="Arial" w:hAnsi="Arial" w:cs="Arial"/>
                <w:sz w:val="18"/>
                <w:szCs w:val="18"/>
              </w:rPr>
              <w:t>co</w:t>
            </w:r>
            <w:r w:rsidRPr="00735726">
              <w:rPr>
                <w:rFonts w:ascii="Arial" w:hAnsi="Arial" w:cs="Arial"/>
                <w:sz w:val="18"/>
                <w:szCs w:val="18"/>
              </w:rPr>
              <w:t>ncern and longer-term viability on behalf of the Board</w:t>
            </w:r>
          </w:p>
          <w:p w14:paraId="0B3E477F" w14:textId="2A5573DB" w:rsidR="004F030D" w:rsidRPr="00735726" w:rsidRDefault="004F030D" w:rsidP="0024293B">
            <w:pPr>
              <w:pStyle w:val="GenericStylesHeading1"/>
              <w:numPr>
                <w:ilvl w:val="0"/>
                <w:numId w:val="17"/>
              </w:numPr>
              <w:spacing w:line="276" w:lineRule="auto"/>
              <w:rPr>
                <w:rFonts w:ascii="Arial" w:hAnsi="Arial" w:cs="Arial"/>
                <w:sz w:val="18"/>
                <w:szCs w:val="18"/>
              </w:rPr>
            </w:pPr>
            <w:r w:rsidRPr="00735726">
              <w:rPr>
                <w:rFonts w:ascii="Arial" w:hAnsi="Arial" w:cs="Arial"/>
                <w:sz w:val="18"/>
                <w:szCs w:val="18"/>
              </w:rPr>
              <w:t xml:space="preserve">Reviewed in detail the </w:t>
            </w:r>
            <w:r w:rsidR="007E1EB4" w:rsidRPr="00735726">
              <w:rPr>
                <w:rFonts w:ascii="Arial" w:hAnsi="Arial" w:cs="Arial"/>
                <w:sz w:val="18"/>
                <w:szCs w:val="18"/>
              </w:rPr>
              <w:t>202</w:t>
            </w:r>
            <w:r w:rsidR="00760DBF" w:rsidRPr="00735726">
              <w:rPr>
                <w:rFonts w:ascii="Arial" w:hAnsi="Arial" w:cs="Arial"/>
                <w:sz w:val="18"/>
                <w:szCs w:val="18"/>
              </w:rPr>
              <w:t>5/26</w:t>
            </w:r>
            <w:r w:rsidRPr="00735726">
              <w:rPr>
                <w:rFonts w:ascii="Arial" w:hAnsi="Arial" w:cs="Arial"/>
                <w:sz w:val="18"/>
                <w:szCs w:val="18"/>
              </w:rPr>
              <w:t xml:space="preserve"> Annual Report and advised the Board that the presentation of the </w:t>
            </w:r>
            <w:r w:rsidR="007E1EB4" w:rsidRPr="00735726">
              <w:rPr>
                <w:rFonts w:ascii="Arial" w:hAnsi="Arial" w:cs="Arial"/>
                <w:sz w:val="18"/>
                <w:szCs w:val="18"/>
              </w:rPr>
              <w:t>202</w:t>
            </w:r>
            <w:r w:rsidR="00760DBF" w:rsidRPr="00735726">
              <w:rPr>
                <w:rFonts w:ascii="Arial" w:hAnsi="Arial" w:cs="Arial"/>
                <w:sz w:val="18"/>
                <w:szCs w:val="18"/>
              </w:rPr>
              <w:t>5/26</w:t>
            </w:r>
            <w:r w:rsidRPr="00735726">
              <w:rPr>
                <w:rFonts w:ascii="Arial" w:hAnsi="Arial" w:cs="Arial"/>
                <w:sz w:val="18"/>
                <w:szCs w:val="18"/>
              </w:rPr>
              <w:t xml:space="preserve"> Annual Report is fair, balanced and understandable in accordance with reporting requirements, including the consideration of climate risk in the preparation of the financial statements, and recommended the Board give approval for publication</w:t>
            </w:r>
          </w:p>
        </w:tc>
      </w:tr>
      <w:tr w:rsidR="004F030D" w:rsidRPr="00735726" w14:paraId="210C1A84" w14:textId="77777777" w:rsidTr="00881565">
        <w:trPr>
          <w:cantSplit/>
        </w:trPr>
        <w:tc>
          <w:tcPr>
            <w:tcW w:w="1655" w:type="dxa"/>
            <w:tcBorders>
              <w:top w:val="single" w:sz="4" w:space="0" w:color="auto"/>
              <w:left w:val="single" w:sz="4" w:space="0" w:color="auto"/>
              <w:bottom w:val="single" w:sz="4" w:space="0" w:color="auto"/>
              <w:right w:val="single" w:sz="4" w:space="0" w:color="auto"/>
            </w:tcBorders>
            <w:hideMark/>
          </w:tcPr>
          <w:p w14:paraId="72482C02" w14:textId="60091D1C" w:rsidR="004F030D" w:rsidRPr="00735726" w:rsidRDefault="004F030D" w:rsidP="005A5668">
            <w:pPr>
              <w:rPr>
                <w:rFonts w:ascii="Arial" w:hAnsi="Arial" w:cs="Arial"/>
                <w:b/>
                <w:sz w:val="18"/>
                <w:szCs w:val="18"/>
              </w:rPr>
            </w:pPr>
            <w:r w:rsidRPr="00735726">
              <w:rPr>
                <w:rFonts w:ascii="Arial" w:hAnsi="Arial" w:cs="Arial"/>
                <w:b/>
                <w:sz w:val="18"/>
                <w:szCs w:val="18"/>
              </w:rPr>
              <w:t>External auditor</w:t>
            </w:r>
            <w:r w:rsidR="00AF04D7" w:rsidRPr="00735726">
              <w:rPr>
                <w:rFonts w:ascii="Arial" w:hAnsi="Arial" w:cs="Arial"/>
                <w:b/>
                <w:sz w:val="18"/>
                <w:szCs w:val="18"/>
              </w:rPr>
              <w:t>s</w:t>
            </w:r>
          </w:p>
        </w:tc>
        <w:tc>
          <w:tcPr>
            <w:tcW w:w="7361" w:type="dxa"/>
            <w:tcBorders>
              <w:top w:val="single" w:sz="4" w:space="0" w:color="auto"/>
              <w:left w:val="single" w:sz="4" w:space="0" w:color="auto"/>
              <w:bottom w:val="single" w:sz="4" w:space="0" w:color="auto"/>
              <w:right w:val="single" w:sz="4" w:space="0" w:color="auto"/>
            </w:tcBorders>
            <w:hideMark/>
          </w:tcPr>
          <w:p w14:paraId="3BF88C4D" w14:textId="570E0BF2" w:rsidR="004F030D" w:rsidRPr="00735726" w:rsidRDefault="004F030D" w:rsidP="005A5668">
            <w:pPr>
              <w:pStyle w:val="ListParagraph"/>
              <w:numPr>
                <w:ilvl w:val="0"/>
                <w:numId w:val="14"/>
              </w:numPr>
              <w:rPr>
                <w:rFonts w:ascii="Arial" w:hAnsi="Arial" w:cs="Arial"/>
                <w:sz w:val="18"/>
                <w:szCs w:val="18"/>
              </w:rPr>
            </w:pPr>
            <w:r w:rsidRPr="00735726">
              <w:rPr>
                <w:rFonts w:ascii="Arial" w:hAnsi="Arial" w:cs="Arial"/>
                <w:sz w:val="18"/>
                <w:szCs w:val="18"/>
              </w:rPr>
              <w:t>Oversaw the 202</w:t>
            </w:r>
            <w:r w:rsidR="00760DBF" w:rsidRPr="00735726">
              <w:rPr>
                <w:rFonts w:ascii="Arial" w:hAnsi="Arial" w:cs="Arial"/>
                <w:sz w:val="18"/>
                <w:szCs w:val="18"/>
              </w:rPr>
              <w:t>5/26</w:t>
            </w:r>
            <w:r w:rsidRPr="00735726">
              <w:rPr>
                <w:rFonts w:ascii="Arial" w:hAnsi="Arial" w:cs="Arial"/>
                <w:sz w:val="18"/>
                <w:szCs w:val="18"/>
              </w:rPr>
              <w:t xml:space="preserve"> statutory audit, including the key audit risks and level of materiality applied by the External Auditor</w:t>
            </w:r>
            <w:r w:rsidR="00AF04D7" w:rsidRPr="00735726">
              <w:rPr>
                <w:rFonts w:ascii="Arial" w:hAnsi="Arial" w:cs="Arial"/>
                <w:sz w:val="18"/>
                <w:szCs w:val="18"/>
              </w:rPr>
              <w:t>s</w:t>
            </w:r>
          </w:p>
          <w:p w14:paraId="492B2B82" w14:textId="1C459779" w:rsidR="004F030D" w:rsidRPr="00735726" w:rsidRDefault="004F030D" w:rsidP="005A5668">
            <w:pPr>
              <w:pStyle w:val="ListParagraph"/>
              <w:numPr>
                <w:ilvl w:val="0"/>
                <w:numId w:val="14"/>
              </w:numPr>
              <w:rPr>
                <w:rFonts w:ascii="Arial" w:hAnsi="Arial" w:cs="Arial"/>
                <w:sz w:val="18"/>
                <w:szCs w:val="18"/>
              </w:rPr>
            </w:pPr>
            <w:r w:rsidRPr="00735726">
              <w:rPr>
                <w:rFonts w:ascii="Arial" w:hAnsi="Arial" w:cs="Arial"/>
                <w:sz w:val="18"/>
                <w:szCs w:val="18"/>
              </w:rPr>
              <w:t>Agreed the statutory audit fee for the year ending 31 March 202</w:t>
            </w:r>
            <w:r w:rsidR="00760DBF" w:rsidRPr="00735726">
              <w:rPr>
                <w:rFonts w:ascii="Arial" w:hAnsi="Arial" w:cs="Arial"/>
                <w:sz w:val="18"/>
                <w:szCs w:val="18"/>
              </w:rPr>
              <w:t>6</w:t>
            </w:r>
          </w:p>
          <w:p w14:paraId="1830E349" w14:textId="2A7964A2" w:rsidR="004F030D" w:rsidRPr="00735726" w:rsidRDefault="004F030D" w:rsidP="005A5668">
            <w:pPr>
              <w:pStyle w:val="ListParagraph"/>
              <w:numPr>
                <w:ilvl w:val="0"/>
                <w:numId w:val="14"/>
              </w:numPr>
              <w:rPr>
                <w:rFonts w:ascii="Arial" w:hAnsi="Arial" w:cs="Arial"/>
                <w:sz w:val="18"/>
                <w:szCs w:val="18"/>
              </w:rPr>
            </w:pPr>
            <w:r w:rsidRPr="00735726">
              <w:rPr>
                <w:rFonts w:ascii="Arial" w:hAnsi="Arial" w:cs="Arial"/>
                <w:sz w:val="18"/>
                <w:szCs w:val="18"/>
              </w:rPr>
              <w:t>Reviewed and approved the non-audit services and related fees provided by the External Auditors for 202</w:t>
            </w:r>
            <w:r w:rsidR="00760DBF" w:rsidRPr="00735726">
              <w:rPr>
                <w:rFonts w:ascii="Arial" w:hAnsi="Arial" w:cs="Arial"/>
                <w:sz w:val="18"/>
                <w:szCs w:val="18"/>
              </w:rPr>
              <w:t>5/26</w:t>
            </w:r>
          </w:p>
          <w:p w14:paraId="688713B6" w14:textId="551286C0" w:rsidR="004F030D" w:rsidRPr="00735726" w:rsidRDefault="004F030D" w:rsidP="005A5668">
            <w:pPr>
              <w:spacing w:after="0"/>
              <w:rPr>
                <w:rFonts w:ascii="Arial" w:hAnsi="Arial" w:cs="Arial"/>
                <w:sz w:val="18"/>
                <w:szCs w:val="18"/>
              </w:rPr>
            </w:pPr>
            <w:r w:rsidRPr="00735726">
              <w:rPr>
                <w:rFonts w:ascii="Arial" w:hAnsi="Arial" w:cs="Arial"/>
                <w:sz w:val="18"/>
                <w:szCs w:val="18"/>
              </w:rPr>
              <w:t>Note, in line with the structure of the Group, certain activities such as recommending reappointment of the External Auditor</w:t>
            </w:r>
            <w:r w:rsidR="00AF04D7" w:rsidRPr="00735726">
              <w:rPr>
                <w:rFonts w:ascii="Arial" w:hAnsi="Arial" w:cs="Arial"/>
                <w:sz w:val="18"/>
                <w:szCs w:val="18"/>
              </w:rPr>
              <w:t>s</w:t>
            </w:r>
            <w:r w:rsidRPr="00735726">
              <w:rPr>
                <w:rFonts w:ascii="Arial" w:hAnsi="Arial" w:cs="Arial"/>
                <w:sz w:val="18"/>
                <w:szCs w:val="18"/>
              </w:rPr>
              <w:t xml:space="preserve"> and assessment of effectiveness of the External Auditor</w:t>
            </w:r>
            <w:r w:rsidR="00AF04D7" w:rsidRPr="00735726">
              <w:rPr>
                <w:rFonts w:ascii="Arial" w:hAnsi="Arial" w:cs="Arial"/>
                <w:sz w:val="18"/>
                <w:szCs w:val="18"/>
              </w:rPr>
              <w:t>s</w:t>
            </w:r>
            <w:r w:rsidRPr="00735726">
              <w:rPr>
                <w:rFonts w:ascii="Arial" w:hAnsi="Arial" w:cs="Arial"/>
                <w:sz w:val="18"/>
                <w:szCs w:val="18"/>
              </w:rPr>
              <w:t xml:space="preserve"> are performed by the Pennon Group</w:t>
            </w:r>
            <w:r w:rsidR="0078265F" w:rsidRPr="00735726">
              <w:rPr>
                <w:rFonts w:ascii="Arial" w:hAnsi="Arial" w:cs="Arial"/>
                <w:sz w:val="18"/>
                <w:szCs w:val="18"/>
              </w:rPr>
              <w:t xml:space="preserve"> plc</w:t>
            </w:r>
            <w:r w:rsidRPr="00735726">
              <w:rPr>
                <w:rFonts w:ascii="Arial" w:hAnsi="Arial" w:cs="Arial"/>
                <w:sz w:val="18"/>
                <w:szCs w:val="18"/>
              </w:rPr>
              <w:t xml:space="preserve"> Audit Committee. The responsibilities of the Pennon Group</w:t>
            </w:r>
            <w:r w:rsidR="00D03215" w:rsidRPr="00735726">
              <w:rPr>
                <w:rFonts w:ascii="Arial" w:hAnsi="Arial" w:cs="Arial"/>
                <w:sz w:val="18"/>
                <w:szCs w:val="18"/>
              </w:rPr>
              <w:t xml:space="preserve"> plc</w:t>
            </w:r>
            <w:r w:rsidRPr="00735726">
              <w:rPr>
                <w:rFonts w:ascii="Arial" w:hAnsi="Arial" w:cs="Arial"/>
                <w:sz w:val="18"/>
                <w:szCs w:val="18"/>
              </w:rPr>
              <w:t xml:space="preserve"> Audit Committee are described in the Pennon Group</w:t>
            </w:r>
            <w:r w:rsidR="00D03215" w:rsidRPr="00735726">
              <w:rPr>
                <w:rFonts w:ascii="Arial" w:hAnsi="Arial" w:cs="Arial"/>
                <w:sz w:val="18"/>
                <w:szCs w:val="18"/>
              </w:rPr>
              <w:t xml:space="preserve"> plc</w:t>
            </w:r>
            <w:r w:rsidRPr="00735726">
              <w:rPr>
                <w:rFonts w:ascii="Arial" w:hAnsi="Arial" w:cs="Arial"/>
                <w:sz w:val="18"/>
                <w:szCs w:val="18"/>
              </w:rPr>
              <w:t xml:space="preserve"> </w:t>
            </w:r>
            <w:r w:rsidR="00D03215" w:rsidRPr="00735726">
              <w:rPr>
                <w:rFonts w:ascii="Arial" w:hAnsi="Arial" w:cs="Arial"/>
                <w:sz w:val="18"/>
                <w:szCs w:val="18"/>
              </w:rPr>
              <w:t>A</w:t>
            </w:r>
            <w:r w:rsidRPr="00735726">
              <w:rPr>
                <w:rFonts w:ascii="Arial" w:hAnsi="Arial" w:cs="Arial"/>
                <w:sz w:val="18"/>
                <w:szCs w:val="18"/>
              </w:rPr>
              <w:t xml:space="preserve">nnual </w:t>
            </w:r>
            <w:r w:rsidR="00D03215" w:rsidRPr="00735726">
              <w:rPr>
                <w:rFonts w:ascii="Arial" w:hAnsi="Arial" w:cs="Arial"/>
                <w:sz w:val="18"/>
                <w:szCs w:val="18"/>
              </w:rPr>
              <w:t>R</w:t>
            </w:r>
            <w:r w:rsidRPr="00735726">
              <w:rPr>
                <w:rFonts w:ascii="Arial" w:hAnsi="Arial" w:cs="Arial"/>
                <w:sz w:val="18"/>
                <w:szCs w:val="18"/>
              </w:rPr>
              <w:t>eport</w:t>
            </w:r>
            <w:r w:rsidR="00D03215" w:rsidRPr="00735726">
              <w:rPr>
                <w:rFonts w:ascii="Arial" w:hAnsi="Arial" w:cs="Arial"/>
                <w:sz w:val="18"/>
                <w:szCs w:val="18"/>
              </w:rPr>
              <w:t xml:space="preserve"> and Accounts</w:t>
            </w:r>
            <w:r w:rsidRPr="00735726">
              <w:rPr>
                <w:rFonts w:ascii="Arial" w:hAnsi="Arial" w:cs="Arial"/>
                <w:sz w:val="18"/>
                <w:szCs w:val="18"/>
              </w:rPr>
              <w:t xml:space="preserve"> (pages </w:t>
            </w:r>
            <w:r w:rsidR="00390ECE" w:rsidRPr="009A2CAE">
              <w:rPr>
                <w:rFonts w:ascii="Arial" w:hAnsi="Arial" w:cs="Arial"/>
                <w:sz w:val="18"/>
                <w:szCs w:val="18"/>
              </w:rPr>
              <w:t xml:space="preserve">120 </w:t>
            </w:r>
            <w:r w:rsidR="00760DBF" w:rsidRPr="009A2CAE">
              <w:rPr>
                <w:rFonts w:ascii="Arial" w:hAnsi="Arial" w:cs="Arial"/>
                <w:sz w:val="18"/>
                <w:szCs w:val="18"/>
              </w:rPr>
              <w:t xml:space="preserve">to </w:t>
            </w:r>
            <w:r w:rsidR="00390ECE" w:rsidRPr="009A2CAE">
              <w:rPr>
                <w:rFonts w:ascii="Arial" w:hAnsi="Arial" w:cs="Arial"/>
                <w:sz w:val="18"/>
                <w:szCs w:val="18"/>
              </w:rPr>
              <w:t>125</w:t>
            </w:r>
            <w:r w:rsidRPr="009A2CAE">
              <w:rPr>
                <w:rFonts w:ascii="Arial" w:hAnsi="Arial" w:cs="Arial"/>
                <w:sz w:val="18"/>
                <w:szCs w:val="18"/>
              </w:rPr>
              <w:t>).</w:t>
            </w:r>
          </w:p>
        </w:tc>
      </w:tr>
      <w:tr w:rsidR="004F030D" w:rsidRPr="00735726" w14:paraId="048DA770" w14:textId="77777777" w:rsidTr="00881565">
        <w:trPr>
          <w:cantSplit/>
        </w:trPr>
        <w:tc>
          <w:tcPr>
            <w:tcW w:w="1655" w:type="dxa"/>
            <w:tcBorders>
              <w:top w:val="single" w:sz="4" w:space="0" w:color="auto"/>
              <w:left w:val="single" w:sz="4" w:space="0" w:color="auto"/>
              <w:bottom w:val="single" w:sz="4" w:space="0" w:color="auto"/>
              <w:right w:val="single" w:sz="4" w:space="0" w:color="auto"/>
            </w:tcBorders>
            <w:hideMark/>
          </w:tcPr>
          <w:p w14:paraId="6861F4EB" w14:textId="1AB4F240" w:rsidR="004F030D" w:rsidRPr="00735726" w:rsidRDefault="004F030D" w:rsidP="005A5668">
            <w:pPr>
              <w:rPr>
                <w:rFonts w:ascii="Arial" w:hAnsi="Arial" w:cs="Arial"/>
                <w:b/>
                <w:sz w:val="18"/>
                <w:szCs w:val="18"/>
              </w:rPr>
            </w:pPr>
            <w:r w:rsidRPr="00735726">
              <w:rPr>
                <w:rFonts w:ascii="Arial" w:hAnsi="Arial" w:cs="Arial"/>
                <w:b/>
                <w:sz w:val="18"/>
                <w:szCs w:val="18"/>
              </w:rPr>
              <w:lastRenderedPageBreak/>
              <w:t xml:space="preserve">Internal </w:t>
            </w:r>
            <w:r w:rsidR="00760DBF" w:rsidRPr="00735726">
              <w:rPr>
                <w:rFonts w:ascii="Arial" w:hAnsi="Arial" w:cs="Arial"/>
                <w:b/>
                <w:sz w:val="18"/>
                <w:szCs w:val="18"/>
              </w:rPr>
              <w:t>c</w:t>
            </w:r>
            <w:r w:rsidRPr="00735726">
              <w:rPr>
                <w:rFonts w:ascii="Arial" w:hAnsi="Arial" w:cs="Arial"/>
                <w:b/>
                <w:sz w:val="18"/>
                <w:szCs w:val="18"/>
              </w:rPr>
              <w:t xml:space="preserve">ontrols and </w:t>
            </w:r>
            <w:r w:rsidR="00760DBF" w:rsidRPr="00735726">
              <w:rPr>
                <w:rFonts w:ascii="Arial" w:hAnsi="Arial" w:cs="Arial"/>
                <w:b/>
                <w:sz w:val="18"/>
                <w:szCs w:val="18"/>
              </w:rPr>
              <w:t>r</w:t>
            </w:r>
            <w:r w:rsidRPr="00735726">
              <w:rPr>
                <w:rFonts w:ascii="Arial" w:hAnsi="Arial" w:cs="Arial"/>
                <w:b/>
                <w:sz w:val="18"/>
                <w:szCs w:val="18"/>
              </w:rPr>
              <w:t>isk management</w:t>
            </w:r>
          </w:p>
        </w:tc>
        <w:tc>
          <w:tcPr>
            <w:tcW w:w="7361" w:type="dxa"/>
            <w:tcBorders>
              <w:top w:val="single" w:sz="4" w:space="0" w:color="auto"/>
              <w:left w:val="single" w:sz="4" w:space="0" w:color="auto"/>
              <w:bottom w:val="single" w:sz="4" w:space="0" w:color="auto"/>
              <w:right w:val="single" w:sz="4" w:space="0" w:color="auto"/>
            </w:tcBorders>
            <w:hideMark/>
          </w:tcPr>
          <w:p w14:paraId="10FDD9B4" w14:textId="1479EE38" w:rsidR="004F030D" w:rsidRPr="00735726" w:rsidRDefault="004F030D" w:rsidP="005A5668">
            <w:pPr>
              <w:pStyle w:val="ListParagraph"/>
              <w:numPr>
                <w:ilvl w:val="0"/>
                <w:numId w:val="15"/>
              </w:numPr>
              <w:spacing w:after="0"/>
              <w:rPr>
                <w:rFonts w:ascii="Arial" w:eastAsiaTheme="majorEastAsia" w:hAnsi="Arial" w:cs="Arial"/>
                <w:sz w:val="18"/>
                <w:szCs w:val="18"/>
                <w:lang w:eastAsia="en-GB"/>
              </w:rPr>
            </w:pPr>
            <w:r w:rsidRPr="00735726">
              <w:rPr>
                <w:rFonts w:ascii="Arial" w:eastAsiaTheme="majorEastAsia" w:hAnsi="Arial" w:cs="Arial"/>
                <w:sz w:val="18"/>
                <w:szCs w:val="18"/>
                <w:lang w:eastAsia="en-GB"/>
              </w:rPr>
              <w:t xml:space="preserve">Reviewed the effectiveness of the Company’s risk management framework and its integration into Board and Committee </w:t>
            </w:r>
            <w:r w:rsidR="00047CDC" w:rsidRPr="00735726">
              <w:rPr>
                <w:rFonts w:ascii="Arial" w:eastAsiaTheme="majorEastAsia" w:hAnsi="Arial" w:cs="Arial"/>
                <w:sz w:val="18"/>
                <w:szCs w:val="18"/>
                <w:lang w:eastAsia="en-GB"/>
              </w:rPr>
              <w:t>r</w:t>
            </w:r>
            <w:r w:rsidRPr="00735726">
              <w:rPr>
                <w:rFonts w:ascii="Arial" w:eastAsiaTheme="majorEastAsia" w:hAnsi="Arial" w:cs="Arial"/>
                <w:sz w:val="18"/>
                <w:szCs w:val="18"/>
                <w:lang w:eastAsia="en-GB"/>
              </w:rPr>
              <w:t>eporting</w:t>
            </w:r>
            <w:r w:rsidR="006B4EFA" w:rsidRPr="00735726">
              <w:rPr>
                <w:rFonts w:ascii="Arial" w:eastAsiaTheme="majorEastAsia" w:hAnsi="Arial" w:cs="Arial"/>
                <w:sz w:val="18"/>
                <w:szCs w:val="18"/>
                <w:lang w:eastAsia="en-GB"/>
              </w:rPr>
              <w:t>.</w:t>
            </w:r>
          </w:p>
          <w:p w14:paraId="75958B4E" w14:textId="14D796A5" w:rsidR="004F030D" w:rsidRPr="00735726" w:rsidRDefault="004F030D" w:rsidP="005A5668">
            <w:pPr>
              <w:pStyle w:val="ListParagraph"/>
              <w:numPr>
                <w:ilvl w:val="0"/>
                <w:numId w:val="15"/>
              </w:numPr>
              <w:spacing w:after="0"/>
              <w:rPr>
                <w:rFonts w:ascii="Arial" w:eastAsiaTheme="majorEastAsia" w:hAnsi="Arial" w:cs="Arial"/>
                <w:sz w:val="18"/>
                <w:szCs w:val="18"/>
                <w:lang w:eastAsia="en-GB"/>
              </w:rPr>
            </w:pPr>
            <w:r w:rsidRPr="00735726">
              <w:rPr>
                <w:rFonts w:ascii="Arial" w:eastAsiaTheme="majorEastAsia" w:hAnsi="Arial" w:cs="Arial"/>
                <w:sz w:val="18"/>
                <w:szCs w:val="18"/>
                <w:lang w:eastAsia="en-GB"/>
              </w:rPr>
              <w:t xml:space="preserve">Reviewed the </w:t>
            </w:r>
            <w:r w:rsidR="006B4EFA" w:rsidRPr="00735726">
              <w:rPr>
                <w:rFonts w:ascii="Arial" w:eastAsiaTheme="majorEastAsia" w:hAnsi="Arial" w:cs="Arial"/>
                <w:sz w:val="18"/>
                <w:szCs w:val="18"/>
                <w:lang w:eastAsia="en-GB"/>
              </w:rPr>
              <w:t xml:space="preserve">Company’s </w:t>
            </w:r>
            <w:r w:rsidRPr="00735726">
              <w:rPr>
                <w:rFonts w:ascii="Arial" w:eastAsiaTheme="majorEastAsia" w:hAnsi="Arial" w:cs="Arial"/>
                <w:sz w:val="18"/>
                <w:szCs w:val="18"/>
                <w:lang w:eastAsia="en-GB"/>
              </w:rPr>
              <w:t>Risk Appetite statement prior to making a recommendation to the Board</w:t>
            </w:r>
            <w:r w:rsidR="006B4EFA" w:rsidRPr="00735726">
              <w:rPr>
                <w:rFonts w:ascii="Arial" w:eastAsiaTheme="majorEastAsia" w:hAnsi="Arial" w:cs="Arial"/>
                <w:sz w:val="18"/>
                <w:szCs w:val="18"/>
                <w:lang w:eastAsia="en-GB"/>
              </w:rPr>
              <w:t>.</w:t>
            </w:r>
          </w:p>
          <w:p w14:paraId="58EBBEAE" w14:textId="4F3298EF" w:rsidR="00760DBF" w:rsidRPr="00735726" w:rsidRDefault="004F030D" w:rsidP="00573B83">
            <w:pPr>
              <w:pStyle w:val="ListParagraph"/>
              <w:numPr>
                <w:ilvl w:val="0"/>
                <w:numId w:val="15"/>
              </w:numPr>
              <w:rPr>
                <w:rFonts w:ascii="Arial" w:eastAsiaTheme="majorEastAsia" w:hAnsi="Arial" w:cs="Arial"/>
                <w:sz w:val="18"/>
                <w:szCs w:val="18"/>
                <w:lang w:eastAsia="en-GB"/>
              </w:rPr>
            </w:pPr>
            <w:r w:rsidRPr="00735726">
              <w:rPr>
                <w:rFonts w:ascii="Arial" w:eastAsiaTheme="majorEastAsia" w:hAnsi="Arial" w:cs="Arial"/>
                <w:sz w:val="18"/>
                <w:szCs w:val="18"/>
                <w:lang w:eastAsia="en-GB"/>
              </w:rPr>
              <w:t>Monitored fraud reporting and whistleblowing</w:t>
            </w:r>
            <w:r w:rsidR="00760DBF" w:rsidRPr="00735726">
              <w:rPr>
                <w:rFonts w:ascii="Arial" w:eastAsiaTheme="majorEastAsia" w:hAnsi="Arial" w:cs="Arial"/>
                <w:sz w:val="18"/>
                <w:szCs w:val="18"/>
                <w:lang w:eastAsia="en-GB"/>
              </w:rPr>
              <w:t xml:space="preserve"> activity</w:t>
            </w:r>
            <w:r w:rsidRPr="00735726">
              <w:rPr>
                <w:rFonts w:ascii="Arial" w:eastAsiaTheme="majorEastAsia" w:hAnsi="Arial" w:cs="Arial"/>
                <w:sz w:val="18"/>
                <w:szCs w:val="18"/>
                <w:lang w:eastAsia="en-GB"/>
              </w:rPr>
              <w:t xml:space="preserve">, </w:t>
            </w:r>
            <w:r w:rsidR="00760DBF" w:rsidRPr="00735726">
              <w:rPr>
                <w:rFonts w:ascii="Arial" w:eastAsiaTheme="majorEastAsia" w:hAnsi="Arial" w:cs="Arial"/>
                <w:sz w:val="18"/>
                <w:szCs w:val="18"/>
                <w:lang w:eastAsia="en-GB"/>
              </w:rPr>
              <w:t>including the effectiveness of the Company’s Speak Up arrangements and oversight of themes arising and management actions taken. No material issues were identified.</w:t>
            </w:r>
          </w:p>
          <w:p w14:paraId="0A628868" w14:textId="2DB10F93" w:rsidR="004F030D" w:rsidRPr="00735726" w:rsidRDefault="004F030D" w:rsidP="005A5668">
            <w:pPr>
              <w:pStyle w:val="ListParagraph"/>
              <w:numPr>
                <w:ilvl w:val="0"/>
                <w:numId w:val="15"/>
              </w:numPr>
              <w:spacing w:after="0"/>
              <w:rPr>
                <w:rFonts w:ascii="Arial" w:eastAsiaTheme="majorEastAsia" w:hAnsi="Arial" w:cs="Arial"/>
                <w:sz w:val="18"/>
                <w:szCs w:val="18"/>
                <w:lang w:eastAsia="en-GB"/>
              </w:rPr>
            </w:pPr>
            <w:r w:rsidRPr="00735726">
              <w:rPr>
                <w:rFonts w:ascii="Arial" w:eastAsiaTheme="majorEastAsia" w:hAnsi="Arial" w:cs="Arial"/>
                <w:sz w:val="18"/>
                <w:szCs w:val="18"/>
                <w:lang w:eastAsia="en-GB"/>
              </w:rPr>
              <w:t xml:space="preserve">Reviewed the Company risk register </w:t>
            </w:r>
            <w:r w:rsidR="00D4075A" w:rsidRPr="00735726">
              <w:rPr>
                <w:rFonts w:ascii="Arial" w:eastAsiaTheme="majorEastAsia" w:hAnsi="Arial" w:cs="Arial"/>
                <w:sz w:val="18"/>
                <w:szCs w:val="18"/>
                <w:lang w:eastAsia="en-GB"/>
              </w:rPr>
              <w:t>as part of the Annual Report process</w:t>
            </w:r>
            <w:r w:rsidR="00ED2EB9" w:rsidRPr="00735726">
              <w:rPr>
                <w:rFonts w:ascii="Arial" w:eastAsiaTheme="majorEastAsia" w:hAnsi="Arial" w:cs="Arial"/>
                <w:sz w:val="18"/>
                <w:szCs w:val="18"/>
                <w:lang w:eastAsia="en-GB"/>
              </w:rPr>
              <w:t xml:space="preserve"> </w:t>
            </w:r>
            <w:r w:rsidRPr="00735726">
              <w:rPr>
                <w:rFonts w:ascii="Arial" w:eastAsiaTheme="majorEastAsia" w:hAnsi="Arial" w:cs="Arial"/>
                <w:sz w:val="18"/>
                <w:szCs w:val="18"/>
                <w:lang w:eastAsia="en-GB"/>
              </w:rPr>
              <w:t>and considered appropriate areas of focus and prioritisation for the internal audit work programme for the financial year</w:t>
            </w:r>
            <w:r w:rsidR="00753953" w:rsidRPr="00735726">
              <w:rPr>
                <w:rFonts w:ascii="Arial" w:eastAsiaTheme="majorEastAsia" w:hAnsi="Arial" w:cs="Arial"/>
                <w:sz w:val="18"/>
                <w:szCs w:val="18"/>
                <w:lang w:eastAsia="en-GB"/>
              </w:rPr>
              <w:t>.</w:t>
            </w:r>
          </w:p>
          <w:p w14:paraId="14E2B3AF" w14:textId="629E81B9" w:rsidR="00753953" w:rsidRPr="00735726" w:rsidRDefault="00753953" w:rsidP="00545F22">
            <w:pPr>
              <w:pStyle w:val="ListParagraph"/>
              <w:numPr>
                <w:ilvl w:val="0"/>
                <w:numId w:val="15"/>
              </w:numPr>
              <w:spacing w:after="0"/>
              <w:rPr>
                <w:rFonts w:ascii="Arial" w:eastAsiaTheme="majorEastAsia" w:hAnsi="Arial" w:cs="Arial"/>
                <w:sz w:val="18"/>
                <w:szCs w:val="18"/>
                <w:lang w:eastAsia="en-GB"/>
              </w:rPr>
            </w:pPr>
            <w:r w:rsidRPr="00735726">
              <w:rPr>
                <w:rFonts w:ascii="Arial" w:eastAsiaTheme="majorEastAsia" w:hAnsi="Arial" w:cs="Arial"/>
                <w:sz w:val="18"/>
                <w:szCs w:val="18"/>
                <w:lang w:eastAsia="en-GB"/>
              </w:rPr>
              <w:t xml:space="preserve">Reviewed internal assurance reports and </w:t>
            </w:r>
            <w:proofErr w:type="gramStart"/>
            <w:r w:rsidRPr="00735726">
              <w:rPr>
                <w:rFonts w:ascii="Arial" w:eastAsiaTheme="majorEastAsia" w:hAnsi="Arial" w:cs="Arial"/>
                <w:sz w:val="18"/>
                <w:szCs w:val="18"/>
                <w:lang w:eastAsia="en-GB"/>
              </w:rPr>
              <w:t>recommendations, and</w:t>
            </w:r>
            <w:proofErr w:type="gramEnd"/>
            <w:r w:rsidRPr="00735726">
              <w:rPr>
                <w:rFonts w:ascii="Arial" w:eastAsiaTheme="majorEastAsia" w:hAnsi="Arial" w:cs="Arial"/>
                <w:sz w:val="18"/>
                <w:szCs w:val="18"/>
                <w:lang w:eastAsia="en-GB"/>
              </w:rPr>
              <w:t xml:space="preserve"> undertook deep dives at Committee meetings on principal risk areas, tracking agreed actions to completion (for details, see above). </w:t>
            </w:r>
          </w:p>
          <w:p w14:paraId="2FB0A876" w14:textId="0BE615E5" w:rsidR="00ED2EB9" w:rsidRPr="00735726" w:rsidRDefault="00ED2EB9" w:rsidP="00753953">
            <w:pPr>
              <w:pStyle w:val="ListParagraph"/>
              <w:numPr>
                <w:ilvl w:val="0"/>
                <w:numId w:val="15"/>
              </w:numPr>
              <w:spacing w:after="0"/>
              <w:rPr>
                <w:rFonts w:ascii="Arial" w:eastAsiaTheme="majorEastAsia" w:hAnsi="Arial" w:cs="Arial"/>
                <w:sz w:val="18"/>
                <w:szCs w:val="18"/>
                <w:lang w:eastAsia="en-GB"/>
              </w:rPr>
            </w:pPr>
            <w:r w:rsidRPr="00735726">
              <w:rPr>
                <w:rFonts w:ascii="Arial" w:eastAsiaTheme="majorEastAsia" w:hAnsi="Arial" w:cs="Arial"/>
                <w:sz w:val="18"/>
                <w:szCs w:val="18"/>
                <w:lang w:eastAsia="en-GB"/>
              </w:rPr>
              <w:t>Approved the revised Internal Audit Charter in line with latest guidance and updated standards.</w:t>
            </w:r>
          </w:p>
          <w:p w14:paraId="6E52A236" w14:textId="2408603C" w:rsidR="00753953" w:rsidRPr="00735726" w:rsidRDefault="00753953" w:rsidP="0088335E">
            <w:pPr>
              <w:pStyle w:val="ListParagraph"/>
              <w:numPr>
                <w:ilvl w:val="0"/>
                <w:numId w:val="15"/>
              </w:numPr>
              <w:spacing w:after="0"/>
              <w:rPr>
                <w:rFonts w:ascii="Arial" w:eastAsiaTheme="majorEastAsia" w:hAnsi="Arial" w:cs="Arial"/>
                <w:sz w:val="18"/>
                <w:szCs w:val="18"/>
                <w:lang w:eastAsia="en-GB"/>
              </w:rPr>
            </w:pPr>
            <w:r w:rsidRPr="00735726">
              <w:rPr>
                <w:rFonts w:ascii="Arial" w:eastAsiaTheme="majorEastAsia" w:hAnsi="Arial" w:cs="Arial"/>
                <w:sz w:val="18"/>
                <w:szCs w:val="18"/>
                <w:lang w:eastAsia="en-GB"/>
              </w:rPr>
              <w:t>Advanced the programme of work in preparation for the Board’s future declaration under UK Corporate Governance Code Provision 29, including identification and confirmation of material controls and planning for assurance and testing. The Committee will oversee the assurance/testing plan through 2026/27 to support the Board’s declaration.</w:t>
            </w:r>
          </w:p>
          <w:p w14:paraId="0117AE7D" w14:textId="273B8E63" w:rsidR="00ED2EB9" w:rsidRPr="00735726" w:rsidRDefault="00ED2EB9" w:rsidP="005A5668">
            <w:pPr>
              <w:pStyle w:val="ListParagraph"/>
              <w:numPr>
                <w:ilvl w:val="0"/>
                <w:numId w:val="15"/>
              </w:numPr>
              <w:spacing w:after="0"/>
              <w:rPr>
                <w:rFonts w:ascii="Arial" w:eastAsiaTheme="majorEastAsia" w:hAnsi="Arial" w:cs="Arial"/>
                <w:sz w:val="18"/>
                <w:szCs w:val="18"/>
                <w:lang w:eastAsia="en-GB"/>
              </w:rPr>
            </w:pPr>
            <w:r w:rsidRPr="00735726">
              <w:rPr>
                <w:rFonts w:ascii="Arial" w:eastAsiaTheme="majorEastAsia" w:hAnsi="Arial" w:cs="Arial"/>
                <w:sz w:val="18"/>
                <w:szCs w:val="18"/>
                <w:lang w:eastAsia="en-GB"/>
              </w:rPr>
              <w:t>Reviewed updated Legal Compliance Policies to progress for approval.</w:t>
            </w:r>
          </w:p>
        </w:tc>
      </w:tr>
      <w:tr w:rsidR="004F030D" w:rsidRPr="00735726" w14:paraId="6C600668" w14:textId="77777777" w:rsidTr="00881565">
        <w:trPr>
          <w:cantSplit/>
        </w:trPr>
        <w:tc>
          <w:tcPr>
            <w:tcW w:w="1655" w:type="dxa"/>
            <w:tcBorders>
              <w:top w:val="single" w:sz="4" w:space="0" w:color="auto"/>
              <w:left w:val="single" w:sz="4" w:space="0" w:color="auto"/>
              <w:bottom w:val="single" w:sz="4" w:space="0" w:color="auto"/>
              <w:right w:val="single" w:sz="4" w:space="0" w:color="auto"/>
            </w:tcBorders>
            <w:hideMark/>
          </w:tcPr>
          <w:p w14:paraId="495D25BE" w14:textId="77777777" w:rsidR="004F030D" w:rsidRPr="00735726" w:rsidRDefault="004F030D" w:rsidP="005A5668">
            <w:pPr>
              <w:rPr>
                <w:rFonts w:ascii="Arial" w:hAnsi="Arial" w:cs="Arial"/>
                <w:b/>
                <w:sz w:val="18"/>
                <w:szCs w:val="18"/>
              </w:rPr>
            </w:pPr>
            <w:r w:rsidRPr="00735726">
              <w:rPr>
                <w:rFonts w:ascii="Arial" w:hAnsi="Arial" w:cs="Arial"/>
                <w:b/>
                <w:sz w:val="18"/>
                <w:szCs w:val="18"/>
              </w:rPr>
              <w:t>Governance</w:t>
            </w:r>
          </w:p>
        </w:tc>
        <w:tc>
          <w:tcPr>
            <w:tcW w:w="7361" w:type="dxa"/>
            <w:tcBorders>
              <w:top w:val="single" w:sz="4" w:space="0" w:color="auto"/>
              <w:left w:val="single" w:sz="4" w:space="0" w:color="auto"/>
              <w:bottom w:val="single" w:sz="4" w:space="0" w:color="auto"/>
              <w:right w:val="single" w:sz="4" w:space="0" w:color="auto"/>
            </w:tcBorders>
            <w:hideMark/>
          </w:tcPr>
          <w:p w14:paraId="5D9089CD" w14:textId="3DA1F7BF" w:rsidR="006B4EFA" w:rsidRPr="00735726" w:rsidRDefault="004F030D" w:rsidP="0024293B">
            <w:pPr>
              <w:pStyle w:val="GenericStylesHeading1"/>
              <w:numPr>
                <w:ilvl w:val="0"/>
                <w:numId w:val="16"/>
              </w:numPr>
              <w:spacing w:line="276" w:lineRule="auto"/>
              <w:rPr>
                <w:rFonts w:ascii="Arial" w:hAnsi="Arial" w:cs="Arial"/>
                <w:sz w:val="18"/>
                <w:szCs w:val="18"/>
              </w:rPr>
            </w:pPr>
            <w:r w:rsidRPr="00735726">
              <w:rPr>
                <w:rFonts w:ascii="Arial" w:hAnsi="Arial" w:cs="Arial"/>
                <w:sz w:val="18"/>
                <w:szCs w:val="18"/>
              </w:rPr>
              <w:t>Considered and approved Company accounting policies</w:t>
            </w:r>
            <w:r w:rsidR="00753953" w:rsidRPr="00735726">
              <w:rPr>
                <w:rFonts w:ascii="Arial" w:hAnsi="Arial" w:cs="Arial"/>
                <w:sz w:val="18"/>
                <w:szCs w:val="18"/>
              </w:rPr>
              <w:t xml:space="preserve"> and judgements used in the </w:t>
            </w:r>
            <w:r w:rsidRPr="00735726">
              <w:rPr>
                <w:rFonts w:ascii="Arial" w:hAnsi="Arial" w:cs="Arial"/>
                <w:sz w:val="18"/>
                <w:szCs w:val="18"/>
              </w:rPr>
              <w:t>preparation of the financial statements</w:t>
            </w:r>
            <w:r w:rsidR="006B4EFA" w:rsidRPr="00735726">
              <w:rPr>
                <w:rFonts w:ascii="Arial" w:hAnsi="Arial" w:cs="Arial"/>
                <w:sz w:val="18"/>
                <w:szCs w:val="18"/>
              </w:rPr>
              <w:t>,</w:t>
            </w:r>
            <w:r w:rsidRPr="00735726">
              <w:rPr>
                <w:rFonts w:ascii="Arial" w:hAnsi="Arial" w:cs="Arial"/>
                <w:sz w:val="18"/>
                <w:szCs w:val="18"/>
              </w:rPr>
              <w:t xml:space="preserve"> including any required alignments accounting policies</w:t>
            </w:r>
          </w:p>
          <w:p w14:paraId="12B7811C" w14:textId="6C9CFC86" w:rsidR="004F030D" w:rsidRPr="00735726" w:rsidRDefault="004F030D" w:rsidP="0024293B">
            <w:pPr>
              <w:pStyle w:val="GenericStylesHeading1"/>
              <w:numPr>
                <w:ilvl w:val="0"/>
                <w:numId w:val="16"/>
              </w:numPr>
              <w:spacing w:line="276" w:lineRule="auto"/>
              <w:rPr>
                <w:rFonts w:ascii="Arial" w:hAnsi="Arial" w:cs="Arial"/>
                <w:sz w:val="18"/>
                <w:szCs w:val="18"/>
              </w:rPr>
            </w:pPr>
            <w:r w:rsidRPr="00735726">
              <w:rPr>
                <w:rFonts w:ascii="Arial" w:hAnsi="Arial" w:cs="Arial"/>
                <w:sz w:val="18"/>
                <w:szCs w:val="18"/>
              </w:rPr>
              <w:t>Reviewed and considered internal financial policies</w:t>
            </w:r>
            <w:r w:rsidR="006B4EFA" w:rsidRPr="00735726">
              <w:rPr>
                <w:rFonts w:ascii="Arial" w:hAnsi="Arial" w:cs="Arial"/>
                <w:sz w:val="18"/>
                <w:szCs w:val="18"/>
              </w:rPr>
              <w:t>.</w:t>
            </w:r>
          </w:p>
          <w:p w14:paraId="485704ED" w14:textId="5E18531E" w:rsidR="00753953" w:rsidRPr="00735726" w:rsidRDefault="00753953" w:rsidP="00DE3691">
            <w:pPr>
              <w:pStyle w:val="ListParagraph"/>
              <w:numPr>
                <w:ilvl w:val="0"/>
                <w:numId w:val="16"/>
              </w:numPr>
              <w:spacing w:after="0"/>
              <w:rPr>
                <w:rFonts w:cs="Arial"/>
                <w:sz w:val="18"/>
                <w:szCs w:val="18"/>
              </w:rPr>
            </w:pPr>
            <w:r w:rsidRPr="00735726">
              <w:rPr>
                <w:rFonts w:ascii="Arial" w:hAnsi="Arial" w:cs="Arial"/>
                <w:sz w:val="18"/>
                <w:szCs w:val="18"/>
              </w:rPr>
              <w:t xml:space="preserve">Reviewed the governance statement disclosures and confirmed the basis for compliance with the UK Corporate Governance Code (on a comply or explain basis), including consideration of any areas requiring enhanced explanation. </w:t>
            </w:r>
          </w:p>
          <w:p w14:paraId="076E9F29" w14:textId="7E695D7C" w:rsidR="004F030D" w:rsidRPr="00735726" w:rsidRDefault="004F030D" w:rsidP="00753953">
            <w:pPr>
              <w:pStyle w:val="ListParagraph"/>
              <w:numPr>
                <w:ilvl w:val="0"/>
                <w:numId w:val="16"/>
              </w:numPr>
              <w:spacing w:after="0"/>
              <w:rPr>
                <w:rFonts w:cs="Arial"/>
                <w:sz w:val="18"/>
                <w:szCs w:val="18"/>
              </w:rPr>
            </w:pPr>
            <w:r w:rsidRPr="00735726">
              <w:rPr>
                <w:rFonts w:ascii="Arial" w:hAnsi="Arial" w:cs="Arial"/>
                <w:sz w:val="18"/>
                <w:szCs w:val="18"/>
              </w:rPr>
              <w:t xml:space="preserve">Held regular meetings with the </w:t>
            </w:r>
            <w:r w:rsidR="00753953" w:rsidRPr="00735726">
              <w:rPr>
                <w:rFonts w:ascii="Arial" w:hAnsi="Arial" w:cs="Arial"/>
                <w:sz w:val="18"/>
                <w:szCs w:val="18"/>
              </w:rPr>
              <w:t>E</w:t>
            </w:r>
            <w:r w:rsidRPr="00735726">
              <w:rPr>
                <w:rFonts w:ascii="Arial" w:hAnsi="Arial" w:cs="Arial"/>
                <w:sz w:val="18"/>
                <w:szCs w:val="18"/>
              </w:rPr>
              <w:t xml:space="preserve">xternal </w:t>
            </w:r>
            <w:r w:rsidR="00753953" w:rsidRPr="00735726">
              <w:rPr>
                <w:rFonts w:ascii="Arial" w:hAnsi="Arial" w:cs="Arial"/>
                <w:sz w:val="18"/>
                <w:szCs w:val="18"/>
              </w:rPr>
              <w:t>Au</w:t>
            </w:r>
            <w:r w:rsidRPr="00735726">
              <w:rPr>
                <w:rFonts w:ascii="Arial" w:hAnsi="Arial" w:cs="Arial"/>
                <w:sz w:val="18"/>
                <w:szCs w:val="18"/>
              </w:rPr>
              <w:t>ditor</w:t>
            </w:r>
            <w:r w:rsidR="00AF04D7" w:rsidRPr="00735726">
              <w:rPr>
                <w:rFonts w:ascii="Arial" w:hAnsi="Arial" w:cs="Arial"/>
                <w:sz w:val="18"/>
                <w:szCs w:val="18"/>
              </w:rPr>
              <w:t>s</w:t>
            </w:r>
            <w:r w:rsidRPr="00735726">
              <w:rPr>
                <w:rFonts w:ascii="Arial" w:hAnsi="Arial" w:cs="Arial"/>
                <w:sz w:val="18"/>
                <w:szCs w:val="18"/>
              </w:rPr>
              <w:t xml:space="preserve"> without members of management being present.</w:t>
            </w:r>
          </w:p>
          <w:p w14:paraId="60F6852D" w14:textId="1905F4FA" w:rsidR="00ED2EB9" w:rsidRPr="00735726" w:rsidRDefault="00753953" w:rsidP="00753953">
            <w:pPr>
              <w:pStyle w:val="ListParagraph"/>
              <w:numPr>
                <w:ilvl w:val="0"/>
                <w:numId w:val="16"/>
              </w:numPr>
              <w:rPr>
                <w:rFonts w:cs="Arial"/>
                <w:sz w:val="18"/>
                <w:szCs w:val="18"/>
              </w:rPr>
            </w:pPr>
            <w:r w:rsidRPr="00735726">
              <w:rPr>
                <w:rFonts w:ascii="Arial" w:hAnsi="Arial" w:cs="Arial"/>
                <w:sz w:val="18"/>
                <w:szCs w:val="18"/>
              </w:rPr>
              <w:t>Reviewed progress against UK Corporate Governance Code reforms, including governance reporting expectations and the staged implementation of Provision 29 (material internal controls), and agreed the Committee’s oversight approach. This will include oversight of the testing approach in 2026/27.</w:t>
            </w:r>
          </w:p>
        </w:tc>
      </w:tr>
    </w:tbl>
    <w:p w14:paraId="3AE2B5AC" w14:textId="77777777" w:rsidR="004F030D" w:rsidRPr="009A2CAE" w:rsidRDefault="004F030D" w:rsidP="0024293B">
      <w:pPr>
        <w:pStyle w:val="AccountsHeading"/>
        <w:spacing w:line="276" w:lineRule="auto"/>
        <w:rPr>
          <w:rFonts w:eastAsiaTheme="minorHAnsi" w:cs="Arial"/>
          <w:caps w:val="0"/>
          <w:color w:val="auto"/>
          <w:sz w:val="18"/>
          <w:szCs w:val="18"/>
        </w:rPr>
      </w:pPr>
    </w:p>
    <w:p w14:paraId="3CA90EDC" w14:textId="77777777" w:rsidR="00047CDC" w:rsidRPr="00735726" w:rsidRDefault="00753953" w:rsidP="00753953">
      <w:pPr>
        <w:rPr>
          <w:rFonts w:ascii="Arial" w:hAnsi="Arial" w:cs="Arial"/>
          <w:sz w:val="18"/>
          <w:szCs w:val="18"/>
        </w:rPr>
      </w:pPr>
      <w:r w:rsidRPr="00735726">
        <w:rPr>
          <w:rFonts w:ascii="Arial" w:hAnsi="Arial" w:cs="Arial"/>
          <w:sz w:val="18"/>
          <w:szCs w:val="18"/>
        </w:rPr>
        <w:t xml:space="preserve">The UK Corporate Governance Code requires the Committee to describe the significant matters it considered in relation to the financial statements and how those matters were addressed. The significant areas of judgement considered for the year ended 31 March 2026 are set out in the table to the right, together with the Committee’s actions and conclusions. We also considered presentational and disclosure matters, including the use of non-underlying performance measures and ensuring a fair presentation of statutory and non-statutory performance. </w:t>
      </w:r>
    </w:p>
    <w:p w14:paraId="16348A2D" w14:textId="24B486EE" w:rsidR="004F030D" w:rsidRPr="00735726" w:rsidRDefault="000A0ADC" w:rsidP="00753953">
      <w:pPr>
        <w:rPr>
          <w:rFonts w:ascii="Arial" w:hAnsi="Arial" w:cs="Arial"/>
          <w:sz w:val="18"/>
          <w:szCs w:val="18"/>
        </w:rPr>
      </w:pPr>
      <w:r w:rsidRPr="00735726">
        <w:rPr>
          <w:rFonts w:ascii="Arial" w:hAnsi="Arial" w:cs="Arial"/>
          <w:sz w:val="18"/>
          <w:szCs w:val="18"/>
        </w:rPr>
        <w:t>D</w:t>
      </w:r>
      <w:r w:rsidR="004F030D" w:rsidRPr="00735726">
        <w:rPr>
          <w:rFonts w:ascii="Arial" w:hAnsi="Arial" w:cs="Arial"/>
          <w:sz w:val="18"/>
          <w:szCs w:val="18"/>
        </w:rPr>
        <w:t>uring the year, the Committee’s areas of focus included:</w:t>
      </w:r>
    </w:p>
    <w:tbl>
      <w:tblPr>
        <w:tblStyle w:val="TableGrid"/>
        <w:tblW w:w="0" w:type="auto"/>
        <w:tblLook w:val="04A0" w:firstRow="1" w:lastRow="0" w:firstColumn="1" w:lastColumn="0" w:noHBand="0" w:noVBand="1"/>
      </w:tblPr>
      <w:tblGrid>
        <w:gridCol w:w="2122"/>
        <w:gridCol w:w="6894"/>
      </w:tblGrid>
      <w:tr w:rsidR="004F030D" w:rsidRPr="00735726" w14:paraId="45513299" w14:textId="77777777" w:rsidTr="00881565">
        <w:tc>
          <w:tcPr>
            <w:tcW w:w="2122" w:type="dxa"/>
            <w:shd w:val="clear" w:color="auto" w:fill="002060"/>
          </w:tcPr>
          <w:p w14:paraId="78A58E5A" w14:textId="77777777" w:rsidR="004F030D" w:rsidRPr="00735726" w:rsidRDefault="004F030D" w:rsidP="00881565">
            <w:pPr>
              <w:spacing w:line="360" w:lineRule="auto"/>
              <w:rPr>
                <w:rFonts w:ascii="Arial" w:hAnsi="Arial" w:cs="Arial"/>
                <w:b/>
                <w:bCs/>
                <w:sz w:val="18"/>
                <w:szCs w:val="18"/>
              </w:rPr>
            </w:pPr>
            <w:r w:rsidRPr="00735726">
              <w:rPr>
                <w:rFonts w:ascii="Arial" w:hAnsi="Arial" w:cs="Arial"/>
                <w:b/>
                <w:bCs/>
                <w:sz w:val="18"/>
                <w:szCs w:val="18"/>
              </w:rPr>
              <w:t>Area of focus</w:t>
            </w:r>
          </w:p>
        </w:tc>
        <w:tc>
          <w:tcPr>
            <w:tcW w:w="6894" w:type="dxa"/>
            <w:shd w:val="clear" w:color="auto" w:fill="002060"/>
          </w:tcPr>
          <w:p w14:paraId="025300C5" w14:textId="77777777" w:rsidR="004F030D" w:rsidRPr="00735726" w:rsidRDefault="004F030D" w:rsidP="00881565">
            <w:pPr>
              <w:spacing w:line="360" w:lineRule="auto"/>
              <w:rPr>
                <w:rFonts w:ascii="Arial" w:hAnsi="Arial" w:cs="Arial"/>
                <w:b/>
                <w:bCs/>
                <w:sz w:val="18"/>
                <w:szCs w:val="18"/>
              </w:rPr>
            </w:pPr>
            <w:r w:rsidRPr="00735726">
              <w:rPr>
                <w:rFonts w:ascii="Arial" w:hAnsi="Arial" w:cs="Arial"/>
                <w:b/>
                <w:bCs/>
                <w:sz w:val="18"/>
                <w:szCs w:val="18"/>
              </w:rPr>
              <w:t>How the matter was addressed by the Committee</w:t>
            </w:r>
          </w:p>
        </w:tc>
      </w:tr>
      <w:tr w:rsidR="004F030D" w:rsidRPr="00735726" w14:paraId="153477AD" w14:textId="77777777" w:rsidTr="00881565">
        <w:tc>
          <w:tcPr>
            <w:tcW w:w="2122" w:type="dxa"/>
          </w:tcPr>
          <w:p w14:paraId="570EF7CB" w14:textId="77777777" w:rsidR="004F030D" w:rsidRPr="009A2CAE" w:rsidRDefault="004F030D" w:rsidP="00881565">
            <w:pPr>
              <w:spacing w:line="360" w:lineRule="auto"/>
              <w:rPr>
                <w:rFonts w:ascii="Arial" w:eastAsiaTheme="minorHAnsi" w:hAnsi="Arial" w:cs="Arial"/>
                <w:b/>
                <w:bCs/>
                <w:sz w:val="18"/>
                <w:szCs w:val="18"/>
              </w:rPr>
            </w:pPr>
            <w:r w:rsidRPr="00735726">
              <w:rPr>
                <w:rFonts w:ascii="Arial" w:eastAsiaTheme="minorHAnsi" w:hAnsi="Arial" w:cs="Arial"/>
                <w:b/>
                <w:bCs/>
                <w:sz w:val="18"/>
                <w:szCs w:val="18"/>
              </w:rPr>
              <w:t>Revenue recognition</w:t>
            </w:r>
          </w:p>
        </w:tc>
        <w:tc>
          <w:tcPr>
            <w:tcW w:w="6894" w:type="dxa"/>
          </w:tcPr>
          <w:p w14:paraId="7444F9EA" w14:textId="6E05CD82" w:rsidR="004F030D" w:rsidRPr="009A2CAE" w:rsidRDefault="004F030D" w:rsidP="002C74FA">
            <w:pPr>
              <w:rPr>
                <w:rFonts w:ascii="Arial" w:eastAsiaTheme="minorHAnsi" w:hAnsi="Arial" w:cs="Arial"/>
                <w:sz w:val="18"/>
                <w:szCs w:val="18"/>
              </w:rPr>
            </w:pPr>
            <w:r w:rsidRPr="00735726">
              <w:rPr>
                <w:rFonts w:ascii="Arial" w:eastAsiaTheme="minorHAnsi" w:hAnsi="Arial" w:cs="Arial"/>
                <w:sz w:val="18"/>
                <w:szCs w:val="18"/>
              </w:rPr>
              <w:t xml:space="preserve">Given the nature of the Company’s revenue, the key areas of income statement judgement for </w:t>
            </w:r>
            <w:proofErr w:type="gramStart"/>
            <w:r w:rsidRPr="00735726">
              <w:rPr>
                <w:rFonts w:ascii="Arial" w:eastAsiaTheme="minorHAnsi" w:hAnsi="Arial" w:cs="Arial"/>
                <w:sz w:val="18"/>
                <w:szCs w:val="18"/>
              </w:rPr>
              <w:t>South West</w:t>
            </w:r>
            <w:proofErr w:type="gramEnd"/>
            <w:r w:rsidRPr="00735726">
              <w:rPr>
                <w:rFonts w:ascii="Arial" w:eastAsiaTheme="minorHAnsi" w:hAnsi="Arial" w:cs="Arial"/>
                <w:sz w:val="18"/>
                <w:szCs w:val="18"/>
              </w:rPr>
              <w:t xml:space="preserve"> Water and Bristol Water continue to be in respect of revenue recognition relating to income from water services. </w:t>
            </w:r>
            <w:r w:rsidR="002C74FA" w:rsidRPr="00735726">
              <w:rPr>
                <w:rFonts w:ascii="Arial" w:hAnsi="Arial" w:cs="Arial"/>
                <w:sz w:val="18"/>
                <w:szCs w:val="18"/>
              </w:rPr>
              <w:t xml:space="preserve">The Committee undertook a deep dive into the measured income accrual to ensure a robust and accurate position in the current year, as </w:t>
            </w:r>
            <w:r w:rsidR="002C74FA" w:rsidRPr="00735726">
              <w:rPr>
                <w:rFonts w:ascii="Arial" w:eastAsiaTheme="minorHAnsi" w:hAnsi="Arial" w:cs="Arial"/>
                <w:sz w:val="18"/>
                <w:szCs w:val="18"/>
              </w:rPr>
              <w:t>well as a further streamlining of the methodologies and judgements applied</w:t>
            </w:r>
            <w:r w:rsidR="00BF76CF" w:rsidRPr="00735726">
              <w:rPr>
                <w:rFonts w:ascii="Arial" w:eastAsiaTheme="minorHAnsi" w:hAnsi="Arial" w:cs="Arial"/>
                <w:sz w:val="18"/>
                <w:szCs w:val="18"/>
              </w:rPr>
              <w:t>. The Committee continues to scrutinise the track record of accuracy by comparing actual outturns with accruals at previous year ends to form a judgement about the quality of decision</w:t>
            </w:r>
            <w:r w:rsidR="005C0C8B" w:rsidRPr="00735726">
              <w:rPr>
                <w:rFonts w:ascii="Arial" w:eastAsiaTheme="minorHAnsi" w:hAnsi="Arial" w:cs="Arial"/>
                <w:sz w:val="18"/>
                <w:szCs w:val="18"/>
              </w:rPr>
              <w:t>-</w:t>
            </w:r>
            <w:r w:rsidR="00BF76CF" w:rsidRPr="00735726">
              <w:rPr>
                <w:rFonts w:ascii="Arial" w:eastAsiaTheme="minorHAnsi" w:hAnsi="Arial" w:cs="Arial"/>
                <w:sz w:val="18"/>
                <w:szCs w:val="18"/>
              </w:rPr>
              <w:t xml:space="preserve">making and to ensure any learnings are further embedded in the calculation to improve accuracy going forward. The Committee also closely considered the work in respect of these areas </w:t>
            </w:r>
            <w:r w:rsidR="00BF76CF" w:rsidRPr="00735726">
              <w:rPr>
                <w:rFonts w:ascii="Arial" w:eastAsiaTheme="minorHAnsi" w:hAnsi="Arial" w:cs="Arial"/>
                <w:sz w:val="18"/>
                <w:szCs w:val="18"/>
              </w:rPr>
              <w:lastRenderedPageBreak/>
              <w:t xml:space="preserve">at year end by the </w:t>
            </w:r>
            <w:r w:rsidR="00AF04D7" w:rsidRPr="00735726">
              <w:rPr>
                <w:rFonts w:ascii="Arial" w:eastAsiaTheme="minorHAnsi" w:hAnsi="Arial" w:cs="Arial"/>
                <w:sz w:val="18"/>
                <w:szCs w:val="18"/>
              </w:rPr>
              <w:t>E</w:t>
            </w:r>
            <w:r w:rsidR="00BF76CF" w:rsidRPr="00735726">
              <w:rPr>
                <w:rFonts w:ascii="Arial" w:eastAsiaTheme="minorHAnsi" w:hAnsi="Arial" w:cs="Arial"/>
                <w:sz w:val="18"/>
                <w:szCs w:val="18"/>
              </w:rPr>
              <w:t xml:space="preserve">xternal </w:t>
            </w:r>
            <w:r w:rsidR="00AF04D7" w:rsidRPr="00735726">
              <w:rPr>
                <w:rFonts w:ascii="Arial" w:eastAsiaTheme="minorHAnsi" w:hAnsi="Arial" w:cs="Arial"/>
                <w:sz w:val="18"/>
                <w:szCs w:val="18"/>
              </w:rPr>
              <w:t xml:space="preserve">Auditors </w:t>
            </w:r>
            <w:r w:rsidR="00BF76CF" w:rsidRPr="00735726">
              <w:rPr>
                <w:rFonts w:ascii="Arial" w:eastAsiaTheme="minorHAnsi" w:hAnsi="Arial" w:cs="Arial"/>
                <w:sz w:val="18"/>
                <w:szCs w:val="18"/>
              </w:rPr>
              <w:t>as well as reviewing disclosures around revenue recognition accounting policies.</w:t>
            </w:r>
          </w:p>
        </w:tc>
      </w:tr>
      <w:tr w:rsidR="004F030D" w:rsidRPr="00735726" w14:paraId="5E01AD35" w14:textId="77777777" w:rsidTr="00881565">
        <w:tc>
          <w:tcPr>
            <w:tcW w:w="2122" w:type="dxa"/>
          </w:tcPr>
          <w:p w14:paraId="18DFF075" w14:textId="1E66472B" w:rsidR="004F030D" w:rsidRPr="00735726" w:rsidRDefault="006C52E1" w:rsidP="00881565">
            <w:pPr>
              <w:spacing w:line="360" w:lineRule="auto"/>
              <w:rPr>
                <w:rFonts w:ascii="Arial" w:eastAsiaTheme="minorHAnsi" w:hAnsi="Arial" w:cs="Arial"/>
                <w:b/>
                <w:bCs/>
                <w:sz w:val="18"/>
                <w:szCs w:val="18"/>
              </w:rPr>
            </w:pPr>
            <w:r w:rsidRPr="00735726">
              <w:lastRenderedPageBreak/>
              <w:br w:type="page"/>
            </w:r>
            <w:r w:rsidR="005C0C8B" w:rsidRPr="00735726">
              <w:rPr>
                <w:rFonts w:ascii="Arial" w:eastAsiaTheme="minorHAnsi" w:hAnsi="Arial" w:cs="Arial"/>
                <w:b/>
                <w:bCs/>
                <w:sz w:val="18"/>
                <w:szCs w:val="18"/>
              </w:rPr>
              <w:t>Expected credit losses</w:t>
            </w:r>
          </w:p>
        </w:tc>
        <w:tc>
          <w:tcPr>
            <w:tcW w:w="6894" w:type="dxa"/>
          </w:tcPr>
          <w:p w14:paraId="62186C5A" w14:textId="1B7AABCE" w:rsidR="004F030D" w:rsidRPr="00735726" w:rsidRDefault="00BF76CF" w:rsidP="00881565">
            <w:pPr>
              <w:rPr>
                <w:rFonts w:ascii="Arial" w:eastAsiaTheme="minorHAnsi" w:hAnsi="Arial" w:cs="Arial"/>
                <w:sz w:val="18"/>
                <w:szCs w:val="18"/>
              </w:rPr>
            </w:pPr>
            <w:r w:rsidRPr="00735726">
              <w:rPr>
                <w:rFonts w:ascii="Arial" w:eastAsiaTheme="minorHAnsi" w:hAnsi="Arial" w:cs="Arial"/>
                <w:sz w:val="18"/>
                <w:szCs w:val="18"/>
              </w:rPr>
              <w:t xml:space="preserve">Regular updates on progress against debt collection targets and other contractual payments due are received by the Board. Performance is monitored regularly across the </w:t>
            </w:r>
            <w:r w:rsidR="006B4EFA" w:rsidRPr="00735726">
              <w:rPr>
                <w:rFonts w:ascii="Arial" w:eastAsiaTheme="minorHAnsi" w:hAnsi="Arial" w:cs="Arial"/>
                <w:sz w:val="18"/>
                <w:szCs w:val="18"/>
              </w:rPr>
              <w:t>Company</w:t>
            </w:r>
            <w:r w:rsidRPr="00735726">
              <w:rPr>
                <w:rFonts w:ascii="Arial" w:eastAsiaTheme="minorHAnsi" w:hAnsi="Arial" w:cs="Arial"/>
                <w:sz w:val="18"/>
                <w:szCs w:val="18"/>
              </w:rPr>
              <w:t xml:space="preserve"> against historical standards and compared to the track records of other companies in the relevant sectors. The Committee was particularly mindful of the ongoing impacts of affordability on the assessment of expected credit losses in determining the bad debt provision, noting the significant increases in inflation arising from macroeconomic developments. At the year end, the </w:t>
            </w:r>
            <w:r w:rsidR="005C0C8B" w:rsidRPr="00735726">
              <w:rPr>
                <w:rFonts w:ascii="Arial" w:eastAsiaTheme="minorHAnsi" w:hAnsi="Arial" w:cs="Arial"/>
                <w:sz w:val="18"/>
                <w:szCs w:val="18"/>
              </w:rPr>
              <w:t>E</w:t>
            </w:r>
            <w:r w:rsidRPr="00735726">
              <w:rPr>
                <w:rFonts w:ascii="Arial" w:eastAsiaTheme="minorHAnsi" w:hAnsi="Arial" w:cs="Arial"/>
                <w:sz w:val="18"/>
                <w:szCs w:val="18"/>
              </w:rPr>
              <w:t xml:space="preserve">xternal </w:t>
            </w:r>
            <w:r w:rsidR="005C0C8B" w:rsidRPr="00735726">
              <w:rPr>
                <w:rFonts w:ascii="Arial" w:eastAsiaTheme="minorHAnsi" w:hAnsi="Arial" w:cs="Arial"/>
                <w:sz w:val="18"/>
                <w:szCs w:val="18"/>
              </w:rPr>
              <w:t>A</w:t>
            </w:r>
            <w:r w:rsidRPr="00735726">
              <w:rPr>
                <w:rFonts w:ascii="Arial" w:eastAsiaTheme="minorHAnsi" w:hAnsi="Arial" w:cs="Arial"/>
                <w:sz w:val="18"/>
                <w:szCs w:val="18"/>
              </w:rPr>
              <w:t>uditor</w:t>
            </w:r>
            <w:r w:rsidR="00AF04D7" w:rsidRPr="00735726">
              <w:rPr>
                <w:rFonts w:ascii="Arial" w:eastAsiaTheme="minorHAnsi" w:hAnsi="Arial" w:cs="Arial"/>
                <w:sz w:val="18"/>
                <w:szCs w:val="18"/>
              </w:rPr>
              <w:t>s</w:t>
            </w:r>
            <w:r w:rsidRPr="00735726">
              <w:rPr>
                <w:rFonts w:ascii="Arial" w:eastAsiaTheme="minorHAnsi" w:hAnsi="Arial" w:cs="Arial"/>
                <w:sz w:val="18"/>
                <w:szCs w:val="18"/>
              </w:rPr>
              <w:t xml:space="preserve"> reported on the work it had performed, which, together with the detailed analysis reported, enabled the Committee to conclude that management’s assessment of the year-end position and its provisions for expected credit losses were reasonable.</w:t>
            </w:r>
          </w:p>
        </w:tc>
      </w:tr>
      <w:tr w:rsidR="004F030D" w:rsidRPr="00735726" w14:paraId="26DD9A69" w14:textId="77777777" w:rsidTr="00881565">
        <w:tc>
          <w:tcPr>
            <w:tcW w:w="2122" w:type="dxa"/>
          </w:tcPr>
          <w:p w14:paraId="015EB568" w14:textId="77777777" w:rsidR="004F030D" w:rsidRPr="009A2CAE" w:rsidRDefault="004F030D" w:rsidP="00881565">
            <w:pPr>
              <w:spacing w:line="360" w:lineRule="auto"/>
              <w:rPr>
                <w:rFonts w:ascii="Arial" w:eastAsiaTheme="minorHAnsi" w:hAnsi="Arial" w:cs="Arial"/>
                <w:b/>
                <w:bCs/>
                <w:sz w:val="18"/>
                <w:szCs w:val="18"/>
              </w:rPr>
            </w:pPr>
            <w:r w:rsidRPr="00735726">
              <w:rPr>
                <w:rFonts w:ascii="Arial" w:eastAsiaTheme="minorHAnsi" w:hAnsi="Arial" w:cs="Arial"/>
                <w:b/>
                <w:bCs/>
                <w:sz w:val="18"/>
                <w:szCs w:val="18"/>
              </w:rPr>
              <w:t>Going concern basis for the preparation of the financial statements and viability statement</w:t>
            </w:r>
          </w:p>
        </w:tc>
        <w:tc>
          <w:tcPr>
            <w:tcW w:w="6894" w:type="dxa"/>
          </w:tcPr>
          <w:p w14:paraId="37BEAF89" w14:textId="77777777" w:rsidR="005C0C8B" w:rsidRPr="00735726" w:rsidRDefault="004F030D" w:rsidP="00035FC8">
            <w:pPr>
              <w:rPr>
                <w:rFonts w:ascii="Arial" w:eastAsiaTheme="minorHAnsi" w:hAnsi="Arial" w:cs="Arial"/>
                <w:sz w:val="18"/>
                <w:szCs w:val="18"/>
              </w:rPr>
            </w:pPr>
            <w:r w:rsidRPr="00735726">
              <w:rPr>
                <w:rFonts w:ascii="Arial" w:eastAsiaTheme="minorHAnsi" w:hAnsi="Arial" w:cs="Arial"/>
                <w:sz w:val="18"/>
                <w:szCs w:val="18"/>
              </w:rPr>
              <w:t xml:space="preserve">A report from the Chief Finance Officer on the financial performance </w:t>
            </w:r>
            <w:proofErr w:type="gramStart"/>
            <w:r w:rsidRPr="00735726">
              <w:rPr>
                <w:rFonts w:ascii="Arial" w:eastAsiaTheme="minorHAnsi" w:hAnsi="Arial" w:cs="Arial"/>
                <w:sz w:val="18"/>
                <w:szCs w:val="18"/>
              </w:rPr>
              <w:t>South West</w:t>
            </w:r>
            <w:proofErr w:type="gramEnd"/>
            <w:r w:rsidRPr="00735726">
              <w:rPr>
                <w:rFonts w:ascii="Arial" w:eastAsiaTheme="minorHAnsi" w:hAnsi="Arial" w:cs="Arial"/>
                <w:sz w:val="18"/>
                <w:szCs w:val="18"/>
              </w:rPr>
              <w:t xml:space="preserve"> Water, </w:t>
            </w:r>
            <w:r w:rsidR="00035FC8" w:rsidRPr="00735726">
              <w:rPr>
                <w:rFonts w:ascii="Arial" w:eastAsiaTheme="minorHAnsi" w:hAnsi="Arial" w:cs="Arial"/>
                <w:sz w:val="18"/>
                <w:szCs w:val="18"/>
              </w:rPr>
              <w:t xml:space="preserve">including forward-looking estimates of covenant compliance and funding levels under different scenarios, including inflationary scenarios, is provided to the Committee on a periodic basis. </w:t>
            </w:r>
          </w:p>
          <w:p w14:paraId="7FE0225F" w14:textId="12AAA668" w:rsidR="00035FC8" w:rsidRPr="00735726" w:rsidRDefault="00035FC8" w:rsidP="00035FC8">
            <w:pPr>
              <w:rPr>
                <w:rFonts w:ascii="Arial" w:eastAsiaTheme="minorHAnsi" w:hAnsi="Arial" w:cs="Arial"/>
                <w:sz w:val="18"/>
                <w:szCs w:val="18"/>
              </w:rPr>
            </w:pPr>
            <w:r w:rsidRPr="00735726">
              <w:rPr>
                <w:rFonts w:ascii="Arial" w:eastAsiaTheme="minorHAnsi" w:hAnsi="Arial" w:cs="Arial"/>
                <w:sz w:val="18"/>
                <w:szCs w:val="18"/>
              </w:rPr>
              <w:t xml:space="preserve">Rolling seven-year strategy projections, and the resultant headroom relative to borrowings, are also regularly reviewed by the Committee, including the application of scenarios to enable the Committee to better understand the potential range of outcomes. </w:t>
            </w:r>
          </w:p>
          <w:p w14:paraId="2FBAA877" w14:textId="190AAEE4" w:rsidR="004F030D" w:rsidRPr="009A2CAE" w:rsidRDefault="00254E21" w:rsidP="00254E21">
            <w:pPr>
              <w:rPr>
                <w:rFonts w:ascii="Arial" w:eastAsiaTheme="minorHAnsi" w:hAnsi="Arial" w:cs="Arial"/>
                <w:sz w:val="18"/>
                <w:szCs w:val="18"/>
              </w:rPr>
            </w:pPr>
            <w:r w:rsidRPr="00735726">
              <w:rPr>
                <w:rFonts w:ascii="Arial" w:hAnsi="Arial" w:cs="Arial"/>
                <w:sz w:val="18"/>
                <w:szCs w:val="18"/>
              </w:rPr>
              <w:t xml:space="preserve">At the end of each six-month period the Committee receives for consideration a report focusing on the Company’s liquidity over the 15-month period from the date of signing of either the Annual Report or half-year results. The Committee also reviewed a report on the Company’s financial viability over an appropriate period, in connection with the UK Corporate Governance Code’s requirement for a viability statement to be given by the Board. The Board regularly considers the appropriate period for the viability assessment to be performed in line with the UK Corporate Governance Code. The Board considers the appropriate period to assess the Company’s viability should be </w:t>
            </w:r>
            <w:r w:rsidR="009621B5" w:rsidRPr="00735726">
              <w:rPr>
                <w:rFonts w:ascii="Arial" w:hAnsi="Arial" w:cs="Arial"/>
                <w:sz w:val="18"/>
                <w:szCs w:val="18"/>
              </w:rPr>
              <w:t>unchanged at</w:t>
            </w:r>
            <w:r w:rsidRPr="00735726">
              <w:rPr>
                <w:rFonts w:ascii="Arial" w:hAnsi="Arial" w:cs="Arial"/>
                <w:sz w:val="18"/>
                <w:szCs w:val="18"/>
              </w:rPr>
              <w:t xml:space="preserve"> seven years, which recognises the longer-term visibility in the regulatory environment of the </w:t>
            </w:r>
            <w:r w:rsidR="005C0C8B" w:rsidRPr="00735726">
              <w:rPr>
                <w:rFonts w:ascii="Arial" w:hAnsi="Arial" w:cs="Arial"/>
                <w:sz w:val="18"/>
                <w:szCs w:val="18"/>
              </w:rPr>
              <w:t>w</w:t>
            </w:r>
            <w:r w:rsidRPr="00735726">
              <w:rPr>
                <w:rFonts w:ascii="Arial" w:hAnsi="Arial" w:cs="Arial"/>
                <w:sz w:val="18"/>
                <w:szCs w:val="18"/>
              </w:rPr>
              <w:t xml:space="preserve">ater business. Similarly, this report also considered the viability of the Company, </w:t>
            </w:r>
            <w:proofErr w:type="gramStart"/>
            <w:r w:rsidRPr="00735726">
              <w:rPr>
                <w:rFonts w:ascii="Arial" w:hAnsi="Arial" w:cs="Arial"/>
                <w:sz w:val="18"/>
                <w:szCs w:val="18"/>
              </w:rPr>
              <w:t>taking into account</w:t>
            </w:r>
            <w:proofErr w:type="gramEnd"/>
            <w:r w:rsidRPr="00735726">
              <w:rPr>
                <w:rFonts w:ascii="Arial" w:hAnsi="Arial" w:cs="Arial"/>
                <w:sz w:val="18"/>
                <w:szCs w:val="18"/>
              </w:rPr>
              <w:t xml:space="preserve"> the potential manifestation of other adverse events modelled from the Company’s principal risks and resultant sensitivity scenarios. Consideration of these reports and constructive challenge on the findings of the reports, including the scenario testing carried out by management, has enabled the Committee to form its assessment and satisfy itself that it remains appropriate for the Company to continue to adopt the going concern basis of accounting in the preparation of the financial statements and in addition advise </w:t>
            </w:r>
            <w:r w:rsidRPr="00735726">
              <w:rPr>
                <w:rFonts w:ascii="Arial" w:eastAsiaTheme="minorHAnsi" w:hAnsi="Arial" w:cs="Arial"/>
                <w:sz w:val="18"/>
                <w:szCs w:val="18"/>
              </w:rPr>
              <w:t xml:space="preserve">the Board on providing the viability statement set out on pages </w:t>
            </w:r>
            <w:r w:rsidR="00390ECE" w:rsidRPr="009A2CAE">
              <w:rPr>
                <w:rFonts w:ascii="Arial" w:hAnsi="Arial" w:cs="Arial"/>
                <w:sz w:val="18"/>
                <w:szCs w:val="18"/>
              </w:rPr>
              <w:t>75</w:t>
            </w:r>
            <w:r w:rsidR="00855DF7" w:rsidRPr="009A2CAE">
              <w:rPr>
                <w:rFonts w:ascii="Arial" w:hAnsi="Arial" w:cs="Arial"/>
                <w:sz w:val="18"/>
                <w:szCs w:val="18"/>
              </w:rPr>
              <w:t xml:space="preserve"> to </w:t>
            </w:r>
            <w:r w:rsidR="00390ECE" w:rsidRPr="009A2CAE">
              <w:rPr>
                <w:rFonts w:ascii="Arial" w:hAnsi="Arial" w:cs="Arial"/>
                <w:sz w:val="18"/>
                <w:szCs w:val="18"/>
              </w:rPr>
              <w:t>77</w:t>
            </w:r>
            <w:r w:rsidRPr="009A2CAE">
              <w:rPr>
                <w:rFonts w:ascii="Arial" w:hAnsi="Arial" w:cs="Arial"/>
                <w:sz w:val="18"/>
                <w:szCs w:val="18"/>
              </w:rPr>
              <w:t>.</w:t>
            </w:r>
          </w:p>
        </w:tc>
      </w:tr>
    </w:tbl>
    <w:p w14:paraId="168BCB14" w14:textId="77777777" w:rsidR="00035FC8" w:rsidRPr="009A2CAE" w:rsidRDefault="00035FC8" w:rsidP="00773E65">
      <w:pPr>
        <w:spacing w:after="160" w:line="259" w:lineRule="auto"/>
        <w:rPr>
          <w:rFonts w:ascii="Arial" w:hAnsi="Arial" w:cs="Arial"/>
          <w:b/>
          <w:sz w:val="18"/>
          <w:szCs w:val="18"/>
        </w:rPr>
      </w:pPr>
    </w:p>
    <w:p w14:paraId="43ED37B7" w14:textId="7C3B027C" w:rsidR="004F030D" w:rsidRPr="00735726" w:rsidRDefault="004F030D" w:rsidP="0024293B">
      <w:pPr>
        <w:spacing w:after="160"/>
        <w:rPr>
          <w:rFonts w:ascii="Arial" w:eastAsia="Times New Roman" w:hAnsi="Arial" w:cs="DINOT-Light"/>
          <w:color w:val="000000"/>
          <w:sz w:val="18"/>
          <w:szCs w:val="18"/>
        </w:rPr>
      </w:pPr>
      <w:r w:rsidRPr="00735726">
        <w:rPr>
          <w:rFonts w:ascii="Arial" w:hAnsi="Arial" w:cs="Arial"/>
          <w:b/>
          <w:sz w:val="18"/>
          <w:szCs w:val="18"/>
        </w:rPr>
        <w:t>EFFECTIVENESS OF THE EXTERNAL AUDIT PROCESS</w:t>
      </w:r>
      <w:r w:rsidR="008352F1" w:rsidRPr="00735726">
        <w:rPr>
          <w:rFonts w:ascii="Arial" w:eastAsia="Times New Roman" w:hAnsi="Arial" w:cs="DINOT-Light"/>
          <w:color w:val="000000"/>
          <w:sz w:val="18"/>
          <w:szCs w:val="18"/>
        </w:rPr>
        <w:br/>
      </w:r>
      <w:r w:rsidRPr="00735726">
        <w:rPr>
          <w:rFonts w:ascii="Arial" w:eastAsia="Times New Roman" w:hAnsi="Arial" w:cs="DINOT-Light"/>
          <w:color w:val="000000"/>
          <w:sz w:val="18"/>
          <w:szCs w:val="18"/>
        </w:rPr>
        <w:t>Receiving high-quality and effective audit services is of paramount importance to the Committee. We continue to monitor carefully the effectiveness of our external auditor</w:t>
      </w:r>
      <w:r w:rsidR="00AF04D7"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as well as their independence, while recognising there is a need to use our </w:t>
      </w:r>
      <w:r w:rsidR="006141D1" w:rsidRPr="00735726">
        <w:rPr>
          <w:rFonts w:ascii="Arial" w:eastAsia="Times New Roman" w:hAnsi="Arial" w:cs="DINOT-Light"/>
          <w:color w:val="000000"/>
          <w:sz w:val="18"/>
          <w:szCs w:val="18"/>
        </w:rPr>
        <w:t>E</w:t>
      </w:r>
      <w:r w:rsidRPr="00735726">
        <w:rPr>
          <w:rFonts w:ascii="Arial" w:eastAsia="Times New Roman" w:hAnsi="Arial" w:cs="DINOT-Light"/>
          <w:color w:val="000000"/>
          <w:sz w:val="18"/>
          <w:szCs w:val="18"/>
        </w:rPr>
        <w:t xml:space="preserve">xternal </w:t>
      </w:r>
      <w:r w:rsidR="006141D1" w:rsidRPr="00735726">
        <w:rPr>
          <w:rFonts w:ascii="Arial" w:eastAsia="Times New Roman" w:hAnsi="Arial" w:cs="DINOT-Light"/>
          <w:color w:val="000000"/>
          <w:sz w:val="18"/>
          <w:szCs w:val="18"/>
        </w:rPr>
        <w:t>A</w:t>
      </w:r>
      <w:r w:rsidRPr="00735726">
        <w:rPr>
          <w:rFonts w:ascii="Arial" w:eastAsia="Times New Roman" w:hAnsi="Arial" w:cs="DINOT-Light"/>
          <w:color w:val="000000"/>
          <w:sz w:val="18"/>
          <w:szCs w:val="18"/>
        </w:rPr>
        <w:t>uditor’s firm for certain non-audit services. We have full regard to the FRC’s Ethical Standard and ensure that our procedures and safeguards meet these standards.</w:t>
      </w:r>
    </w:p>
    <w:p w14:paraId="7E7F4104" w14:textId="20D2A544" w:rsidR="004F030D" w:rsidRPr="00735726" w:rsidRDefault="004F030D" w:rsidP="005A5668">
      <w:pPr>
        <w:pStyle w:val="Headinglevel4"/>
        <w:spacing w:line="276" w:lineRule="auto"/>
        <w:outlineLvl w:val="0"/>
        <w:rPr>
          <w:rFonts w:cs="DINOT-Light"/>
          <w:b w:val="0"/>
          <w:bCs w:val="0"/>
          <w:caps w:val="0"/>
        </w:rPr>
      </w:pPr>
      <w:r w:rsidRPr="00735726">
        <w:rPr>
          <w:rFonts w:cs="DINOT-Light"/>
          <w:b w:val="0"/>
          <w:bCs w:val="0"/>
          <w:caps w:val="0"/>
        </w:rPr>
        <w:t>The External Auditor</w:t>
      </w:r>
      <w:r w:rsidR="00AF04D7" w:rsidRPr="00735726">
        <w:rPr>
          <w:rFonts w:cs="DINOT-Light"/>
          <w:b w:val="0"/>
          <w:bCs w:val="0"/>
          <w:caps w:val="0"/>
        </w:rPr>
        <w:t>s</w:t>
      </w:r>
      <w:r w:rsidRPr="00735726">
        <w:rPr>
          <w:rFonts w:cs="DINOT-Light"/>
          <w:b w:val="0"/>
          <w:bCs w:val="0"/>
          <w:caps w:val="0"/>
        </w:rPr>
        <w:t xml:space="preserve"> produced a detailed audit planning report in preparation for the year-end financial statements, which has assisted the auditor</w:t>
      </w:r>
      <w:r w:rsidR="00AF04D7" w:rsidRPr="00735726">
        <w:rPr>
          <w:rFonts w:cs="DINOT-Light"/>
          <w:b w:val="0"/>
          <w:bCs w:val="0"/>
          <w:caps w:val="0"/>
        </w:rPr>
        <w:t>s</w:t>
      </w:r>
      <w:r w:rsidRPr="00735726">
        <w:rPr>
          <w:rFonts w:cs="DINOT-Light"/>
          <w:b w:val="0"/>
          <w:bCs w:val="0"/>
          <w:caps w:val="0"/>
        </w:rPr>
        <w:t xml:space="preserve"> in delivering the timely audit of the Company’s Annual Report and which was shared with, and discussed by, the Committee in advance.</w:t>
      </w:r>
      <w:r w:rsidR="00035FC8" w:rsidRPr="00735726">
        <w:rPr>
          <w:rFonts w:cs="DINOT-Light"/>
          <w:b w:val="0"/>
          <w:bCs w:val="0"/>
          <w:caps w:val="0"/>
        </w:rPr>
        <w:t xml:space="preserve"> </w:t>
      </w:r>
    </w:p>
    <w:p w14:paraId="72EE38FA" w14:textId="77777777" w:rsidR="004F030D" w:rsidRPr="00735726" w:rsidRDefault="004F030D" w:rsidP="005A5668">
      <w:pPr>
        <w:pStyle w:val="Headinglevel4"/>
        <w:spacing w:line="276" w:lineRule="auto"/>
        <w:outlineLvl w:val="0"/>
        <w:rPr>
          <w:rFonts w:cs="DINOT-Light"/>
          <w:b w:val="0"/>
          <w:bCs w:val="0"/>
          <w:caps w:val="0"/>
        </w:rPr>
      </w:pPr>
    </w:p>
    <w:p w14:paraId="0811C1E3" w14:textId="641399DF" w:rsidR="00035FC8" w:rsidRPr="00735726" w:rsidRDefault="00035FC8" w:rsidP="006141D1">
      <w:pPr>
        <w:rPr>
          <w:rFonts w:ascii="Arial" w:eastAsia="Times New Roman" w:hAnsi="Arial" w:cs="DINOT-Light"/>
          <w:color w:val="000000"/>
          <w:sz w:val="18"/>
          <w:szCs w:val="18"/>
        </w:rPr>
      </w:pPr>
      <w:r w:rsidRPr="00735726">
        <w:rPr>
          <w:rFonts w:ascii="Arial" w:eastAsia="Times New Roman" w:hAnsi="Arial" w:cs="DINOT-Light"/>
          <w:color w:val="000000"/>
          <w:sz w:val="18"/>
          <w:szCs w:val="18"/>
        </w:rPr>
        <w:t>The effectiveness review of the External Auditor</w:t>
      </w:r>
      <w:r w:rsidR="00AF04D7"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is considered as part of the Committee’s annual performance evaluation, which also examines the relationship and communications between the Committee and the </w:t>
      </w:r>
      <w:r w:rsidR="006141D1" w:rsidRPr="00735726">
        <w:rPr>
          <w:rFonts w:ascii="Arial" w:eastAsia="Times New Roman" w:hAnsi="Arial" w:cs="DINOT-Light"/>
          <w:color w:val="000000"/>
          <w:sz w:val="18"/>
          <w:szCs w:val="18"/>
        </w:rPr>
        <w:t>E</w:t>
      </w:r>
      <w:r w:rsidRPr="00735726">
        <w:rPr>
          <w:rFonts w:ascii="Arial" w:eastAsia="Times New Roman" w:hAnsi="Arial" w:cs="DINOT-Light"/>
          <w:color w:val="000000"/>
          <w:sz w:val="18"/>
          <w:szCs w:val="18"/>
        </w:rPr>
        <w:t xml:space="preserve">xternal </w:t>
      </w:r>
      <w:r w:rsidR="006141D1" w:rsidRPr="00735726">
        <w:rPr>
          <w:rFonts w:ascii="Arial" w:eastAsia="Times New Roman" w:hAnsi="Arial" w:cs="DINOT-Light"/>
          <w:color w:val="000000"/>
          <w:sz w:val="18"/>
          <w:szCs w:val="18"/>
        </w:rPr>
        <w:t>A</w:t>
      </w:r>
      <w:r w:rsidRPr="00735726">
        <w:rPr>
          <w:rFonts w:ascii="Arial" w:eastAsia="Times New Roman" w:hAnsi="Arial" w:cs="DINOT-Light"/>
          <w:color w:val="000000"/>
          <w:sz w:val="18"/>
          <w:szCs w:val="18"/>
        </w:rPr>
        <w:t>uditor</w:t>
      </w:r>
      <w:r w:rsidR="00AF04D7"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w:t>
      </w:r>
      <w:r w:rsidR="006141D1" w:rsidRPr="00735726">
        <w:rPr>
          <w:rFonts w:ascii="Arial" w:eastAsia="Times New Roman" w:hAnsi="Arial" w:cs="DINOT-Light"/>
          <w:color w:val="000000"/>
          <w:sz w:val="18"/>
          <w:szCs w:val="18"/>
        </w:rPr>
        <w:t>No issues were raised during that review. The Committee concluded that the auditor</w:t>
      </w:r>
      <w:r w:rsidR="00AF04D7" w:rsidRPr="00735726">
        <w:rPr>
          <w:rFonts w:ascii="Arial" w:eastAsia="Times New Roman" w:hAnsi="Arial" w:cs="DINOT-Light"/>
          <w:color w:val="000000"/>
          <w:sz w:val="18"/>
          <w:szCs w:val="18"/>
        </w:rPr>
        <w:t>s</w:t>
      </w:r>
      <w:r w:rsidR="006141D1" w:rsidRPr="00735726">
        <w:rPr>
          <w:rFonts w:ascii="Arial" w:eastAsia="Times New Roman" w:hAnsi="Arial" w:cs="DINOT-Light"/>
          <w:color w:val="000000"/>
          <w:sz w:val="18"/>
          <w:szCs w:val="18"/>
        </w:rPr>
        <w:t xml:space="preserve"> was effective during the year and that the relationship and communications were open and constructive.</w:t>
      </w:r>
    </w:p>
    <w:p w14:paraId="2C47CE80" w14:textId="575F4331" w:rsidR="00035FC8" w:rsidRPr="00735726" w:rsidRDefault="00035FC8" w:rsidP="005A5668">
      <w:pPr>
        <w:rPr>
          <w:rFonts w:ascii="Arial" w:eastAsia="Times New Roman" w:hAnsi="Arial" w:cs="DINOT-Light"/>
          <w:color w:val="000000"/>
          <w:sz w:val="18"/>
          <w:szCs w:val="18"/>
        </w:rPr>
      </w:pPr>
      <w:r w:rsidRPr="00735726">
        <w:rPr>
          <w:rFonts w:ascii="Arial" w:eastAsia="Times New Roman" w:hAnsi="Arial" w:cs="DINOT-Light"/>
          <w:color w:val="000000"/>
          <w:sz w:val="18"/>
          <w:szCs w:val="18"/>
        </w:rPr>
        <w:lastRenderedPageBreak/>
        <w:t>The Committee Chair has also met privately with the External Auditor</w:t>
      </w:r>
      <w:r w:rsidR="00AF04D7"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to discuss key matters</w:t>
      </w:r>
      <w:r w:rsidR="006141D1" w:rsidRPr="00735726">
        <w:rPr>
          <w:rFonts w:ascii="Arial" w:eastAsia="Times New Roman" w:hAnsi="Arial" w:cs="DINOT-Light"/>
          <w:color w:val="000000"/>
          <w:sz w:val="18"/>
          <w:szCs w:val="18"/>
        </w:rPr>
        <w:t>.</w:t>
      </w:r>
    </w:p>
    <w:p w14:paraId="57280793" w14:textId="05685C69" w:rsidR="004F030D" w:rsidRPr="00735726" w:rsidRDefault="004F030D" w:rsidP="0024293B">
      <w:pPr>
        <w:spacing w:after="0"/>
        <w:rPr>
          <w:rFonts w:ascii="Arial" w:hAnsi="Arial" w:cs="Arial"/>
          <w:b/>
          <w:sz w:val="18"/>
          <w:szCs w:val="18"/>
        </w:rPr>
      </w:pPr>
      <w:r w:rsidRPr="00735726">
        <w:rPr>
          <w:rFonts w:ascii="Arial" w:hAnsi="Arial" w:cs="Arial"/>
          <w:b/>
          <w:sz w:val="18"/>
          <w:szCs w:val="18"/>
        </w:rPr>
        <w:t>AUDITOR</w:t>
      </w:r>
      <w:r w:rsidR="00AF04D7" w:rsidRPr="00735726">
        <w:rPr>
          <w:rFonts w:ascii="Arial" w:hAnsi="Arial" w:cs="Arial"/>
          <w:b/>
          <w:sz w:val="18"/>
          <w:szCs w:val="18"/>
        </w:rPr>
        <w:t>S</w:t>
      </w:r>
      <w:r w:rsidRPr="00735726">
        <w:rPr>
          <w:rFonts w:ascii="Arial" w:hAnsi="Arial" w:cs="Arial"/>
          <w:b/>
          <w:sz w:val="18"/>
          <w:szCs w:val="18"/>
        </w:rPr>
        <w:t xml:space="preserve"> INDEPENDENCE</w:t>
      </w:r>
    </w:p>
    <w:p w14:paraId="35B7809F" w14:textId="4BE0F575" w:rsidR="004F030D" w:rsidRPr="00735726" w:rsidRDefault="004F030D" w:rsidP="005A5668">
      <w:pPr>
        <w:rPr>
          <w:rFonts w:ascii="Arial" w:eastAsia="Times New Roman" w:hAnsi="Arial" w:cs="DINOT-Light"/>
          <w:color w:val="000000"/>
          <w:sz w:val="18"/>
          <w:szCs w:val="18"/>
          <w:lang w:eastAsia="en-GB"/>
        </w:rPr>
      </w:pPr>
      <w:r w:rsidRPr="00735726">
        <w:rPr>
          <w:rFonts w:ascii="Arial" w:eastAsia="Times New Roman" w:hAnsi="Arial" w:cs="DINOT-Light"/>
          <w:color w:val="000000"/>
          <w:sz w:val="18"/>
          <w:szCs w:val="18"/>
          <w:lang w:eastAsia="en-GB"/>
        </w:rPr>
        <w:t>The Committee regards independence of the External Auditor</w:t>
      </w:r>
      <w:r w:rsidR="00AF04D7" w:rsidRPr="00735726">
        <w:rPr>
          <w:rFonts w:ascii="Arial" w:eastAsia="Times New Roman" w:hAnsi="Arial" w:cs="DINOT-Light"/>
          <w:color w:val="000000"/>
          <w:sz w:val="18"/>
          <w:szCs w:val="18"/>
          <w:lang w:eastAsia="en-GB"/>
        </w:rPr>
        <w:t>s</w:t>
      </w:r>
      <w:r w:rsidRPr="00735726">
        <w:rPr>
          <w:rFonts w:ascii="Arial" w:eastAsia="Times New Roman" w:hAnsi="Arial" w:cs="DINOT-Light"/>
          <w:color w:val="000000"/>
          <w:sz w:val="18"/>
          <w:szCs w:val="18"/>
          <w:lang w:eastAsia="en-GB"/>
        </w:rPr>
        <w:t xml:space="preserve"> as </w:t>
      </w:r>
      <w:proofErr w:type="gramStart"/>
      <w:r w:rsidRPr="00735726">
        <w:rPr>
          <w:rFonts w:ascii="Arial" w:eastAsia="Times New Roman" w:hAnsi="Arial" w:cs="DINOT-Light"/>
          <w:color w:val="000000"/>
          <w:sz w:val="18"/>
          <w:szCs w:val="18"/>
          <w:lang w:eastAsia="en-GB"/>
        </w:rPr>
        <w:t>absolutely crucial</w:t>
      </w:r>
      <w:proofErr w:type="gramEnd"/>
      <w:r w:rsidRPr="00735726">
        <w:rPr>
          <w:rFonts w:ascii="Arial" w:eastAsia="Times New Roman" w:hAnsi="Arial" w:cs="DINOT-Light"/>
          <w:color w:val="000000"/>
          <w:sz w:val="18"/>
          <w:szCs w:val="18"/>
          <w:lang w:eastAsia="en-GB"/>
        </w:rPr>
        <w:t xml:space="preserve"> in safeguarding the integrity of the audit process and takes responsibility for ensuring the three-way relationship between the Committee, the External Auditor</w:t>
      </w:r>
      <w:r w:rsidR="00AF04D7" w:rsidRPr="00735726">
        <w:rPr>
          <w:rFonts w:ascii="Arial" w:eastAsia="Times New Roman" w:hAnsi="Arial" w:cs="DINOT-Light"/>
          <w:color w:val="000000"/>
          <w:sz w:val="18"/>
          <w:szCs w:val="18"/>
          <w:lang w:eastAsia="en-GB"/>
        </w:rPr>
        <w:t>s</w:t>
      </w:r>
      <w:r w:rsidRPr="00735726">
        <w:rPr>
          <w:rFonts w:ascii="Arial" w:eastAsia="Times New Roman" w:hAnsi="Arial" w:cs="DINOT-Light"/>
          <w:color w:val="000000"/>
          <w:sz w:val="18"/>
          <w:szCs w:val="18"/>
          <w:lang w:eastAsia="en-GB"/>
        </w:rPr>
        <w:t xml:space="preserve"> and management </w:t>
      </w:r>
      <w:proofErr w:type="gramStart"/>
      <w:r w:rsidRPr="00735726">
        <w:rPr>
          <w:rFonts w:ascii="Arial" w:eastAsia="Times New Roman" w:hAnsi="Arial" w:cs="DINOT-Light"/>
          <w:color w:val="000000"/>
          <w:sz w:val="18"/>
          <w:szCs w:val="18"/>
          <w:lang w:eastAsia="en-GB"/>
        </w:rPr>
        <w:t>remains</w:t>
      </w:r>
      <w:proofErr w:type="gramEnd"/>
      <w:r w:rsidRPr="00735726">
        <w:rPr>
          <w:rFonts w:ascii="Arial" w:eastAsia="Times New Roman" w:hAnsi="Arial" w:cs="DINOT-Light"/>
          <w:color w:val="000000"/>
          <w:sz w:val="18"/>
          <w:szCs w:val="18"/>
          <w:lang w:eastAsia="en-GB"/>
        </w:rPr>
        <w:t xml:space="preserve"> appropriate.</w:t>
      </w:r>
    </w:p>
    <w:p w14:paraId="5BCE3504" w14:textId="1E0728EE" w:rsidR="004F030D" w:rsidRPr="00735726" w:rsidRDefault="004F030D" w:rsidP="005A5668">
      <w:pPr>
        <w:pStyle w:val="GenericStylesPageReference"/>
        <w:spacing w:line="276"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The External Auditor</w:t>
      </w:r>
      <w:r w:rsidR="00AF04D7"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reported on their independence during the year and again since the year end, confirming to the Committee that, based on their assessment, they were independent of the Company.</w:t>
      </w:r>
    </w:p>
    <w:p w14:paraId="10D4D1D1" w14:textId="77777777" w:rsidR="004F030D" w:rsidRPr="009A2CAE" w:rsidRDefault="004F030D" w:rsidP="0024293B">
      <w:pPr>
        <w:pStyle w:val="Headinglevel4"/>
        <w:spacing w:line="276" w:lineRule="auto"/>
        <w:outlineLvl w:val="0"/>
      </w:pPr>
    </w:p>
    <w:p w14:paraId="4F81FFF7" w14:textId="77777777" w:rsidR="004F030D" w:rsidRPr="00735726" w:rsidRDefault="004F030D" w:rsidP="0024293B">
      <w:pPr>
        <w:spacing w:after="0"/>
        <w:rPr>
          <w:rFonts w:ascii="Arial" w:hAnsi="Arial" w:cs="Arial"/>
          <w:b/>
          <w:sz w:val="18"/>
          <w:szCs w:val="18"/>
        </w:rPr>
      </w:pPr>
      <w:r w:rsidRPr="00735726">
        <w:rPr>
          <w:rFonts w:ascii="Arial" w:hAnsi="Arial" w:cs="Arial"/>
          <w:b/>
          <w:sz w:val="18"/>
          <w:szCs w:val="18"/>
        </w:rPr>
        <w:t>PROVISION OF NON-AUDIT SERVICES</w:t>
      </w:r>
    </w:p>
    <w:p w14:paraId="494573AE" w14:textId="77777777" w:rsidR="004F030D" w:rsidRPr="00735726" w:rsidRDefault="004F030D" w:rsidP="005A5668">
      <w:pPr>
        <w:pStyle w:val="Headinglevel4"/>
        <w:spacing w:line="276" w:lineRule="auto"/>
        <w:outlineLvl w:val="0"/>
        <w:rPr>
          <w:rFonts w:cs="DINOT-Light"/>
          <w:b w:val="0"/>
          <w:bCs w:val="0"/>
          <w:caps w:val="0"/>
        </w:rPr>
      </w:pPr>
      <w:r w:rsidRPr="00735726">
        <w:rPr>
          <w:rFonts w:cs="DINOT-Light"/>
          <w:b w:val="0"/>
          <w:bCs w:val="0"/>
          <w:caps w:val="0"/>
        </w:rPr>
        <w:t>The Committee continues to have a robust policy for the engagement of the external auditor’s firm for non-audit work. The Committee receives a regular report covering the auditor’s fees including details of non-audit fees incurred.</w:t>
      </w:r>
    </w:p>
    <w:p w14:paraId="0873C8F5" w14:textId="77777777" w:rsidR="004F030D" w:rsidRPr="009A2CAE" w:rsidRDefault="004F030D" w:rsidP="005A5668">
      <w:pPr>
        <w:pStyle w:val="Headinglevel4"/>
        <w:spacing w:line="276" w:lineRule="auto"/>
        <w:outlineLvl w:val="0"/>
        <w:rPr>
          <w:rFonts w:cs="DINOT-Light"/>
          <w:b w:val="0"/>
          <w:bCs w:val="0"/>
          <w:caps w:val="0"/>
        </w:rPr>
      </w:pPr>
    </w:p>
    <w:p w14:paraId="5CF12450" w14:textId="758F51BF" w:rsidR="004F030D" w:rsidRPr="00735726" w:rsidRDefault="004F030D" w:rsidP="005A5668">
      <w:pPr>
        <w:rPr>
          <w:rFonts w:ascii="Arial" w:eastAsia="Times New Roman" w:hAnsi="Arial" w:cs="DINOT-Light"/>
          <w:color w:val="000000"/>
          <w:sz w:val="18"/>
          <w:szCs w:val="18"/>
        </w:rPr>
      </w:pPr>
      <w:r w:rsidRPr="00735726">
        <w:rPr>
          <w:rFonts w:ascii="Arial" w:eastAsia="Times New Roman" w:hAnsi="Arial" w:cs="DINOT-Light"/>
          <w:color w:val="000000"/>
          <w:sz w:val="18"/>
          <w:szCs w:val="18"/>
        </w:rPr>
        <w:t>Recurrent fees typically relate to agreed procedures in relation to annual regulatory reporting obligations to Ofwat; work which is most efficiently and effectively performed by the statutory auditor</w:t>
      </w:r>
      <w:r w:rsidR="00AF04D7"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The policy is for non-audit fees not to exceed 70% of the audit fee for statutory work and for the Committee chair to approve all non-audit work performed by the statutory auditor</w:t>
      </w:r>
      <w:r w:rsidR="00AF04D7"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w:t>
      </w:r>
    </w:p>
    <w:p w14:paraId="2A0AEB94" w14:textId="0A6162B8" w:rsidR="004F030D" w:rsidRPr="00735726" w:rsidRDefault="004F030D" w:rsidP="005A5668">
      <w:pPr>
        <w:rPr>
          <w:rFonts w:ascii="Arial" w:eastAsia="Times New Roman" w:hAnsi="Arial" w:cs="DINOT-Light"/>
          <w:color w:val="000000"/>
          <w:sz w:val="18"/>
          <w:szCs w:val="18"/>
        </w:rPr>
      </w:pPr>
      <w:r w:rsidRPr="00735726">
        <w:rPr>
          <w:rFonts w:ascii="Arial" w:eastAsia="Times New Roman" w:hAnsi="Arial" w:cs="DINOT-Light"/>
          <w:color w:val="000000"/>
          <w:sz w:val="18"/>
          <w:szCs w:val="18"/>
        </w:rPr>
        <w:t>The Committee carefully reviews non-audit work proposed for the statutory auditor</w:t>
      </w:r>
      <w:r w:rsidR="00AF04D7"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taking into consideration whether it was necessary for the auditor’s firm to carry out such work, and only grants approval for the firm’s appointment if it was satisfied that the auditor’s independence and objectivity would be safeguarded. If another accounting firm could provide the required cost-effective level of experience and expertise in respect of the non-audit services, then such firm would be chosen in preference to the External Auditor</w:t>
      </w:r>
      <w:r w:rsidR="006B1746"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w:t>
      </w:r>
    </w:p>
    <w:p w14:paraId="7FFC506C" w14:textId="34069936" w:rsidR="004F030D" w:rsidRPr="009A2CAE" w:rsidRDefault="004F030D" w:rsidP="005A5668">
      <w:pPr>
        <w:pStyle w:val="Headinglevel4"/>
        <w:spacing w:line="276" w:lineRule="auto"/>
        <w:outlineLvl w:val="0"/>
        <w:rPr>
          <w:rFonts w:cs="DINOT-Light"/>
          <w:b w:val="0"/>
          <w:bCs w:val="0"/>
          <w:caps w:val="0"/>
        </w:rPr>
      </w:pPr>
      <w:r w:rsidRPr="00735726">
        <w:rPr>
          <w:rFonts w:cs="DINOT-Light"/>
          <w:b w:val="0"/>
          <w:bCs w:val="0"/>
          <w:caps w:val="0"/>
        </w:rPr>
        <w:t xml:space="preserve">The level of non-audit fees payable to the </w:t>
      </w:r>
      <w:r w:rsidR="002C74FA" w:rsidRPr="00735726">
        <w:rPr>
          <w:rFonts w:cs="DINOT-Light"/>
          <w:b w:val="0"/>
          <w:bCs w:val="0"/>
          <w:caps w:val="0"/>
        </w:rPr>
        <w:t>E</w:t>
      </w:r>
      <w:r w:rsidRPr="00735726">
        <w:rPr>
          <w:rFonts w:cs="DINOT-Light"/>
          <w:b w:val="0"/>
          <w:bCs w:val="0"/>
          <w:caps w:val="0"/>
        </w:rPr>
        <w:t xml:space="preserve">xternal </w:t>
      </w:r>
      <w:r w:rsidR="002C74FA" w:rsidRPr="00735726">
        <w:rPr>
          <w:rFonts w:cs="DINOT-Light"/>
          <w:b w:val="0"/>
          <w:bCs w:val="0"/>
          <w:caps w:val="0"/>
        </w:rPr>
        <w:t>A</w:t>
      </w:r>
      <w:r w:rsidRPr="00735726">
        <w:rPr>
          <w:rFonts w:cs="DINOT-Light"/>
          <w:b w:val="0"/>
          <w:bCs w:val="0"/>
          <w:caps w:val="0"/>
        </w:rPr>
        <w:t>uditor</w:t>
      </w:r>
      <w:r w:rsidR="006B1746" w:rsidRPr="00735726">
        <w:rPr>
          <w:rFonts w:cs="DINOT-Light"/>
          <w:b w:val="0"/>
          <w:bCs w:val="0"/>
          <w:caps w:val="0"/>
        </w:rPr>
        <w:t>s</w:t>
      </w:r>
      <w:r w:rsidRPr="00735726">
        <w:rPr>
          <w:rFonts w:cs="DINOT-Light"/>
          <w:b w:val="0"/>
          <w:bCs w:val="0"/>
          <w:caps w:val="0"/>
        </w:rPr>
        <w:t xml:space="preserve"> for the past year is </w:t>
      </w:r>
      <w:r w:rsidR="00D72F52" w:rsidRPr="00735726">
        <w:rPr>
          <w:rFonts w:cs="DINOT-Light"/>
          <w:b w:val="0"/>
          <w:bCs w:val="0"/>
          <w:caps w:val="0"/>
        </w:rPr>
        <w:t>33</w:t>
      </w:r>
      <w:r w:rsidRPr="00735726">
        <w:rPr>
          <w:rFonts w:cs="DINOT-Light"/>
          <w:b w:val="0"/>
          <w:bCs w:val="0"/>
          <w:caps w:val="0"/>
        </w:rPr>
        <w:t>%</w:t>
      </w:r>
      <w:r w:rsidR="00317662" w:rsidRPr="00735726">
        <w:rPr>
          <w:rFonts w:cs="DINOT-Light"/>
          <w:b w:val="0"/>
          <w:bCs w:val="0"/>
          <w:caps w:val="0"/>
        </w:rPr>
        <w:t xml:space="preserve"> of </w:t>
      </w:r>
      <w:r w:rsidR="002C74FA" w:rsidRPr="00735726">
        <w:rPr>
          <w:rFonts w:cs="DINOT-Light"/>
          <w:b w:val="0"/>
          <w:bCs w:val="0"/>
          <w:caps w:val="0"/>
        </w:rPr>
        <w:t>the</w:t>
      </w:r>
      <w:r w:rsidR="00317662" w:rsidRPr="00735726">
        <w:rPr>
          <w:rFonts w:cs="DINOT-Light"/>
          <w:b w:val="0"/>
          <w:bCs w:val="0"/>
          <w:caps w:val="0"/>
        </w:rPr>
        <w:t xml:space="preserve"> audit fee</w:t>
      </w:r>
      <w:r w:rsidRPr="00735726">
        <w:rPr>
          <w:rFonts w:cs="DINOT-Light"/>
          <w:b w:val="0"/>
          <w:bCs w:val="0"/>
          <w:caps w:val="0"/>
        </w:rPr>
        <w:t>, which is within the Company’s 70% non-audit fee limit.</w:t>
      </w:r>
      <w:r w:rsidRPr="009A2CAE">
        <w:rPr>
          <w:rFonts w:cs="DINOT-Light"/>
          <w:b w:val="0"/>
          <w:bCs w:val="0"/>
          <w:caps w:val="0"/>
        </w:rPr>
        <w:br/>
      </w:r>
    </w:p>
    <w:p w14:paraId="0DA64044" w14:textId="13C4C7FB" w:rsidR="004F030D" w:rsidRPr="009A2CAE" w:rsidRDefault="004F030D" w:rsidP="005A5668">
      <w:pPr>
        <w:pStyle w:val="Headinglevel4"/>
        <w:spacing w:line="276" w:lineRule="auto"/>
        <w:outlineLvl w:val="0"/>
        <w:rPr>
          <w:rFonts w:cs="DINOT-Light"/>
          <w:b w:val="0"/>
          <w:bCs w:val="0"/>
          <w:caps w:val="0"/>
        </w:rPr>
      </w:pPr>
      <w:r w:rsidRPr="00735726">
        <w:rPr>
          <w:rFonts w:cs="DINOT-Light"/>
          <w:b w:val="0"/>
          <w:bCs w:val="0"/>
          <w:caps w:val="0"/>
        </w:rPr>
        <w:t>The Chief Financial Officer regularly reports to the Committee on the extent of services provided to the Company by the External Auditor</w:t>
      </w:r>
      <w:r w:rsidR="006B1746" w:rsidRPr="00735726">
        <w:rPr>
          <w:rFonts w:cs="DINOT-Light"/>
          <w:b w:val="0"/>
          <w:bCs w:val="0"/>
          <w:caps w:val="0"/>
        </w:rPr>
        <w:t>s</w:t>
      </w:r>
      <w:r w:rsidRPr="00735726">
        <w:rPr>
          <w:rFonts w:cs="DINOT-Light"/>
          <w:b w:val="0"/>
          <w:bCs w:val="0"/>
          <w:caps w:val="0"/>
        </w:rPr>
        <w:t xml:space="preserve"> and the level of fees paid. The fees paid to the External Auditor’s firm for non-audit services and for audit services are set out in note </w:t>
      </w:r>
      <w:r w:rsidR="00390ECE" w:rsidRPr="009A2CAE">
        <w:rPr>
          <w:rFonts w:cs="DINOT-Light"/>
          <w:b w:val="0"/>
          <w:bCs w:val="0"/>
          <w:caps w:val="0"/>
        </w:rPr>
        <w:t>7</w:t>
      </w:r>
      <w:r w:rsidRPr="009A2CAE">
        <w:rPr>
          <w:rFonts w:cs="DINOT-Light"/>
          <w:b w:val="0"/>
          <w:bCs w:val="0"/>
          <w:caps w:val="0"/>
        </w:rPr>
        <w:t xml:space="preserve"> </w:t>
      </w:r>
      <w:r w:rsidRPr="00735726">
        <w:rPr>
          <w:rFonts w:cs="DINOT-Light"/>
          <w:b w:val="0"/>
          <w:bCs w:val="0"/>
          <w:caps w:val="0"/>
        </w:rPr>
        <w:t>to the financial statements on page</w:t>
      </w:r>
      <w:r w:rsidR="00B5666A" w:rsidRPr="00735726">
        <w:rPr>
          <w:rFonts w:cs="DINOT-Light"/>
          <w:b w:val="0"/>
          <w:bCs w:val="0"/>
          <w:caps w:val="0"/>
        </w:rPr>
        <w:t xml:space="preserve"> </w:t>
      </w:r>
      <w:r w:rsidR="00390ECE" w:rsidRPr="009A2CAE">
        <w:rPr>
          <w:rFonts w:cs="DINOT-Light"/>
          <w:b w:val="0"/>
          <w:bCs w:val="0"/>
          <w:caps w:val="0"/>
        </w:rPr>
        <w:t>197</w:t>
      </w:r>
      <w:r w:rsidR="004933EF" w:rsidRPr="009A2CAE">
        <w:rPr>
          <w:rFonts w:cs="DINOT-Light"/>
          <w:b w:val="0"/>
          <w:bCs w:val="0"/>
          <w:caps w:val="0"/>
        </w:rPr>
        <w:t>.</w:t>
      </w:r>
    </w:p>
    <w:p w14:paraId="3DFC1C16" w14:textId="77777777" w:rsidR="004F030D" w:rsidRPr="00735726" w:rsidRDefault="004F030D" w:rsidP="0024293B">
      <w:pPr>
        <w:pStyle w:val="Headinglevel4"/>
        <w:spacing w:line="276" w:lineRule="auto"/>
        <w:outlineLvl w:val="0"/>
        <w:rPr>
          <w:rFonts w:cs="DINOT-Light"/>
          <w:b w:val="0"/>
          <w:bCs w:val="0"/>
          <w:caps w:val="0"/>
        </w:rPr>
      </w:pPr>
    </w:p>
    <w:p w14:paraId="13AD66EA" w14:textId="77777777" w:rsidR="004F030D" w:rsidRPr="00735726" w:rsidRDefault="004F030D" w:rsidP="005A5668">
      <w:pPr>
        <w:spacing w:after="0"/>
        <w:rPr>
          <w:rFonts w:ascii="Arial" w:hAnsi="Arial" w:cs="Arial"/>
          <w:b/>
          <w:sz w:val="18"/>
          <w:szCs w:val="18"/>
        </w:rPr>
      </w:pPr>
      <w:r w:rsidRPr="00735726">
        <w:rPr>
          <w:rFonts w:ascii="Arial" w:hAnsi="Arial" w:cs="Arial"/>
          <w:b/>
          <w:sz w:val="18"/>
          <w:szCs w:val="18"/>
        </w:rPr>
        <w:t>INTERNAL AUDIT</w:t>
      </w:r>
    </w:p>
    <w:p w14:paraId="417791F3" w14:textId="6FA9D69B" w:rsidR="00E83096" w:rsidRPr="009A2CAE" w:rsidRDefault="004F030D" w:rsidP="005A5668">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internal audit activities of the Company are a key part of the internal control and risk management framework. There is a long-standing and effective centralised internal audit service at </w:t>
      </w:r>
      <w:proofErr w:type="gramStart"/>
      <w:r w:rsidR="00381655" w:rsidRPr="00735726">
        <w:rPr>
          <w:rFonts w:ascii="Arial" w:eastAsia="Times New Roman" w:hAnsi="Arial" w:cs="DINOT-Light"/>
          <w:color w:val="000000"/>
          <w:sz w:val="18"/>
          <w:szCs w:val="18"/>
        </w:rPr>
        <w:t>South West</w:t>
      </w:r>
      <w:proofErr w:type="gramEnd"/>
      <w:r w:rsidR="00381655" w:rsidRPr="00735726">
        <w:rPr>
          <w:rFonts w:ascii="Arial" w:eastAsia="Times New Roman" w:hAnsi="Arial" w:cs="DINOT-Light"/>
          <w:color w:val="000000"/>
          <w:sz w:val="18"/>
          <w:szCs w:val="18"/>
        </w:rPr>
        <w:t xml:space="preserve"> Water,</w:t>
      </w:r>
      <w:r w:rsidRPr="00735726">
        <w:rPr>
          <w:rFonts w:ascii="Arial" w:eastAsia="Times New Roman" w:hAnsi="Arial" w:cs="DINOT-Light"/>
          <w:color w:val="000000"/>
          <w:sz w:val="18"/>
          <w:szCs w:val="18"/>
        </w:rPr>
        <w:t xml:space="preserve"> </w:t>
      </w:r>
      <w:r w:rsidR="00E83096" w:rsidRPr="00735726">
        <w:rPr>
          <w:rFonts w:ascii="Arial" w:eastAsia="Times New Roman" w:hAnsi="Arial" w:cs="DINOT-Light"/>
          <w:color w:val="000000"/>
          <w:sz w:val="18"/>
          <w:szCs w:val="18"/>
        </w:rPr>
        <w:t>which supports the Committee in delivering its responsibilities and has continued to operate effectively. The internal audit charter was updated during the year to reflect the requirements of the new Global Internal Audit Standards. The Internal Audit Plan is set on a rolling six-month basis and was approved in March 202</w:t>
      </w:r>
      <w:r w:rsidR="00317662" w:rsidRPr="00735726">
        <w:rPr>
          <w:rFonts w:ascii="Arial" w:eastAsia="Times New Roman" w:hAnsi="Arial" w:cs="DINOT-Light"/>
          <w:color w:val="000000"/>
          <w:sz w:val="18"/>
          <w:szCs w:val="18"/>
        </w:rPr>
        <w:t>5</w:t>
      </w:r>
      <w:r w:rsidR="00E83096" w:rsidRPr="00735726">
        <w:rPr>
          <w:rFonts w:ascii="Arial" w:eastAsia="Times New Roman" w:hAnsi="Arial" w:cs="DINOT-Light"/>
          <w:color w:val="000000"/>
          <w:sz w:val="18"/>
          <w:szCs w:val="18"/>
        </w:rPr>
        <w:t xml:space="preserve"> and September 202</w:t>
      </w:r>
      <w:r w:rsidR="00317662" w:rsidRPr="00735726">
        <w:rPr>
          <w:rFonts w:ascii="Arial" w:eastAsia="Times New Roman" w:hAnsi="Arial" w:cs="DINOT-Light"/>
          <w:color w:val="000000"/>
          <w:sz w:val="18"/>
          <w:szCs w:val="18"/>
        </w:rPr>
        <w:t>5</w:t>
      </w:r>
      <w:r w:rsidR="00E83096" w:rsidRPr="00735726">
        <w:rPr>
          <w:rFonts w:ascii="Arial" w:eastAsia="Times New Roman" w:hAnsi="Arial" w:cs="DINOT-Light"/>
          <w:color w:val="000000"/>
          <w:sz w:val="18"/>
          <w:szCs w:val="18"/>
        </w:rPr>
        <w:t>, following a thorough review to ensure it provided adequate coverage over the Company’s key risks for the year ahead and was sufficiently flexible to respond to emerging risks. In developing the plan, account is taken of the principal risks, the activities to be undertaken by the External Auditor</w:t>
      </w:r>
      <w:r w:rsidR="006B1746" w:rsidRPr="00735726">
        <w:rPr>
          <w:rFonts w:ascii="Arial" w:eastAsia="Times New Roman" w:hAnsi="Arial" w:cs="DINOT-Light"/>
          <w:color w:val="000000"/>
          <w:sz w:val="18"/>
          <w:szCs w:val="18"/>
        </w:rPr>
        <w:t>s</w:t>
      </w:r>
      <w:r w:rsidR="00E83096" w:rsidRPr="00735726">
        <w:rPr>
          <w:rFonts w:ascii="Arial" w:eastAsia="Times New Roman" w:hAnsi="Arial" w:cs="DINOT-Light"/>
          <w:color w:val="000000"/>
          <w:sz w:val="18"/>
          <w:szCs w:val="18"/>
        </w:rPr>
        <w:t xml:space="preserve">, and the Company’s annual and ongoing risk management reviews. This approach seeks to ensure that there is a programme of internal and external audit reviews focused on identified key risk areas throughout the Company. </w:t>
      </w:r>
    </w:p>
    <w:p w14:paraId="2326E02F" w14:textId="27887022" w:rsidR="00E83096" w:rsidRPr="00735726" w:rsidRDefault="00E83096" w:rsidP="005A5668">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Director of Risk and Assurance reported regularly through the year to the Committee on the outcomes and findings of internal audit activity. There were regular discussions, correspondence and private meetings between the Director of Risk and Assurance and the Committee Chair. The Committee continues to monitor the performance of the internal audit function as part of its annual assessment of the effectiveness of the function. As required by IIA standards, the next cyclical external review of the internal audit function will take place before the end of 2026/27 (the last having been undertaken in 2021/22). </w:t>
      </w:r>
    </w:p>
    <w:p w14:paraId="009D2E06" w14:textId="7FF6BBFD" w:rsidR="004F030D" w:rsidRPr="00735726" w:rsidRDefault="004F030D" w:rsidP="005A5668">
      <w:pPr>
        <w:pStyle w:val="Headinglevel4"/>
        <w:spacing w:line="276" w:lineRule="auto"/>
        <w:outlineLvl w:val="0"/>
      </w:pPr>
      <w:r w:rsidRPr="00735726">
        <w:t>fair, balanced and understandable assessment</w:t>
      </w:r>
    </w:p>
    <w:p w14:paraId="4CE0C98E" w14:textId="2853650C" w:rsidR="004F030D" w:rsidRPr="009A2CAE" w:rsidRDefault="004F030D" w:rsidP="005A5668">
      <w:pPr>
        <w:pStyle w:val="Headinglevel4"/>
        <w:spacing w:line="276" w:lineRule="auto"/>
        <w:outlineLvl w:val="0"/>
        <w:rPr>
          <w:rFonts w:cs="DINOT-Light"/>
          <w:b w:val="0"/>
          <w:bCs w:val="0"/>
          <w:caps w:val="0"/>
        </w:rPr>
      </w:pPr>
      <w:r w:rsidRPr="00735726">
        <w:rPr>
          <w:rFonts w:cs="DINOT-Light"/>
          <w:b w:val="0"/>
          <w:bCs w:val="0"/>
          <w:caps w:val="0"/>
        </w:rPr>
        <w:t>To enable the Committee to advise the Board in making its statement that it considered that the Company’s annual report is fair, balanced and understandable (FBU) on page</w:t>
      </w:r>
      <w:r w:rsidR="00011997" w:rsidRPr="00735726">
        <w:rPr>
          <w:rFonts w:cs="DINOT-Light"/>
          <w:b w:val="0"/>
          <w:bCs w:val="0"/>
          <w:caps w:val="0"/>
        </w:rPr>
        <w:t>s</w:t>
      </w:r>
      <w:r w:rsidRPr="00735726">
        <w:rPr>
          <w:rFonts w:cs="DINOT-Light"/>
          <w:b w:val="0"/>
          <w:bCs w:val="0"/>
          <w:caps w:val="0"/>
        </w:rPr>
        <w:t xml:space="preserve"> </w:t>
      </w:r>
      <w:r w:rsidR="00390ECE" w:rsidRPr="009A2CAE">
        <w:rPr>
          <w:rFonts w:cs="DINOT-Light"/>
          <w:b w:val="0"/>
          <w:bCs w:val="0"/>
          <w:caps w:val="0"/>
        </w:rPr>
        <w:t xml:space="preserve">166 </w:t>
      </w:r>
      <w:r w:rsidR="00F84D83" w:rsidRPr="009A2CAE">
        <w:rPr>
          <w:rFonts w:cs="DINOT-Light"/>
          <w:b w:val="0"/>
          <w:bCs w:val="0"/>
          <w:caps w:val="0"/>
        </w:rPr>
        <w:t xml:space="preserve">to </w:t>
      </w:r>
      <w:r w:rsidR="00390ECE" w:rsidRPr="009A2CAE">
        <w:rPr>
          <w:rFonts w:cs="DINOT-Light"/>
          <w:b w:val="0"/>
          <w:bCs w:val="0"/>
          <w:caps w:val="0"/>
        </w:rPr>
        <w:t>167</w:t>
      </w:r>
      <w:r w:rsidRPr="009A2CAE">
        <w:rPr>
          <w:rFonts w:cs="DINOT-Light"/>
          <w:b w:val="0"/>
          <w:bCs w:val="0"/>
          <w:caps w:val="0"/>
        </w:rPr>
        <w:t>,</w:t>
      </w:r>
      <w:r w:rsidRPr="00735726">
        <w:rPr>
          <w:rFonts w:cs="DINOT-Light"/>
          <w:b w:val="0"/>
          <w:bCs w:val="0"/>
          <w:caps w:val="0"/>
        </w:rPr>
        <w:t xml:space="preserve"> the Committee has applied a detailed FBU review framework that takes account of the Company’s well-documented verification process undertaken in conjunction with the preparation of the 202</w:t>
      </w:r>
      <w:r w:rsidR="00F84D83" w:rsidRPr="00735726">
        <w:rPr>
          <w:rFonts w:cs="DINOT-Light"/>
          <w:b w:val="0"/>
          <w:bCs w:val="0"/>
          <w:caps w:val="0"/>
        </w:rPr>
        <w:t>6</w:t>
      </w:r>
      <w:r w:rsidRPr="00735726">
        <w:rPr>
          <w:rFonts w:cs="DINOT-Light"/>
          <w:b w:val="0"/>
          <w:bCs w:val="0"/>
          <w:caps w:val="0"/>
        </w:rPr>
        <w:t xml:space="preserve"> </w:t>
      </w:r>
      <w:r w:rsidR="00F84D83" w:rsidRPr="00735726">
        <w:rPr>
          <w:rFonts w:cs="DINOT-Light"/>
          <w:b w:val="0"/>
          <w:bCs w:val="0"/>
          <w:caps w:val="0"/>
        </w:rPr>
        <w:t>A</w:t>
      </w:r>
      <w:r w:rsidRPr="00735726">
        <w:rPr>
          <w:rFonts w:cs="DINOT-Light"/>
          <w:b w:val="0"/>
          <w:bCs w:val="0"/>
          <w:caps w:val="0"/>
        </w:rPr>
        <w:t xml:space="preserve">nnual </w:t>
      </w:r>
      <w:r w:rsidR="00F84D83" w:rsidRPr="00735726">
        <w:rPr>
          <w:rFonts w:cs="DINOT-Light"/>
          <w:b w:val="0"/>
          <w:bCs w:val="0"/>
          <w:caps w:val="0"/>
        </w:rPr>
        <w:t>R</w:t>
      </w:r>
      <w:r w:rsidRPr="00735726">
        <w:rPr>
          <w:rFonts w:cs="DINOT-Light"/>
          <w:b w:val="0"/>
          <w:bCs w:val="0"/>
          <w:caps w:val="0"/>
        </w:rPr>
        <w:t xml:space="preserve">eport. This is in addition to the formal process carried out by the </w:t>
      </w:r>
      <w:r w:rsidR="00415AFC" w:rsidRPr="00735726">
        <w:rPr>
          <w:rFonts w:cs="DINOT-Light"/>
          <w:b w:val="0"/>
          <w:bCs w:val="0"/>
          <w:caps w:val="0"/>
        </w:rPr>
        <w:t>E</w:t>
      </w:r>
      <w:r w:rsidRPr="00735726">
        <w:rPr>
          <w:rFonts w:cs="DINOT-Light"/>
          <w:b w:val="0"/>
          <w:bCs w:val="0"/>
          <w:caps w:val="0"/>
        </w:rPr>
        <w:t xml:space="preserve">xternal </w:t>
      </w:r>
      <w:r w:rsidR="00415AFC" w:rsidRPr="00735726">
        <w:rPr>
          <w:rFonts w:cs="DINOT-Light"/>
          <w:b w:val="0"/>
          <w:bCs w:val="0"/>
          <w:caps w:val="0"/>
        </w:rPr>
        <w:t>A</w:t>
      </w:r>
      <w:r w:rsidRPr="00735726">
        <w:rPr>
          <w:rFonts w:cs="DINOT-Light"/>
          <w:b w:val="0"/>
          <w:bCs w:val="0"/>
          <w:caps w:val="0"/>
        </w:rPr>
        <w:t>uditor</w:t>
      </w:r>
      <w:r w:rsidR="006B1746" w:rsidRPr="00735726">
        <w:rPr>
          <w:rFonts w:cs="DINOT-Light"/>
          <w:b w:val="0"/>
          <w:bCs w:val="0"/>
          <w:caps w:val="0"/>
        </w:rPr>
        <w:t>s</w:t>
      </w:r>
      <w:r w:rsidRPr="00735726">
        <w:rPr>
          <w:rFonts w:cs="DINOT-Light"/>
          <w:b w:val="0"/>
          <w:bCs w:val="0"/>
          <w:caps w:val="0"/>
        </w:rPr>
        <w:t xml:space="preserve"> to enable the preparation of the independent auditor’s report, which is set out on pages </w:t>
      </w:r>
      <w:r w:rsidR="00390ECE" w:rsidRPr="009A2CAE">
        <w:rPr>
          <w:rFonts w:cs="DINOT-Light"/>
          <w:b w:val="0"/>
          <w:bCs w:val="0"/>
          <w:caps w:val="0"/>
        </w:rPr>
        <w:t xml:space="preserve">168 </w:t>
      </w:r>
      <w:r w:rsidR="00F84D83" w:rsidRPr="009A2CAE">
        <w:rPr>
          <w:rFonts w:cs="DINOT-Light"/>
          <w:b w:val="0"/>
          <w:bCs w:val="0"/>
          <w:caps w:val="0"/>
        </w:rPr>
        <w:t xml:space="preserve">to </w:t>
      </w:r>
      <w:r w:rsidR="00390ECE" w:rsidRPr="009A2CAE">
        <w:rPr>
          <w:rFonts w:cs="DINOT-Light"/>
          <w:b w:val="0"/>
          <w:bCs w:val="0"/>
          <w:caps w:val="0"/>
        </w:rPr>
        <w:t>175.</w:t>
      </w:r>
    </w:p>
    <w:p w14:paraId="66A13A64" w14:textId="15F1D77B" w:rsidR="004F030D" w:rsidRPr="00735726" w:rsidRDefault="004F030D" w:rsidP="005A5668">
      <w:pPr>
        <w:pStyle w:val="Headinglevel4"/>
        <w:spacing w:line="276" w:lineRule="auto"/>
        <w:outlineLvl w:val="0"/>
        <w:rPr>
          <w:rFonts w:cs="DINOT-Light"/>
          <w:b w:val="0"/>
          <w:bCs w:val="0"/>
          <w:caps w:val="0"/>
        </w:rPr>
      </w:pPr>
      <w:r w:rsidRPr="00735726">
        <w:rPr>
          <w:rFonts w:cs="DINOT-Light"/>
          <w:b w:val="0"/>
          <w:bCs w:val="0"/>
          <w:caps w:val="0"/>
        </w:rPr>
        <w:lastRenderedPageBreak/>
        <w:t>In preparing and finalising the 20</w:t>
      </w:r>
      <w:r w:rsidR="00415AFC" w:rsidRPr="00735726">
        <w:rPr>
          <w:rFonts w:cs="DINOT-Light"/>
          <w:b w:val="0"/>
          <w:bCs w:val="0"/>
          <w:caps w:val="0"/>
        </w:rPr>
        <w:t>2</w:t>
      </w:r>
      <w:r w:rsidR="00F84D83" w:rsidRPr="00735726">
        <w:rPr>
          <w:rFonts w:cs="DINOT-Light"/>
          <w:b w:val="0"/>
          <w:bCs w:val="0"/>
          <w:caps w:val="0"/>
        </w:rPr>
        <w:t>5/26</w:t>
      </w:r>
      <w:r w:rsidRPr="00735726">
        <w:rPr>
          <w:rFonts w:cs="DINOT-Light"/>
          <w:b w:val="0"/>
          <w:bCs w:val="0"/>
          <w:caps w:val="0"/>
        </w:rPr>
        <w:t xml:space="preserve"> Annual </w:t>
      </w:r>
      <w:r w:rsidR="00F84D83" w:rsidRPr="00735726">
        <w:rPr>
          <w:rFonts w:cs="DINOT-Light"/>
          <w:b w:val="0"/>
          <w:bCs w:val="0"/>
          <w:caps w:val="0"/>
        </w:rPr>
        <w:t>R</w:t>
      </w:r>
      <w:r w:rsidRPr="00735726">
        <w:rPr>
          <w:rFonts w:cs="DINOT-Light"/>
          <w:b w:val="0"/>
          <w:bCs w:val="0"/>
          <w:caps w:val="0"/>
        </w:rPr>
        <w:t xml:space="preserve">eport, the Committee considered a report on the actions taken by management in accordance with the FBU process and an FBU assessment undertaken by the Executive. This assisted the Committee in carrying out its own assessment and being able to advise the Board that it considered that the </w:t>
      </w:r>
      <w:r w:rsidR="00757A73" w:rsidRPr="00735726">
        <w:rPr>
          <w:rFonts w:cs="DINOT-Light"/>
          <w:b w:val="0"/>
          <w:bCs w:val="0"/>
          <w:caps w:val="0"/>
        </w:rPr>
        <w:t>A</w:t>
      </w:r>
      <w:r w:rsidRPr="00735726">
        <w:rPr>
          <w:rFonts w:cs="DINOT-Light"/>
          <w:b w:val="0"/>
          <w:bCs w:val="0"/>
          <w:caps w:val="0"/>
        </w:rPr>
        <w:t xml:space="preserve">nnual </w:t>
      </w:r>
      <w:r w:rsidR="00757A73" w:rsidRPr="00735726">
        <w:rPr>
          <w:rFonts w:cs="DINOT-Light"/>
          <w:b w:val="0"/>
          <w:bCs w:val="0"/>
          <w:caps w:val="0"/>
        </w:rPr>
        <w:t>R</w:t>
      </w:r>
      <w:r w:rsidRPr="00735726">
        <w:rPr>
          <w:rFonts w:cs="DINOT-Light"/>
          <w:b w:val="0"/>
          <w:bCs w:val="0"/>
          <w:caps w:val="0"/>
        </w:rPr>
        <w:t xml:space="preserve">eport taken </w:t>
      </w:r>
      <w:proofErr w:type="gramStart"/>
      <w:r w:rsidRPr="00735726">
        <w:rPr>
          <w:rFonts w:cs="DINOT-Light"/>
          <w:b w:val="0"/>
          <w:bCs w:val="0"/>
          <w:caps w:val="0"/>
        </w:rPr>
        <w:t>as a whole is</w:t>
      </w:r>
      <w:proofErr w:type="gramEnd"/>
      <w:r w:rsidRPr="00735726">
        <w:rPr>
          <w:rFonts w:cs="DINOT-Light"/>
          <w:b w:val="0"/>
          <w:bCs w:val="0"/>
          <w:caps w:val="0"/>
        </w:rPr>
        <w:t xml:space="preserve"> fair, balanced and understandable and provides the information necessary for </w:t>
      </w:r>
      <w:proofErr w:type="gramStart"/>
      <w:r w:rsidR="00757A73" w:rsidRPr="00735726">
        <w:rPr>
          <w:rFonts w:cs="DINOT-Light"/>
          <w:b w:val="0"/>
          <w:bCs w:val="0"/>
          <w:caps w:val="0"/>
        </w:rPr>
        <w:t>stakeholder’s</w:t>
      </w:r>
      <w:proofErr w:type="gramEnd"/>
      <w:r w:rsidRPr="00735726">
        <w:rPr>
          <w:rFonts w:cs="DINOT-Light"/>
          <w:b w:val="0"/>
          <w:bCs w:val="0"/>
          <w:caps w:val="0"/>
        </w:rPr>
        <w:t xml:space="preserve"> to assess the Company’s </w:t>
      </w:r>
      <w:r w:rsidR="00757A73" w:rsidRPr="00735726">
        <w:rPr>
          <w:rFonts w:cs="DINOT-Light"/>
          <w:b w:val="0"/>
          <w:bCs w:val="0"/>
          <w:caps w:val="0"/>
        </w:rPr>
        <w:t xml:space="preserve">position, </w:t>
      </w:r>
      <w:r w:rsidRPr="00735726">
        <w:rPr>
          <w:rFonts w:cs="DINOT-Light"/>
          <w:b w:val="0"/>
          <w:bCs w:val="0"/>
          <w:caps w:val="0"/>
        </w:rPr>
        <w:t>performance, business model and strategy.</w:t>
      </w:r>
    </w:p>
    <w:p w14:paraId="2C7B3C86" w14:textId="77777777" w:rsidR="002C0723" w:rsidRPr="009A2CAE" w:rsidRDefault="002C0723" w:rsidP="005A5668">
      <w:pPr>
        <w:pStyle w:val="Headinglevel4"/>
        <w:spacing w:line="276" w:lineRule="auto"/>
        <w:outlineLvl w:val="0"/>
        <w:rPr>
          <w:rFonts w:cs="DINOT-Light"/>
          <w:b w:val="0"/>
          <w:bCs w:val="0"/>
          <w:caps w:val="0"/>
        </w:rPr>
      </w:pPr>
    </w:p>
    <w:p w14:paraId="7C58FD61" w14:textId="3AA34D52" w:rsidR="004F030D" w:rsidRPr="00735726" w:rsidRDefault="004F030D" w:rsidP="0024293B">
      <w:pPr>
        <w:pStyle w:val="Headinglevel4"/>
        <w:spacing w:line="276" w:lineRule="auto"/>
        <w:outlineLvl w:val="0"/>
        <w:rPr>
          <w:rFonts w:cs="DINOT-Light"/>
          <w:b w:val="0"/>
          <w:bCs w:val="0"/>
          <w:caps w:val="0"/>
        </w:rPr>
      </w:pPr>
      <w:r w:rsidRPr="00735726">
        <w:rPr>
          <w:rFonts w:cs="DINOT-Light"/>
        </w:rPr>
        <w:t>Looking forward</w:t>
      </w:r>
    </w:p>
    <w:p w14:paraId="6B357A16" w14:textId="7658BCF8" w:rsidR="00757A73" w:rsidRPr="00735726" w:rsidRDefault="004F030D" w:rsidP="00757A73">
      <w:pPr>
        <w:rPr>
          <w:rFonts w:ascii="Arial" w:eastAsia="Times New Roman" w:hAnsi="Arial" w:cs="DINOT-Light"/>
          <w:color w:val="000000"/>
          <w:sz w:val="18"/>
          <w:szCs w:val="18"/>
        </w:rPr>
      </w:pPr>
      <w:r w:rsidRPr="00735726">
        <w:rPr>
          <w:rFonts w:ascii="Arial" w:eastAsia="Times New Roman" w:hAnsi="Arial" w:cs="DINOT-Light"/>
          <w:color w:val="000000"/>
          <w:sz w:val="18"/>
          <w:szCs w:val="18"/>
        </w:rPr>
        <w:t>During the forthcoming year, the Committee will remain focused on the key areas of responsibility delegated to it by the Board, ensuring that standards of good governance are maintained and that appropriate assurance is obtained across all areas of the business</w:t>
      </w:r>
      <w:bookmarkStart w:id="38" w:name="_Hlk137045455"/>
      <w:r w:rsidR="00757A73" w:rsidRPr="00735726">
        <w:rPr>
          <w:rFonts w:ascii="Arial" w:eastAsia="Times New Roman" w:hAnsi="Arial" w:cs="DINOT-Light"/>
          <w:color w:val="000000"/>
          <w:sz w:val="18"/>
          <w:szCs w:val="18"/>
        </w:rPr>
        <w:t>.</w:t>
      </w:r>
      <w:r w:rsidR="00CB36FF" w:rsidRPr="00735726">
        <w:t xml:space="preserve"> </w:t>
      </w:r>
      <w:proofErr w:type="gramStart"/>
      <w:r w:rsidR="00CB36FF" w:rsidRPr="00735726">
        <w:rPr>
          <w:rFonts w:ascii="Arial" w:eastAsia="Times New Roman" w:hAnsi="Arial" w:cs="DINOT-Light"/>
          <w:color w:val="000000"/>
          <w:sz w:val="18"/>
          <w:szCs w:val="18"/>
        </w:rPr>
        <w:t>Particular focus</w:t>
      </w:r>
      <w:proofErr w:type="gramEnd"/>
      <w:r w:rsidR="00CB36FF" w:rsidRPr="00735726">
        <w:rPr>
          <w:rFonts w:ascii="Arial" w:eastAsia="Times New Roman" w:hAnsi="Arial" w:cs="DINOT-Light"/>
          <w:color w:val="000000"/>
          <w:sz w:val="18"/>
          <w:szCs w:val="18"/>
        </w:rPr>
        <w:t xml:space="preserve"> will be given to the </w:t>
      </w:r>
      <w:r w:rsidR="00757A73" w:rsidRPr="00735726">
        <w:rPr>
          <w:rFonts w:ascii="Arial" w:eastAsia="Times New Roman" w:hAnsi="Arial" w:cs="DINOT-Light"/>
          <w:color w:val="000000"/>
          <w:sz w:val="18"/>
          <w:szCs w:val="18"/>
        </w:rPr>
        <w:t>Company’s</w:t>
      </w:r>
      <w:r w:rsidR="00CB36FF" w:rsidRPr="00735726">
        <w:rPr>
          <w:rFonts w:ascii="Arial" w:eastAsia="Times New Roman" w:hAnsi="Arial" w:cs="DINOT-Light"/>
          <w:color w:val="000000"/>
          <w:sz w:val="18"/>
          <w:szCs w:val="18"/>
        </w:rPr>
        <w:t xml:space="preserve"> principal risks, internal control environment and approach to financial reporting</w:t>
      </w:r>
      <w:r w:rsidR="00757A73" w:rsidRPr="00735726">
        <w:rPr>
          <w:rFonts w:ascii="Arial" w:eastAsia="Times New Roman" w:hAnsi="Arial" w:cs="DINOT-Light"/>
          <w:color w:val="000000"/>
          <w:sz w:val="18"/>
          <w:szCs w:val="18"/>
        </w:rPr>
        <w:t>. The Committee will also oversee the programme of work to support implementation of the revised UK Corporate Governance Code, including the identification, assurance and testing of material controls to support the Board’s future declaration under Provision 29.</w:t>
      </w:r>
    </w:p>
    <w:p w14:paraId="0116F9EA" w14:textId="619AE52D" w:rsidR="00A7222C" w:rsidRPr="00735726" w:rsidRDefault="00A7222C" w:rsidP="0024293B">
      <w:pPr>
        <w:pStyle w:val="Headinglevel4"/>
        <w:spacing w:line="276" w:lineRule="auto"/>
        <w:outlineLvl w:val="0"/>
        <w:rPr>
          <w:rFonts w:cs="DINOT-Light"/>
        </w:rPr>
      </w:pPr>
      <w:bookmarkStart w:id="39" w:name="_Hlk201058085"/>
      <w:r w:rsidRPr="00735726">
        <w:rPr>
          <w:rFonts w:cs="DINOT-Light"/>
        </w:rPr>
        <w:t>Integrated Assurance Framework</w:t>
      </w:r>
    </w:p>
    <w:p w14:paraId="697E49BE" w14:textId="443C8846" w:rsidR="00A7222C" w:rsidRPr="00735726" w:rsidRDefault="00A7222C" w:rsidP="005A5668">
      <w:pPr>
        <w:rPr>
          <w:rFonts w:ascii="Arial" w:hAnsi="Arial" w:cs="Arial"/>
          <w:sz w:val="18"/>
          <w:szCs w:val="18"/>
        </w:rPr>
      </w:pPr>
      <w:r w:rsidRPr="00735726">
        <w:rPr>
          <w:rFonts w:ascii="Arial" w:hAnsi="Arial" w:cs="Arial"/>
          <w:sz w:val="18"/>
          <w:szCs w:val="18"/>
        </w:rPr>
        <w:t xml:space="preserve">Throughout the year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had in place an effective integrated assurance framework which identifies and monitors all types of assurance to enable a full evaluation of the conclusions drawn by all auditors, inspectors and reviewers from both internal and external providers.</w:t>
      </w:r>
    </w:p>
    <w:p w14:paraId="2CDFDFA8" w14:textId="77777777" w:rsidR="00A7222C" w:rsidRPr="00735726" w:rsidRDefault="00A7222C" w:rsidP="005A5668">
      <w:pPr>
        <w:rPr>
          <w:rFonts w:ascii="Arial" w:hAnsi="Arial" w:cs="Arial"/>
          <w:sz w:val="18"/>
          <w:szCs w:val="18"/>
        </w:rPr>
      </w:pPr>
      <w:r w:rsidRPr="00735726">
        <w:rPr>
          <w:rFonts w:ascii="Arial" w:hAnsi="Arial" w:cs="Arial"/>
          <w:sz w:val="18"/>
          <w:szCs w:val="18"/>
        </w:rPr>
        <w:t>The framework utilises a risk-based approach to ensure an appropriate balance of varied providers of assurance dependent on the assessed risk and complexity of assurance requirements.</w:t>
      </w:r>
    </w:p>
    <w:p w14:paraId="239408F9" w14:textId="77777777" w:rsidR="00A7222C" w:rsidRPr="00735726" w:rsidRDefault="00A7222C" w:rsidP="005A5668">
      <w:pPr>
        <w:pStyle w:val="Pa27"/>
        <w:spacing w:line="276" w:lineRule="auto"/>
        <w:outlineLvl w:val="0"/>
        <w:rPr>
          <w:rFonts w:ascii="Arial" w:hAnsi="Arial" w:cs="Arial"/>
          <w:b/>
          <w:bCs/>
          <w:color w:val="000000"/>
          <w:sz w:val="18"/>
          <w:szCs w:val="18"/>
        </w:rPr>
      </w:pPr>
      <w:r w:rsidRPr="00735726">
        <w:rPr>
          <w:rFonts w:ascii="Arial" w:hAnsi="Arial" w:cs="Arial"/>
          <w:b/>
          <w:bCs/>
          <w:color w:val="000000"/>
          <w:sz w:val="18"/>
          <w:szCs w:val="18"/>
        </w:rPr>
        <w:t xml:space="preserve"> (i) Group independent internal audit</w:t>
      </w:r>
    </w:p>
    <w:p w14:paraId="0129033D" w14:textId="2B0B7967" w:rsidR="00A7222C" w:rsidRPr="00735726" w:rsidRDefault="00A7222C" w:rsidP="005A5668">
      <w:pPr>
        <w:rPr>
          <w:rFonts w:ascii="Arial" w:hAnsi="Arial" w:cs="Arial"/>
          <w:sz w:val="18"/>
          <w:szCs w:val="18"/>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utilises the Pennon Group</w:t>
      </w:r>
      <w:r w:rsidR="00D03215" w:rsidRPr="00735726">
        <w:rPr>
          <w:rFonts w:ascii="Arial" w:hAnsi="Arial" w:cs="Arial"/>
          <w:sz w:val="18"/>
          <w:szCs w:val="18"/>
        </w:rPr>
        <w:t xml:space="preserve"> plc</w:t>
      </w:r>
      <w:r w:rsidRPr="00735726">
        <w:rPr>
          <w:rFonts w:ascii="Arial" w:hAnsi="Arial" w:cs="Arial"/>
          <w:sz w:val="18"/>
          <w:szCs w:val="18"/>
        </w:rPr>
        <w:t>’s independent Internal Audit function, to provide effective risk-based coverage over the internal control environment. The Audit Committee’s interactions and engagement into internal audit, including input into the annual plan is summarised above.</w:t>
      </w:r>
    </w:p>
    <w:p w14:paraId="1D6DF947" w14:textId="77777777" w:rsidR="00A7222C" w:rsidRPr="00735726" w:rsidRDefault="00A7222C" w:rsidP="005A5668">
      <w:pPr>
        <w:pStyle w:val="Pa27"/>
        <w:spacing w:line="276" w:lineRule="auto"/>
        <w:outlineLvl w:val="0"/>
        <w:rPr>
          <w:rFonts w:ascii="Arial" w:hAnsi="Arial" w:cs="Arial"/>
          <w:b/>
          <w:bCs/>
          <w:color w:val="000000"/>
          <w:sz w:val="18"/>
          <w:szCs w:val="18"/>
        </w:rPr>
      </w:pPr>
      <w:r w:rsidRPr="00735726">
        <w:rPr>
          <w:rFonts w:ascii="Arial" w:hAnsi="Arial" w:cs="Arial"/>
          <w:b/>
          <w:bCs/>
          <w:color w:val="000000"/>
          <w:sz w:val="18"/>
          <w:szCs w:val="18"/>
        </w:rPr>
        <w:t xml:space="preserve">(ii) Annual assurance (financial and technical audit) </w:t>
      </w:r>
    </w:p>
    <w:p w14:paraId="1F00E287" w14:textId="0E56ECB5" w:rsidR="00A7222C" w:rsidRPr="00735726" w:rsidRDefault="00A7222C" w:rsidP="005A5668">
      <w:pPr>
        <w:rPr>
          <w:rFonts w:ascii="Arial" w:hAnsi="Arial" w:cs="Arial"/>
          <w:sz w:val="18"/>
          <w:szCs w:val="18"/>
        </w:rPr>
      </w:pPr>
      <w:r w:rsidRPr="00735726">
        <w:rPr>
          <w:rFonts w:ascii="Arial" w:hAnsi="Arial" w:cs="Arial"/>
          <w:sz w:val="18"/>
          <w:szCs w:val="18"/>
        </w:rPr>
        <w:t>Alongside the statutory external auditor</w:t>
      </w:r>
      <w:r w:rsidR="006B1746" w:rsidRPr="00735726">
        <w:rPr>
          <w:rFonts w:ascii="Arial" w:hAnsi="Arial" w:cs="Arial"/>
          <w:sz w:val="18"/>
          <w:szCs w:val="18"/>
        </w:rPr>
        <w:t>s</w:t>
      </w:r>
      <w:r w:rsidRPr="00735726">
        <w:rPr>
          <w:rFonts w:ascii="Arial" w:hAnsi="Arial" w:cs="Arial"/>
          <w:sz w:val="18"/>
          <w:szCs w:val="18"/>
        </w:rPr>
        <w:t xml:space="preserv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also engages a </w:t>
      </w:r>
      <w:proofErr w:type="gramStart"/>
      <w:r w:rsidRPr="00735726">
        <w:rPr>
          <w:rFonts w:ascii="Arial" w:hAnsi="Arial" w:cs="Arial"/>
          <w:sz w:val="18"/>
          <w:szCs w:val="18"/>
        </w:rPr>
        <w:t>technical auditor</w:t>
      </w:r>
      <w:r w:rsidR="006B1746" w:rsidRPr="00735726">
        <w:rPr>
          <w:rFonts w:ascii="Arial" w:hAnsi="Arial" w:cs="Arial"/>
          <w:sz w:val="18"/>
          <w:szCs w:val="18"/>
        </w:rPr>
        <w:t>s</w:t>
      </w:r>
      <w:proofErr w:type="gramEnd"/>
      <w:r w:rsidRPr="00735726">
        <w:rPr>
          <w:rFonts w:ascii="Arial" w:hAnsi="Arial" w:cs="Arial"/>
          <w:sz w:val="18"/>
          <w:szCs w:val="18"/>
        </w:rPr>
        <w:t xml:space="preserve"> to provide assurance over key areas of regulatory performance reporting. This assurance considers our reported performance against key regulatory outputs and measures. </w:t>
      </w:r>
    </w:p>
    <w:p w14:paraId="7FFF09D4" w14:textId="77777777" w:rsidR="00A7222C" w:rsidRPr="00735726" w:rsidRDefault="00A7222C" w:rsidP="005A5668">
      <w:pPr>
        <w:pStyle w:val="Pa27"/>
        <w:spacing w:line="276" w:lineRule="auto"/>
        <w:outlineLvl w:val="0"/>
        <w:rPr>
          <w:rFonts w:ascii="Arial" w:hAnsi="Arial" w:cs="Arial"/>
          <w:b/>
          <w:bCs/>
          <w:color w:val="000000"/>
          <w:sz w:val="18"/>
          <w:szCs w:val="18"/>
        </w:rPr>
      </w:pPr>
      <w:r w:rsidRPr="00735726">
        <w:rPr>
          <w:rFonts w:ascii="Arial" w:hAnsi="Arial" w:cs="Arial"/>
          <w:b/>
          <w:bCs/>
          <w:color w:val="000000"/>
          <w:sz w:val="18"/>
          <w:szCs w:val="18"/>
        </w:rPr>
        <w:t xml:space="preserve">(iii) Quality assurance and ISO Internal Reviews </w:t>
      </w:r>
    </w:p>
    <w:p w14:paraId="7628F5B9" w14:textId="77777777" w:rsidR="00A7222C" w:rsidRPr="00735726" w:rsidRDefault="00A7222C" w:rsidP="005A5668">
      <w:pPr>
        <w:rPr>
          <w:rFonts w:ascii="Arial" w:hAnsi="Arial" w:cs="Arial"/>
          <w:sz w:val="18"/>
          <w:szCs w:val="18"/>
        </w:rPr>
      </w:pPr>
      <w:r w:rsidRPr="00735726">
        <w:rPr>
          <w:rFonts w:ascii="Arial" w:hAnsi="Arial" w:cs="Arial"/>
          <w:sz w:val="18"/>
          <w:szCs w:val="18"/>
        </w:rPr>
        <w:t xml:space="preserve">The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Audit Committee also considers the resources for carrying out internal audits and reviews in key Company specific areas and endorses and acts on findings from these reviews carried out within the Company. There is a programme of internal audits coordinated by the Risk and Compliance Department as part of the Company’s ISO certifications. </w:t>
      </w:r>
    </w:p>
    <w:p w14:paraId="1C67AB6D" w14:textId="77777777" w:rsidR="00A7222C" w:rsidRPr="00735726" w:rsidRDefault="00A7222C" w:rsidP="005A5668">
      <w:pPr>
        <w:rPr>
          <w:rFonts w:ascii="Arial" w:hAnsi="Arial" w:cs="Arial"/>
          <w:sz w:val="18"/>
          <w:szCs w:val="18"/>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has the following accreditations/certifications: </w:t>
      </w:r>
    </w:p>
    <w:p w14:paraId="502839C1" w14:textId="6144BD3E" w:rsidR="00A7222C" w:rsidRPr="00735726" w:rsidRDefault="00A7222C" w:rsidP="005A5668">
      <w:pPr>
        <w:pStyle w:val="ListParagraph"/>
        <w:numPr>
          <w:ilvl w:val="0"/>
          <w:numId w:val="12"/>
        </w:numPr>
        <w:rPr>
          <w:rFonts w:ascii="Arial" w:hAnsi="Arial" w:cs="Arial"/>
          <w:sz w:val="18"/>
          <w:szCs w:val="18"/>
        </w:rPr>
      </w:pPr>
      <w:r w:rsidRPr="00735726">
        <w:rPr>
          <w:rFonts w:ascii="Arial" w:hAnsi="Arial" w:cs="Arial"/>
          <w:sz w:val="18"/>
          <w:szCs w:val="18"/>
        </w:rPr>
        <w:t xml:space="preserve">ISO 9001: 2015 (quality management) </w:t>
      </w:r>
    </w:p>
    <w:p w14:paraId="323C940E" w14:textId="77777777" w:rsidR="00A7222C" w:rsidRPr="00735726" w:rsidRDefault="00A7222C" w:rsidP="005A5668">
      <w:pPr>
        <w:pStyle w:val="ListParagraph"/>
        <w:numPr>
          <w:ilvl w:val="0"/>
          <w:numId w:val="12"/>
        </w:numPr>
        <w:rPr>
          <w:rFonts w:ascii="Arial" w:hAnsi="Arial" w:cs="Arial"/>
          <w:sz w:val="18"/>
          <w:szCs w:val="18"/>
        </w:rPr>
      </w:pPr>
      <w:r w:rsidRPr="00735726">
        <w:rPr>
          <w:rFonts w:ascii="Arial" w:hAnsi="Arial" w:cs="Arial"/>
          <w:sz w:val="18"/>
          <w:szCs w:val="18"/>
        </w:rPr>
        <w:t xml:space="preserve">ISO 14001: 2015 (environmental management) </w:t>
      </w:r>
    </w:p>
    <w:p w14:paraId="5908A8FD" w14:textId="37C38ACF" w:rsidR="00A7222C" w:rsidRPr="00735726" w:rsidRDefault="00A7222C" w:rsidP="005A5668">
      <w:pPr>
        <w:pStyle w:val="ListParagraph"/>
        <w:numPr>
          <w:ilvl w:val="0"/>
          <w:numId w:val="12"/>
        </w:numPr>
        <w:rPr>
          <w:rFonts w:ascii="Arial" w:hAnsi="Arial" w:cs="Arial"/>
          <w:sz w:val="18"/>
          <w:szCs w:val="18"/>
        </w:rPr>
      </w:pPr>
      <w:r w:rsidRPr="00735726">
        <w:rPr>
          <w:rFonts w:ascii="Arial" w:hAnsi="Arial" w:cs="Arial"/>
          <w:sz w:val="18"/>
          <w:szCs w:val="18"/>
        </w:rPr>
        <w:t xml:space="preserve">ISO 27001: </w:t>
      </w:r>
      <w:r w:rsidR="007A5657" w:rsidRPr="00735726">
        <w:rPr>
          <w:rFonts w:ascii="Arial" w:hAnsi="Arial" w:cs="Arial"/>
          <w:sz w:val="18"/>
          <w:szCs w:val="18"/>
        </w:rPr>
        <w:t xml:space="preserve">2022 </w:t>
      </w:r>
      <w:r w:rsidRPr="00735726">
        <w:rPr>
          <w:rFonts w:ascii="Arial" w:hAnsi="Arial" w:cs="Arial"/>
          <w:sz w:val="18"/>
          <w:szCs w:val="18"/>
        </w:rPr>
        <w:t xml:space="preserve">(information security) </w:t>
      </w:r>
    </w:p>
    <w:p w14:paraId="3C47CBD3" w14:textId="63B103BC" w:rsidR="00A7222C" w:rsidRPr="00735726" w:rsidRDefault="00A7222C" w:rsidP="005A5668">
      <w:pPr>
        <w:pStyle w:val="ListParagraph"/>
        <w:numPr>
          <w:ilvl w:val="0"/>
          <w:numId w:val="12"/>
        </w:numPr>
        <w:rPr>
          <w:rFonts w:ascii="Arial" w:hAnsi="Arial" w:cs="Arial"/>
          <w:sz w:val="18"/>
          <w:szCs w:val="18"/>
        </w:rPr>
      </w:pPr>
      <w:r w:rsidRPr="00735726">
        <w:rPr>
          <w:rFonts w:ascii="Arial" w:hAnsi="Arial" w:cs="Arial"/>
          <w:sz w:val="18"/>
          <w:szCs w:val="18"/>
        </w:rPr>
        <w:t xml:space="preserve">ISO 17025: </w:t>
      </w:r>
      <w:r w:rsidR="007A5657" w:rsidRPr="00735726">
        <w:rPr>
          <w:rFonts w:ascii="Arial" w:hAnsi="Arial" w:cs="Arial"/>
          <w:sz w:val="18"/>
          <w:szCs w:val="18"/>
        </w:rPr>
        <w:t xml:space="preserve">2017 </w:t>
      </w:r>
      <w:r w:rsidRPr="00735726">
        <w:rPr>
          <w:rFonts w:ascii="Arial" w:hAnsi="Arial" w:cs="Arial"/>
          <w:sz w:val="18"/>
          <w:szCs w:val="18"/>
        </w:rPr>
        <w:t>(laboratories and sampling)</w:t>
      </w:r>
    </w:p>
    <w:p w14:paraId="2963364B" w14:textId="77777777" w:rsidR="00A7222C" w:rsidRPr="00735726" w:rsidRDefault="00A7222C" w:rsidP="005A5668">
      <w:pPr>
        <w:pStyle w:val="ListParagraph"/>
        <w:numPr>
          <w:ilvl w:val="0"/>
          <w:numId w:val="12"/>
        </w:numPr>
        <w:rPr>
          <w:rFonts w:ascii="Arial" w:hAnsi="Arial" w:cs="Arial"/>
          <w:sz w:val="18"/>
          <w:szCs w:val="18"/>
        </w:rPr>
      </w:pPr>
      <w:r w:rsidRPr="00735726">
        <w:rPr>
          <w:rFonts w:ascii="Arial" w:hAnsi="Arial" w:cs="Arial"/>
          <w:sz w:val="18"/>
          <w:szCs w:val="18"/>
        </w:rPr>
        <w:t>ISO 45001: 2018 (occupational health and safety)</w:t>
      </w:r>
    </w:p>
    <w:p w14:paraId="5E26B083" w14:textId="18E929A7" w:rsidR="00A7222C" w:rsidRPr="00735726" w:rsidRDefault="00A7222C" w:rsidP="005A5668">
      <w:pPr>
        <w:pStyle w:val="ListParagraph"/>
        <w:numPr>
          <w:ilvl w:val="0"/>
          <w:numId w:val="12"/>
        </w:numPr>
        <w:rPr>
          <w:rFonts w:ascii="Arial" w:hAnsi="Arial" w:cs="Arial"/>
          <w:sz w:val="18"/>
          <w:szCs w:val="18"/>
        </w:rPr>
      </w:pPr>
      <w:r w:rsidRPr="00735726">
        <w:rPr>
          <w:rFonts w:ascii="Arial" w:hAnsi="Arial" w:cs="Arial"/>
          <w:sz w:val="18"/>
          <w:szCs w:val="18"/>
        </w:rPr>
        <w:t xml:space="preserve">ISO 50001: </w:t>
      </w:r>
      <w:r w:rsidR="007A5657" w:rsidRPr="00735726">
        <w:rPr>
          <w:rFonts w:ascii="Arial" w:hAnsi="Arial" w:cs="Arial"/>
          <w:sz w:val="18"/>
          <w:szCs w:val="18"/>
        </w:rPr>
        <w:t xml:space="preserve">2018 </w:t>
      </w:r>
      <w:r w:rsidRPr="00735726">
        <w:rPr>
          <w:rFonts w:ascii="Arial" w:hAnsi="Arial" w:cs="Arial"/>
          <w:sz w:val="18"/>
          <w:szCs w:val="18"/>
        </w:rPr>
        <w:t xml:space="preserve">(energy management) </w:t>
      </w:r>
    </w:p>
    <w:p w14:paraId="0D4E868E" w14:textId="77777777" w:rsidR="00A7222C" w:rsidRPr="00735726" w:rsidRDefault="00A7222C" w:rsidP="005A5668">
      <w:pPr>
        <w:pStyle w:val="ListParagraph"/>
        <w:numPr>
          <w:ilvl w:val="0"/>
          <w:numId w:val="12"/>
        </w:numPr>
        <w:rPr>
          <w:rFonts w:ascii="Arial" w:hAnsi="Arial" w:cs="Arial"/>
          <w:sz w:val="18"/>
          <w:szCs w:val="18"/>
        </w:rPr>
      </w:pPr>
      <w:r w:rsidRPr="00735726">
        <w:rPr>
          <w:rFonts w:ascii="Arial" w:hAnsi="Arial" w:cs="Arial"/>
          <w:sz w:val="18"/>
          <w:szCs w:val="18"/>
        </w:rPr>
        <w:t>ISO 55001: 2014 (asset management)</w:t>
      </w:r>
    </w:p>
    <w:p w14:paraId="188CBDD2" w14:textId="251CEF3B" w:rsidR="00A7222C" w:rsidRPr="00735726" w:rsidRDefault="00A7222C" w:rsidP="005A5668">
      <w:pPr>
        <w:pStyle w:val="ListParagraph"/>
        <w:numPr>
          <w:ilvl w:val="0"/>
          <w:numId w:val="12"/>
        </w:numPr>
        <w:rPr>
          <w:rFonts w:ascii="Arial" w:hAnsi="Arial" w:cs="Arial"/>
          <w:sz w:val="18"/>
          <w:szCs w:val="18"/>
        </w:rPr>
      </w:pPr>
      <w:r w:rsidRPr="00735726">
        <w:rPr>
          <w:rFonts w:ascii="Arial" w:hAnsi="Arial" w:cs="Arial"/>
          <w:sz w:val="18"/>
          <w:szCs w:val="18"/>
        </w:rPr>
        <w:t>BS ISO 22458: 2022 (customer vulnerability)</w:t>
      </w:r>
    </w:p>
    <w:p w14:paraId="6A5AD8A9" w14:textId="23CA1775" w:rsidR="00A7222C" w:rsidRPr="009A2CAE" w:rsidRDefault="00A7222C" w:rsidP="004632DA">
      <w:pPr>
        <w:rPr>
          <w:rFonts w:ascii="Arial" w:hAnsi="Arial" w:cs="Arial"/>
          <w:sz w:val="18"/>
          <w:szCs w:val="18"/>
        </w:rPr>
      </w:pPr>
      <w:r w:rsidRPr="00735726">
        <w:rPr>
          <w:rFonts w:ascii="Arial" w:hAnsi="Arial" w:cs="Arial"/>
          <w:sz w:val="18"/>
          <w:szCs w:val="18"/>
        </w:rPr>
        <w:t xml:space="preserve">These specific areas are also subject to periodic external reviews (such as ISO external reviews). </w:t>
      </w:r>
      <w:r w:rsidR="008226AF" w:rsidRPr="00735726">
        <w:rPr>
          <w:rFonts w:ascii="Arial" w:hAnsi="Arial" w:cs="Arial"/>
          <w:sz w:val="18"/>
          <w:szCs w:val="18"/>
        </w:rPr>
        <w:t xml:space="preserve">Certain standards above were not held by Bristol Water when acquired by </w:t>
      </w:r>
      <w:proofErr w:type="gramStart"/>
      <w:r w:rsidR="008226AF" w:rsidRPr="00735726">
        <w:rPr>
          <w:rFonts w:ascii="Arial" w:hAnsi="Arial" w:cs="Arial"/>
          <w:sz w:val="18"/>
          <w:szCs w:val="18"/>
        </w:rPr>
        <w:t>South West</w:t>
      </w:r>
      <w:proofErr w:type="gramEnd"/>
      <w:r w:rsidR="008226AF" w:rsidRPr="00735726">
        <w:rPr>
          <w:rFonts w:ascii="Arial" w:hAnsi="Arial" w:cs="Arial"/>
          <w:sz w:val="18"/>
          <w:szCs w:val="18"/>
        </w:rPr>
        <w:t xml:space="preserve"> Water and we have an ongoing programme to incorporate the Bristol Water area of operation within the above accreditations/certifications, where relevant.</w:t>
      </w:r>
      <w:r w:rsidR="004632DA" w:rsidRPr="00735726">
        <w:rPr>
          <w:rFonts w:ascii="Arial" w:hAnsi="Arial" w:cs="Arial"/>
          <w:sz w:val="18"/>
          <w:szCs w:val="18"/>
        </w:rPr>
        <w:t xml:space="preserve"> During 2025/26, </w:t>
      </w:r>
      <w:proofErr w:type="gramStart"/>
      <w:r w:rsidR="004632DA" w:rsidRPr="00735726">
        <w:rPr>
          <w:rFonts w:ascii="Arial" w:hAnsi="Arial" w:cs="Arial"/>
          <w:sz w:val="18"/>
          <w:szCs w:val="18"/>
        </w:rPr>
        <w:t>South West</w:t>
      </w:r>
      <w:proofErr w:type="gramEnd"/>
      <w:r w:rsidR="004632DA" w:rsidRPr="00735726">
        <w:rPr>
          <w:rFonts w:ascii="Arial" w:hAnsi="Arial" w:cs="Arial"/>
          <w:sz w:val="18"/>
          <w:szCs w:val="18"/>
        </w:rPr>
        <w:t xml:space="preserve"> Water’s certifications for ISO 9001:2015 and ISO 14001:2015 were extended to include the Bristol Water area and these certifications now include all the Company’s water and wastewater supply areas.</w:t>
      </w:r>
    </w:p>
    <w:p w14:paraId="3A36AE27" w14:textId="5B81E43F" w:rsidR="00A7222C" w:rsidRPr="009A2CAE" w:rsidRDefault="00A7222C" w:rsidP="005A5668">
      <w:pPr>
        <w:pStyle w:val="Headinglevel4"/>
        <w:spacing w:line="276" w:lineRule="auto"/>
        <w:outlineLvl w:val="0"/>
      </w:pPr>
      <w:proofErr w:type="gramStart"/>
      <w:r w:rsidRPr="00735726">
        <w:t>south west</w:t>
      </w:r>
      <w:proofErr w:type="gramEnd"/>
      <w:r w:rsidRPr="00735726">
        <w:t xml:space="preserve"> water’s </w:t>
      </w:r>
      <w:r w:rsidR="00286A45" w:rsidRPr="00735726">
        <w:t>202</w:t>
      </w:r>
      <w:r w:rsidR="00AA0F6B" w:rsidRPr="00735726">
        <w:t>5/26</w:t>
      </w:r>
      <w:r w:rsidRPr="00735726">
        <w:t xml:space="preserve"> BOARD ASSURANCE STATEMENT</w:t>
      </w:r>
    </w:p>
    <w:p w14:paraId="5EC3D114" w14:textId="71D38063" w:rsidR="00A7222C" w:rsidRPr="00735726" w:rsidRDefault="00A7222C" w:rsidP="005A5668">
      <w:pPr>
        <w:rPr>
          <w:rFonts w:ascii="Arial" w:hAnsi="Arial" w:cs="Arial"/>
          <w:sz w:val="18"/>
          <w:szCs w:val="18"/>
        </w:rPr>
      </w:pPr>
      <w:r w:rsidRPr="00735726">
        <w:rPr>
          <w:rFonts w:ascii="Arial" w:hAnsi="Arial" w:cs="Arial"/>
          <w:sz w:val="18"/>
          <w:szCs w:val="18"/>
        </w:rPr>
        <w:t>In July 202</w:t>
      </w:r>
      <w:r w:rsidR="00752728" w:rsidRPr="00735726">
        <w:rPr>
          <w:rFonts w:ascii="Arial" w:hAnsi="Arial" w:cs="Arial"/>
          <w:sz w:val="18"/>
          <w:szCs w:val="18"/>
        </w:rPr>
        <w:t>6</w:t>
      </w:r>
      <w:r w:rsidRPr="00735726">
        <w:rPr>
          <w:rFonts w:ascii="Arial" w:hAnsi="Arial" w:cs="Arial"/>
          <w:sz w:val="18"/>
          <w:szCs w:val="18"/>
        </w:rPr>
        <w:t xml:space="preserve">,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will publish its </w:t>
      </w:r>
      <w:r w:rsidR="00E744B3" w:rsidRPr="00735726">
        <w:rPr>
          <w:rFonts w:ascii="Arial" w:hAnsi="Arial" w:cs="Arial"/>
          <w:sz w:val="18"/>
          <w:szCs w:val="18"/>
        </w:rPr>
        <w:t>A</w:t>
      </w:r>
      <w:r w:rsidRPr="00735726">
        <w:rPr>
          <w:rFonts w:ascii="Arial" w:hAnsi="Arial" w:cs="Arial"/>
          <w:sz w:val="18"/>
          <w:szCs w:val="18"/>
        </w:rPr>
        <w:t xml:space="preserve">nnual </w:t>
      </w:r>
      <w:r w:rsidR="00E744B3" w:rsidRPr="00735726">
        <w:rPr>
          <w:rFonts w:ascii="Arial" w:hAnsi="Arial" w:cs="Arial"/>
          <w:sz w:val="18"/>
          <w:szCs w:val="18"/>
        </w:rPr>
        <w:t>P</w:t>
      </w:r>
      <w:r w:rsidRPr="00735726">
        <w:rPr>
          <w:rFonts w:ascii="Arial" w:hAnsi="Arial" w:cs="Arial"/>
          <w:sz w:val="18"/>
          <w:szCs w:val="18"/>
        </w:rPr>
        <w:t xml:space="preserve">erformance </w:t>
      </w:r>
      <w:r w:rsidR="00E744B3" w:rsidRPr="00735726">
        <w:rPr>
          <w:rFonts w:ascii="Arial" w:hAnsi="Arial" w:cs="Arial"/>
          <w:sz w:val="18"/>
          <w:szCs w:val="18"/>
        </w:rPr>
        <w:t>R</w:t>
      </w:r>
      <w:r w:rsidRPr="00735726">
        <w:rPr>
          <w:rFonts w:ascii="Arial" w:hAnsi="Arial" w:cs="Arial"/>
          <w:sz w:val="18"/>
          <w:szCs w:val="18"/>
        </w:rPr>
        <w:t xml:space="preserve">eport which will detail assurance work which has been performed in areas which it has identified following consultation as significant areas for </w:t>
      </w:r>
      <w:r w:rsidRPr="00735726">
        <w:rPr>
          <w:rFonts w:ascii="Arial" w:hAnsi="Arial" w:cs="Arial"/>
          <w:sz w:val="18"/>
          <w:szCs w:val="18"/>
        </w:rPr>
        <w:lastRenderedPageBreak/>
        <w:t xml:space="preserve">assurance, which includes annual reporting. This report will be available as part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annual reporting publications</w:t>
      </w:r>
      <w:r w:rsidR="006C1BA9" w:rsidRPr="00735726">
        <w:rPr>
          <w:rFonts w:ascii="Arial" w:hAnsi="Arial" w:cs="Arial"/>
          <w:sz w:val="18"/>
          <w:szCs w:val="18"/>
        </w:rPr>
        <w:t xml:space="preserve"> - </w:t>
      </w:r>
      <w:r w:rsidRPr="00735726">
        <w:rPr>
          <w:rFonts w:ascii="Arial" w:hAnsi="Arial" w:cs="Arial"/>
          <w:sz w:val="18"/>
          <w:szCs w:val="18"/>
        </w:rPr>
        <w:t>available at www.southwestwater.co.uk/report2</w:t>
      </w:r>
      <w:r w:rsidR="00AD103E" w:rsidRPr="00735726">
        <w:rPr>
          <w:rFonts w:ascii="Arial" w:hAnsi="Arial" w:cs="Arial"/>
          <w:sz w:val="18"/>
          <w:szCs w:val="18"/>
        </w:rPr>
        <w:t>02</w:t>
      </w:r>
      <w:r w:rsidR="00286A45" w:rsidRPr="00735726">
        <w:rPr>
          <w:rFonts w:ascii="Arial" w:hAnsi="Arial" w:cs="Arial"/>
          <w:sz w:val="18"/>
          <w:szCs w:val="18"/>
        </w:rPr>
        <w:t>6</w:t>
      </w:r>
      <w:r w:rsidRPr="00735726">
        <w:rPr>
          <w:rFonts w:ascii="Arial" w:hAnsi="Arial" w:cs="Arial"/>
          <w:sz w:val="18"/>
          <w:szCs w:val="18"/>
        </w:rPr>
        <w:t>.</w:t>
      </w:r>
    </w:p>
    <w:bookmarkEnd w:id="39"/>
    <w:p w14:paraId="4840E85D" w14:textId="122AABE6" w:rsidR="004F030D" w:rsidRPr="00735726" w:rsidRDefault="004F030D" w:rsidP="00277639">
      <w:pPr>
        <w:rPr>
          <w:rFonts w:ascii="Arial" w:hAnsi="Arial" w:cs="Arial"/>
          <w:sz w:val="18"/>
          <w:szCs w:val="18"/>
        </w:rPr>
      </w:pPr>
      <w:r w:rsidRPr="00735726">
        <w:rPr>
          <w:rFonts w:ascii="Arial" w:hAnsi="Arial" w:cs="Arial"/>
          <w:b/>
          <w:bCs/>
          <w:sz w:val="18"/>
          <w:szCs w:val="18"/>
        </w:rPr>
        <w:t>AUDIT, RISK AND INTERNAL CONTROL</w:t>
      </w:r>
      <w:r w:rsidRPr="00735726">
        <w:rPr>
          <w:rFonts w:ascii="Arial" w:hAnsi="Arial" w:cs="Arial"/>
          <w:b/>
          <w:bCs/>
          <w:sz w:val="18"/>
          <w:szCs w:val="18"/>
        </w:rPr>
        <w:br/>
      </w:r>
      <w:r w:rsidRPr="00735726">
        <w:rPr>
          <w:i/>
          <w:iCs/>
        </w:rPr>
        <w:t>RISK MANAGEMENT AND THE COMPANY’S SYSTEM OF INTERNAL CONTROL</w:t>
      </w:r>
      <w:r w:rsidR="00057D91" w:rsidRPr="00735726">
        <w:rPr>
          <w:rFonts w:ascii="Arial" w:hAnsi="Arial" w:cs="Arial"/>
          <w:sz w:val="18"/>
          <w:szCs w:val="18"/>
        </w:rPr>
        <w:br/>
      </w:r>
      <w:r w:rsidRPr="00735726">
        <w:rPr>
          <w:rFonts w:ascii="Arial" w:hAnsi="Arial" w:cs="Arial"/>
          <w:sz w:val="18"/>
          <w:szCs w:val="18"/>
        </w:rPr>
        <w:t xml:space="preserve">The Board is responsible for maintaining the Company’s system of internal control to safeguard the Company’s assets and for reviewing its effectiveness. The system is designed to manage rather than eliminate the risk of failure to achieve business objectives and can only provide reasonable and not absolute assurance against material misstatement or loss. An ongoing process for identifying, evaluating and managing the significant risks faced by the Company has been in place throughout the year and up to the date of the approval of this Annual Report and </w:t>
      </w:r>
      <w:r w:rsidR="00E362AD" w:rsidRPr="00735726">
        <w:rPr>
          <w:rFonts w:ascii="Arial" w:hAnsi="Arial" w:cs="Arial"/>
          <w:sz w:val="18"/>
          <w:szCs w:val="18"/>
        </w:rPr>
        <w:t xml:space="preserve">financial statements </w:t>
      </w:r>
      <w:r w:rsidR="00625BAA" w:rsidRPr="00735726">
        <w:rPr>
          <w:rFonts w:ascii="Arial" w:hAnsi="Arial" w:cs="Arial"/>
          <w:sz w:val="18"/>
          <w:szCs w:val="18"/>
        </w:rPr>
        <w:t>and was last reviewed by the Board at its meeting in March 2026</w:t>
      </w:r>
      <w:r w:rsidRPr="00735726">
        <w:rPr>
          <w:rFonts w:ascii="Arial" w:hAnsi="Arial" w:cs="Arial"/>
          <w:sz w:val="18"/>
          <w:szCs w:val="18"/>
        </w:rPr>
        <w:t>.</w:t>
      </w:r>
    </w:p>
    <w:p w14:paraId="7D1F17FD" w14:textId="77777777" w:rsidR="004F030D" w:rsidRPr="00735726" w:rsidRDefault="004F030D" w:rsidP="005A5668">
      <w:pPr>
        <w:spacing w:after="120"/>
        <w:rPr>
          <w:rFonts w:ascii="Arial" w:hAnsi="Arial" w:cs="Arial"/>
          <w:sz w:val="18"/>
          <w:szCs w:val="18"/>
        </w:rPr>
      </w:pPr>
      <w:r w:rsidRPr="00735726">
        <w:rPr>
          <w:rFonts w:ascii="Arial" w:hAnsi="Arial" w:cs="Arial"/>
          <w:sz w:val="18"/>
          <w:szCs w:val="18"/>
        </w:rPr>
        <w:t xml:space="preserve">The Company’s system of internal control is consistent with the FRC’s ‘Guidance on Risk Management, Internal Control and Related Financial and Business Reporting’ (FRC Internal Control Guidance). </w:t>
      </w:r>
    </w:p>
    <w:p w14:paraId="66FDAC47" w14:textId="7E907ACB" w:rsidR="004F030D" w:rsidRPr="009A2CAE" w:rsidRDefault="004F030D" w:rsidP="005A5668">
      <w:pPr>
        <w:spacing w:after="120"/>
        <w:rPr>
          <w:rFonts w:ascii="Arial" w:hAnsi="Arial" w:cs="Arial"/>
          <w:sz w:val="18"/>
          <w:szCs w:val="18"/>
        </w:rPr>
      </w:pPr>
      <w:r w:rsidRPr="00735726">
        <w:rPr>
          <w:rFonts w:ascii="Arial" w:hAnsi="Arial" w:cs="Arial"/>
          <w:sz w:val="18"/>
          <w:szCs w:val="18"/>
        </w:rPr>
        <w:t xml:space="preserve">The Board confirms that it applies procedures in accordance with the UK Code and the FRC Internal Control Guidance which brings together elements of best practice for risk management and internal control by companies. The Board’s risk framework described on pages </w:t>
      </w:r>
      <w:r w:rsidR="00390ECE" w:rsidRPr="009A2CAE">
        <w:rPr>
          <w:rFonts w:ascii="Arial" w:hAnsi="Arial" w:cs="Arial"/>
          <w:sz w:val="18"/>
          <w:szCs w:val="18"/>
        </w:rPr>
        <w:t xml:space="preserve">62 </w:t>
      </w:r>
      <w:r w:rsidR="00625BAA" w:rsidRPr="009A2CAE">
        <w:rPr>
          <w:rFonts w:ascii="Arial" w:hAnsi="Arial" w:cs="Arial"/>
          <w:sz w:val="18"/>
          <w:szCs w:val="18"/>
        </w:rPr>
        <w:t xml:space="preserve">to </w:t>
      </w:r>
      <w:r w:rsidR="00390ECE" w:rsidRPr="009A2CAE">
        <w:rPr>
          <w:rFonts w:ascii="Arial" w:hAnsi="Arial" w:cs="Arial"/>
          <w:sz w:val="18"/>
          <w:szCs w:val="18"/>
        </w:rPr>
        <w:t>74</w:t>
      </w:r>
      <w:r w:rsidRPr="009A2CAE">
        <w:rPr>
          <w:rFonts w:ascii="Arial" w:hAnsi="Arial" w:cs="Arial"/>
          <w:sz w:val="18"/>
          <w:szCs w:val="18"/>
        </w:rPr>
        <w:t xml:space="preserve"> </w:t>
      </w:r>
      <w:r w:rsidRPr="00735726">
        <w:rPr>
          <w:rFonts w:ascii="Arial" w:hAnsi="Arial" w:cs="Arial"/>
          <w:sz w:val="18"/>
          <w:szCs w:val="18"/>
        </w:rPr>
        <w:t xml:space="preserve">of the </w:t>
      </w:r>
      <w:r w:rsidR="00625BAA" w:rsidRPr="00735726">
        <w:rPr>
          <w:rFonts w:ascii="Arial" w:hAnsi="Arial" w:cs="Arial"/>
          <w:sz w:val="18"/>
          <w:szCs w:val="18"/>
        </w:rPr>
        <w:t>S</w:t>
      </w:r>
      <w:r w:rsidRPr="00735726">
        <w:rPr>
          <w:rFonts w:ascii="Arial" w:hAnsi="Arial" w:cs="Arial"/>
          <w:sz w:val="18"/>
          <w:szCs w:val="18"/>
        </w:rPr>
        <w:t xml:space="preserve">trategic </w:t>
      </w:r>
      <w:r w:rsidR="00625BAA" w:rsidRPr="00735726">
        <w:rPr>
          <w:rFonts w:ascii="Arial" w:hAnsi="Arial" w:cs="Arial"/>
          <w:sz w:val="18"/>
          <w:szCs w:val="18"/>
        </w:rPr>
        <w:t>R</w:t>
      </w:r>
      <w:r w:rsidRPr="00735726">
        <w:rPr>
          <w:rFonts w:ascii="Arial" w:hAnsi="Arial" w:cs="Arial"/>
          <w:sz w:val="18"/>
          <w:szCs w:val="18"/>
        </w:rPr>
        <w:t xml:space="preserve">eport provides for the identification of key risks, including ESG risks, in relation to the achievement of the business objectives of the Company, monitoring of such risks and ongoing and annual evaluation of the overall process. </w:t>
      </w:r>
      <w:r w:rsidR="00625BAA" w:rsidRPr="00735726">
        <w:rPr>
          <w:rFonts w:ascii="Arial" w:hAnsi="Arial" w:cs="Arial"/>
          <w:sz w:val="18"/>
          <w:szCs w:val="18"/>
        </w:rPr>
        <w:t>Key performance indicators are in place to enable the Board to measure the Company’s ESG performance</w:t>
      </w:r>
      <w:r w:rsidR="00625BAA" w:rsidRPr="00735726">
        <w:rPr>
          <w:rFonts w:ascii="Calibre-Light" w:hAnsi="Calibre-Light" w:cs="Calibre-Light"/>
          <w:color w:val="414142"/>
          <w:sz w:val="16"/>
          <w:szCs w:val="16"/>
        </w:rPr>
        <w:t xml:space="preserve"> </w:t>
      </w:r>
      <w:r w:rsidR="00625BAA" w:rsidRPr="00735726">
        <w:rPr>
          <w:rFonts w:ascii="Arial" w:hAnsi="Arial" w:cs="Arial"/>
          <w:sz w:val="18"/>
          <w:szCs w:val="18"/>
        </w:rPr>
        <w:t>shown in the Pennon Annual report</w:t>
      </w:r>
      <w:r w:rsidR="00625BAA" w:rsidRPr="00735726">
        <w:rPr>
          <w:rFonts w:ascii="Calibre-Light" w:hAnsi="Calibre-Light" w:cs="Calibre-Light"/>
          <w:color w:val="414142"/>
          <w:sz w:val="16"/>
          <w:szCs w:val="16"/>
        </w:rPr>
        <w:t xml:space="preserve"> </w:t>
      </w:r>
      <w:r w:rsidR="00625BAA" w:rsidRPr="00735726">
        <w:rPr>
          <w:rFonts w:ascii="Arial" w:hAnsi="Arial" w:cs="Arial"/>
          <w:sz w:val="18"/>
          <w:szCs w:val="18"/>
        </w:rPr>
        <w:t xml:space="preserve">on pages </w:t>
      </w:r>
      <w:r w:rsidR="00390ECE" w:rsidRPr="009A2CAE">
        <w:rPr>
          <w:rFonts w:ascii="Arial" w:hAnsi="Arial" w:cs="Arial"/>
          <w:sz w:val="18"/>
          <w:szCs w:val="18"/>
        </w:rPr>
        <w:t>72</w:t>
      </w:r>
      <w:r w:rsidR="00625BAA" w:rsidRPr="009A2CAE">
        <w:rPr>
          <w:rFonts w:ascii="Arial" w:hAnsi="Arial" w:cs="Arial"/>
          <w:sz w:val="18"/>
          <w:szCs w:val="18"/>
        </w:rPr>
        <w:t xml:space="preserve"> to</w:t>
      </w:r>
      <w:r w:rsidR="004933EF" w:rsidRPr="009A2CAE">
        <w:rPr>
          <w:rFonts w:ascii="Arial" w:hAnsi="Arial" w:cs="Arial"/>
          <w:sz w:val="18"/>
          <w:szCs w:val="18"/>
        </w:rPr>
        <w:t xml:space="preserve"> </w:t>
      </w:r>
      <w:r w:rsidR="00390ECE" w:rsidRPr="009A2CAE">
        <w:rPr>
          <w:rFonts w:ascii="Arial" w:hAnsi="Arial" w:cs="Arial"/>
          <w:sz w:val="18"/>
          <w:szCs w:val="18"/>
        </w:rPr>
        <w:t>77</w:t>
      </w:r>
      <w:r w:rsidR="00625BAA" w:rsidRPr="009A2CAE">
        <w:rPr>
          <w:rFonts w:ascii="Arial" w:hAnsi="Arial" w:cs="Arial"/>
          <w:sz w:val="18"/>
          <w:szCs w:val="18"/>
        </w:rPr>
        <w:t xml:space="preserve"> </w:t>
      </w:r>
      <w:r w:rsidR="00625BAA" w:rsidRPr="00735726">
        <w:rPr>
          <w:rFonts w:ascii="Arial" w:hAnsi="Arial" w:cs="Arial"/>
          <w:sz w:val="18"/>
          <w:szCs w:val="18"/>
        </w:rPr>
        <w:t xml:space="preserve">and a number of these are linked to remuneration incentives on page </w:t>
      </w:r>
      <w:r w:rsidR="00390ECE" w:rsidRPr="009A2CAE">
        <w:rPr>
          <w:rFonts w:ascii="Arial" w:hAnsi="Arial" w:cs="Arial"/>
          <w:sz w:val="18"/>
          <w:szCs w:val="18"/>
        </w:rPr>
        <w:t>157</w:t>
      </w:r>
      <w:r w:rsidR="00625BAA" w:rsidRPr="009A2CAE">
        <w:rPr>
          <w:rFonts w:ascii="Arial" w:hAnsi="Arial" w:cs="Arial"/>
          <w:sz w:val="18"/>
          <w:szCs w:val="18"/>
        </w:rPr>
        <w:t>.</w:t>
      </w:r>
      <w:bookmarkStart w:id="40" w:name="_Hlk135210548"/>
      <w:r w:rsidR="00625BAA" w:rsidRPr="009A2CAE">
        <w:rPr>
          <w:rFonts w:ascii="Arial" w:hAnsi="Arial" w:cs="Arial"/>
          <w:sz w:val="18"/>
          <w:szCs w:val="18"/>
        </w:rPr>
        <w:t xml:space="preserve"> </w:t>
      </w:r>
      <w:r w:rsidRPr="00735726">
        <w:rPr>
          <w:rFonts w:ascii="Arial" w:hAnsi="Arial" w:cs="Arial"/>
          <w:sz w:val="18"/>
          <w:szCs w:val="18"/>
        </w:rPr>
        <w:t xml:space="preserve">A full breakdown of performance during the year against these KPIs is provided in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Water’s Annual Performance Report, which </w:t>
      </w:r>
      <w:r w:rsidR="001B37E6" w:rsidRPr="00735726">
        <w:rPr>
          <w:rFonts w:ascii="Arial" w:hAnsi="Arial" w:cs="Arial"/>
          <w:sz w:val="18"/>
          <w:szCs w:val="18"/>
        </w:rPr>
        <w:t xml:space="preserve">will be </w:t>
      </w:r>
      <w:r w:rsidRPr="00735726">
        <w:rPr>
          <w:rFonts w:ascii="Arial" w:hAnsi="Arial" w:cs="Arial"/>
          <w:sz w:val="18"/>
          <w:szCs w:val="18"/>
        </w:rPr>
        <w:t>published in July (see</w:t>
      </w:r>
      <w:r w:rsidR="00AD103E" w:rsidRPr="00735726">
        <w:rPr>
          <w:rFonts w:ascii="Arial" w:hAnsi="Arial" w:cs="Arial"/>
          <w:sz w:val="18"/>
          <w:szCs w:val="18"/>
        </w:rPr>
        <w:t xml:space="preserve"> </w:t>
      </w:r>
      <w:r w:rsidR="00D447C1" w:rsidRPr="00735726">
        <w:rPr>
          <w:rFonts w:ascii="Arial" w:hAnsi="Arial" w:cs="Arial"/>
          <w:sz w:val="18"/>
          <w:szCs w:val="18"/>
        </w:rPr>
        <w:t>www.southwestwater.co.uk/report20</w:t>
      </w:r>
      <w:r w:rsidR="00AD103E" w:rsidRPr="00735726">
        <w:rPr>
          <w:rFonts w:ascii="Arial" w:hAnsi="Arial" w:cs="Arial"/>
          <w:sz w:val="18"/>
          <w:szCs w:val="18"/>
        </w:rPr>
        <w:t>2</w:t>
      </w:r>
      <w:r w:rsidR="00210D54" w:rsidRPr="00735726">
        <w:rPr>
          <w:rFonts w:ascii="Arial" w:hAnsi="Arial" w:cs="Arial"/>
          <w:sz w:val="18"/>
          <w:szCs w:val="18"/>
        </w:rPr>
        <w:t>6</w:t>
      </w:r>
      <w:r w:rsidRPr="00735726">
        <w:rPr>
          <w:rFonts w:ascii="Arial" w:hAnsi="Arial" w:cs="Arial"/>
          <w:sz w:val="18"/>
          <w:szCs w:val="18"/>
        </w:rPr>
        <w:t>).</w:t>
      </w:r>
    </w:p>
    <w:bookmarkEnd w:id="40"/>
    <w:p w14:paraId="43272C24" w14:textId="1781CEE4" w:rsidR="0083644C" w:rsidRPr="00735726" w:rsidRDefault="00625BAA" w:rsidP="0083644C">
      <w:pPr>
        <w:spacing w:after="120"/>
        <w:rPr>
          <w:rFonts w:ascii="Arial" w:hAnsi="Arial" w:cs="Arial"/>
          <w:sz w:val="18"/>
          <w:szCs w:val="18"/>
        </w:rPr>
      </w:pPr>
      <w:r w:rsidRPr="00735726">
        <w:rPr>
          <w:rFonts w:ascii="Arial" w:hAnsi="Arial" w:cs="Arial"/>
          <w:sz w:val="18"/>
          <w:szCs w:val="18"/>
        </w:rPr>
        <w:t>The Audit Committee reviews the Company’s internal control systems and receives updates on the findings of internal audit’s investigations at every meeting. During the year, work has been undertaken to document the operation of existing internal controls over financial reporting. Internal control systems over financial reporting are the responsibility of the Chief Financial Officer, with the support of the financial control team and the internal audit team. During the year the internal controls over financial reporting</w:t>
      </w:r>
      <w:r w:rsidR="0083644C" w:rsidRPr="00735726">
        <w:rPr>
          <w:rFonts w:ascii="Arial" w:hAnsi="Arial" w:cs="Arial"/>
          <w:sz w:val="18"/>
          <w:szCs w:val="18"/>
        </w:rPr>
        <w:t xml:space="preserve"> were reviewed with refreshed risk and control matrices produced. Confirmation that the controls and processes are being adhered to is the responsibility of </w:t>
      </w:r>
      <w:proofErr w:type="gramStart"/>
      <w:r w:rsidR="0083644C" w:rsidRPr="00735726">
        <w:rPr>
          <w:rFonts w:ascii="Arial" w:hAnsi="Arial" w:cs="Arial"/>
          <w:sz w:val="18"/>
          <w:szCs w:val="18"/>
        </w:rPr>
        <w:t>managers, but</w:t>
      </w:r>
      <w:proofErr w:type="gramEnd"/>
      <w:r w:rsidR="0083644C" w:rsidRPr="00735726">
        <w:rPr>
          <w:rFonts w:ascii="Arial" w:hAnsi="Arial" w:cs="Arial"/>
          <w:sz w:val="18"/>
          <w:szCs w:val="18"/>
        </w:rPr>
        <w:t xml:space="preserve"> is continually tested by the work of the internal audit team as part of its annual plan of work, which the Committee approves each year.</w:t>
      </w:r>
    </w:p>
    <w:p w14:paraId="745547FA" w14:textId="76D2EBC3" w:rsidR="0083644C" w:rsidRPr="00735726" w:rsidRDefault="0083644C" w:rsidP="0083644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As part of the review evaluating the system of risk management and internal control under the Company risk management policy, all Executive Directors and senior managers are required to certify on an annual basis that</w:t>
      </w:r>
    </w:p>
    <w:p w14:paraId="6221A391" w14:textId="20B3CF8F" w:rsidR="0083644C" w:rsidRPr="00735726" w:rsidRDefault="0083644C" w:rsidP="0083644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they have effective controls in place to manage risks and to operate in compliance with legislation and Company procedures.</w:t>
      </w:r>
    </w:p>
    <w:p w14:paraId="4187793D" w14:textId="77777777" w:rsidR="0083644C" w:rsidRPr="00735726" w:rsidRDefault="0083644C" w:rsidP="0083644C">
      <w:pPr>
        <w:pStyle w:val="Headinglevel4"/>
        <w:spacing w:line="276" w:lineRule="auto"/>
        <w:outlineLvl w:val="0"/>
        <w:rPr>
          <w:rFonts w:eastAsiaTheme="minorHAnsi"/>
          <w:b w:val="0"/>
          <w:bCs w:val="0"/>
          <w:caps w:val="0"/>
          <w:color w:val="auto"/>
        </w:rPr>
      </w:pPr>
    </w:p>
    <w:p w14:paraId="15976D8D" w14:textId="5DCEA08D" w:rsidR="0083644C" w:rsidRPr="00735726" w:rsidRDefault="0083644C" w:rsidP="0083644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We have assessed the internal control systems alongside our own view arising from the ongoing regulatory investigations into operational aspects. Noting where we have had non-compliances, we have action plans in</w:t>
      </w:r>
    </w:p>
    <w:p w14:paraId="0EEDF634" w14:textId="19ED2DF9" w:rsidR="0083644C" w:rsidRPr="00735726" w:rsidRDefault="0083644C" w:rsidP="0083644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place and have continued to assess this during the year, and we have supplemented this with other aspects of</w:t>
      </w:r>
    </w:p>
    <w:p w14:paraId="5A0AD313" w14:textId="77777777" w:rsidR="0083644C" w:rsidRPr="00735726" w:rsidRDefault="0083644C" w:rsidP="0083644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investigation and remediation as required.</w:t>
      </w:r>
    </w:p>
    <w:p w14:paraId="71812B85" w14:textId="77777777" w:rsidR="0083644C" w:rsidRPr="00735726" w:rsidRDefault="0083644C" w:rsidP="0083644C">
      <w:pPr>
        <w:pStyle w:val="Headinglevel4"/>
        <w:spacing w:line="276" w:lineRule="auto"/>
        <w:outlineLvl w:val="0"/>
        <w:rPr>
          <w:rFonts w:eastAsiaTheme="minorHAnsi"/>
          <w:b w:val="0"/>
          <w:bCs w:val="0"/>
          <w:caps w:val="0"/>
          <w:color w:val="auto"/>
        </w:rPr>
      </w:pPr>
    </w:p>
    <w:p w14:paraId="6313AE3C" w14:textId="622FEA14" w:rsidR="0083644C" w:rsidRPr="00735726" w:rsidRDefault="0083644C" w:rsidP="0083644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The Company’s processes and policies serve to ensure that a culture of effective control and risk management is</w:t>
      </w:r>
    </w:p>
    <w:p w14:paraId="14042A7A" w14:textId="420B56BC" w:rsidR="0083644C" w:rsidRPr="009A2CAE" w:rsidRDefault="0083644C" w:rsidP="0083644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embedded throughout the Company and that the Company </w:t>
      </w:r>
      <w:proofErr w:type="gramStart"/>
      <w:r w:rsidRPr="00735726">
        <w:rPr>
          <w:rFonts w:eastAsiaTheme="minorHAnsi"/>
          <w:b w:val="0"/>
          <w:bCs w:val="0"/>
          <w:caps w:val="0"/>
          <w:color w:val="auto"/>
        </w:rPr>
        <w:t>is able to</w:t>
      </w:r>
      <w:proofErr w:type="gramEnd"/>
      <w:r w:rsidRPr="00735726">
        <w:rPr>
          <w:rFonts w:eastAsiaTheme="minorHAnsi"/>
          <w:b w:val="0"/>
          <w:bCs w:val="0"/>
          <w:caps w:val="0"/>
          <w:color w:val="auto"/>
        </w:rPr>
        <w:t xml:space="preserve"> react appropriately to new risks as they arise. New and emerging risks are identified in further detail in the risk management section on pages </w:t>
      </w:r>
      <w:r w:rsidR="00390ECE" w:rsidRPr="009A2CAE">
        <w:rPr>
          <w:rFonts w:eastAsiaTheme="minorHAnsi"/>
          <w:b w:val="0"/>
          <w:bCs w:val="0"/>
          <w:caps w:val="0"/>
          <w:color w:val="auto"/>
        </w:rPr>
        <w:t>62</w:t>
      </w:r>
      <w:r w:rsidRPr="009A2CAE">
        <w:rPr>
          <w:rFonts w:eastAsiaTheme="minorHAnsi"/>
          <w:b w:val="0"/>
          <w:bCs w:val="0"/>
          <w:caps w:val="0"/>
          <w:color w:val="auto"/>
        </w:rPr>
        <w:t xml:space="preserve"> to </w:t>
      </w:r>
      <w:r w:rsidR="00390ECE" w:rsidRPr="009A2CAE">
        <w:rPr>
          <w:rFonts w:eastAsiaTheme="minorHAnsi"/>
          <w:b w:val="0"/>
          <w:bCs w:val="0"/>
          <w:caps w:val="0"/>
          <w:color w:val="auto"/>
        </w:rPr>
        <w:t>74</w:t>
      </w:r>
      <w:r w:rsidRPr="009A2CAE">
        <w:rPr>
          <w:rFonts w:eastAsiaTheme="minorHAnsi"/>
          <w:b w:val="0"/>
          <w:bCs w:val="0"/>
          <w:caps w:val="0"/>
          <w:color w:val="auto"/>
        </w:rPr>
        <w:t>.</w:t>
      </w:r>
    </w:p>
    <w:p w14:paraId="3222FC50" w14:textId="77777777" w:rsidR="0083644C" w:rsidRPr="009A2CAE" w:rsidRDefault="0083644C" w:rsidP="0083644C">
      <w:pPr>
        <w:pStyle w:val="Headinglevel4"/>
        <w:spacing w:line="276" w:lineRule="auto"/>
        <w:outlineLvl w:val="0"/>
        <w:rPr>
          <w:rFonts w:eastAsiaTheme="minorHAnsi"/>
          <w:b w:val="0"/>
          <w:bCs w:val="0"/>
          <w:caps w:val="0"/>
          <w:color w:val="auto"/>
        </w:rPr>
      </w:pPr>
    </w:p>
    <w:p w14:paraId="7245778D" w14:textId="1FB66B87" w:rsidR="0083644C" w:rsidRPr="00735726" w:rsidRDefault="0083644C" w:rsidP="0083644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Changes in the UK Corporate Governance Code relating to risk management, specifically the pending requirements of Provision 29, have been considered throughout the year with a programme put in place to</w:t>
      </w:r>
    </w:p>
    <w:p w14:paraId="1EB31EB3" w14:textId="41707B51" w:rsidR="0083644C" w:rsidRPr="00735726" w:rsidRDefault="0083644C" w:rsidP="0083644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ensure readiness for the enhanced requirements that come into effect in 2026/27. </w:t>
      </w:r>
    </w:p>
    <w:p w14:paraId="11C92FC9" w14:textId="77777777" w:rsidR="0083644C" w:rsidRPr="009A2CAE" w:rsidRDefault="0083644C" w:rsidP="0083644C">
      <w:pPr>
        <w:pStyle w:val="Headinglevel4"/>
        <w:spacing w:line="276" w:lineRule="auto"/>
        <w:outlineLvl w:val="0"/>
        <w:rPr>
          <w:rFonts w:eastAsiaTheme="minorHAnsi"/>
          <w:b w:val="0"/>
          <w:bCs w:val="0"/>
          <w:caps w:val="0"/>
          <w:color w:val="auto"/>
        </w:rPr>
      </w:pPr>
    </w:p>
    <w:p w14:paraId="2C114D62" w14:textId="58AD775E" w:rsidR="004F030D" w:rsidRPr="00735726" w:rsidRDefault="004F030D" w:rsidP="0083644C">
      <w:pPr>
        <w:pStyle w:val="Headinglevel4"/>
        <w:spacing w:line="276" w:lineRule="auto"/>
        <w:outlineLvl w:val="0"/>
      </w:pPr>
      <w:r w:rsidRPr="00735726">
        <w:t>code of conduct and policies</w:t>
      </w:r>
    </w:p>
    <w:p w14:paraId="2ED2655F" w14:textId="3CB8B990" w:rsidR="004F030D" w:rsidRPr="00735726" w:rsidRDefault="004F030D" w:rsidP="005A5668">
      <w:pPr>
        <w:spacing w:after="120"/>
        <w:rPr>
          <w:rFonts w:ascii="Arial" w:hAnsi="Arial" w:cs="Arial"/>
          <w:sz w:val="18"/>
          <w:szCs w:val="18"/>
        </w:rPr>
      </w:pP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has adopted the Pennon Group</w:t>
      </w:r>
      <w:r w:rsidR="00D03215" w:rsidRPr="00735726">
        <w:rPr>
          <w:rFonts w:ascii="Arial" w:hAnsi="Arial" w:cs="Arial"/>
          <w:sz w:val="18"/>
          <w:szCs w:val="18"/>
        </w:rPr>
        <w:t xml:space="preserve"> plc</w:t>
      </w:r>
      <w:r w:rsidRPr="00735726">
        <w:rPr>
          <w:rFonts w:ascii="Arial" w:hAnsi="Arial" w:cs="Arial"/>
          <w:sz w:val="18"/>
          <w:szCs w:val="18"/>
        </w:rPr>
        <w:t>’s Code of Conduct. The Code of Conduct and related policies set out the Company’s commitment to promoting and maintaining the highest level of ethical standards. Areas covered in the Code of Conduct include our impact on the environment and our communities, our workplace and our business conduct.</w:t>
      </w:r>
    </w:p>
    <w:p w14:paraId="5E6ED7B0" w14:textId="77777777" w:rsidR="00D447C1" w:rsidRPr="00735726" w:rsidRDefault="004F030D" w:rsidP="005A5668">
      <w:pPr>
        <w:spacing w:after="120"/>
        <w:rPr>
          <w:rFonts w:ascii="Arial" w:hAnsi="Arial" w:cs="Arial"/>
          <w:sz w:val="18"/>
          <w:szCs w:val="18"/>
        </w:rPr>
      </w:pPr>
      <w:r w:rsidRPr="00735726">
        <w:rPr>
          <w:rFonts w:ascii="Arial" w:hAnsi="Arial" w:cs="Arial"/>
          <w:sz w:val="18"/>
          <w:szCs w:val="18"/>
        </w:rPr>
        <w:t xml:space="preserve">The Code of Conduct sets out the values and principles by which we operate and provides a framework for ethical business practices. It is further supported by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policies that guide our workforce and suppliers, </w:t>
      </w:r>
      <w:r w:rsidRPr="00735726">
        <w:rPr>
          <w:rFonts w:ascii="Arial" w:hAnsi="Arial" w:cs="Arial"/>
          <w:sz w:val="18"/>
          <w:szCs w:val="18"/>
        </w:rPr>
        <w:lastRenderedPageBreak/>
        <w:t xml:space="preserve">so that we may identify and deal with suspected wrongdoing, fraud or malpractice, maintain the highest standards of compliance, and to apply consistently high standards of ethics. We aim to maintain a culture that fosters the reporting of any concerns and trust that we will act on them. </w:t>
      </w:r>
    </w:p>
    <w:p w14:paraId="5E836B0A" w14:textId="0498CE66" w:rsidR="00D447C1" w:rsidRPr="00735726" w:rsidRDefault="0083644C" w:rsidP="0083644C">
      <w:pPr>
        <w:spacing w:after="120"/>
        <w:rPr>
          <w:rFonts w:ascii="Arial" w:hAnsi="Arial" w:cs="Arial"/>
          <w:sz w:val="18"/>
          <w:szCs w:val="18"/>
        </w:rPr>
      </w:pPr>
      <w:r w:rsidRPr="00735726">
        <w:rPr>
          <w:rFonts w:ascii="Arial" w:hAnsi="Arial" w:cs="Arial"/>
          <w:sz w:val="18"/>
          <w:szCs w:val="18"/>
        </w:rPr>
        <w:t xml:space="preserve">Training on our Code of Conduct is mandatory for all employees, with training for new joiners and annual employee refresher training. </w:t>
      </w:r>
      <w:r w:rsidR="00D447C1" w:rsidRPr="00735726">
        <w:rPr>
          <w:rFonts w:ascii="Arial" w:hAnsi="Arial" w:cs="Arial"/>
          <w:sz w:val="18"/>
          <w:szCs w:val="18"/>
        </w:rPr>
        <w:t>Our Code of Conduct and other key compliance policies can be found here: https://www.pennon-group.co.uk/about-us/policies</w:t>
      </w:r>
    </w:p>
    <w:p w14:paraId="19103B53" w14:textId="55542C2D" w:rsidR="00D447C1" w:rsidRPr="00735726" w:rsidRDefault="004F030D" w:rsidP="005A5668">
      <w:pPr>
        <w:rPr>
          <w:rFonts w:ascii="Arial" w:hAnsi="Arial" w:cs="Arial"/>
          <w:sz w:val="18"/>
          <w:szCs w:val="18"/>
        </w:rPr>
      </w:pPr>
      <w:r w:rsidRPr="00735726">
        <w:rPr>
          <w:rFonts w:ascii="Arial" w:eastAsia="Times New Roman" w:hAnsi="Arial" w:cs="Arial"/>
          <w:b/>
          <w:bCs/>
          <w:caps/>
          <w:color w:val="000000"/>
          <w:sz w:val="18"/>
          <w:szCs w:val="18"/>
        </w:rPr>
        <w:t xml:space="preserve">ANTI-FINANCIAL CRIME </w:t>
      </w:r>
      <w:r w:rsidR="00D447C1" w:rsidRPr="00735726">
        <w:rPr>
          <w:rFonts w:ascii="Arial" w:eastAsia="Times New Roman" w:hAnsi="Arial" w:cs="Arial"/>
          <w:b/>
          <w:bCs/>
          <w:caps/>
          <w:color w:val="000000"/>
          <w:sz w:val="18"/>
          <w:szCs w:val="18"/>
        </w:rPr>
        <w:t>POLICY</w:t>
      </w:r>
      <w:r w:rsidRPr="00735726">
        <w:rPr>
          <w:rFonts w:ascii="Arial" w:eastAsia="Times New Roman" w:hAnsi="Arial" w:cs="Arial"/>
          <w:b/>
          <w:bCs/>
          <w:caps/>
          <w:color w:val="000000"/>
          <w:sz w:val="18"/>
          <w:szCs w:val="18"/>
        </w:rPr>
        <w:br/>
      </w:r>
      <w:r w:rsidR="00D447C1" w:rsidRPr="00735726">
        <w:rPr>
          <w:rFonts w:ascii="Arial" w:hAnsi="Arial" w:cs="Arial"/>
          <w:sz w:val="18"/>
          <w:szCs w:val="18"/>
        </w:rPr>
        <w:t xml:space="preserve">The </w:t>
      </w:r>
      <w:r w:rsidR="007D351B" w:rsidRPr="00735726">
        <w:rPr>
          <w:rFonts w:ascii="Arial" w:hAnsi="Arial" w:cs="Arial"/>
          <w:sz w:val="18"/>
          <w:szCs w:val="18"/>
        </w:rPr>
        <w:t>A</w:t>
      </w:r>
      <w:r w:rsidR="00D447C1" w:rsidRPr="00735726">
        <w:rPr>
          <w:rFonts w:ascii="Arial" w:hAnsi="Arial" w:cs="Arial"/>
          <w:sz w:val="18"/>
          <w:szCs w:val="18"/>
        </w:rPr>
        <w:t>nti-</w:t>
      </w:r>
      <w:r w:rsidR="007D351B" w:rsidRPr="00735726">
        <w:rPr>
          <w:rFonts w:ascii="Arial" w:hAnsi="Arial" w:cs="Arial"/>
          <w:sz w:val="18"/>
          <w:szCs w:val="18"/>
        </w:rPr>
        <w:t>F</w:t>
      </w:r>
      <w:r w:rsidR="00D447C1" w:rsidRPr="00735726">
        <w:rPr>
          <w:rFonts w:ascii="Arial" w:hAnsi="Arial" w:cs="Arial"/>
          <w:sz w:val="18"/>
          <w:szCs w:val="18"/>
        </w:rPr>
        <w:t xml:space="preserve">inancial </w:t>
      </w:r>
      <w:r w:rsidR="007D351B" w:rsidRPr="00735726">
        <w:rPr>
          <w:rFonts w:ascii="Arial" w:hAnsi="Arial" w:cs="Arial"/>
          <w:sz w:val="18"/>
          <w:szCs w:val="18"/>
        </w:rPr>
        <w:t>C</w:t>
      </w:r>
      <w:r w:rsidR="00D447C1" w:rsidRPr="00735726">
        <w:rPr>
          <w:rFonts w:ascii="Arial" w:hAnsi="Arial" w:cs="Arial"/>
          <w:sz w:val="18"/>
          <w:szCs w:val="18"/>
        </w:rPr>
        <w:t xml:space="preserve">rime </w:t>
      </w:r>
      <w:r w:rsidR="007D351B" w:rsidRPr="00735726">
        <w:rPr>
          <w:rFonts w:ascii="Arial" w:hAnsi="Arial" w:cs="Arial"/>
          <w:sz w:val="18"/>
          <w:szCs w:val="18"/>
        </w:rPr>
        <w:t>P</w:t>
      </w:r>
      <w:r w:rsidR="00D447C1" w:rsidRPr="00735726">
        <w:rPr>
          <w:rFonts w:ascii="Arial" w:hAnsi="Arial" w:cs="Arial"/>
          <w:sz w:val="18"/>
          <w:szCs w:val="18"/>
        </w:rPr>
        <w:t>olicy outlines the requirements of the Company</w:t>
      </w:r>
      <w:r w:rsidR="005F2420" w:rsidRPr="00735726">
        <w:rPr>
          <w:rFonts w:ascii="Arial" w:hAnsi="Arial" w:cs="Arial"/>
          <w:sz w:val="18"/>
          <w:szCs w:val="18"/>
        </w:rPr>
        <w:t>’s</w:t>
      </w:r>
      <w:r w:rsidR="00D447C1" w:rsidRPr="00735726">
        <w:rPr>
          <w:rFonts w:ascii="Arial" w:hAnsi="Arial" w:cs="Arial"/>
          <w:sz w:val="18"/>
          <w:szCs w:val="18"/>
        </w:rPr>
        <w:t xml:space="preserve"> compl</w:t>
      </w:r>
      <w:r w:rsidR="005F2420" w:rsidRPr="00735726">
        <w:rPr>
          <w:rFonts w:ascii="Arial" w:hAnsi="Arial" w:cs="Arial"/>
          <w:sz w:val="18"/>
          <w:szCs w:val="18"/>
        </w:rPr>
        <w:t>iance</w:t>
      </w:r>
      <w:r w:rsidR="00D447C1" w:rsidRPr="00735726">
        <w:rPr>
          <w:rFonts w:ascii="Arial" w:hAnsi="Arial" w:cs="Arial"/>
          <w:sz w:val="18"/>
          <w:szCs w:val="18"/>
        </w:rPr>
        <w:t xml:space="preserve"> with relevant legislation, ethical standards and best practice on preventing financial crime (including acts of bribery, fraud, money laundering and tax evasion) and provides information and guidance to those working for and on the Company’s behalf on how to spot ‘red flags’ that could indicate a risk of financial crime. </w:t>
      </w:r>
    </w:p>
    <w:p w14:paraId="1EC090D5" w14:textId="0B0F828C" w:rsidR="00D447C1" w:rsidRPr="009A2CAE" w:rsidRDefault="00D447C1" w:rsidP="005A5668">
      <w:pPr>
        <w:rPr>
          <w:rFonts w:ascii="Arial" w:hAnsi="Arial" w:cs="Arial"/>
          <w:sz w:val="18"/>
          <w:szCs w:val="18"/>
        </w:rPr>
      </w:pPr>
      <w:r w:rsidRPr="00735726">
        <w:rPr>
          <w:rFonts w:ascii="Arial" w:hAnsi="Arial" w:cs="Arial"/>
          <w:sz w:val="18"/>
          <w:szCs w:val="18"/>
        </w:rPr>
        <w:t>The policy is at the heart of the Code of Conduct. The Code of Conduct was launched to employees together with a bespoke interactive e-learning module which steps employees through different financial crime scenarios asking the learner to identify red flags which are set out in the policy. The</w:t>
      </w:r>
      <w:r w:rsidR="005260C6" w:rsidRPr="00735726">
        <w:rPr>
          <w:rFonts w:ascii="Arial" w:hAnsi="Arial" w:cs="Arial"/>
          <w:sz w:val="18"/>
          <w:szCs w:val="18"/>
        </w:rPr>
        <w:t xml:space="preserve"> e-learning is</w:t>
      </w:r>
      <w:r w:rsidRPr="00735726">
        <w:rPr>
          <w:rFonts w:ascii="Arial" w:hAnsi="Arial" w:cs="Arial"/>
          <w:sz w:val="18"/>
          <w:szCs w:val="18"/>
        </w:rPr>
        <w:t xml:space="preserve"> mandatory for all employees and is delivered through the Company’s learning management platform to track completion. Employees will be obligated to complete an annual refresher, and the course is part of the induction of all new employees irrespective of job function</w:t>
      </w:r>
      <w:r w:rsidR="005260C6" w:rsidRPr="00735726">
        <w:rPr>
          <w:rFonts w:ascii="Arial" w:hAnsi="Arial" w:cs="Arial"/>
          <w:sz w:val="18"/>
          <w:szCs w:val="18"/>
        </w:rPr>
        <w:t xml:space="preserve"> or business area.</w:t>
      </w:r>
    </w:p>
    <w:p w14:paraId="5C80FF43" w14:textId="296239B2" w:rsidR="00D447C1" w:rsidRPr="00735726" w:rsidRDefault="00D447C1" w:rsidP="005A5668">
      <w:pPr>
        <w:rPr>
          <w:rFonts w:ascii="Arial" w:hAnsi="Arial" w:cs="Arial"/>
          <w:sz w:val="18"/>
          <w:szCs w:val="18"/>
        </w:rPr>
      </w:pPr>
      <w:r w:rsidRPr="00735726">
        <w:rPr>
          <w:rFonts w:ascii="Arial" w:hAnsi="Arial" w:cs="Arial"/>
          <w:sz w:val="18"/>
          <w:szCs w:val="18"/>
        </w:rPr>
        <w:t>The Legal Compliance function ensures compliance with the policy and Code of Conduct in line with our risk-based approach by conducting ad hoc checks on completion of the mandatory training set out above, providing specific training to areas of potential higher risk as part of our Bribery and Fraud Risk Assessment programme (e.g. Procurement and Commercial &amp; Estates), and carrying out detailed investigations into allegations of potential wrongdoing (whistleblow</w:t>
      </w:r>
      <w:r w:rsidR="00D913A3" w:rsidRPr="00735726">
        <w:rPr>
          <w:rFonts w:ascii="Arial" w:hAnsi="Arial" w:cs="Arial"/>
          <w:sz w:val="18"/>
          <w:szCs w:val="18"/>
        </w:rPr>
        <w:t>ing reports</w:t>
      </w:r>
      <w:r w:rsidRPr="00735726">
        <w:rPr>
          <w:rFonts w:ascii="Arial" w:hAnsi="Arial" w:cs="Arial"/>
          <w:sz w:val="18"/>
          <w:szCs w:val="18"/>
        </w:rPr>
        <w:t xml:space="preserve">) received from employees, customers and suppliers. </w:t>
      </w:r>
    </w:p>
    <w:p w14:paraId="5BCD9CE8" w14:textId="74282C3D" w:rsidR="00D447C1" w:rsidRPr="00735726" w:rsidRDefault="00D447C1" w:rsidP="005A5668">
      <w:pPr>
        <w:rPr>
          <w:rFonts w:ascii="Arial" w:hAnsi="Arial" w:cs="Arial"/>
          <w:sz w:val="18"/>
          <w:szCs w:val="18"/>
        </w:rPr>
      </w:pPr>
      <w:r w:rsidRPr="00735726">
        <w:rPr>
          <w:rFonts w:ascii="Arial" w:hAnsi="Arial" w:cs="Arial"/>
          <w:sz w:val="18"/>
          <w:szCs w:val="18"/>
        </w:rPr>
        <w:t xml:space="preserve">The potential consequences for colleagues and the </w:t>
      </w:r>
      <w:r w:rsidR="008A6F3A" w:rsidRPr="00735726">
        <w:rPr>
          <w:rFonts w:ascii="Arial" w:hAnsi="Arial" w:cs="Arial"/>
          <w:sz w:val="18"/>
          <w:szCs w:val="18"/>
        </w:rPr>
        <w:t>Company</w:t>
      </w:r>
      <w:r w:rsidRPr="00735726">
        <w:rPr>
          <w:rFonts w:ascii="Arial" w:hAnsi="Arial" w:cs="Arial"/>
          <w:sz w:val="18"/>
          <w:szCs w:val="18"/>
        </w:rPr>
        <w:t xml:space="preserve"> itself are clearly set out in the policy as are the processes for raising concerns. Any breaches or failure to adhere to the </w:t>
      </w:r>
      <w:r w:rsidR="008A6F3A" w:rsidRPr="00735726">
        <w:rPr>
          <w:rFonts w:ascii="Arial" w:hAnsi="Arial" w:cs="Arial"/>
          <w:sz w:val="18"/>
          <w:szCs w:val="18"/>
        </w:rPr>
        <w:t>Company’s</w:t>
      </w:r>
      <w:r w:rsidRPr="00735726">
        <w:rPr>
          <w:rFonts w:ascii="Arial" w:hAnsi="Arial" w:cs="Arial"/>
          <w:sz w:val="18"/>
          <w:szCs w:val="18"/>
        </w:rPr>
        <w:t xml:space="preserve"> strict standards of integrity and honesty will be subject to disciplinary action, up to and including dismissal from the Company. All employees are required to report any circumstances or any suspicions of fraud, bribery, corruption or other irregularities, either to a line manager or by using the </w:t>
      </w:r>
      <w:r w:rsidR="005260C6" w:rsidRPr="00735726">
        <w:rPr>
          <w:rFonts w:ascii="Arial" w:hAnsi="Arial" w:cs="Arial"/>
          <w:sz w:val="18"/>
          <w:szCs w:val="18"/>
        </w:rPr>
        <w:t>Company’s</w:t>
      </w:r>
      <w:r w:rsidRPr="00735726">
        <w:rPr>
          <w:rFonts w:ascii="Arial" w:hAnsi="Arial" w:cs="Arial"/>
          <w:sz w:val="18"/>
          <w:szCs w:val="18"/>
        </w:rPr>
        <w:t xml:space="preserve"> confidential whistleblowing service Speak Up. </w:t>
      </w:r>
    </w:p>
    <w:p w14:paraId="6C4AB888" w14:textId="0C110EFD" w:rsidR="005260C6" w:rsidRPr="00735726" w:rsidRDefault="005260C6" w:rsidP="005260C6">
      <w:pPr>
        <w:rPr>
          <w:rFonts w:ascii="Arial" w:hAnsi="Arial" w:cs="Arial"/>
          <w:sz w:val="18"/>
          <w:szCs w:val="18"/>
        </w:rPr>
      </w:pPr>
      <w:r w:rsidRPr="00735726">
        <w:rPr>
          <w:rFonts w:ascii="Arial" w:hAnsi="Arial" w:cs="Arial"/>
          <w:sz w:val="18"/>
          <w:szCs w:val="18"/>
        </w:rPr>
        <w:t>A financial crime risk assessment framework is in place and is complemented by the regular review of corporate policies relating to financial crime prevention.</w:t>
      </w:r>
    </w:p>
    <w:p w14:paraId="00487C56" w14:textId="123F300F" w:rsidR="008A6F3A" w:rsidRPr="00735726" w:rsidRDefault="008A6F3A" w:rsidP="005A5668">
      <w:pPr>
        <w:rPr>
          <w:rFonts w:ascii="Arial" w:hAnsi="Arial" w:cs="Arial"/>
          <w:sz w:val="18"/>
          <w:szCs w:val="18"/>
        </w:rPr>
      </w:pPr>
      <w:r w:rsidRPr="00735726">
        <w:rPr>
          <w:rFonts w:ascii="Arial" w:hAnsi="Arial" w:cs="Arial"/>
          <w:sz w:val="18"/>
          <w:szCs w:val="18"/>
        </w:rPr>
        <w:t>Allegations of financial crime are reported to the Audit Committee together with investigation outcomes and details of any action taken, which are disclosed to our external auditors. There were no confirmed cases of bribery, corruption, fraud, business ethics</w:t>
      </w:r>
      <w:r w:rsidR="005260C6" w:rsidRPr="00735726">
        <w:rPr>
          <w:rFonts w:ascii="Arial" w:hAnsi="Arial" w:cs="Arial"/>
          <w:sz w:val="18"/>
          <w:szCs w:val="18"/>
        </w:rPr>
        <w:t>, money laundering, insider trading, conflicts of interest or notable breaches of customer privacy data</w:t>
      </w:r>
      <w:r w:rsidRPr="00735726">
        <w:rPr>
          <w:rFonts w:ascii="Arial" w:hAnsi="Arial" w:cs="Arial"/>
          <w:sz w:val="18"/>
          <w:szCs w:val="18"/>
        </w:rPr>
        <w:t xml:space="preserve"> violations during the year.</w:t>
      </w:r>
    </w:p>
    <w:p w14:paraId="02F58E3B" w14:textId="480B38F9" w:rsidR="004F030D" w:rsidRPr="00735726" w:rsidRDefault="004F030D" w:rsidP="004F030D">
      <w:pPr>
        <w:rPr>
          <w:rFonts w:ascii="Arial" w:hAnsi="Arial" w:cs="Arial"/>
          <w:sz w:val="18"/>
          <w:szCs w:val="18"/>
        </w:rPr>
      </w:pPr>
      <w:r w:rsidRPr="00735726">
        <w:rPr>
          <w:rFonts w:ascii="Arial" w:hAnsi="Arial" w:cs="Arial"/>
          <w:i/>
          <w:iCs/>
          <w:sz w:val="18"/>
          <w:szCs w:val="18"/>
        </w:rPr>
        <w:t>TRAINING AND COMMUNICATIONS</w:t>
      </w:r>
      <w:r w:rsidRPr="00735726">
        <w:rPr>
          <w:rFonts w:ascii="Arial" w:hAnsi="Arial" w:cs="Arial"/>
          <w:i/>
          <w:iCs/>
          <w:sz w:val="18"/>
          <w:szCs w:val="18"/>
        </w:rPr>
        <w:br/>
      </w:r>
      <w:r w:rsidRPr="00735726">
        <w:rPr>
          <w:rFonts w:ascii="Arial" w:hAnsi="Arial" w:cs="Arial"/>
          <w:sz w:val="18"/>
          <w:szCs w:val="18"/>
        </w:rPr>
        <w:t xml:space="preserve">Our comprehensive programme of training and internal communications continues with targeted messaging and interactive training sessions. This programme addresses the business’s key compliance risk areas and has been designed to increase resilience, heighten awareness and promote a culture of doing the right thing. </w:t>
      </w:r>
      <w:r w:rsidR="005260C6" w:rsidRPr="00735726">
        <w:rPr>
          <w:rFonts w:ascii="Arial" w:hAnsi="Arial" w:cs="Arial"/>
          <w:sz w:val="18"/>
          <w:szCs w:val="18"/>
        </w:rPr>
        <w:t xml:space="preserve">Colleagues are required </w:t>
      </w:r>
      <w:r w:rsidRPr="00735726">
        <w:rPr>
          <w:rFonts w:ascii="Arial" w:hAnsi="Arial" w:cs="Arial"/>
          <w:sz w:val="18"/>
          <w:szCs w:val="18"/>
        </w:rPr>
        <w:t>to complete a refresher compliance training (focused on the Code of Conduct which sign posts to all Company policies) on a yearly basis to ensure that continuous knowledge and understanding of our policies are maintained.</w:t>
      </w:r>
    </w:p>
    <w:p w14:paraId="215E1C0B" w14:textId="59F15B7C" w:rsidR="004F030D" w:rsidRPr="00735726" w:rsidRDefault="004F030D" w:rsidP="004F030D">
      <w:pPr>
        <w:rPr>
          <w:rFonts w:ascii="Arial" w:hAnsi="Arial" w:cs="Arial"/>
          <w:sz w:val="18"/>
          <w:szCs w:val="18"/>
        </w:rPr>
      </w:pPr>
      <w:r w:rsidRPr="00735726">
        <w:rPr>
          <w:rFonts w:ascii="Arial" w:hAnsi="Arial" w:cs="Arial"/>
          <w:i/>
          <w:iCs/>
          <w:sz w:val="18"/>
          <w:szCs w:val="18"/>
        </w:rPr>
        <w:t xml:space="preserve">WHISTLEBLOWING POLICY </w:t>
      </w:r>
      <w:r w:rsidR="006C1BA9" w:rsidRPr="00735726">
        <w:rPr>
          <w:rFonts w:ascii="Arial" w:hAnsi="Arial" w:cs="Arial"/>
          <w:i/>
          <w:iCs/>
          <w:sz w:val="18"/>
          <w:szCs w:val="18"/>
        </w:rPr>
        <w:t xml:space="preserve">- </w:t>
      </w:r>
      <w:r w:rsidRPr="00735726">
        <w:rPr>
          <w:rFonts w:ascii="Arial" w:hAnsi="Arial" w:cs="Arial"/>
          <w:i/>
          <w:iCs/>
          <w:sz w:val="18"/>
          <w:szCs w:val="18"/>
        </w:rPr>
        <w:t>SPEAK UP</w:t>
      </w:r>
      <w:r w:rsidRPr="00735726">
        <w:rPr>
          <w:rFonts w:ascii="Arial" w:hAnsi="Arial" w:cs="Arial"/>
          <w:i/>
          <w:iCs/>
          <w:sz w:val="18"/>
          <w:szCs w:val="18"/>
        </w:rPr>
        <w:br/>
      </w:r>
      <w:r w:rsidRPr="00735726">
        <w:rPr>
          <w:rFonts w:ascii="Arial" w:hAnsi="Arial" w:cs="Arial"/>
          <w:sz w:val="18"/>
          <w:szCs w:val="18"/>
        </w:rPr>
        <w:t>The Speak Up service encourages employees</w:t>
      </w:r>
      <w:r w:rsidR="005260C6" w:rsidRPr="00735726">
        <w:rPr>
          <w:rFonts w:ascii="Arial" w:hAnsi="Arial" w:cs="Arial"/>
          <w:sz w:val="18"/>
          <w:szCs w:val="18"/>
        </w:rPr>
        <w:t xml:space="preserve"> and our suppliers</w:t>
      </w:r>
      <w:r w:rsidRPr="00735726">
        <w:rPr>
          <w:rFonts w:ascii="Arial" w:hAnsi="Arial" w:cs="Arial"/>
          <w:sz w:val="18"/>
          <w:szCs w:val="18"/>
        </w:rPr>
        <w:t xml:space="preserve"> to raise concerns about suspected wrongdoing or unlawful or unethical conduct, explains how any such concerns should be raised and ensures that employees</w:t>
      </w:r>
      <w:r w:rsidR="005260C6" w:rsidRPr="00735726">
        <w:rPr>
          <w:rFonts w:ascii="Arial" w:hAnsi="Arial" w:cs="Arial"/>
          <w:sz w:val="18"/>
          <w:szCs w:val="18"/>
        </w:rPr>
        <w:t xml:space="preserve"> and suppliers</w:t>
      </w:r>
      <w:r w:rsidRPr="00735726">
        <w:rPr>
          <w:rFonts w:ascii="Arial" w:hAnsi="Arial" w:cs="Arial"/>
          <w:sz w:val="18"/>
          <w:szCs w:val="18"/>
        </w:rPr>
        <w:t xml:space="preserve"> are able to do so without fear of reprisals. The Company’s whistleblowing policy specifically includes and encourages reporting of:</w:t>
      </w:r>
    </w:p>
    <w:p w14:paraId="326684BA"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t>Endangering someone’s health and safety</w:t>
      </w:r>
    </w:p>
    <w:p w14:paraId="21FE9CED"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t>Anything that is against the law</w:t>
      </w:r>
    </w:p>
    <w:p w14:paraId="3FD70345"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t>Stealing or fraud</w:t>
      </w:r>
    </w:p>
    <w:p w14:paraId="36A5395F"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t>Corrupt or dishonest activity</w:t>
      </w:r>
    </w:p>
    <w:p w14:paraId="7B96BA0A"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t>Damage to the environment</w:t>
      </w:r>
    </w:p>
    <w:p w14:paraId="606C0B3D"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lastRenderedPageBreak/>
        <w:t>Covering up wrongdoing</w:t>
      </w:r>
    </w:p>
    <w:p w14:paraId="2BF81BDF"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t>Abuse of authority</w:t>
      </w:r>
    </w:p>
    <w:p w14:paraId="68520563"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t>Intentionally misreporting to a regulatory body</w:t>
      </w:r>
    </w:p>
    <w:p w14:paraId="2DA59CD4"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t>Bullying, harassment and/or victimisation</w:t>
      </w:r>
    </w:p>
    <w:p w14:paraId="457E4024" w14:textId="77777777" w:rsidR="004F030D" w:rsidRPr="00735726" w:rsidRDefault="004F030D" w:rsidP="00C70952">
      <w:pPr>
        <w:pStyle w:val="ListParagraph"/>
        <w:numPr>
          <w:ilvl w:val="0"/>
          <w:numId w:val="19"/>
        </w:numPr>
        <w:rPr>
          <w:rFonts w:ascii="Arial" w:hAnsi="Arial" w:cs="Arial"/>
          <w:sz w:val="18"/>
          <w:szCs w:val="18"/>
        </w:rPr>
      </w:pPr>
      <w:r w:rsidRPr="00735726">
        <w:rPr>
          <w:rFonts w:ascii="Arial" w:hAnsi="Arial" w:cs="Arial"/>
          <w:sz w:val="18"/>
          <w:szCs w:val="18"/>
        </w:rPr>
        <w:t>Tax evasion or the facilitation of tax evasion</w:t>
      </w:r>
    </w:p>
    <w:p w14:paraId="176F77BA" w14:textId="73E0E0C6" w:rsidR="004F030D" w:rsidRPr="009A2CAE" w:rsidRDefault="004F030D" w:rsidP="00B50069">
      <w:pPr>
        <w:rPr>
          <w:rFonts w:ascii="Arial" w:hAnsi="Arial" w:cs="Arial"/>
          <w:sz w:val="18"/>
          <w:szCs w:val="18"/>
        </w:rPr>
      </w:pPr>
      <w:r w:rsidRPr="00735726">
        <w:rPr>
          <w:rFonts w:ascii="Arial" w:hAnsi="Arial" w:cs="Arial"/>
          <w:sz w:val="18"/>
          <w:szCs w:val="18"/>
        </w:rPr>
        <w:t xml:space="preserve">The Speak Up service comprises telephone and web-based reporting channels operated for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by independent provider </w:t>
      </w:r>
      <w:r w:rsidR="00B50069" w:rsidRPr="00735726">
        <w:rPr>
          <w:rFonts w:ascii="Arial" w:hAnsi="Arial" w:cs="Arial"/>
          <w:sz w:val="18"/>
          <w:szCs w:val="18"/>
        </w:rPr>
        <w:t>People in Touch B.V. trading as Speak Up.</w:t>
      </w:r>
    </w:p>
    <w:p w14:paraId="67712899" w14:textId="660D9CFF" w:rsidR="00B50069" w:rsidRPr="00735726" w:rsidRDefault="00B50069" w:rsidP="00B50069">
      <w:pPr>
        <w:rPr>
          <w:rFonts w:ascii="Arial" w:hAnsi="Arial" w:cs="Arial"/>
          <w:sz w:val="18"/>
          <w:szCs w:val="18"/>
        </w:rPr>
      </w:pPr>
      <w:r w:rsidRPr="00735726">
        <w:rPr>
          <w:rFonts w:ascii="Arial" w:hAnsi="Arial" w:cs="Arial"/>
          <w:sz w:val="18"/>
          <w:szCs w:val="18"/>
        </w:rPr>
        <w:t>The investigation process is overseen by the Ethics Management Committee and is undertaken without fear or favour and thoroughly by appropriately trained investigators, with strict confidentiality being maintained at all stages of the investigation.</w:t>
      </w:r>
    </w:p>
    <w:p w14:paraId="552FC21C" w14:textId="5309B873" w:rsidR="00B50069" w:rsidRPr="00735726" w:rsidRDefault="00B50069" w:rsidP="00B50069">
      <w:pPr>
        <w:rPr>
          <w:rFonts w:ascii="Arial" w:hAnsi="Arial" w:cs="Arial"/>
          <w:sz w:val="18"/>
          <w:szCs w:val="18"/>
        </w:rPr>
      </w:pPr>
      <w:r w:rsidRPr="00735726">
        <w:rPr>
          <w:rFonts w:ascii="Arial" w:hAnsi="Arial" w:cs="Arial"/>
          <w:sz w:val="18"/>
          <w:szCs w:val="18"/>
        </w:rPr>
        <w:t>After each investigation, a confidential review is undertaken by the Deputy General Counsel to identify any lessons learnt, or organisational improvements or training requirements.</w:t>
      </w:r>
    </w:p>
    <w:p w14:paraId="767DC7FF" w14:textId="19E9AF79" w:rsidR="00B50069" w:rsidRPr="00735726" w:rsidRDefault="00B50069" w:rsidP="00B50069">
      <w:pPr>
        <w:rPr>
          <w:rFonts w:ascii="Arial" w:hAnsi="Arial" w:cs="Arial"/>
          <w:sz w:val="18"/>
          <w:szCs w:val="18"/>
        </w:rPr>
      </w:pPr>
      <w:r w:rsidRPr="00735726">
        <w:rPr>
          <w:rFonts w:ascii="Arial" w:hAnsi="Arial" w:cs="Arial"/>
          <w:sz w:val="18"/>
          <w:szCs w:val="18"/>
        </w:rPr>
        <w:t>Other improvements identified are always acted upon, while ensuring the paramount requirement of operating a whistleblowing process that protects the identity of individuals and the independence and integrity of the process.</w:t>
      </w:r>
    </w:p>
    <w:p w14:paraId="4D305A68" w14:textId="084BF07D" w:rsidR="00B50069" w:rsidRPr="00735726" w:rsidRDefault="00B50069" w:rsidP="00B50069">
      <w:pPr>
        <w:rPr>
          <w:rFonts w:ascii="Arial" w:hAnsi="Arial" w:cs="Arial"/>
          <w:sz w:val="18"/>
          <w:szCs w:val="18"/>
        </w:rPr>
      </w:pPr>
      <w:r w:rsidRPr="00735726">
        <w:rPr>
          <w:rFonts w:ascii="Arial" w:hAnsi="Arial" w:cs="Arial"/>
          <w:sz w:val="18"/>
          <w:szCs w:val="18"/>
        </w:rPr>
        <w:t>Our whistleblowing process is designed to support our staff, reflect shared responsibility, promote a positive culture and provide unique insights, and is central to our system of checks and balances.</w:t>
      </w:r>
    </w:p>
    <w:p w14:paraId="7AFFFCE1" w14:textId="5ADA4AE7" w:rsidR="004F030D" w:rsidRPr="00735726" w:rsidRDefault="00B50069" w:rsidP="00B50069">
      <w:pPr>
        <w:rPr>
          <w:rFonts w:ascii="Arial" w:hAnsi="Arial" w:cs="Arial"/>
          <w:sz w:val="18"/>
          <w:szCs w:val="18"/>
        </w:rPr>
      </w:pPr>
      <w:r w:rsidRPr="00735726">
        <w:rPr>
          <w:rFonts w:ascii="Arial" w:hAnsi="Arial" w:cs="Arial"/>
          <w:sz w:val="18"/>
          <w:szCs w:val="18"/>
        </w:rPr>
        <w:t>To emphasise our commitment to transparency and continuous improvement, we continue to chair the Water Industry Whistleblowing Best Practice Forum consisting of 12 water and waste companies across England and Wales.</w:t>
      </w:r>
    </w:p>
    <w:p w14:paraId="49953AB9" w14:textId="4CCF6407" w:rsidR="004F030D" w:rsidRPr="00735726" w:rsidRDefault="004F030D" w:rsidP="004F030D">
      <w:pPr>
        <w:pStyle w:val="AccountsHeading"/>
        <w:spacing w:line="276" w:lineRule="auto"/>
      </w:pPr>
      <w:r w:rsidRPr="009A2CAE">
        <w:br w:type="page"/>
      </w:r>
      <w:bookmarkStart w:id="41" w:name="_Hlk201138100"/>
      <w:bookmarkEnd w:id="38"/>
      <w:r w:rsidR="00A27160" w:rsidRPr="00735726">
        <w:lastRenderedPageBreak/>
        <w:t>ESG</w:t>
      </w:r>
      <w:r w:rsidRPr="00735726">
        <w:t xml:space="preserve"> COMMITTEE REPORT</w:t>
      </w:r>
    </w:p>
    <w:p w14:paraId="7CFAB620" w14:textId="77777777" w:rsidR="004F030D" w:rsidRPr="00735726" w:rsidRDefault="004F030D" w:rsidP="004F030D">
      <w:pPr>
        <w:pStyle w:val="Headinglevel4"/>
        <w:spacing w:line="360" w:lineRule="auto"/>
        <w:outlineLvl w:val="0"/>
        <w:rPr>
          <w:rFonts w:eastAsiaTheme="minorHAnsi"/>
          <w:b w:val="0"/>
          <w:bCs w:val="0"/>
          <w:caps w:val="0"/>
          <w:color w:val="auto"/>
        </w:rPr>
      </w:pPr>
    </w:p>
    <w:p w14:paraId="733BE6D3" w14:textId="584955CA" w:rsidR="005B3558" w:rsidRPr="00735726" w:rsidRDefault="005B3558" w:rsidP="005B3558">
      <w:pPr>
        <w:spacing w:after="0"/>
        <w:rPr>
          <w:rFonts w:ascii="Arial" w:hAnsi="Arial" w:cs="Arial"/>
          <w:sz w:val="18"/>
          <w:szCs w:val="18"/>
        </w:rPr>
      </w:pPr>
      <w:r w:rsidRPr="00735726">
        <w:rPr>
          <w:rFonts w:ascii="Arial" w:hAnsi="Arial" w:cs="Arial"/>
          <w:sz w:val="18"/>
          <w:szCs w:val="18"/>
        </w:rPr>
        <w:t xml:space="preserve">The ESG committee (the </w:t>
      </w:r>
      <w:r w:rsidR="008A3EB6" w:rsidRPr="00735726">
        <w:rPr>
          <w:rFonts w:ascii="Arial" w:hAnsi="Arial" w:cs="Arial"/>
          <w:sz w:val="18"/>
          <w:szCs w:val="18"/>
        </w:rPr>
        <w:t>C</w:t>
      </w:r>
      <w:r w:rsidRPr="00735726">
        <w:rPr>
          <w:rFonts w:ascii="Arial" w:hAnsi="Arial" w:cs="Arial"/>
          <w:sz w:val="18"/>
          <w:szCs w:val="18"/>
        </w:rPr>
        <w:t xml:space="preserve">ommittee) supports the company’s ongoing commitment to environmental stewardship, social responsibility, and strong governance, ensuring that sustainability remains embedded across the company. </w:t>
      </w:r>
    </w:p>
    <w:p w14:paraId="39DBBD95" w14:textId="77777777" w:rsidR="005B3558" w:rsidRPr="009A2CAE" w:rsidRDefault="005B3558" w:rsidP="005B3558">
      <w:pPr>
        <w:spacing w:after="0"/>
        <w:rPr>
          <w:rFonts w:ascii="Arial" w:hAnsi="Arial" w:cs="Arial"/>
          <w:sz w:val="18"/>
          <w:szCs w:val="1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2"/>
        <w:gridCol w:w="2691"/>
        <w:gridCol w:w="1275"/>
      </w:tblGrid>
      <w:tr w:rsidR="00CB32CE" w:rsidRPr="00735726" w14:paraId="5E6FC830" w14:textId="77777777" w:rsidTr="00881565">
        <w:trPr>
          <w:trHeight w:val="295"/>
          <w:tblHeader/>
        </w:trPr>
        <w:tc>
          <w:tcPr>
            <w:tcW w:w="3402"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19244E85" w14:textId="37268A6C" w:rsidR="00CB32CE" w:rsidRPr="00735726" w:rsidRDefault="00CB32CE" w:rsidP="00CB32CE">
            <w:pPr>
              <w:pStyle w:val="03body"/>
              <w:spacing w:line="360" w:lineRule="auto"/>
              <w:rPr>
                <w:b/>
              </w:rPr>
            </w:pPr>
            <w:r w:rsidRPr="00735726">
              <w:rPr>
                <w:b/>
              </w:rPr>
              <w:t>Membership</w:t>
            </w:r>
          </w:p>
        </w:tc>
        <w:tc>
          <w:tcPr>
            <w:tcW w:w="2691"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20E502CF" w14:textId="7A7B108E" w:rsidR="00CB32CE" w:rsidRPr="00735726" w:rsidRDefault="00CB32CE" w:rsidP="00CB32CE">
            <w:pPr>
              <w:pStyle w:val="03body"/>
              <w:spacing w:line="360" w:lineRule="auto"/>
              <w:rPr>
                <w:b/>
              </w:rPr>
            </w:pPr>
            <w:r w:rsidRPr="00735726">
              <w:rPr>
                <w:b/>
              </w:rPr>
              <w:t>Role</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0CA98569" w14:textId="0162001A" w:rsidR="00CB32CE" w:rsidRPr="00735726" w:rsidRDefault="00CB32CE" w:rsidP="00CB32CE">
            <w:pPr>
              <w:pStyle w:val="03body"/>
              <w:spacing w:line="360" w:lineRule="auto"/>
              <w:rPr>
                <w:b/>
              </w:rPr>
            </w:pPr>
            <w:r w:rsidRPr="00735726">
              <w:rPr>
                <w:b/>
              </w:rPr>
              <w:t>Attendance</w:t>
            </w:r>
          </w:p>
        </w:tc>
      </w:tr>
      <w:tr w:rsidR="005B3558" w:rsidRPr="00735726" w14:paraId="18E58D3E"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hideMark/>
          </w:tcPr>
          <w:p w14:paraId="015FB860" w14:textId="29EFD73B" w:rsidR="005B3558" w:rsidRPr="00735726" w:rsidRDefault="002764E9" w:rsidP="005B3558">
            <w:pPr>
              <w:pStyle w:val="03body"/>
              <w:spacing w:line="360" w:lineRule="auto"/>
              <w:rPr>
                <w:b/>
                <w:bCs/>
                <w:color w:val="auto"/>
              </w:rPr>
            </w:pPr>
            <w:r w:rsidRPr="00735726">
              <w:rPr>
                <w:rFonts w:cs="Arial"/>
                <w:b/>
                <w:bCs/>
                <w:color w:val="auto"/>
              </w:rPr>
              <w:t>Dorothy Burwell</w:t>
            </w:r>
          </w:p>
        </w:tc>
        <w:tc>
          <w:tcPr>
            <w:tcW w:w="2691" w:type="dxa"/>
            <w:tcBorders>
              <w:top w:val="single" w:sz="4" w:space="0" w:color="auto"/>
              <w:left w:val="single" w:sz="4" w:space="0" w:color="auto"/>
              <w:bottom w:val="single" w:sz="4" w:space="0" w:color="auto"/>
              <w:right w:val="single" w:sz="4" w:space="0" w:color="auto"/>
            </w:tcBorders>
            <w:hideMark/>
          </w:tcPr>
          <w:p w14:paraId="5030F3AC" w14:textId="7E572C98" w:rsidR="005B3558" w:rsidRPr="00735726" w:rsidRDefault="005B3558" w:rsidP="005B3558">
            <w:pPr>
              <w:pStyle w:val="03body"/>
              <w:spacing w:line="240" w:lineRule="auto"/>
              <w:rPr>
                <w:color w:val="auto"/>
              </w:rPr>
            </w:pPr>
            <w:r w:rsidRPr="00735726">
              <w:rPr>
                <w:color w:val="auto"/>
              </w:rPr>
              <w:t>Chair</w:t>
            </w:r>
          </w:p>
        </w:tc>
        <w:tc>
          <w:tcPr>
            <w:tcW w:w="1275" w:type="dxa"/>
            <w:tcBorders>
              <w:top w:val="single" w:sz="4" w:space="0" w:color="auto"/>
              <w:left w:val="single" w:sz="4" w:space="0" w:color="auto"/>
              <w:bottom w:val="single" w:sz="4" w:space="0" w:color="auto"/>
              <w:right w:val="single" w:sz="4" w:space="0" w:color="auto"/>
            </w:tcBorders>
          </w:tcPr>
          <w:p w14:paraId="0100DB31" w14:textId="0F5E0CBB" w:rsidR="005B3558" w:rsidRPr="00735726" w:rsidRDefault="00934169" w:rsidP="005B3558">
            <w:pPr>
              <w:pStyle w:val="03body"/>
              <w:spacing w:line="360" w:lineRule="auto"/>
              <w:rPr>
                <w:color w:val="auto"/>
              </w:rPr>
            </w:pPr>
            <w:r w:rsidRPr="00735726">
              <w:rPr>
                <w:color w:val="auto"/>
              </w:rPr>
              <w:t>4</w:t>
            </w:r>
            <w:r w:rsidR="002764E9" w:rsidRPr="00735726">
              <w:rPr>
                <w:color w:val="auto"/>
              </w:rPr>
              <w:t>/4</w:t>
            </w:r>
          </w:p>
        </w:tc>
      </w:tr>
      <w:tr w:rsidR="002764E9" w:rsidRPr="00735726" w14:paraId="07215FC3"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tcPr>
          <w:p w14:paraId="39683DF8" w14:textId="4CD49530" w:rsidR="002764E9" w:rsidRPr="00735726" w:rsidRDefault="002764E9" w:rsidP="002764E9">
            <w:pPr>
              <w:pStyle w:val="03body"/>
              <w:spacing w:line="360" w:lineRule="auto"/>
              <w:rPr>
                <w:color w:val="auto"/>
              </w:rPr>
            </w:pPr>
            <w:r w:rsidRPr="00735726">
              <w:rPr>
                <w:rFonts w:cs="Arial"/>
                <w:color w:val="auto"/>
              </w:rPr>
              <w:t>Jon Butterworth</w:t>
            </w:r>
          </w:p>
        </w:tc>
        <w:tc>
          <w:tcPr>
            <w:tcW w:w="2691" w:type="dxa"/>
            <w:tcBorders>
              <w:top w:val="single" w:sz="4" w:space="0" w:color="auto"/>
              <w:left w:val="single" w:sz="4" w:space="0" w:color="auto"/>
              <w:bottom w:val="single" w:sz="4" w:space="0" w:color="auto"/>
              <w:right w:val="single" w:sz="4" w:space="0" w:color="auto"/>
            </w:tcBorders>
          </w:tcPr>
          <w:p w14:paraId="6F1E2C25" w14:textId="7E65AD5D" w:rsidR="002764E9" w:rsidRPr="00735726" w:rsidRDefault="002764E9" w:rsidP="002764E9">
            <w:pPr>
              <w:pStyle w:val="03body"/>
              <w:spacing w:line="240" w:lineRule="auto"/>
              <w:rPr>
                <w:color w:val="auto"/>
              </w:rPr>
            </w:pPr>
            <w:r w:rsidRPr="00735726">
              <w:rPr>
                <w:color w:val="auto"/>
              </w:rPr>
              <w:t>Non-Executive Director</w:t>
            </w:r>
          </w:p>
        </w:tc>
        <w:tc>
          <w:tcPr>
            <w:tcW w:w="1275" w:type="dxa"/>
            <w:tcBorders>
              <w:top w:val="single" w:sz="4" w:space="0" w:color="auto"/>
              <w:left w:val="single" w:sz="4" w:space="0" w:color="auto"/>
              <w:bottom w:val="single" w:sz="4" w:space="0" w:color="auto"/>
              <w:right w:val="single" w:sz="4" w:space="0" w:color="auto"/>
            </w:tcBorders>
          </w:tcPr>
          <w:p w14:paraId="73906FE3" w14:textId="63D4C83A" w:rsidR="002764E9" w:rsidRPr="00735726" w:rsidRDefault="002764E9" w:rsidP="002764E9">
            <w:pPr>
              <w:pStyle w:val="03body"/>
              <w:spacing w:line="360" w:lineRule="auto"/>
              <w:rPr>
                <w:color w:val="auto"/>
              </w:rPr>
            </w:pPr>
            <w:r w:rsidRPr="00735726">
              <w:rPr>
                <w:color w:val="auto"/>
              </w:rPr>
              <w:t>3/4</w:t>
            </w:r>
          </w:p>
        </w:tc>
      </w:tr>
      <w:tr w:rsidR="002764E9" w:rsidRPr="00735726" w14:paraId="7ED9DA5B"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tcPr>
          <w:p w14:paraId="26637EE7" w14:textId="4ACC7198" w:rsidR="002764E9" w:rsidRPr="00735726" w:rsidRDefault="002764E9" w:rsidP="002764E9">
            <w:pPr>
              <w:pStyle w:val="03body"/>
              <w:spacing w:line="360" w:lineRule="auto"/>
              <w:rPr>
                <w:color w:val="auto"/>
              </w:rPr>
            </w:pPr>
            <w:r w:rsidRPr="00735726">
              <w:rPr>
                <w:rFonts w:cs="Arial"/>
                <w:color w:val="auto"/>
              </w:rPr>
              <w:t>Laura Flowerdew</w:t>
            </w:r>
          </w:p>
        </w:tc>
        <w:tc>
          <w:tcPr>
            <w:tcW w:w="2691" w:type="dxa"/>
            <w:tcBorders>
              <w:top w:val="single" w:sz="4" w:space="0" w:color="auto"/>
              <w:left w:val="single" w:sz="4" w:space="0" w:color="auto"/>
              <w:bottom w:val="single" w:sz="4" w:space="0" w:color="auto"/>
              <w:right w:val="single" w:sz="4" w:space="0" w:color="auto"/>
            </w:tcBorders>
          </w:tcPr>
          <w:p w14:paraId="52082D32" w14:textId="202EA66B" w:rsidR="002764E9" w:rsidRPr="00735726" w:rsidRDefault="002764E9" w:rsidP="002764E9">
            <w:pPr>
              <w:pStyle w:val="03body"/>
              <w:spacing w:line="240" w:lineRule="auto"/>
              <w:rPr>
                <w:color w:val="auto"/>
              </w:rPr>
            </w:pPr>
            <w:r w:rsidRPr="00735726">
              <w:rPr>
                <w:color w:val="auto"/>
              </w:rPr>
              <w:t>Chief Finance Officer</w:t>
            </w:r>
          </w:p>
        </w:tc>
        <w:tc>
          <w:tcPr>
            <w:tcW w:w="1275" w:type="dxa"/>
            <w:tcBorders>
              <w:top w:val="single" w:sz="4" w:space="0" w:color="auto"/>
              <w:left w:val="single" w:sz="4" w:space="0" w:color="auto"/>
              <w:bottom w:val="single" w:sz="4" w:space="0" w:color="auto"/>
              <w:right w:val="single" w:sz="4" w:space="0" w:color="auto"/>
            </w:tcBorders>
          </w:tcPr>
          <w:p w14:paraId="1EBAC9BB" w14:textId="4C91911A" w:rsidR="002764E9" w:rsidRPr="00735726" w:rsidRDefault="002764E9" w:rsidP="002764E9">
            <w:pPr>
              <w:pStyle w:val="03body"/>
              <w:spacing w:line="360" w:lineRule="auto"/>
              <w:rPr>
                <w:color w:val="auto"/>
              </w:rPr>
            </w:pPr>
            <w:r w:rsidRPr="00735726">
              <w:rPr>
                <w:color w:val="auto"/>
              </w:rPr>
              <w:t>4/4</w:t>
            </w:r>
          </w:p>
        </w:tc>
      </w:tr>
      <w:tr w:rsidR="005B3558" w:rsidRPr="00735726" w14:paraId="3BF53819" w14:textId="77777777" w:rsidTr="00881565">
        <w:trPr>
          <w:trHeight w:val="226"/>
        </w:trPr>
        <w:tc>
          <w:tcPr>
            <w:tcW w:w="3402" w:type="dxa"/>
            <w:tcBorders>
              <w:top w:val="single" w:sz="4" w:space="0" w:color="auto"/>
              <w:left w:val="single" w:sz="4" w:space="0" w:color="auto"/>
              <w:bottom w:val="single" w:sz="4" w:space="0" w:color="auto"/>
              <w:right w:val="single" w:sz="4" w:space="0" w:color="auto"/>
            </w:tcBorders>
          </w:tcPr>
          <w:p w14:paraId="069AC395" w14:textId="291384C7" w:rsidR="005B3558" w:rsidRPr="00735726" w:rsidRDefault="002764E9" w:rsidP="005B3558">
            <w:pPr>
              <w:pStyle w:val="03body"/>
              <w:spacing w:line="360" w:lineRule="auto"/>
              <w:rPr>
                <w:color w:val="auto"/>
              </w:rPr>
            </w:pPr>
            <w:r w:rsidRPr="00735726">
              <w:rPr>
                <w:color w:val="auto"/>
              </w:rPr>
              <w:t>Loraine Woodhouse</w:t>
            </w:r>
          </w:p>
        </w:tc>
        <w:tc>
          <w:tcPr>
            <w:tcW w:w="2691" w:type="dxa"/>
            <w:tcBorders>
              <w:top w:val="single" w:sz="4" w:space="0" w:color="auto"/>
              <w:left w:val="single" w:sz="4" w:space="0" w:color="auto"/>
              <w:bottom w:val="single" w:sz="4" w:space="0" w:color="auto"/>
              <w:right w:val="single" w:sz="4" w:space="0" w:color="auto"/>
            </w:tcBorders>
          </w:tcPr>
          <w:p w14:paraId="7A4DDB9B" w14:textId="1DB8B642" w:rsidR="005B3558" w:rsidRPr="00735726" w:rsidRDefault="002764E9" w:rsidP="005B3558">
            <w:pPr>
              <w:pStyle w:val="03body"/>
              <w:spacing w:line="240" w:lineRule="auto"/>
              <w:rPr>
                <w:color w:val="auto"/>
              </w:rPr>
            </w:pPr>
            <w:r w:rsidRPr="00735726">
              <w:rPr>
                <w:color w:val="auto"/>
              </w:rPr>
              <w:t>Non-Executive Director</w:t>
            </w:r>
          </w:p>
        </w:tc>
        <w:tc>
          <w:tcPr>
            <w:tcW w:w="1275" w:type="dxa"/>
            <w:tcBorders>
              <w:top w:val="single" w:sz="4" w:space="0" w:color="auto"/>
              <w:left w:val="single" w:sz="4" w:space="0" w:color="auto"/>
              <w:bottom w:val="single" w:sz="4" w:space="0" w:color="auto"/>
              <w:right w:val="single" w:sz="4" w:space="0" w:color="auto"/>
            </w:tcBorders>
          </w:tcPr>
          <w:p w14:paraId="17EEB728" w14:textId="0215E7BF" w:rsidR="005B3558" w:rsidRPr="00735726" w:rsidRDefault="002764E9" w:rsidP="005B3558">
            <w:pPr>
              <w:pStyle w:val="03body"/>
              <w:spacing w:line="360" w:lineRule="auto"/>
              <w:rPr>
                <w:color w:val="auto"/>
              </w:rPr>
            </w:pPr>
            <w:r w:rsidRPr="00735726">
              <w:rPr>
                <w:color w:val="auto"/>
              </w:rPr>
              <w:t>4/4</w:t>
            </w:r>
          </w:p>
        </w:tc>
      </w:tr>
      <w:tr w:rsidR="007E2E14" w:rsidRPr="00735726" w14:paraId="57599A5B" w14:textId="77777777" w:rsidTr="008669EE">
        <w:trPr>
          <w:trHeight w:val="70"/>
        </w:trPr>
        <w:tc>
          <w:tcPr>
            <w:tcW w:w="3402" w:type="dxa"/>
            <w:tcBorders>
              <w:top w:val="single" w:sz="4" w:space="0" w:color="auto"/>
              <w:left w:val="single" w:sz="4" w:space="0" w:color="auto"/>
              <w:bottom w:val="single" w:sz="4" w:space="0" w:color="auto"/>
              <w:right w:val="single" w:sz="4" w:space="0" w:color="auto"/>
            </w:tcBorders>
          </w:tcPr>
          <w:p w14:paraId="51EC79C7" w14:textId="6BFCDB21" w:rsidR="007E2E14" w:rsidRPr="00735726" w:rsidRDefault="007E2E14" w:rsidP="005B3558">
            <w:pPr>
              <w:pStyle w:val="03body"/>
              <w:spacing w:line="360" w:lineRule="auto"/>
              <w:rPr>
                <w:rFonts w:cs="Arial"/>
                <w:color w:val="auto"/>
                <w:vertAlign w:val="superscript"/>
              </w:rPr>
            </w:pPr>
            <w:r w:rsidRPr="00735726">
              <w:rPr>
                <w:rFonts w:cs="Arial"/>
                <w:color w:val="auto"/>
              </w:rPr>
              <w:t>Susan Davy</w:t>
            </w:r>
            <w:r w:rsidR="002764E9" w:rsidRPr="00735726">
              <w:rPr>
                <w:rFonts w:cs="Arial"/>
                <w:color w:val="auto"/>
                <w:vertAlign w:val="superscript"/>
              </w:rPr>
              <w:t>1</w:t>
            </w:r>
          </w:p>
        </w:tc>
        <w:tc>
          <w:tcPr>
            <w:tcW w:w="2691" w:type="dxa"/>
            <w:tcBorders>
              <w:top w:val="single" w:sz="4" w:space="0" w:color="auto"/>
              <w:left w:val="single" w:sz="4" w:space="0" w:color="auto"/>
              <w:bottom w:val="single" w:sz="4" w:space="0" w:color="auto"/>
              <w:right w:val="single" w:sz="4" w:space="0" w:color="auto"/>
            </w:tcBorders>
          </w:tcPr>
          <w:p w14:paraId="7808B74F" w14:textId="5E6F8323" w:rsidR="007E2E14" w:rsidRPr="00735726" w:rsidRDefault="007E2E14" w:rsidP="005B3558">
            <w:pPr>
              <w:pStyle w:val="03body"/>
              <w:spacing w:line="240" w:lineRule="auto"/>
              <w:rPr>
                <w:color w:val="auto"/>
              </w:rPr>
            </w:pPr>
            <w:r w:rsidRPr="00735726">
              <w:rPr>
                <w:color w:val="auto"/>
              </w:rPr>
              <w:t>Chief Executive Officer</w:t>
            </w:r>
          </w:p>
        </w:tc>
        <w:tc>
          <w:tcPr>
            <w:tcW w:w="1275" w:type="dxa"/>
            <w:tcBorders>
              <w:top w:val="single" w:sz="4" w:space="0" w:color="auto"/>
              <w:left w:val="single" w:sz="4" w:space="0" w:color="auto"/>
              <w:bottom w:val="single" w:sz="4" w:space="0" w:color="auto"/>
              <w:right w:val="single" w:sz="4" w:space="0" w:color="auto"/>
            </w:tcBorders>
          </w:tcPr>
          <w:p w14:paraId="016D40BF" w14:textId="1C99AE80" w:rsidR="007E2E14" w:rsidRPr="00735726" w:rsidRDefault="002764E9" w:rsidP="005B3558">
            <w:pPr>
              <w:pStyle w:val="03body"/>
              <w:spacing w:line="360" w:lineRule="auto"/>
              <w:rPr>
                <w:color w:val="auto"/>
              </w:rPr>
            </w:pPr>
            <w:r w:rsidRPr="00735726">
              <w:rPr>
                <w:color w:val="auto"/>
              </w:rPr>
              <w:t>3/3</w:t>
            </w:r>
          </w:p>
        </w:tc>
      </w:tr>
    </w:tbl>
    <w:p w14:paraId="7B9D0FAD" w14:textId="08495052" w:rsidR="004F030D" w:rsidRPr="00735726" w:rsidRDefault="005B3558" w:rsidP="00D636C2">
      <w:pPr>
        <w:pStyle w:val="ListParagraph"/>
        <w:numPr>
          <w:ilvl w:val="0"/>
          <w:numId w:val="127"/>
        </w:numPr>
        <w:rPr>
          <w:rFonts w:ascii="Arial" w:hAnsi="Arial" w:cs="Arial"/>
          <w:sz w:val="14"/>
          <w:szCs w:val="14"/>
        </w:rPr>
      </w:pPr>
      <w:r w:rsidRPr="00735726">
        <w:rPr>
          <w:rFonts w:ascii="Arial" w:hAnsi="Arial" w:cs="Arial"/>
          <w:sz w:val="14"/>
          <w:szCs w:val="14"/>
        </w:rPr>
        <w:t xml:space="preserve">Resigned </w:t>
      </w:r>
      <w:r w:rsidR="00B4042D" w:rsidRPr="00735726">
        <w:rPr>
          <w:rFonts w:ascii="Arial" w:hAnsi="Arial" w:cs="Arial"/>
          <w:sz w:val="14"/>
          <w:szCs w:val="14"/>
        </w:rPr>
        <w:t>31 December 2025</w:t>
      </w:r>
    </w:p>
    <w:p w14:paraId="087ABB58" w14:textId="0A1147C9" w:rsidR="00B4042D" w:rsidRPr="00735726" w:rsidRDefault="00B4042D" w:rsidP="00B4042D">
      <w:pPr>
        <w:spacing w:after="0"/>
        <w:rPr>
          <w:rFonts w:ascii="Arial" w:hAnsi="Arial" w:cs="Arial"/>
          <w:sz w:val="18"/>
          <w:szCs w:val="18"/>
        </w:rPr>
      </w:pPr>
      <w:r w:rsidRPr="00735726">
        <w:rPr>
          <w:rFonts w:ascii="Arial" w:hAnsi="Arial" w:cs="Arial"/>
          <w:sz w:val="18"/>
          <w:szCs w:val="18"/>
        </w:rPr>
        <w:t xml:space="preserve">Keith Haslett became a member of the ESG Committee effective </w:t>
      </w:r>
      <w:r w:rsidR="007850CE" w:rsidRPr="00735726">
        <w:rPr>
          <w:rFonts w:ascii="Arial" w:hAnsi="Arial" w:cs="Arial"/>
          <w:sz w:val="18"/>
          <w:szCs w:val="18"/>
        </w:rPr>
        <w:t>19 May</w:t>
      </w:r>
      <w:r w:rsidRPr="00735726">
        <w:rPr>
          <w:rFonts w:ascii="Arial" w:hAnsi="Arial" w:cs="Arial"/>
          <w:sz w:val="18"/>
          <w:szCs w:val="18"/>
        </w:rPr>
        <w:t xml:space="preserve"> 2026.</w:t>
      </w:r>
    </w:p>
    <w:p w14:paraId="536F599B" w14:textId="1D935ACA" w:rsidR="004F030D" w:rsidRPr="00735726" w:rsidRDefault="008669EE" w:rsidP="005A5668">
      <w:pPr>
        <w:rPr>
          <w:rFonts w:ascii="Arial" w:hAnsi="Arial" w:cs="Arial"/>
          <w:i/>
          <w:iCs/>
          <w:sz w:val="18"/>
          <w:szCs w:val="18"/>
        </w:rPr>
      </w:pPr>
      <w:r w:rsidRPr="00735726">
        <w:rPr>
          <w:rFonts w:ascii="Arial" w:hAnsi="Arial" w:cs="Arial"/>
          <w:i/>
          <w:iCs/>
          <w:sz w:val="18"/>
          <w:szCs w:val="18"/>
        </w:rPr>
        <w:br/>
      </w:r>
      <w:r w:rsidR="004F030D" w:rsidRPr="00735726">
        <w:rPr>
          <w:rFonts w:ascii="Arial" w:hAnsi="Arial" w:cs="Arial"/>
          <w:i/>
          <w:iCs/>
          <w:sz w:val="18"/>
          <w:szCs w:val="18"/>
        </w:rPr>
        <w:t>ROLE OF THE ESG COMMITTEE</w:t>
      </w:r>
    </w:p>
    <w:p w14:paraId="2089E048" w14:textId="65EF0A05" w:rsidR="009A1327" w:rsidRPr="00735726" w:rsidRDefault="009A1327" w:rsidP="009A1327">
      <w:pPr>
        <w:rPr>
          <w:rFonts w:ascii="Arial" w:hAnsi="Arial" w:cs="Arial"/>
          <w:sz w:val="18"/>
          <w:szCs w:val="18"/>
        </w:rPr>
      </w:pPr>
      <w:r w:rsidRPr="00735726">
        <w:rPr>
          <w:rFonts w:ascii="Arial" w:hAnsi="Arial" w:cs="Arial"/>
          <w:sz w:val="18"/>
          <w:szCs w:val="18"/>
        </w:rPr>
        <w:t>The ESG Committee supports the Board in overseeing the Company’s Environmental, Social and Governance (ESG) strategy, performance and disclosures, ensuring sustainability considerations are embedded across the business.</w:t>
      </w:r>
    </w:p>
    <w:p w14:paraId="0D304090" w14:textId="23DD5D5F" w:rsidR="009A1327" w:rsidRPr="00735726" w:rsidRDefault="009A1327" w:rsidP="00646F4F">
      <w:pPr>
        <w:pStyle w:val="ListParagraph"/>
        <w:numPr>
          <w:ilvl w:val="0"/>
          <w:numId w:val="103"/>
        </w:numPr>
        <w:rPr>
          <w:rFonts w:ascii="Arial" w:hAnsi="Arial" w:cs="Arial"/>
          <w:sz w:val="18"/>
          <w:szCs w:val="18"/>
        </w:rPr>
      </w:pPr>
      <w:r w:rsidRPr="00735726">
        <w:rPr>
          <w:rFonts w:ascii="Arial" w:hAnsi="Arial" w:cs="Arial"/>
          <w:sz w:val="18"/>
          <w:szCs w:val="18"/>
        </w:rPr>
        <w:t>Review the policies, management, initiatives and performance of the Company with respect to environmental, social and governance matters, including climate</w:t>
      </w:r>
      <w:r w:rsidRPr="00735726">
        <w:rPr>
          <w:rFonts w:ascii="Cambria Math" w:hAnsi="Cambria Math" w:cs="Cambria Math"/>
          <w:sz w:val="18"/>
          <w:szCs w:val="18"/>
        </w:rPr>
        <w:t>‑</w:t>
      </w:r>
      <w:r w:rsidRPr="00735726">
        <w:rPr>
          <w:rFonts w:ascii="Arial" w:hAnsi="Arial" w:cs="Arial"/>
          <w:sz w:val="18"/>
          <w:szCs w:val="18"/>
        </w:rPr>
        <w:t>related and nature</w:t>
      </w:r>
      <w:r w:rsidRPr="00735726">
        <w:rPr>
          <w:rFonts w:ascii="Cambria Math" w:hAnsi="Cambria Math" w:cs="Cambria Math"/>
          <w:sz w:val="18"/>
          <w:szCs w:val="18"/>
        </w:rPr>
        <w:t>‑</w:t>
      </w:r>
      <w:r w:rsidRPr="00735726">
        <w:rPr>
          <w:rFonts w:ascii="Arial" w:hAnsi="Arial" w:cs="Arial"/>
          <w:sz w:val="18"/>
          <w:szCs w:val="18"/>
        </w:rPr>
        <w:t>related risks and opportunities.</w:t>
      </w:r>
    </w:p>
    <w:p w14:paraId="62B14571" w14:textId="77777777" w:rsidR="009A1327" w:rsidRPr="00735726" w:rsidRDefault="009A1327" w:rsidP="00646F4F">
      <w:pPr>
        <w:pStyle w:val="ListParagraph"/>
        <w:numPr>
          <w:ilvl w:val="0"/>
          <w:numId w:val="103"/>
        </w:numPr>
        <w:rPr>
          <w:rFonts w:ascii="Arial" w:hAnsi="Arial" w:cs="Arial"/>
          <w:sz w:val="18"/>
          <w:szCs w:val="18"/>
        </w:rPr>
      </w:pPr>
      <w:r w:rsidRPr="00735726">
        <w:rPr>
          <w:rFonts w:ascii="Arial" w:hAnsi="Arial" w:cs="Arial"/>
          <w:sz w:val="18"/>
          <w:szCs w:val="18"/>
        </w:rPr>
        <w:t>Review the overarching environmental performance of the business, including progress against ESG targets, climate transition plans and environmental improvement programmes, ensuring a focus on key areas of improvement.</w:t>
      </w:r>
    </w:p>
    <w:p w14:paraId="7DDD86EE" w14:textId="671AF761" w:rsidR="009A1327" w:rsidRPr="00735726" w:rsidRDefault="009A1327" w:rsidP="00646F4F">
      <w:pPr>
        <w:pStyle w:val="ListParagraph"/>
        <w:numPr>
          <w:ilvl w:val="0"/>
          <w:numId w:val="103"/>
        </w:numPr>
        <w:rPr>
          <w:rFonts w:ascii="Arial" w:hAnsi="Arial" w:cs="Arial"/>
          <w:sz w:val="18"/>
          <w:szCs w:val="18"/>
        </w:rPr>
      </w:pPr>
      <w:r w:rsidRPr="00735726">
        <w:rPr>
          <w:rFonts w:ascii="Arial" w:hAnsi="Arial" w:cs="Arial"/>
          <w:sz w:val="18"/>
          <w:szCs w:val="18"/>
        </w:rPr>
        <w:t>Review the actions of the Company to determine the suitability of environmental and social policies and practices, including those of key suppliers and contractors.</w:t>
      </w:r>
    </w:p>
    <w:p w14:paraId="3E4DC005" w14:textId="51880D21" w:rsidR="009A1327" w:rsidRPr="00735726" w:rsidRDefault="009A1327" w:rsidP="00646F4F">
      <w:pPr>
        <w:pStyle w:val="ListParagraph"/>
        <w:numPr>
          <w:ilvl w:val="0"/>
          <w:numId w:val="103"/>
        </w:numPr>
        <w:rPr>
          <w:rFonts w:ascii="Arial" w:hAnsi="Arial" w:cs="Arial"/>
          <w:sz w:val="18"/>
          <w:szCs w:val="18"/>
        </w:rPr>
      </w:pPr>
      <w:r w:rsidRPr="00735726">
        <w:rPr>
          <w:rFonts w:ascii="Arial" w:hAnsi="Arial" w:cs="Arial"/>
          <w:sz w:val="18"/>
          <w:szCs w:val="18"/>
        </w:rPr>
        <w:t>Monitor workforce, culture, customer and community matters, including employee engagement and wellbeing, diversity and inclusion, customer service and support for vulnerable customers.</w:t>
      </w:r>
    </w:p>
    <w:p w14:paraId="49345EAB" w14:textId="04A3CF0C" w:rsidR="009A1327" w:rsidRPr="00735726" w:rsidRDefault="009A1327" w:rsidP="00646F4F">
      <w:pPr>
        <w:pStyle w:val="ListParagraph"/>
        <w:numPr>
          <w:ilvl w:val="0"/>
          <w:numId w:val="103"/>
        </w:numPr>
        <w:rPr>
          <w:rFonts w:ascii="Arial" w:hAnsi="Arial" w:cs="Arial"/>
          <w:sz w:val="18"/>
          <w:szCs w:val="18"/>
        </w:rPr>
      </w:pPr>
      <w:r w:rsidRPr="00735726">
        <w:rPr>
          <w:rFonts w:ascii="Arial" w:hAnsi="Arial" w:cs="Arial"/>
          <w:sz w:val="18"/>
          <w:szCs w:val="18"/>
        </w:rPr>
        <w:t>Review the extent and effectiveness of the Company’s ESG reporting and assurance and its participation in relevant external benchmarking assessments.</w:t>
      </w:r>
    </w:p>
    <w:p w14:paraId="1938FCBB" w14:textId="714B472E" w:rsidR="005B3558" w:rsidRPr="00735726" w:rsidRDefault="009A1327" w:rsidP="00646F4F">
      <w:pPr>
        <w:pStyle w:val="ListParagraph"/>
        <w:numPr>
          <w:ilvl w:val="0"/>
          <w:numId w:val="103"/>
        </w:numPr>
        <w:rPr>
          <w:rFonts w:ascii="Arial" w:hAnsi="Arial" w:cs="Arial"/>
          <w:sz w:val="18"/>
          <w:szCs w:val="18"/>
        </w:rPr>
      </w:pPr>
      <w:r w:rsidRPr="00735726">
        <w:rPr>
          <w:rFonts w:ascii="Arial" w:hAnsi="Arial" w:cs="Arial"/>
          <w:sz w:val="18"/>
          <w:szCs w:val="18"/>
        </w:rPr>
        <w:t>Regularly report to the Board and advise the Audit Committee of any material non</w:t>
      </w:r>
      <w:r w:rsidRPr="00735726">
        <w:rPr>
          <w:rFonts w:ascii="Cambria Math" w:hAnsi="Cambria Math" w:cs="Cambria Math"/>
          <w:sz w:val="18"/>
          <w:szCs w:val="18"/>
        </w:rPr>
        <w:t>‑</w:t>
      </w:r>
      <w:r w:rsidRPr="00735726">
        <w:rPr>
          <w:rFonts w:ascii="Arial" w:hAnsi="Arial" w:cs="Arial"/>
          <w:sz w:val="18"/>
          <w:szCs w:val="18"/>
        </w:rPr>
        <w:t>financial risks.</w:t>
      </w:r>
    </w:p>
    <w:p w14:paraId="5D06624C" w14:textId="77777777" w:rsidR="009A1327" w:rsidRPr="00735726" w:rsidRDefault="009A1327" w:rsidP="009A1327">
      <w:pPr>
        <w:pStyle w:val="ListParagraph"/>
        <w:spacing w:after="0"/>
        <w:rPr>
          <w:rFonts w:ascii="Arial" w:hAnsi="Arial" w:cs="Arial"/>
          <w:sz w:val="18"/>
          <w:szCs w:val="18"/>
        </w:rPr>
      </w:pPr>
    </w:p>
    <w:p w14:paraId="73540A71" w14:textId="3E324CBB" w:rsidR="004F030D" w:rsidRPr="00735726" w:rsidRDefault="004F030D" w:rsidP="005A5668">
      <w:pPr>
        <w:rPr>
          <w:rFonts w:ascii="Arial" w:hAnsi="Arial" w:cs="Arial"/>
          <w:i/>
          <w:iCs/>
          <w:sz w:val="18"/>
          <w:szCs w:val="18"/>
        </w:rPr>
      </w:pPr>
      <w:r w:rsidRPr="00735726">
        <w:rPr>
          <w:rFonts w:ascii="Arial" w:hAnsi="Arial" w:cs="Arial"/>
          <w:i/>
          <w:iCs/>
          <w:sz w:val="18"/>
          <w:szCs w:val="18"/>
        </w:rPr>
        <w:t>THE KEY SUCCE</w:t>
      </w:r>
      <w:r w:rsidR="009A1327" w:rsidRPr="00735726">
        <w:rPr>
          <w:rFonts w:ascii="Arial" w:hAnsi="Arial" w:cs="Arial"/>
          <w:i/>
          <w:iCs/>
          <w:sz w:val="18"/>
          <w:szCs w:val="18"/>
        </w:rPr>
        <w:t>S</w:t>
      </w:r>
      <w:r w:rsidRPr="00735726">
        <w:rPr>
          <w:rFonts w:ascii="Arial" w:hAnsi="Arial" w:cs="Arial"/>
          <w:i/>
          <w:iCs/>
          <w:sz w:val="18"/>
          <w:szCs w:val="18"/>
        </w:rPr>
        <w:t>S</w:t>
      </w:r>
      <w:r w:rsidR="009A1327" w:rsidRPr="00735726">
        <w:rPr>
          <w:rFonts w:ascii="Arial" w:hAnsi="Arial" w:cs="Arial"/>
          <w:i/>
          <w:iCs/>
          <w:sz w:val="18"/>
          <w:szCs w:val="18"/>
        </w:rPr>
        <w:t>ES</w:t>
      </w:r>
      <w:r w:rsidRPr="00735726">
        <w:rPr>
          <w:rFonts w:ascii="Arial" w:hAnsi="Arial" w:cs="Arial"/>
          <w:i/>
          <w:iCs/>
          <w:sz w:val="18"/>
          <w:szCs w:val="18"/>
        </w:rPr>
        <w:t xml:space="preserve"> OF THE COMMITTEE’S FOCUS FOR </w:t>
      </w:r>
      <w:r w:rsidR="00A23FCC" w:rsidRPr="00735726">
        <w:rPr>
          <w:rFonts w:ascii="Arial" w:hAnsi="Arial" w:cs="Arial"/>
          <w:i/>
          <w:iCs/>
          <w:sz w:val="18"/>
          <w:szCs w:val="18"/>
        </w:rPr>
        <w:t>202</w:t>
      </w:r>
      <w:r w:rsidR="009A1327" w:rsidRPr="00735726">
        <w:rPr>
          <w:rFonts w:ascii="Arial" w:hAnsi="Arial" w:cs="Arial"/>
          <w:i/>
          <w:iCs/>
          <w:sz w:val="18"/>
          <w:szCs w:val="18"/>
        </w:rPr>
        <w:t>5/26</w:t>
      </w:r>
    </w:p>
    <w:p w14:paraId="31156BA0" w14:textId="0024E007" w:rsidR="00ED3AFF" w:rsidRPr="00735726" w:rsidRDefault="00ED3AFF" w:rsidP="00ED3AFF">
      <w:pPr>
        <w:rPr>
          <w:rFonts w:ascii="Arial" w:hAnsi="Arial" w:cs="Arial"/>
          <w:sz w:val="18"/>
          <w:szCs w:val="18"/>
        </w:rPr>
      </w:pPr>
      <w:r w:rsidRPr="00735726">
        <w:rPr>
          <w:rFonts w:ascii="Arial" w:hAnsi="Arial" w:cs="Arial"/>
          <w:sz w:val="18"/>
          <w:szCs w:val="18"/>
        </w:rPr>
        <w:t>During the year, the ESG Committee made progress against its focus areas for 2025/26, supported by regular performance oversight and targeted deep dives across environmental, social and governance priorities.</w:t>
      </w:r>
    </w:p>
    <w:p w14:paraId="530AE783" w14:textId="1B4F9843" w:rsidR="00ED3AFF" w:rsidRPr="00735726" w:rsidRDefault="00ED3AFF" w:rsidP="00646F4F">
      <w:pPr>
        <w:pStyle w:val="ListParagraph"/>
        <w:numPr>
          <w:ilvl w:val="0"/>
          <w:numId w:val="104"/>
        </w:numPr>
        <w:rPr>
          <w:rFonts w:ascii="Arial" w:hAnsi="Arial" w:cs="Arial"/>
          <w:sz w:val="18"/>
          <w:szCs w:val="18"/>
        </w:rPr>
      </w:pPr>
      <w:r w:rsidRPr="00735726">
        <w:rPr>
          <w:rFonts w:ascii="Arial" w:hAnsi="Arial" w:cs="Arial"/>
          <w:sz w:val="18"/>
          <w:szCs w:val="18"/>
        </w:rPr>
        <w:t>Oversaw delivery of the Company’s refreshed ESG targets for 2025</w:t>
      </w:r>
      <w:r w:rsidR="006C1BA9" w:rsidRPr="00735726">
        <w:rPr>
          <w:rFonts w:ascii="Arial" w:hAnsi="Arial" w:cs="Arial"/>
          <w:sz w:val="18"/>
          <w:szCs w:val="18"/>
        </w:rPr>
        <w:t>-</w:t>
      </w:r>
      <w:r w:rsidRPr="00735726">
        <w:rPr>
          <w:rFonts w:ascii="Arial" w:hAnsi="Arial" w:cs="Arial"/>
          <w:sz w:val="18"/>
          <w:szCs w:val="18"/>
        </w:rPr>
        <w:t>2030, with 12 of 14 achieving or exceeding target, supported by remediation plans for remaining areas.</w:t>
      </w:r>
    </w:p>
    <w:p w14:paraId="49E13D8E" w14:textId="12F5A0B3" w:rsidR="00ED3AFF" w:rsidRPr="00735726" w:rsidRDefault="00ED3AFF" w:rsidP="00646F4F">
      <w:pPr>
        <w:pStyle w:val="ListParagraph"/>
        <w:numPr>
          <w:ilvl w:val="0"/>
          <w:numId w:val="104"/>
        </w:numPr>
        <w:rPr>
          <w:rFonts w:ascii="Arial" w:hAnsi="Arial" w:cs="Arial"/>
          <w:sz w:val="18"/>
          <w:szCs w:val="18"/>
        </w:rPr>
      </w:pPr>
      <w:r w:rsidRPr="00735726">
        <w:rPr>
          <w:rFonts w:ascii="Arial" w:hAnsi="Arial" w:cs="Arial"/>
          <w:sz w:val="18"/>
          <w:szCs w:val="18"/>
        </w:rPr>
        <w:t>Strengthened ESG governance and leadership through the appointment of a new Committee Chair and the creation of the Chief Sustainability and Natural Resources Officer role.</w:t>
      </w:r>
    </w:p>
    <w:p w14:paraId="44AD6186" w14:textId="45A8AC18" w:rsidR="00ED3AFF" w:rsidRPr="00735726" w:rsidRDefault="00ED3AFF" w:rsidP="00646F4F">
      <w:pPr>
        <w:pStyle w:val="ListParagraph"/>
        <w:numPr>
          <w:ilvl w:val="0"/>
          <w:numId w:val="104"/>
        </w:numPr>
        <w:rPr>
          <w:rFonts w:ascii="Arial" w:hAnsi="Arial" w:cs="Arial"/>
          <w:sz w:val="18"/>
          <w:szCs w:val="18"/>
        </w:rPr>
      </w:pPr>
      <w:r w:rsidRPr="00735726">
        <w:rPr>
          <w:rFonts w:ascii="Arial" w:hAnsi="Arial" w:cs="Arial"/>
          <w:sz w:val="18"/>
          <w:szCs w:val="18"/>
        </w:rPr>
        <w:t xml:space="preserve">Enhanced the Company’s approach to climate and nature risk, becoming a Taskforce on Nature-related Financial Disclosures (TNFD) adopter and completing the first stages of a LEAP assessment, progressing a 1.5°C-aligned Climate Transition Plan following revalidation of the </w:t>
      </w:r>
      <w:r w:rsidR="00A50948" w:rsidRPr="00735726">
        <w:rPr>
          <w:rFonts w:ascii="Arial" w:hAnsi="Arial" w:cs="Arial"/>
          <w:sz w:val="18"/>
          <w:szCs w:val="18"/>
        </w:rPr>
        <w:t>Company’s</w:t>
      </w:r>
      <w:r w:rsidRPr="00735726">
        <w:rPr>
          <w:rFonts w:ascii="Arial" w:hAnsi="Arial" w:cs="Arial"/>
          <w:sz w:val="18"/>
          <w:szCs w:val="18"/>
        </w:rPr>
        <w:t xml:space="preserve"> science-based targets (SBTs).</w:t>
      </w:r>
    </w:p>
    <w:p w14:paraId="1E94E3B3" w14:textId="1AC550C4" w:rsidR="00ED3AFF" w:rsidRPr="00735726" w:rsidRDefault="00ED3AFF" w:rsidP="00646F4F">
      <w:pPr>
        <w:pStyle w:val="ListParagraph"/>
        <w:numPr>
          <w:ilvl w:val="0"/>
          <w:numId w:val="104"/>
        </w:numPr>
        <w:rPr>
          <w:rFonts w:ascii="Arial" w:hAnsi="Arial" w:cs="Arial"/>
          <w:sz w:val="18"/>
          <w:szCs w:val="18"/>
        </w:rPr>
      </w:pPr>
      <w:r w:rsidRPr="00735726">
        <w:rPr>
          <w:rFonts w:ascii="Arial" w:hAnsi="Arial" w:cs="Arial"/>
          <w:sz w:val="18"/>
          <w:szCs w:val="18"/>
        </w:rPr>
        <w:t>Maintained a focus on social priorities through deep dives on workforce engagement, culture, wellbeing, diversity and customer outcomes, informing continued enhancements to the Company’s social strategy.</w:t>
      </w:r>
    </w:p>
    <w:p w14:paraId="3A1443CC" w14:textId="33AB2489" w:rsidR="00ED3AFF" w:rsidRPr="00735726" w:rsidRDefault="00ED3AFF" w:rsidP="00646F4F">
      <w:pPr>
        <w:pStyle w:val="ListParagraph"/>
        <w:numPr>
          <w:ilvl w:val="0"/>
          <w:numId w:val="104"/>
        </w:numPr>
        <w:rPr>
          <w:rFonts w:ascii="Arial" w:hAnsi="Arial" w:cs="Arial"/>
          <w:sz w:val="18"/>
          <w:szCs w:val="18"/>
        </w:rPr>
      </w:pPr>
      <w:r w:rsidRPr="00735726">
        <w:rPr>
          <w:rFonts w:ascii="Arial" w:hAnsi="Arial" w:cs="Arial"/>
          <w:sz w:val="18"/>
          <w:szCs w:val="18"/>
        </w:rPr>
        <w:t>Continued embedding ESG priorities across the Company and supply chain, including through the Supply Chain Sustainability School.</w:t>
      </w:r>
    </w:p>
    <w:p w14:paraId="6CD9C1CA" w14:textId="22B19C39" w:rsidR="00ED3AFF" w:rsidRPr="00735726" w:rsidRDefault="00ED3AFF" w:rsidP="00646F4F">
      <w:pPr>
        <w:pStyle w:val="ListParagraph"/>
        <w:numPr>
          <w:ilvl w:val="0"/>
          <w:numId w:val="104"/>
        </w:numPr>
        <w:rPr>
          <w:rFonts w:ascii="Arial" w:hAnsi="Arial" w:cs="Arial"/>
          <w:sz w:val="18"/>
          <w:szCs w:val="18"/>
        </w:rPr>
      </w:pPr>
      <w:r w:rsidRPr="00735726">
        <w:rPr>
          <w:rFonts w:ascii="Arial" w:hAnsi="Arial" w:cs="Arial"/>
          <w:sz w:val="18"/>
          <w:szCs w:val="18"/>
        </w:rPr>
        <w:t xml:space="preserve">Achieved leading ESG ratings and benchmarking performance, including CDP Climate A List recognition, awards as an ESG Industry and Regional Leader by Sustainalytics, with our parent </w:t>
      </w:r>
      <w:r w:rsidRPr="00735726">
        <w:rPr>
          <w:rFonts w:ascii="Arial" w:hAnsi="Arial" w:cs="Arial"/>
          <w:sz w:val="18"/>
          <w:szCs w:val="18"/>
        </w:rPr>
        <w:lastRenderedPageBreak/>
        <w:t>Company ranking 1st out of 46 water utilities assessed globally, and recognition as a FTSE Women Leaders company for Women on Boards across the FTSE 250.</w:t>
      </w:r>
    </w:p>
    <w:p w14:paraId="745C436C" w14:textId="77777777" w:rsidR="00ED3AFF" w:rsidRPr="00735726" w:rsidRDefault="00ED3AFF" w:rsidP="00646F4F">
      <w:pPr>
        <w:pStyle w:val="ListParagraph"/>
        <w:numPr>
          <w:ilvl w:val="0"/>
          <w:numId w:val="104"/>
        </w:numPr>
        <w:rPr>
          <w:rFonts w:ascii="Arial" w:hAnsi="Arial" w:cs="Arial"/>
          <w:sz w:val="18"/>
          <w:szCs w:val="18"/>
        </w:rPr>
      </w:pPr>
      <w:r w:rsidRPr="00735726">
        <w:rPr>
          <w:rFonts w:ascii="Arial" w:hAnsi="Arial" w:cs="Arial"/>
          <w:sz w:val="18"/>
          <w:szCs w:val="18"/>
        </w:rPr>
        <w:t xml:space="preserve">Achieved continued progress against strategic priorities, including emissions reduction and improvements in water quality and resilience. </w:t>
      </w:r>
    </w:p>
    <w:p w14:paraId="38763639" w14:textId="34144849" w:rsidR="00ED3AFF" w:rsidRPr="00735726" w:rsidRDefault="00ED3AFF" w:rsidP="00646F4F">
      <w:pPr>
        <w:pStyle w:val="ListParagraph"/>
        <w:numPr>
          <w:ilvl w:val="0"/>
          <w:numId w:val="104"/>
        </w:numPr>
        <w:rPr>
          <w:rFonts w:ascii="Arial" w:hAnsi="Arial" w:cs="Arial"/>
          <w:sz w:val="18"/>
          <w:szCs w:val="18"/>
        </w:rPr>
      </w:pPr>
      <w:r w:rsidRPr="00735726">
        <w:rPr>
          <w:rFonts w:ascii="Arial" w:hAnsi="Arial" w:cs="Arial"/>
          <w:sz w:val="18"/>
          <w:szCs w:val="18"/>
        </w:rPr>
        <w:t>Supported continued integration of ESG risks and performance through regular reporting to the Board, including advising the Audit Committee on material non-financial risks.</w:t>
      </w:r>
    </w:p>
    <w:p w14:paraId="716237F3" w14:textId="77777777" w:rsidR="00ED3AFF" w:rsidRPr="009A2CAE" w:rsidRDefault="00ED3AFF" w:rsidP="00ED3AFF">
      <w:pPr>
        <w:pStyle w:val="ListParagraph"/>
        <w:spacing w:after="0"/>
        <w:rPr>
          <w:rFonts w:ascii="Arial" w:hAnsi="Arial" w:cs="Arial"/>
          <w:sz w:val="18"/>
          <w:szCs w:val="18"/>
        </w:rPr>
      </w:pPr>
    </w:p>
    <w:p w14:paraId="5CA76EC2" w14:textId="08FBC452" w:rsidR="00ED3AFF" w:rsidRPr="00735726" w:rsidRDefault="00ED3AFF" w:rsidP="00ED3AFF">
      <w:pPr>
        <w:spacing w:after="0"/>
        <w:rPr>
          <w:rFonts w:ascii="Arial" w:hAnsi="Arial" w:cs="Arial"/>
          <w:sz w:val="18"/>
          <w:szCs w:val="18"/>
        </w:rPr>
      </w:pPr>
      <w:r w:rsidRPr="00735726">
        <w:rPr>
          <w:rFonts w:ascii="Arial" w:hAnsi="Arial" w:cs="Arial"/>
          <w:sz w:val="18"/>
          <w:szCs w:val="18"/>
        </w:rPr>
        <w:t>The Committee has maintained its focus on the effective governance and integration of environmental, social and governance considerations across the Company, supported by regular performance oversight, a programme of targeted deep dives and increased involvement in workforce engagement. Throughout the year, the Committee’s work reflected the focus areas set out in last year’s report, including embedding refreshed ESG targets, strengthening our social approach, advancing the Company’s approach to climate and nature, responding to evolving reporting requirements, and ensuring ESG remains fully integrated across the business.</w:t>
      </w:r>
    </w:p>
    <w:p w14:paraId="47BB7BE4" w14:textId="77777777" w:rsidR="00ED3AFF" w:rsidRPr="00735726" w:rsidRDefault="00ED3AFF" w:rsidP="00ED3AFF">
      <w:pPr>
        <w:spacing w:after="0"/>
        <w:rPr>
          <w:rFonts w:ascii="Arial" w:hAnsi="Arial" w:cs="Arial"/>
          <w:sz w:val="18"/>
          <w:szCs w:val="18"/>
        </w:rPr>
      </w:pPr>
    </w:p>
    <w:p w14:paraId="36AE74F2" w14:textId="636FA16B" w:rsidR="00ED3AFF" w:rsidRPr="00735726" w:rsidRDefault="00ED3AFF" w:rsidP="00ED3AFF">
      <w:pPr>
        <w:spacing w:after="0"/>
        <w:rPr>
          <w:rFonts w:ascii="Arial" w:hAnsi="Arial" w:cs="Arial"/>
          <w:sz w:val="18"/>
          <w:szCs w:val="18"/>
        </w:rPr>
      </w:pPr>
      <w:r w:rsidRPr="00735726">
        <w:rPr>
          <w:rFonts w:ascii="Arial" w:hAnsi="Arial" w:cs="Arial"/>
          <w:sz w:val="18"/>
          <w:szCs w:val="18"/>
        </w:rPr>
        <w:t>These priorities have been supported by strengthened leadership arrangements, including the appointment of Carolyn Cadman to the newly created Chief Sustainability and Natural Resources Officer role, enhancing executive accountability and expertise across sustainability, climate and nature.</w:t>
      </w:r>
    </w:p>
    <w:p w14:paraId="5EF5DE43" w14:textId="77777777" w:rsidR="00ED3AFF" w:rsidRPr="00735726" w:rsidRDefault="00ED3AFF" w:rsidP="00ED3AFF">
      <w:pPr>
        <w:spacing w:after="0"/>
        <w:rPr>
          <w:rFonts w:ascii="Arial" w:hAnsi="Arial" w:cs="Arial"/>
          <w:sz w:val="18"/>
          <w:szCs w:val="18"/>
        </w:rPr>
      </w:pPr>
    </w:p>
    <w:p w14:paraId="1CE145C6" w14:textId="53FBAA75" w:rsidR="00ED3AFF" w:rsidRPr="00735726" w:rsidRDefault="00ED3AFF" w:rsidP="00ED3AFF">
      <w:pPr>
        <w:spacing w:after="0"/>
        <w:rPr>
          <w:rFonts w:ascii="Arial" w:hAnsi="Arial" w:cs="Arial"/>
          <w:sz w:val="18"/>
          <w:szCs w:val="18"/>
        </w:rPr>
      </w:pPr>
      <w:r w:rsidRPr="00735726">
        <w:rPr>
          <w:rFonts w:ascii="Arial" w:hAnsi="Arial" w:cs="Arial"/>
          <w:sz w:val="18"/>
          <w:szCs w:val="18"/>
        </w:rPr>
        <w:t>The year also marked an important step forward in embedding climate</w:t>
      </w:r>
      <w:r w:rsidRPr="00735726">
        <w:rPr>
          <w:rFonts w:ascii="Cambria Math" w:hAnsi="Cambria Math" w:cs="Cambria Math"/>
          <w:sz w:val="18"/>
          <w:szCs w:val="18"/>
        </w:rPr>
        <w:t>‑</w:t>
      </w:r>
      <w:r w:rsidRPr="00735726">
        <w:rPr>
          <w:rFonts w:ascii="Arial" w:hAnsi="Arial" w:cs="Arial"/>
          <w:sz w:val="18"/>
          <w:szCs w:val="18"/>
        </w:rPr>
        <w:t>related and nature</w:t>
      </w:r>
      <w:r w:rsidRPr="00735726">
        <w:rPr>
          <w:rFonts w:ascii="Cambria Math" w:hAnsi="Cambria Math" w:cs="Cambria Math"/>
          <w:sz w:val="18"/>
          <w:szCs w:val="18"/>
        </w:rPr>
        <w:t>‑</w:t>
      </w:r>
      <w:r w:rsidRPr="00735726">
        <w:rPr>
          <w:rFonts w:ascii="Arial" w:hAnsi="Arial" w:cs="Arial"/>
          <w:sz w:val="18"/>
          <w:szCs w:val="18"/>
        </w:rPr>
        <w:t>related risk within governance and decision</w:t>
      </w:r>
      <w:r w:rsidRPr="00735726">
        <w:rPr>
          <w:rFonts w:ascii="Cambria Math" w:hAnsi="Cambria Math" w:cs="Cambria Math"/>
          <w:sz w:val="18"/>
          <w:szCs w:val="18"/>
        </w:rPr>
        <w:t>‑</w:t>
      </w:r>
      <w:r w:rsidRPr="00735726">
        <w:rPr>
          <w:rFonts w:ascii="Arial" w:hAnsi="Arial" w:cs="Arial"/>
          <w:sz w:val="18"/>
          <w:szCs w:val="18"/>
        </w:rPr>
        <w:t xml:space="preserve">making, with the </w:t>
      </w:r>
      <w:r w:rsidR="00141756" w:rsidRPr="00735726">
        <w:rPr>
          <w:rFonts w:ascii="Arial" w:hAnsi="Arial" w:cs="Arial"/>
          <w:sz w:val="18"/>
          <w:szCs w:val="18"/>
        </w:rPr>
        <w:t xml:space="preserve">Company </w:t>
      </w:r>
      <w:r w:rsidRPr="00735726">
        <w:rPr>
          <w:rFonts w:ascii="Arial" w:hAnsi="Arial" w:cs="Arial"/>
          <w:sz w:val="18"/>
          <w:szCs w:val="18"/>
        </w:rPr>
        <w:t>becoming an official Taskforce on Nature</w:t>
      </w:r>
      <w:r w:rsidRPr="00735726">
        <w:rPr>
          <w:rFonts w:ascii="Cambria Math" w:hAnsi="Cambria Math" w:cs="Cambria Math"/>
          <w:sz w:val="18"/>
          <w:szCs w:val="18"/>
        </w:rPr>
        <w:t>‑</w:t>
      </w:r>
      <w:r w:rsidRPr="00735726">
        <w:rPr>
          <w:rFonts w:ascii="Arial" w:hAnsi="Arial" w:cs="Arial"/>
          <w:sz w:val="18"/>
          <w:szCs w:val="18"/>
        </w:rPr>
        <w:t>related Financial Disclosures (TNFD) adopter and completing the first stages of a LEAP assessment.</w:t>
      </w:r>
    </w:p>
    <w:p w14:paraId="6C3B181E" w14:textId="77777777" w:rsidR="00ED3AFF" w:rsidRPr="00735726" w:rsidRDefault="00ED3AFF" w:rsidP="00ED3AFF">
      <w:pPr>
        <w:spacing w:after="0"/>
        <w:rPr>
          <w:rFonts w:ascii="Arial" w:hAnsi="Arial" w:cs="Arial"/>
          <w:sz w:val="18"/>
          <w:szCs w:val="18"/>
        </w:rPr>
      </w:pPr>
    </w:p>
    <w:p w14:paraId="4140B685" w14:textId="6EDB21E8" w:rsidR="00ED3AFF" w:rsidRPr="00735726" w:rsidRDefault="00ED3AFF" w:rsidP="00ED3AFF">
      <w:pPr>
        <w:spacing w:after="0"/>
        <w:rPr>
          <w:rFonts w:ascii="Arial" w:hAnsi="Arial" w:cs="Arial"/>
          <w:sz w:val="18"/>
          <w:szCs w:val="18"/>
        </w:rPr>
      </w:pPr>
      <w:r w:rsidRPr="00735726">
        <w:rPr>
          <w:rFonts w:ascii="Arial" w:hAnsi="Arial" w:cs="Arial"/>
          <w:sz w:val="18"/>
          <w:szCs w:val="18"/>
        </w:rPr>
        <w:t xml:space="preserve">The Committee also reviewed external ESG assessments and benchmarking results, with the Company continuing to lead across key ESG ratings, including recognition on CDP’s Climate A List and designation as an ESG industry and Regional Leader by Sustainalytics for 2026. These outcomes provide assurance over the Company’s progress and help inform our ongoing reporting focus. </w:t>
      </w:r>
    </w:p>
    <w:p w14:paraId="1CF59F71" w14:textId="77777777" w:rsidR="00ED3AFF" w:rsidRPr="00735726" w:rsidRDefault="00ED3AFF" w:rsidP="00ED3AFF">
      <w:pPr>
        <w:spacing w:after="0"/>
        <w:rPr>
          <w:rFonts w:ascii="Arial" w:hAnsi="Arial" w:cs="Arial"/>
          <w:sz w:val="18"/>
          <w:szCs w:val="18"/>
        </w:rPr>
      </w:pPr>
    </w:p>
    <w:p w14:paraId="35761FA9" w14:textId="44543007" w:rsidR="00A23FCC" w:rsidRPr="00735726" w:rsidRDefault="00ED3AFF" w:rsidP="00ED3AFF">
      <w:pPr>
        <w:spacing w:after="0"/>
        <w:rPr>
          <w:rFonts w:ascii="Arial" w:hAnsi="Arial" w:cs="Arial"/>
          <w:sz w:val="18"/>
          <w:szCs w:val="18"/>
        </w:rPr>
      </w:pPr>
      <w:r w:rsidRPr="00735726">
        <w:rPr>
          <w:rFonts w:ascii="Arial" w:hAnsi="Arial" w:cs="Arial"/>
          <w:sz w:val="18"/>
          <w:szCs w:val="18"/>
        </w:rPr>
        <w:t>The Committee has continued to challenge and support management throughout the year, ensuring ESG risks and opportunities are appropriately considered in decision</w:t>
      </w:r>
      <w:r w:rsidRPr="00735726">
        <w:rPr>
          <w:rFonts w:ascii="Cambria Math" w:hAnsi="Cambria Math" w:cs="Cambria Math"/>
          <w:sz w:val="18"/>
          <w:szCs w:val="18"/>
        </w:rPr>
        <w:t>‑</w:t>
      </w:r>
      <w:r w:rsidRPr="00735726">
        <w:rPr>
          <w:rFonts w:ascii="Arial" w:hAnsi="Arial" w:cs="Arial"/>
          <w:sz w:val="18"/>
          <w:szCs w:val="18"/>
        </w:rPr>
        <w:t>making and that progress against commitments remains transparent and robust.</w:t>
      </w:r>
    </w:p>
    <w:p w14:paraId="687D4491" w14:textId="77777777" w:rsidR="00ED3AFF" w:rsidRPr="009A2CAE" w:rsidRDefault="00ED3AFF" w:rsidP="00ED3AFF">
      <w:pPr>
        <w:spacing w:after="0"/>
        <w:rPr>
          <w:rFonts w:ascii="Arial" w:hAnsi="Arial" w:cs="Arial"/>
          <w:sz w:val="18"/>
          <w:szCs w:val="18"/>
        </w:rPr>
      </w:pPr>
    </w:p>
    <w:p w14:paraId="57D3F4C2" w14:textId="7E9B65FD" w:rsidR="00ED3AFF" w:rsidRPr="00735726" w:rsidRDefault="00CB32CE" w:rsidP="00ED3AFF">
      <w:pPr>
        <w:spacing w:after="0"/>
        <w:rPr>
          <w:rFonts w:ascii="Arial" w:hAnsi="Arial" w:cs="Arial"/>
          <w:sz w:val="18"/>
          <w:szCs w:val="18"/>
        </w:rPr>
      </w:pPr>
      <w:bookmarkStart w:id="42" w:name="_Hlk135210879"/>
      <w:r w:rsidRPr="00735726">
        <w:rPr>
          <w:rFonts w:ascii="Arial" w:hAnsi="Arial" w:cs="Arial"/>
          <w:i/>
          <w:iCs/>
          <w:sz w:val="18"/>
          <w:szCs w:val="18"/>
        </w:rPr>
        <w:t>ESG PERFORMANCE</w:t>
      </w:r>
      <w:r w:rsidRPr="00735726">
        <w:rPr>
          <w:rFonts w:ascii="Arial" w:hAnsi="Arial" w:cs="Arial"/>
          <w:i/>
          <w:iCs/>
          <w:sz w:val="18"/>
          <w:szCs w:val="18"/>
        </w:rPr>
        <w:br/>
      </w:r>
      <w:r w:rsidR="00ED3AFF" w:rsidRPr="00735726">
        <w:rPr>
          <w:rFonts w:ascii="Arial" w:hAnsi="Arial" w:cs="Arial"/>
          <w:sz w:val="18"/>
          <w:szCs w:val="18"/>
        </w:rPr>
        <w:t>The ESG Committee received regular updates on ESG performance throughout the year, enabling it to monitor progress against the Company’s refreshed ESG targets for the period 2025-2030 and to challenge areas requiring additional focus.</w:t>
      </w:r>
    </w:p>
    <w:p w14:paraId="04C8168F" w14:textId="77777777" w:rsidR="00ED3AFF" w:rsidRPr="00735726" w:rsidRDefault="00ED3AFF" w:rsidP="00ED3AFF">
      <w:pPr>
        <w:spacing w:after="0"/>
        <w:rPr>
          <w:rFonts w:ascii="Arial" w:hAnsi="Arial" w:cs="Arial"/>
          <w:sz w:val="18"/>
          <w:szCs w:val="18"/>
        </w:rPr>
      </w:pPr>
    </w:p>
    <w:p w14:paraId="2E8E493D" w14:textId="4AE43DC2" w:rsidR="00ED3AFF" w:rsidRPr="00735726" w:rsidRDefault="00ED3AFF" w:rsidP="00ED3AFF">
      <w:pPr>
        <w:spacing w:after="0"/>
        <w:rPr>
          <w:rFonts w:ascii="Arial" w:hAnsi="Arial" w:cs="Arial"/>
          <w:sz w:val="18"/>
          <w:szCs w:val="18"/>
        </w:rPr>
      </w:pPr>
      <w:r w:rsidRPr="00735726">
        <w:rPr>
          <w:rFonts w:ascii="Arial" w:hAnsi="Arial" w:cs="Arial"/>
          <w:sz w:val="18"/>
          <w:szCs w:val="18"/>
        </w:rPr>
        <w:t>As of 31 March 2026, we have achieved or exceeded 12 out of 14 ESG targets, representing a solid first year</w:t>
      </w:r>
    </w:p>
    <w:p w14:paraId="4A3A19D3" w14:textId="5252592B" w:rsidR="00A23FCC" w:rsidRPr="00735726" w:rsidRDefault="00ED3AFF" w:rsidP="00ED3AFF">
      <w:pPr>
        <w:spacing w:after="0"/>
        <w:rPr>
          <w:rFonts w:ascii="Arial" w:hAnsi="Arial" w:cs="Arial"/>
          <w:sz w:val="18"/>
          <w:szCs w:val="18"/>
        </w:rPr>
      </w:pPr>
      <w:r w:rsidRPr="00735726">
        <w:rPr>
          <w:rFonts w:ascii="Arial" w:hAnsi="Arial" w:cs="Arial"/>
          <w:sz w:val="18"/>
          <w:szCs w:val="18"/>
        </w:rPr>
        <w:t>of delivery against the Company’s refreshed targets, with remediation plans in place for the remaining two areas targeted for improvement as we move into 2026/27.</w:t>
      </w:r>
      <w:r w:rsidR="00A50948" w:rsidRPr="00735726">
        <w:rPr>
          <w:rFonts w:ascii="Arial" w:hAnsi="Arial" w:cs="Arial"/>
          <w:sz w:val="18"/>
          <w:szCs w:val="18"/>
        </w:rPr>
        <w:t xml:space="preserve"> </w:t>
      </w:r>
      <w:r w:rsidRPr="00735726">
        <w:rPr>
          <w:rFonts w:ascii="Arial" w:hAnsi="Arial" w:cs="Arial"/>
          <w:sz w:val="18"/>
          <w:szCs w:val="18"/>
        </w:rPr>
        <w:t>Overall performance reflects effective embedding of the Company’s reaffirmed ESG priorities across the business, supported by regular oversight from the ESG Committee and targeted management actions.</w:t>
      </w:r>
      <w:r w:rsidR="00A50948" w:rsidRPr="00735726">
        <w:rPr>
          <w:rFonts w:ascii="Arial" w:hAnsi="Arial" w:cs="Arial"/>
          <w:sz w:val="18"/>
          <w:szCs w:val="18"/>
        </w:rPr>
        <w:t xml:space="preserve"> </w:t>
      </w:r>
    </w:p>
    <w:p w14:paraId="039F7C50" w14:textId="77777777" w:rsidR="00ED3AFF" w:rsidRPr="009A2CAE" w:rsidRDefault="00ED3AFF" w:rsidP="00ED3AFF">
      <w:pPr>
        <w:spacing w:after="0"/>
        <w:rPr>
          <w:rFonts w:ascii="Arial" w:hAnsi="Arial" w:cs="Arial"/>
          <w:sz w:val="18"/>
          <w:szCs w:val="18"/>
        </w:rPr>
      </w:pPr>
    </w:p>
    <w:p w14:paraId="773A1E0D" w14:textId="0F003959" w:rsidR="00ED3AFF" w:rsidRPr="00735726" w:rsidRDefault="00ED3AFF" w:rsidP="00ED3AFF">
      <w:pPr>
        <w:spacing w:after="0"/>
        <w:rPr>
          <w:rFonts w:ascii="Arial" w:hAnsi="Arial" w:cs="Arial"/>
          <w:sz w:val="18"/>
          <w:szCs w:val="18"/>
        </w:rPr>
      </w:pPr>
      <w:r w:rsidRPr="00735726">
        <w:rPr>
          <w:rFonts w:ascii="Arial" w:hAnsi="Arial" w:cs="Arial"/>
          <w:sz w:val="18"/>
          <w:szCs w:val="18"/>
        </w:rPr>
        <w:t xml:space="preserve">Strong performance has also been observed across several social and governance targets, underpinned by deep dives on workforce engagement and culture, wellbeing, talent, recruitment and diversity, customer matters, and key incidents relating to sites at </w:t>
      </w:r>
      <w:proofErr w:type="spellStart"/>
      <w:r w:rsidRPr="00735726">
        <w:rPr>
          <w:rFonts w:ascii="Arial" w:hAnsi="Arial" w:cs="Arial"/>
          <w:sz w:val="18"/>
          <w:szCs w:val="18"/>
        </w:rPr>
        <w:t>Dousland</w:t>
      </w:r>
      <w:proofErr w:type="spellEnd"/>
      <w:r w:rsidRPr="00735726">
        <w:rPr>
          <w:rFonts w:ascii="Arial" w:hAnsi="Arial" w:cs="Arial"/>
          <w:sz w:val="18"/>
          <w:szCs w:val="18"/>
        </w:rPr>
        <w:t xml:space="preserve"> and </w:t>
      </w:r>
      <w:proofErr w:type="spellStart"/>
      <w:r w:rsidRPr="00735726">
        <w:rPr>
          <w:rFonts w:ascii="Arial" w:hAnsi="Arial" w:cs="Arial"/>
          <w:sz w:val="18"/>
          <w:szCs w:val="18"/>
        </w:rPr>
        <w:t>Menagwins</w:t>
      </w:r>
      <w:proofErr w:type="spellEnd"/>
      <w:r w:rsidRPr="00735726">
        <w:rPr>
          <w:rFonts w:ascii="Arial" w:hAnsi="Arial" w:cs="Arial"/>
          <w:sz w:val="18"/>
          <w:szCs w:val="18"/>
        </w:rPr>
        <w:t>. These sessions enabled the Committee to assess performance against objectives, understand underlying drivers and ensure that delivery remains aligned with stakeholder expectations.</w:t>
      </w:r>
    </w:p>
    <w:p w14:paraId="4741D381" w14:textId="77777777" w:rsidR="00ED3AFF" w:rsidRPr="009A2CAE" w:rsidRDefault="00ED3AFF" w:rsidP="00ED3AFF">
      <w:pPr>
        <w:spacing w:after="0"/>
        <w:rPr>
          <w:rFonts w:ascii="Arial" w:hAnsi="Arial" w:cs="Arial"/>
          <w:sz w:val="18"/>
          <w:szCs w:val="18"/>
        </w:rPr>
      </w:pPr>
    </w:p>
    <w:p w14:paraId="4A9D545A" w14:textId="74F258AA" w:rsidR="00ED3AFF" w:rsidRPr="00735726" w:rsidRDefault="00ED3AFF" w:rsidP="00ED3AFF">
      <w:pPr>
        <w:spacing w:after="0"/>
        <w:rPr>
          <w:rFonts w:ascii="Arial" w:hAnsi="Arial" w:cs="Arial"/>
          <w:sz w:val="18"/>
          <w:szCs w:val="18"/>
        </w:rPr>
      </w:pPr>
      <w:r w:rsidRPr="00735726">
        <w:rPr>
          <w:rFonts w:ascii="Arial" w:hAnsi="Arial" w:cs="Arial"/>
          <w:sz w:val="18"/>
          <w:szCs w:val="18"/>
        </w:rPr>
        <w:t xml:space="preserve">In addition, health and safety remains a clear Company priority, with the ambition to achieve a stretching Lost Time Injury Frequency Rate (LTIFR). While this target was not met during the year, enhanced leadership focus and strengthened operational controls, including the continued rollout of the </w:t>
      </w:r>
      <w:proofErr w:type="spellStart"/>
      <w:r w:rsidRPr="00735726">
        <w:rPr>
          <w:rFonts w:ascii="Arial" w:hAnsi="Arial" w:cs="Arial"/>
          <w:sz w:val="18"/>
          <w:szCs w:val="18"/>
        </w:rPr>
        <w:t>HomeSafe</w:t>
      </w:r>
      <w:proofErr w:type="spellEnd"/>
      <w:r w:rsidRPr="00735726">
        <w:rPr>
          <w:rFonts w:ascii="Arial" w:hAnsi="Arial" w:cs="Arial"/>
          <w:sz w:val="18"/>
          <w:szCs w:val="18"/>
        </w:rPr>
        <w:t xml:space="preserve"> programme, are in place to support improved outcomes in 2026/27.</w:t>
      </w:r>
    </w:p>
    <w:p w14:paraId="5DE1BFD0" w14:textId="77777777" w:rsidR="00ED3AFF" w:rsidRPr="00735726" w:rsidRDefault="00ED3AFF" w:rsidP="00ED3AFF">
      <w:pPr>
        <w:spacing w:after="0"/>
        <w:rPr>
          <w:rFonts w:ascii="Arial" w:hAnsi="Arial" w:cs="Arial"/>
          <w:sz w:val="18"/>
          <w:szCs w:val="18"/>
        </w:rPr>
      </w:pPr>
    </w:p>
    <w:p w14:paraId="45F8C052" w14:textId="1EE70539" w:rsidR="00ED3AFF" w:rsidRPr="00735726" w:rsidRDefault="00ED3AFF" w:rsidP="00ED3AFF">
      <w:pPr>
        <w:spacing w:after="0"/>
        <w:rPr>
          <w:rFonts w:ascii="Arial" w:hAnsi="Arial" w:cs="Arial"/>
          <w:sz w:val="18"/>
          <w:szCs w:val="18"/>
        </w:rPr>
      </w:pPr>
      <w:r w:rsidRPr="00735726">
        <w:rPr>
          <w:rFonts w:ascii="Arial" w:hAnsi="Arial" w:cs="Arial"/>
          <w:sz w:val="18"/>
          <w:szCs w:val="18"/>
        </w:rPr>
        <w:t>The Committee remains satisfied that the Company’s ESG targets provide a clear, measurable framework for</w:t>
      </w:r>
    </w:p>
    <w:p w14:paraId="7A661B88" w14:textId="42AA33BE" w:rsidR="00ED3AFF" w:rsidRPr="00735726" w:rsidRDefault="00ED3AFF" w:rsidP="00ED3AFF">
      <w:pPr>
        <w:spacing w:after="0"/>
        <w:rPr>
          <w:rFonts w:ascii="Arial" w:hAnsi="Arial" w:cs="Arial"/>
          <w:sz w:val="18"/>
          <w:szCs w:val="18"/>
        </w:rPr>
      </w:pPr>
      <w:r w:rsidRPr="00735726">
        <w:rPr>
          <w:rFonts w:ascii="Arial" w:hAnsi="Arial" w:cs="Arial"/>
          <w:sz w:val="18"/>
          <w:szCs w:val="18"/>
        </w:rPr>
        <w:t>action and are embedded within governance processes. Progress against each target is reviewed regularly by the ESG Committee, ensuring appropriate challenge, accountability and transparency as the Company continues</w:t>
      </w:r>
    </w:p>
    <w:p w14:paraId="390EC7E3" w14:textId="77777777" w:rsidR="00ED3AFF" w:rsidRPr="00735726" w:rsidRDefault="00ED3AFF" w:rsidP="00ED3AFF">
      <w:pPr>
        <w:spacing w:after="0"/>
        <w:rPr>
          <w:rFonts w:ascii="Arial" w:hAnsi="Arial" w:cs="Arial"/>
          <w:sz w:val="18"/>
          <w:szCs w:val="18"/>
        </w:rPr>
      </w:pPr>
      <w:r w:rsidRPr="00735726">
        <w:rPr>
          <w:rFonts w:ascii="Arial" w:hAnsi="Arial" w:cs="Arial"/>
          <w:sz w:val="18"/>
          <w:szCs w:val="18"/>
        </w:rPr>
        <w:t>to work towards its 2030 objectives and beyond.</w:t>
      </w:r>
    </w:p>
    <w:p w14:paraId="1ECF048E" w14:textId="77777777" w:rsidR="00ED3AFF" w:rsidRPr="00735726" w:rsidRDefault="00ED3AFF" w:rsidP="00ED3AFF">
      <w:pPr>
        <w:spacing w:after="0"/>
        <w:rPr>
          <w:rFonts w:ascii="Arial" w:hAnsi="Arial" w:cs="Arial"/>
          <w:sz w:val="18"/>
          <w:szCs w:val="18"/>
        </w:rPr>
      </w:pPr>
    </w:p>
    <w:p w14:paraId="31FD89BF" w14:textId="0E1C41A6" w:rsidR="00A23FCC" w:rsidRPr="009A2CAE" w:rsidRDefault="00ED3AFF" w:rsidP="00ED3AFF">
      <w:pPr>
        <w:spacing w:after="0"/>
        <w:rPr>
          <w:rFonts w:ascii="Arial" w:hAnsi="Arial" w:cs="Arial"/>
          <w:sz w:val="18"/>
          <w:szCs w:val="18"/>
        </w:rPr>
      </w:pPr>
      <w:r w:rsidRPr="00735726">
        <w:rPr>
          <w:rFonts w:ascii="Arial" w:hAnsi="Arial" w:cs="Arial"/>
          <w:sz w:val="18"/>
          <w:szCs w:val="18"/>
        </w:rPr>
        <w:lastRenderedPageBreak/>
        <w:t>More information on our performance is</w:t>
      </w:r>
      <w:r w:rsidR="00A23FCC" w:rsidRPr="00735726">
        <w:rPr>
          <w:rFonts w:ascii="Arial" w:hAnsi="Arial" w:cs="Arial"/>
          <w:sz w:val="18"/>
          <w:szCs w:val="18"/>
        </w:rPr>
        <w:t xml:space="preserve"> disclosed in our parent </w:t>
      </w:r>
      <w:r w:rsidR="003B36A4" w:rsidRPr="00735726">
        <w:rPr>
          <w:rFonts w:ascii="Arial" w:hAnsi="Arial" w:cs="Arial"/>
          <w:sz w:val="18"/>
          <w:szCs w:val="18"/>
        </w:rPr>
        <w:t>C</w:t>
      </w:r>
      <w:r w:rsidR="00A23FCC" w:rsidRPr="00735726">
        <w:rPr>
          <w:rFonts w:ascii="Arial" w:hAnsi="Arial" w:cs="Arial"/>
          <w:sz w:val="18"/>
          <w:szCs w:val="18"/>
        </w:rPr>
        <w:t xml:space="preserve">ompany, Pennon’s annual report on pages </w:t>
      </w:r>
      <w:r w:rsidR="00390ECE" w:rsidRPr="009A2CAE">
        <w:rPr>
          <w:rFonts w:ascii="Arial" w:hAnsi="Arial" w:cs="Arial"/>
          <w:sz w:val="18"/>
          <w:szCs w:val="18"/>
        </w:rPr>
        <w:t xml:space="preserve">72 </w:t>
      </w:r>
      <w:r w:rsidRPr="009A2CAE">
        <w:rPr>
          <w:rFonts w:ascii="Arial" w:hAnsi="Arial" w:cs="Arial"/>
          <w:sz w:val="18"/>
          <w:szCs w:val="18"/>
        </w:rPr>
        <w:t xml:space="preserve">to </w:t>
      </w:r>
      <w:r w:rsidR="00390ECE" w:rsidRPr="009A2CAE">
        <w:rPr>
          <w:rFonts w:ascii="Arial" w:hAnsi="Arial" w:cs="Arial"/>
          <w:sz w:val="18"/>
          <w:szCs w:val="18"/>
        </w:rPr>
        <w:t>77</w:t>
      </w:r>
      <w:r w:rsidR="00A23FCC" w:rsidRPr="009A2CAE">
        <w:rPr>
          <w:rFonts w:ascii="Arial" w:hAnsi="Arial" w:cs="Arial"/>
          <w:sz w:val="18"/>
          <w:szCs w:val="18"/>
        </w:rPr>
        <w:t>.</w:t>
      </w:r>
    </w:p>
    <w:bookmarkEnd w:id="42"/>
    <w:p w14:paraId="6EC1516A" w14:textId="1FC3CD34" w:rsidR="00302385" w:rsidRPr="00735726" w:rsidRDefault="009D6F8F" w:rsidP="00302385">
      <w:pPr>
        <w:rPr>
          <w:rFonts w:ascii="Arial" w:hAnsi="Arial" w:cs="Arial"/>
          <w:sz w:val="18"/>
          <w:szCs w:val="18"/>
        </w:rPr>
      </w:pPr>
      <w:r w:rsidRPr="009A2CAE">
        <w:rPr>
          <w:rFonts w:ascii="Arial" w:hAnsi="Arial" w:cs="Arial"/>
          <w:sz w:val="18"/>
          <w:szCs w:val="18"/>
        </w:rPr>
        <w:br/>
      </w:r>
      <w:r w:rsidR="00302385" w:rsidRPr="00735726">
        <w:rPr>
          <w:rFonts w:ascii="Arial" w:hAnsi="Arial" w:cs="Arial"/>
          <w:i/>
          <w:iCs/>
          <w:sz w:val="18"/>
          <w:szCs w:val="18"/>
        </w:rPr>
        <w:t>CLIMATE AND NATURE</w:t>
      </w:r>
      <w:r w:rsidR="00302385" w:rsidRPr="00735726">
        <w:rPr>
          <w:rFonts w:ascii="Arial" w:hAnsi="Arial" w:cs="Arial"/>
          <w:i/>
          <w:iCs/>
          <w:sz w:val="18"/>
          <w:szCs w:val="18"/>
        </w:rPr>
        <w:br/>
      </w:r>
      <w:r w:rsidR="00302385" w:rsidRPr="00735726">
        <w:rPr>
          <w:rFonts w:ascii="Arial" w:hAnsi="Arial" w:cs="Arial"/>
          <w:sz w:val="18"/>
          <w:szCs w:val="18"/>
        </w:rPr>
        <w:t>Climate and nature remained central to the Committee’s agenda during the year. The Committee oversaw the continued development of the Company’s climate strategy, including progress towards publication of a 1.5°C aligned Climate Transition Plan.</w:t>
      </w:r>
    </w:p>
    <w:p w14:paraId="595678B1" w14:textId="04FB2240" w:rsidR="00302385" w:rsidRPr="00735726" w:rsidRDefault="00302385" w:rsidP="00302385">
      <w:pPr>
        <w:rPr>
          <w:rFonts w:ascii="Arial" w:hAnsi="Arial" w:cs="Arial"/>
          <w:sz w:val="18"/>
          <w:szCs w:val="18"/>
        </w:rPr>
      </w:pPr>
      <w:r w:rsidRPr="00735726">
        <w:rPr>
          <w:rFonts w:ascii="Arial" w:hAnsi="Arial" w:cs="Arial"/>
          <w:sz w:val="18"/>
          <w:szCs w:val="18"/>
        </w:rPr>
        <w:t>During the year, the Company revalidated its near</w:t>
      </w:r>
      <w:r w:rsidRPr="00735726">
        <w:rPr>
          <w:rFonts w:ascii="Cambria Math" w:hAnsi="Cambria Math" w:cs="Cambria Math"/>
          <w:sz w:val="18"/>
          <w:szCs w:val="18"/>
        </w:rPr>
        <w:t>‑</w:t>
      </w:r>
      <w:r w:rsidRPr="00735726">
        <w:rPr>
          <w:rFonts w:ascii="Arial" w:hAnsi="Arial" w:cs="Arial"/>
          <w:sz w:val="18"/>
          <w:szCs w:val="18"/>
        </w:rPr>
        <w:t>term science-based targets in line with the latest climate science, and continued to embed climate considerations into policies, performance monitoring and decision</w:t>
      </w:r>
      <w:r w:rsidRPr="00735726">
        <w:rPr>
          <w:rFonts w:ascii="Cambria Math" w:hAnsi="Cambria Math" w:cs="Cambria Math"/>
          <w:sz w:val="18"/>
          <w:szCs w:val="18"/>
        </w:rPr>
        <w:t>‑</w:t>
      </w:r>
      <w:r w:rsidRPr="00735726">
        <w:rPr>
          <w:rFonts w:ascii="Arial" w:hAnsi="Arial" w:cs="Arial"/>
          <w:sz w:val="18"/>
          <w:szCs w:val="18"/>
        </w:rPr>
        <w:t>making.</w:t>
      </w:r>
    </w:p>
    <w:p w14:paraId="02C75C48" w14:textId="037E5467" w:rsidR="00302385" w:rsidRPr="00735726" w:rsidRDefault="00302385" w:rsidP="00302385">
      <w:pPr>
        <w:rPr>
          <w:rFonts w:ascii="Arial" w:hAnsi="Arial" w:cs="Arial"/>
          <w:sz w:val="18"/>
          <w:szCs w:val="18"/>
        </w:rPr>
      </w:pPr>
      <w:r w:rsidRPr="00735726">
        <w:rPr>
          <w:rFonts w:ascii="Arial" w:hAnsi="Arial" w:cs="Arial"/>
          <w:sz w:val="18"/>
          <w:szCs w:val="18"/>
        </w:rPr>
        <w:t>The Committee also enhanced its oversight of nature</w:t>
      </w:r>
      <w:r w:rsidRPr="00735726">
        <w:rPr>
          <w:rFonts w:ascii="Cambria Math" w:hAnsi="Cambria Math" w:cs="Cambria Math"/>
          <w:sz w:val="18"/>
          <w:szCs w:val="18"/>
        </w:rPr>
        <w:t>‑</w:t>
      </w:r>
      <w:r w:rsidRPr="00735726">
        <w:rPr>
          <w:rFonts w:ascii="Arial" w:hAnsi="Arial" w:cs="Arial"/>
          <w:sz w:val="18"/>
          <w:szCs w:val="18"/>
        </w:rPr>
        <w:t>related risks and opportunities by supporting the Company’s decision to become a Taskforce on Nature</w:t>
      </w:r>
      <w:r w:rsidRPr="00735726">
        <w:rPr>
          <w:rFonts w:ascii="Cambria Math" w:hAnsi="Cambria Math" w:cs="Cambria Math"/>
          <w:sz w:val="18"/>
          <w:szCs w:val="18"/>
        </w:rPr>
        <w:t>‑</w:t>
      </w:r>
      <w:r w:rsidRPr="00735726">
        <w:rPr>
          <w:rFonts w:ascii="Arial" w:hAnsi="Arial" w:cs="Arial"/>
          <w:sz w:val="18"/>
          <w:szCs w:val="18"/>
        </w:rPr>
        <w:t>related Financial Disclosures (TNFD) adopter and overseeing completion of the first stages of a LEAP assessment, helping to strengthen the integration of climate and nature risk into governance processes.</w:t>
      </w:r>
    </w:p>
    <w:p w14:paraId="1ECB49FD" w14:textId="198BB330" w:rsidR="00302385" w:rsidRPr="00735726" w:rsidRDefault="00302385" w:rsidP="00302385">
      <w:pPr>
        <w:rPr>
          <w:rFonts w:ascii="Arial" w:hAnsi="Arial" w:cs="Arial"/>
          <w:sz w:val="18"/>
          <w:szCs w:val="18"/>
        </w:rPr>
      </w:pPr>
      <w:r w:rsidRPr="00735726">
        <w:rPr>
          <w:rFonts w:ascii="Arial" w:hAnsi="Arial" w:cs="Arial"/>
          <w:i/>
          <w:iCs/>
          <w:sz w:val="18"/>
          <w:szCs w:val="18"/>
        </w:rPr>
        <w:t>REPORTING AND ASSURANCE</w:t>
      </w:r>
      <w:r w:rsidRPr="00735726">
        <w:rPr>
          <w:rFonts w:ascii="Arial" w:hAnsi="Arial" w:cs="Arial"/>
          <w:i/>
          <w:iCs/>
          <w:sz w:val="18"/>
          <w:szCs w:val="18"/>
        </w:rPr>
        <w:br/>
      </w:r>
      <w:r w:rsidRPr="00735726">
        <w:rPr>
          <w:rFonts w:ascii="Arial" w:hAnsi="Arial" w:cs="Arial"/>
          <w:sz w:val="18"/>
          <w:szCs w:val="18"/>
        </w:rPr>
        <w:t>The ESG Committee recognises that high</w:t>
      </w:r>
      <w:r w:rsidRPr="00735726">
        <w:rPr>
          <w:rFonts w:ascii="Cambria Math" w:hAnsi="Cambria Math" w:cs="Cambria Math"/>
          <w:sz w:val="18"/>
          <w:szCs w:val="18"/>
        </w:rPr>
        <w:t>‑</w:t>
      </w:r>
      <w:r w:rsidRPr="00735726">
        <w:rPr>
          <w:rFonts w:ascii="Arial" w:hAnsi="Arial" w:cs="Arial"/>
          <w:sz w:val="18"/>
          <w:szCs w:val="18"/>
        </w:rPr>
        <w:t>quality reporting and assurance are essential to maintaining trust and confidence in the Company’s ESG performance and disclosures. During the year, the Committee continued to take an active role in overseeing how ESG information is reported, assured and communicated, ensuring it remains robust, transparent and meaningful for stakeholders.</w:t>
      </w:r>
    </w:p>
    <w:p w14:paraId="4FF67EC2" w14:textId="735D949D" w:rsidR="00302385" w:rsidRPr="00735726" w:rsidRDefault="00302385" w:rsidP="00302385">
      <w:pPr>
        <w:rPr>
          <w:rFonts w:ascii="Arial" w:hAnsi="Arial" w:cs="Arial"/>
          <w:sz w:val="18"/>
          <w:szCs w:val="18"/>
        </w:rPr>
      </w:pPr>
      <w:r w:rsidRPr="00735726">
        <w:rPr>
          <w:rFonts w:ascii="Arial" w:hAnsi="Arial" w:cs="Arial"/>
          <w:sz w:val="18"/>
          <w:szCs w:val="18"/>
        </w:rPr>
        <w:t>ESG disclosures are integrated throughout the</w:t>
      </w:r>
      <w:r w:rsidR="00155C51" w:rsidRPr="00735726">
        <w:rPr>
          <w:rFonts w:ascii="Arial" w:hAnsi="Arial" w:cs="Arial"/>
          <w:sz w:val="18"/>
          <w:szCs w:val="18"/>
        </w:rPr>
        <w:t xml:space="preserve"> Pennon Group plc </w:t>
      </w:r>
      <w:r w:rsidRPr="00735726">
        <w:rPr>
          <w:rFonts w:ascii="Arial" w:hAnsi="Arial" w:cs="Arial"/>
          <w:sz w:val="18"/>
          <w:szCs w:val="18"/>
        </w:rPr>
        <w:t>Annual Report and Accounts</w:t>
      </w:r>
      <w:r w:rsidR="00155C51" w:rsidRPr="00735726">
        <w:rPr>
          <w:rFonts w:ascii="Arial" w:hAnsi="Arial" w:cs="Arial"/>
          <w:sz w:val="18"/>
          <w:szCs w:val="18"/>
        </w:rPr>
        <w:t xml:space="preserve">, available on our parent </w:t>
      </w:r>
      <w:r w:rsidR="003B36A4" w:rsidRPr="00735726">
        <w:rPr>
          <w:rFonts w:ascii="Arial" w:hAnsi="Arial" w:cs="Arial"/>
          <w:sz w:val="18"/>
          <w:szCs w:val="18"/>
        </w:rPr>
        <w:t>C</w:t>
      </w:r>
      <w:r w:rsidR="00155C51" w:rsidRPr="00735726">
        <w:rPr>
          <w:rFonts w:ascii="Arial" w:hAnsi="Arial" w:cs="Arial"/>
          <w:sz w:val="18"/>
          <w:szCs w:val="18"/>
        </w:rPr>
        <w:t xml:space="preserve">ompany’s website, </w:t>
      </w:r>
      <w:r w:rsidRPr="00735726">
        <w:rPr>
          <w:rFonts w:ascii="Arial" w:hAnsi="Arial" w:cs="Arial"/>
          <w:sz w:val="18"/>
          <w:szCs w:val="18"/>
        </w:rPr>
        <w:t>and supported by the ESG Databook, providing greater visibility of performance and progress.</w:t>
      </w:r>
    </w:p>
    <w:p w14:paraId="2FA0B76F" w14:textId="1F586046" w:rsidR="00302385" w:rsidRPr="00735726" w:rsidRDefault="00302385" w:rsidP="00302385">
      <w:pPr>
        <w:rPr>
          <w:rFonts w:ascii="Arial" w:hAnsi="Arial" w:cs="Arial"/>
          <w:sz w:val="18"/>
          <w:szCs w:val="18"/>
        </w:rPr>
      </w:pPr>
      <w:r w:rsidRPr="00735726">
        <w:rPr>
          <w:rFonts w:ascii="Arial" w:hAnsi="Arial" w:cs="Arial"/>
          <w:sz w:val="18"/>
          <w:szCs w:val="18"/>
        </w:rPr>
        <w:t>The Committee also oversaw the continuation of limited independent assurance over selected ESG metrics, providing additional confidence in the accuracy and reliability of reported information. This assurance focuses on the systems, processes and governance that underpin ESG data and is complemented by wider non</w:t>
      </w:r>
      <w:r w:rsidRPr="00735726">
        <w:rPr>
          <w:rFonts w:ascii="Cambria Math" w:hAnsi="Cambria Math" w:cs="Cambria Math"/>
          <w:sz w:val="18"/>
          <w:szCs w:val="18"/>
        </w:rPr>
        <w:t>‑</w:t>
      </w:r>
      <w:r w:rsidRPr="00735726">
        <w:rPr>
          <w:rFonts w:ascii="Arial" w:hAnsi="Arial" w:cs="Arial"/>
          <w:sz w:val="18"/>
          <w:szCs w:val="18"/>
        </w:rPr>
        <w:t>financial assurance activity across the Company’s regulated businesses. The Committee works closely with the Audit Committee to consider assurance findings and ensure that any material issues are appropriately addressed and escalated.</w:t>
      </w:r>
    </w:p>
    <w:p w14:paraId="6ECEB31F" w14:textId="0B630BAF" w:rsidR="00302385" w:rsidRPr="00735726" w:rsidRDefault="00302385" w:rsidP="00302385">
      <w:pPr>
        <w:rPr>
          <w:rFonts w:ascii="Arial" w:hAnsi="Arial" w:cs="Arial"/>
          <w:sz w:val="18"/>
          <w:szCs w:val="18"/>
        </w:rPr>
      </w:pPr>
      <w:r w:rsidRPr="00735726">
        <w:rPr>
          <w:rFonts w:ascii="Arial" w:hAnsi="Arial" w:cs="Arial"/>
          <w:sz w:val="18"/>
          <w:szCs w:val="18"/>
        </w:rPr>
        <w:t>Looking ahead, the Committee is considering the implications of emerging reporting requirements, including the UK Sustainability Reporting Standards (UK SRS) published in February 2026 and currently under consideration by the Financial Conduct Authority (FCA). The Committee will continue to monitor regulatory developments closely to ensure the Company remains well</w:t>
      </w:r>
      <w:r w:rsidRPr="00735726">
        <w:rPr>
          <w:rFonts w:ascii="Cambria Math" w:hAnsi="Cambria Math" w:cs="Cambria Math"/>
          <w:sz w:val="18"/>
          <w:szCs w:val="18"/>
        </w:rPr>
        <w:t>‑</w:t>
      </w:r>
      <w:r w:rsidRPr="00735726">
        <w:rPr>
          <w:rFonts w:ascii="Arial" w:hAnsi="Arial" w:cs="Arial"/>
          <w:sz w:val="18"/>
          <w:szCs w:val="18"/>
        </w:rPr>
        <w:t>prepared and its reporting continues to meet both regulatory and stakeholder expectations as standards evolve.</w:t>
      </w:r>
    </w:p>
    <w:p w14:paraId="4447FB58" w14:textId="77777777" w:rsidR="004F030D" w:rsidRPr="00735726" w:rsidRDefault="004F030D" w:rsidP="0024293B">
      <w:pPr>
        <w:pStyle w:val="Headinglevel4"/>
        <w:spacing w:line="276" w:lineRule="auto"/>
        <w:outlineLvl w:val="0"/>
      </w:pPr>
      <w:r w:rsidRPr="00735726">
        <w:t xml:space="preserve">Benchmarking </w:t>
      </w:r>
    </w:p>
    <w:p w14:paraId="4AE60946" w14:textId="75E28E31" w:rsidR="00302385" w:rsidRPr="00735726" w:rsidRDefault="00302385" w:rsidP="00302385">
      <w:pPr>
        <w:spacing w:after="0"/>
        <w:rPr>
          <w:rFonts w:ascii="Arial" w:hAnsi="Arial" w:cs="Arial"/>
          <w:sz w:val="18"/>
          <w:szCs w:val="18"/>
        </w:rPr>
      </w:pPr>
      <w:r w:rsidRPr="00735726">
        <w:rPr>
          <w:rFonts w:ascii="Arial" w:hAnsi="Arial" w:cs="Arial"/>
          <w:sz w:val="18"/>
          <w:szCs w:val="18"/>
        </w:rPr>
        <w:t>External ratings and benchmarking remain an important element of the ESG Committee’s oversight, providing independent insight into the effectiveness, credibility and ambition of the Company’s ESG performance. These assessments help the Committee understand relative performance, identify emerging best practice and ensure</w:t>
      </w:r>
    </w:p>
    <w:p w14:paraId="46D1714E" w14:textId="36D6E9FB" w:rsidR="00302385" w:rsidRPr="00735726" w:rsidRDefault="00302385" w:rsidP="00302385">
      <w:pPr>
        <w:spacing w:after="0"/>
        <w:rPr>
          <w:rFonts w:ascii="Arial" w:hAnsi="Arial" w:cs="Arial"/>
          <w:sz w:val="18"/>
          <w:szCs w:val="18"/>
        </w:rPr>
      </w:pPr>
      <w:r w:rsidRPr="00735726">
        <w:rPr>
          <w:rFonts w:ascii="Arial" w:hAnsi="Arial" w:cs="Arial"/>
          <w:sz w:val="18"/>
          <w:szCs w:val="18"/>
        </w:rPr>
        <w:t>that external reporting remains relevant, decision</w:t>
      </w:r>
      <w:r w:rsidRPr="00735726">
        <w:rPr>
          <w:rFonts w:ascii="Cambria Math" w:hAnsi="Cambria Math" w:cs="Cambria Math"/>
          <w:sz w:val="18"/>
          <w:szCs w:val="18"/>
        </w:rPr>
        <w:t>‑</w:t>
      </w:r>
      <w:r w:rsidRPr="00735726">
        <w:rPr>
          <w:rFonts w:ascii="Arial" w:hAnsi="Arial" w:cs="Arial"/>
          <w:sz w:val="18"/>
          <w:szCs w:val="18"/>
        </w:rPr>
        <w:t>useful and aligned with stakeholder expectations.</w:t>
      </w:r>
    </w:p>
    <w:p w14:paraId="07174327" w14:textId="77777777" w:rsidR="00302385" w:rsidRPr="00735726" w:rsidRDefault="00302385" w:rsidP="00302385">
      <w:pPr>
        <w:spacing w:after="0"/>
        <w:rPr>
          <w:rFonts w:ascii="Arial" w:hAnsi="Arial" w:cs="Arial"/>
          <w:sz w:val="18"/>
          <w:szCs w:val="18"/>
        </w:rPr>
      </w:pPr>
    </w:p>
    <w:p w14:paraId="042B897E" w14:textId="7AE88BE8" w:rsidR="00302385" w:rsidRPr="00735726" w:rsidRDefault="00302385" w:rsidP="00302385">
      <w:pPr>
        <w:spacing w:after="0"/>
        <w:rPr>
          <w:rFonts w:ascii="Arial" w:hAnsi="Arial" w:cs="Arial"/>
          <w:sz w:val="18"/>
          <w:szCs w:val="18"/>
        </w:rPr>
      </w:pPr>
      <w:r w:rsidRPr="00735726">
        <w:rPr>
          <w:rFonts w:ascii="Arial" w:hAnsi="Arial" w:cs="Arial"/>
          <w:sz w:val="18"/>
          <w:szCs w:val="18"/>
        </w:rPr>
        <w:t xml:space="preserve">During the year, the Committee reviewed ratings across a range of independent ESG rating assessments and benchmarks, using these to inform discussions on ESG performance. The Company continued to demonstrate leading performance across key ESG ratings, including recognition on CDP’s Climate A List and being awarded as an ESG Industry and Regional Leader by Sustainalytics for 2026, with our parent </w:t>
      </w:r>
      <w:r w:rsidR="003B36A4" w:rsidRPr="00735726">
        <w:rPr>
          <w:rFonts w:ascii="Arial" w:hAnsi="Arial" w:cs="Arial"/>
          <w:sz w:val="18"/>
          <w:szCs w:val="18"/>
        </w:rPr>
        <w:t>C</w:t>
      </w:r>
      <w:r w:rsidRPr="00735726">
        <w:rPr>
          <w:rFonts w:ascii="Arial" w:hAnsi="Arial" w:cs="Arial"/>
          <w:sz w:val="18"/>
          <w:szCs w:val="18"/>
        </w:rPr>
        <w:t xml:space="preserve">ompany ranking 1st out of 46 water utilities assessed globally. Additionally, our parent </w:t>
      </w:r>
      <w:r w:rsidR="003B36A4" w:rsidRPr="00735726">
        <w:rPr>
          <w:rFonts w:ascii="Arial" w:hAnsi="Arial" w:cs="Arial"/>
          <w:sz w:val="18"/>
          <w:szCs w:val="18"/>
        </w:rPr>
        <w:t>C</w:t>
      </w:r>
      <w:r w:rsidRPr="00735726">
        <w:rPr>
          <w:rFonts w:ascii="Arial" w:hAnsi="Arial" w:cs="Arial"/>
          <w:sz w:val="18"/>
          <w:szCs w:val="18"/>
        </w:rPr>
        <w:t>ompany’s Board was recently recognised as a FTSE Women Leaders company for Women on Boards across the FTSE 250.</w:t>
      </w:r>
    </w:p>
    <w:p w14:paraId="15906FCE" w14:textId="77777777" w:rsidR="00302385" w:rsidRPr="00735726" w:rsidRDefault="00302385" w:rsidP="00302385">
      <w:pPr>
        <w:spacing w:after="0"/>
        <w:rPr>
          <w:rFonts w:ascii="Arial" w:hAnsi="Arial" w:cs="Arial"/>
          <w:sz w:val="18"/>
          <w:szCs w:val="18"/>
        </w:rPr>
      </w:pPr>
    </w:p>
    <w:p w14:paraId="1630DD26" w14:textId="55ED8125" w:rsidR="00302385" w:rsidRPr="00735726" w:rsidRDefault="00302385" w:rsidP="00302385">
      <w:pPr>
        <w:spacing w:after="0"/>
        <w:rPr>
          <w:rFonts w:ascii="Arial" w:hAnsi="Arial" w:cs="Arial"/>
          <w:sz w:val="18"/>
          <w:szCs w:val="18"/>
        </w:rPr>
      </w:pPr>
      <w:r w:rsidRPr="00735726">
        <w:rPr>
          <w:rFonts w:ascii="Arial" w:hAnsi="Arial" w:cs="Arial"/>
          <w:sz w:val="18"/>
          <w:szCs w:val="18"/>
        </w:rPr>
        <w:t xml:space="preserve">These results provide independent validation of the Company’s progress </w:t>
      </w:r>
      <w:r w:rsidR="006F3AE7" w:rsidRPr="00735726">
        <w:rPr>
          <w:rFonts w:ascii="Arial" w:hAnsi="Arial" w:cs="Arial"/>
          <w:sz w:val="18"/>
          <w:szCs w:val="18"/>
        </w:rPr>
        <w:t>and</w:t>
      </w:r>
      <w:r w:rsidRPr="00735726">
        <w:rPr>
          <w:rFonts w:ascii="Arial" w:hAnsi="Arial" w:cs="Arial"/>
          <w:sz w:val="18"/>
          <w:szCs w:val="18"/>
        </w:rPr>
        <w:t xml:space="preserve"> performance throughout the </w:t>
      </w:r>
      <w:proofErr w:type="gramStart"/>
      <w:r w:rsidRPr="00735726">
        <w:rPr>
          <w:rFonts w:ascii="Arial" w:hAnsi="Arial" w:cs="Arial"/>
          <w:sz w:val="18"/>
          <w:szCs w:val="18"/>
        </w:rPr>
        <w:t>year</w:t>
      </w:r>
      <w:proofErr w:type="gramEnd"/>
      <w:r w:rsidRPr="00735726">
        <w:rPr>
          <w:rFonts w:ascii="Arial" w:hAnsi="Arial" w:cs="Arial"/>
          <w:sz w:val="18"/>
          <w:szCs w:val="18"/>
        </w:rPr>
        <w:t xml:space="preserve"> and it is encouraging to see the Company move from strength to strength across these ratings, reflecting the hard work to embed ESG priorities across the Company.</w:t>
      </w:r>
    </w:p>
    <w:p w14:paraId="2EB43669" w14:textId="0297D772" w:rsidR="003D4809" w:rsidRPr="009A2CAE" w:rsidRDefault="003D4809" w:rsidP="00302385">
      <w:pPr>
        <w:spacing w:after="0"/>
        <w:rPr>
          <w:rFonts w:ascii="Arial" w:hAnsi="Arial" w:cs="Arial"/>
          <w:sz w:val="18"/>
          <w:szCs w:val="18"/>
        </w:rPr>
      </w:pPr>
      <w:r w:rsidRPr="009A2CAE">
        <w:rPr>
          <w:rFonts w:ascii="Arial" w:hAnsi="Arial" w:cs="Arial"/>
          <w:sz w:val="18"/>
          <w:szCs w:val="18"/>
        </w:rPr>
        <w:t xml:space="preserve"> </w:t>
      </w:r>
    </w:p>
    <w:p w14:paraId="04025CFC" w14:textId="34CF018E" w:rsidR="008669EE" w:rsidRPr="00735726" w:rsidRDefault="00BA072B" w:rsidP="0024293B">
      <w:pPr>
        <w:rPr>
          <w:rFonts w:ascii="Arial" w:hAnsi="Arial" w:cs="Arial"/>
          <w:b/>
          <w:bCs/>
          <w:sz w:val="18"/>
          <w:szCs w:val="18"/>
        </w:rPr>
      </w:pPr>
      <w:r w:rsidRPr="00735726">
        <w:rPr>
          <w:rFonts w:ascii="Arial" w:hAnsi="Arial" w:cs="Arial"/>
          <w:b/>
          <w:bCs/>
          <w:sz w:val="18"/>
          <w:szCs w:val="18"/>
        </w:rPr>
        <w:br/>
      </w:r>
    </w:p>
    <w:p w14:paraId="547FC941" w14:textId="390EB354" w:rsidR="004F030D" w:rsidRPr="00735726" w:rsidRDefault="004F030D" w:rsidP="0024293B">
      <w:pPr>
        <w:rPr>
          <w:rFonts w:ascii="Arial" w:hAnsi="Arial" w:cs="Arial"/>
          <w:b/>
          <w:bCs/>
          <w:sz w:val="18"/>
          <w:szCs w:val="18"/>
        </w:rPr>
      </w:pPr>
      <w:r w:rsidRPr="00735726">
        <w:rPr>
          <w:rFonts w:ascii="Arial" w:hAnsi="Arial" w:cs="Arial"/>
          <w:b/>
          <w:bCs/>
          <w:sz w:val="18"/>
          <w:szCs w:val="18"/>
        </w:rPr>
        <w:lastRenderedPageBreak/>
        <w:t xml:space="preserve">FOCUS AREAS FOR </w:t>
      </w:r>
      <w:r w:rsidR="00C741AF" w:rsidRPr="00735726">
        <w:rPr>
          <w:rFonts w:ascii="Arial" w:hAnsi="Arial" w:cs="Arial"/>
          <w:b/>
          <w:bCs/>
          <w:sz w:val="18"/>
          <w:szCs w:val="18"/>
        </w:rPr>
        <w:t>2026/27</w:t>
      </w:r>
    </w:p>
    <w:p w14:paraId="029211E9" w14:textId="29E41C73" w:rsidR="00C741AF" w:rsidRPr="00735726" w:rsidRDefault="00C741AF" w:rsidP="00C741AF">
      <w:pPr>
        <w:rPr>
          <w:rFonts w:ascii="Arial" w:hAnsi="Arial" w:cs="Arial"/>
          <w:sz w:val="18"/>
          <w:szCs w:val="18"/>
        </w:rPr>
      </w:pPr>
      <w:r w:rsidRPr="00735726">
        <w:rPr>
          <w:rFonts w:ascii="Arial" w:hAnsi="Arial" w:cs="Arial"/>
          <w:sz w:val="18"/>
          <w:szCs w:val="18"/>
        </w:rPr>
        <w:t>Looking ahead, the ESG Committee will continue to focus on the following priorities:</w:t>
      </w:r>
    </w:p>
    <w:p w14:paraId="1A86D046" w14:textId="084A691D" w:rsidR="00C741AF" w:rsidRPr="00735726" w:rsidRDefault="00C741AF" w:rsidP="00646F4F">
      <w:pPr>
        <w:pStyle w:val="ListParagraph"/>
        <w:numPr>
          <w:ilvl w:val="0"/>
          <w:numId w:val="105"/>
        </w:numPr>
        <w:spacing w:after="160" w:line="259" w:lineRule="auto"/>
        <w:rPr>
          <w:rFonts w:ascii="Arial" w:hAnsi="Arial" w:cs="Arial"/>
          <w:sz w:val="18"/>
          <w:szCs w:val="18"/>
        </w:rPr>
      </w:pPr>
      <w:r w:rsidRPr="00735726">
        <w:rPr>
          <w:rFonts w:ascii="Arial" w:hAnsi="Arial" w:cs="Arial"/>
          <w:sz w:val="18"/>
          <w:szCs w:val="18"/>
        </w:rPr>
        <w:t>Oversight of delivery against ESG targets for 2025-2030, ensuring sustained progress, appropriate challenge and remediation actions are in place where required.</w:t>
      </w:r>
    </w:p>
    <w:p w14:paraId="039CFF66" w14:textId="4F72E3E7" w:rsidR="00C741AF" w:rsidRPr="00735726" w:rsidRDefault="00C741AF" w:rsidP="00646F4F">
      <w:pPr>
        <w:pStyle w:val="ListParagraph"/>
        <w:numPr>
          <w:ilvl w:val="0"/>
          <w:numId w:val="105"/>
        </w:numPr>
        <w:spacing w:after="160" w:line="259" w:lineRule="auto"/>
        <w:rPr>
          <w:rFonts w:ascii="Arial" w:hAnsi="Arial" w:cs="Arial"/>
          <w:sz w:val="18"/>
          <w:szCs w:val="18"/>
        </w:rPr>
      </w:pPr>
      <w:r w:rsidRPr="00735726">
        <w:rPr>
          <w:rFonts w:ascii="Arial" w:hAnsi="Arial" w:cs="Arial"/>
          <w:sz w:val="18"/>
          <w:szCs w:val="18"/>
        </w:rPr>
        <w:t>Continued development of the Company’s social approach, including assessing the Company’s current approach to social impact and value delivery and outcomes for customers and communities.</w:t>
      </w:r>
    </w:p>
    <w:p w14:paraId="6F99BC1C" w14:textId="6E063DA2" w:rsidR="00C741AF" w:rsidRPr="00735726" w:rsidRDefault="00C741AF" w:rsidP="00646F4F">
      <w:pPr>
        <w:pStyle w:val="ListParagraph"/>
        <w:numPr>
          <w:ilvl w:val="0"/>
          <w:numId w:val="105"/>
        </w:numPr>
        <w:spacing w:after="160" w:line="259" w:lineRule="auto"/>
        <w:rPr>
          <w:rFonts w:ascii="Arial" w:hAnsi="Arial" w:cs="Arial"/>
          <w:sz w:val="18"/>
          <w:szCs w:val="18"/>
        </w:rPr>
      </w:pPr>
      <w:r w:rsidRPr="00735726">
        <w:rPr>
          <w:rFonts w:ascii="Arial" w:hAnsi="Arial" w:cs="Arial"/>
          <w:sz w:val="18"/>
          <w:szCs w:val="18"/>
        </w:rPr>
        <w:t>Deepening oversight of workforce and customer engagement, including continued focus on employee experience, culture, and support for customers in vulnerable circumstances.</w:t>
      </w:r>
    </w:p>
    <w:p w14:paraId="6AC2ED47" w14:textId="3B0888AC" w:rsidR="00C741AF" w:rsidRPr="00735726" w:rsidRDefault="00C741AF" w:rsidP="00646F4F">
      <w:pPr>
        <w:pStyle w:val="ListParagraph"/>
        <w:numPr>
          <w:ilvl w:val="0"/>
          <w:numId w:val="105"/>
        </w:numPr>
        <w:spacing w:after="160" w:line="259" w:lineRule="auto"/>
        <w:rPr>
          <w:rFonts w:ascii="Arial" w:hAnsi="Arial" w:cs="Arial"/>
          <w:sz w:val="18"/>
          <w:szCs w:val="18"/>
        </w:rPr>
      </w:pPr>
      <w:r w:rsidRPr="00735726">
        <w:rPr>
          <w:rFonts w:ascii="Arial" w:hAnsi="Arial" w:cs="Arial"/>
          <w:sz w:val="18"/>
          <w:szCs w:val="18"/>
        </w:rPr>
        <w:t>Publication and oversight of the Company’s formal Climate Transition Plan in 2026/27, aligned to a 1.5°C warming pathway, and continued monitoring of delivery against carbon commitments and science-based targets.</w:t>
      </w:r>
    </w:p>
    <w:p w14:paraId="26E53408" w14:textId="32584DBD" w:rsidR="00C741AF" w:rsidRPr="00735726" w:rsidRDefault="00C741AF" w:rsidP="00646F4F">
      <w:pPr>
        <w:pStyle w:val="ListParagraph"/>
        <w:numPr>
          <w:ilvl w:val="0"/>
          <w:numId w:val="105"/>
        </w:numPr>
        <w:spacing w:after="160" w:line="259" w:lineRule="auto"/>
        <w:rPr>
          <w:rFonts w:ascii="Arial" w:hAnsi="Arial" w:cs="Arial"/>
          <w:sz w:val="18"/>
          <w:szCs w:val="18"/>
        </w:rPr>
      </w:pPr>
      <w:r w:rsidRPr="00735726">
        <w:rPr>
          <w:rFonts w:ascii="Arial" w:hAnsi="Arial" w:cs="Arial"/>
          <w:sz w:val="18"/>
          <w:szCs w:val="18"/>
        </w:rPr>
        <w:t>Further embedding of climate</w:t>
      </w:r>
      <w:r w:rsidRPr="00735726">
        <w:rPr>
          <w:rFonts w:ascii="Cambria Math" w:hAnsi="Cambria Math" w:cs="Cambria Math"/>
          <w:sz w:val="18"/>
          <w:szCs w:val="18"/>
        </w:rPr>
        <w:t>‑</w:t>
      </w:r>
      <w:r w:rsidRPr="00735726">
        <w:rPr>
          <w:rFonts w:ascii="Arial" w:hAnsi="Arial" w:cs="Arial"/>
          <w:sz w:val="18"/>
          <w:szCs w:val="18"/>
        </w:rPr>
        <w:t>related and nature</w:t>
      </w:r>
      <w:r w:rsidRPr="00735726">
        <w:rPr>
          <w:rFonts w:ascii="Cambria Math" w:hAnsi="Cambria Math" w:cs="Cambria Math"/>
          <w:sz w:val="18"/>
          <w:szCs w:val="18"/>
        </w:rPr>
        <w:t>‑</w:t>
      </w:r>
      <w:r w:rsidRPr="00735726">
        <w:rPr>
          <w:rFonts w:ascii="Arial" w:hAnsi="Arial" w:cs="Arial"/>
          <w:sz w:val="18"/>
          <w:szCs w:val="18"/>
        </w:rPr>
        <w:t>related risk into governance and decision</w:t>
      </w:r>
      <w:r w:rsidRPr="00735726">
        <w:rPr>
          <w:rFonts w:ascii="Cambria Math" w:hAnsi="Cambria Math" w:cs="Cambria Math"/>
          <w:sz w:val="18"/>
          <w:szCs w:val="18"/>
        </w:rPr>
        <w:t>‑</w:t>
      </w:r>
      <w:r w:rsidRPr="00735726">
        <w:rPr>
          <w:rFonts w:ascii="Arial" w:hAnsi="Arial" w:cs="Arial"/>
          <w:sz w:val="18"/>
          <w:szCs w:val="18"/>
        </w:rPr>
        <w:t xml:space="preserve">making, including expansion of the scope and maturity of the </w:t>
      </w:r>
      <w:r w:rsidR="00BA072B" w:rsidRPr="00735726">
        <w:rPr>
          <w:rFonts w:ascii="Arial" w:hAnsi="Arial" w:cs="Arial"/>
          <w:sz w:val="18"/>
          <w:szCs w:val="18"/>
        </w:rPr>
        <w:t>Company’s</w:t>
      </w:r>
      <w:r w:rsidRPr="00735726">
        <w:rPr>
          <w:rFonts w:ascii="Arial" w:hAnsi="Arial" w:cs="Arial"/>
          <w:sz w:val="18"/>
          <w:szCs w:val="18"/>
        </w:rPr>
        <w:t xml:space="preserve"> LEAP assessment. </w:t>
      </w:r>
    </w:p>
    <w:p w14:paraId="5166D43F" w14:textId="643FF8CE" w:rsidR="00C741AF" w:rsidRPr="00735726" w:rsidRDefault="00C741AF" w:rsidP="00646F4F">
      <w:pPr>
        <w:pStyle w:val="ListParagraph"/>
        <w:numPr>
          <w:ilvl w:val="0"/>
          <w:numId w:val="105"/>
        </w:numPr>
        <w:spacing w:after="160" w:line="259" w:lineRule="auto"/>
        <w:rPr>
          <w:rFonts w:ascii="Arial" w:hAnsi="Arial" w:cs="Arial"/>
          <w:sz w:val="18"/>
          <w:szCs w:val="18"/>
        </w:rPr>
      </w:pPr>
      <w:r w:rsidRPr="00735726">
        <w:rPr>
          <w:rFonts w:ascii="Arial" w:hAnsi="Arial" w:cs="Arial"/>
          <w:sz w:val="18"/>
          <w:szCs w:val="18"/>
        </w:rPr>
        <w:t>Ongoing review of ESG reporting and regulatory developments, including conducting a gap analysis against the UK SRS and preparing for future implementation requirements.</w:t>
      </w:r>
    </w:p>
    <w:p w14:paraId="382ABA83" w14:textId="7ED66A43" w:rsidR="00C741AF" w:rsidRPr="00735726" w:rsidRDefault="00C741AF" w:rsidP="00646F4F">
      <w:pPr>
        <w:pStyle w:val="ListParagraph"/>
        <w:numPr>
          <w:ilvl w:val="0"/>
          <w:numId w:val="105"/>
        </w:numPr>
        <w:spacing w:after="160" w:line="259" w:lineRule="auto"/>
        <w:rPr>
          <w:rFonts w:ascii="Arial" w:hAnsi="Arial" w:cs="Arial"/>
          <w:sz w:val="18"/>
          <w:szCs w:val="18"/>
        </w:rPr>
      </w:pPr>
      <w:r w:rsidRPr="00735726">
        <w:rPr>
          <w:rFonts w:ascii="Arial" w:hAnsi="Arial" w:cs="Arial"/>
          <w:sz w:val="18"/>
          <w:szCs w:val="18"/>
        </w:rPr>
        <w:t>Continued review of external ESG benchmarking and rating assessments, using insights to inform performance.</w:t>
      </w:r>
    </w:p>
    <w:p w14:paraId="68F8B003" w14:textId="77777777" w:rsidR="00C741AF" w:rsidRPr="00735726" w:rsidRDefault="00C741AF" w:rsidP="00646F4F">
      <w:pPr>
        <w:pStyle w:val="ListParagraph"/>
        <w:numPr>
          <w:ilvl w:val="0"/>
          <w:numId w:val="105"/>
        </w:numPr>
        <w:spacing w:after="160" w:line="259" w:lineRule="auto"/>
        <w:rPr>
          <w:rFonts w:ascii="Arial" w:hAnsi="Arial" w:cs="Arial"/>
          <w:sz w:val="18"/>
          <w:szCs w:val="18"/>
        </w:rPr>
      </w:pPr>
      <w:r w:rsidRPr="00735726">
        <w:rPr>
          <w:rFonts w:ascii="Arial" w:hAnsi="Arial" w:cs="Arial"/>
          <w:sz w:val="18"/>
          <w:szCs w:val="18"/>
        </w:rPr>
        <w:t xml:space="preserve">Continued integration of ESG considerations across the Company, supported by effective reporting to the Board and engagement with other Board Committees. </w:t>
      </w:r>
    </w:p>
    <w:p w14:paraId="221B580E" w14:textId="647B4AFD" w:rsidR="004F030D" w:rsidRPr="00735726" w:rsidRDefault="004F030D" w:rsidP="00646F4F">
      <w:pPr>
        <w:pStyle w:val="ListParagraph"/>
        <w:numPr>
          <w:ilvl w:val="0"/>
          <w:numId w:val="105"/>
        </w:numPr>
        <w:spacing w:after="160" w:line="259" w:lineRule="auto"/>
        <w:rPr>
          <w:rFonts w:ascii="Arial" w:hAnsi="Arial" w:cs="Arial"/>
          <w:sz w:val="18"/>
          <w:szCs w:val="18"/>
        </w:rPr>
      </w:pPr>
      <w:r w:rsidRPr="00735726">
        <w:rPr>
          <w:rFonts w:ascii="Arial" w:hAnsi="Arial" w:cs="Arial"/>
          <w:sz w:val="18"/>
          <w:szCs w:val="18"/>
        </w:rPr>
        <w:br w:type="page"/>
      </w:r>
    </w:p>
    <w:bookmarkEnd w:id="41"/>
    <w:p w14:paraId="0E0DE023" w14:textId="5F04C7A1" w:rsidR="004F030D" w:rsidRPr="00735726" w:rsidRDefault="004F030D" w:rsidP="004F030D">
      <w:pPr>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 xml:space="preserve">Health </w:t>
      </w:r>
      <w:r w:rsidR="005A1346" w:rsidRPr="00735726">
        <w:rPr>
          <w:rFonts w:ascii="Arial" w:eastAsia="Times New Roman" w:hAnsi="Arial" w:cs="DINOT"/>
          <w:caps/>
          <w:color w:val="000000"/>
          <w:sz w:val="32"/>
          <w:szCs w:val="32"/>
        </w:rPr>
        <w:t>AND</w:t>
      </w:r>
      <w:r w:rsidRPr="00735726">
        <w:rPr>
          <w:rFonts w:ascii="Arial" w:eastAsia="Times New Roman" w:hAnsi="Arial" w:cs="DINOT"/>
          <w:caps/>
          <w:color w:val="000000"/>
          <w:sz w:val="32"/>
          <w:szCs w:val="32"/>
        </w:rPr>
        <w:t xml:space="preserve"> Safety Committee Report</w:t>
      </w:r>
    </w:p>
    <w:p w14:paraId="455C6A64" w14:textId="77777777" w:rsidR="004F030D" w:rsidRPr="00735726" w:rsidRDefault="004F030D" w:rsidP="004F030D">
      <w:pPr>
        <w:pStyle w:val="AccountsHeading"/>
        <w:spacing w:line="276" w:lineRule="auto"/>
        <w:rPr>
          <w:rFonts w:cs="DINOT-Light"/>
          <w:b/>
          <w:bCs/>
          <w:caps w:val="0"/>
          <w:sz w:val="18"/>
          <w:szCs w:val="18"/>
        </w:rPr>
      </w:pPr>
      <w:r w:rsidRPr="00735726">
        <w:rPr>
          <w:rFonts w:cs="DINOT-Light"/>
          <w:b/>
          <w:bCs/>
          <w:caps w:val="0"/>
          <w:sz w:val="18"/>
          <w:szCs w:val="18"/>
        </w:rPr>
        <w:t>THE HEALTH AND SAFETY COMMITTEE PROMOTES A CULTURE OF SAFETY WITHIN THE COMPANY.</w:t>
      </w:r>
    </w:p>
    <w:p w14:paraId="056A69B4" w14:textId="77777777" w:rsidR="004F030D" w:rsidRPr="009A2CAE" w:rsidRDefault="004F030D" w:rsidP="004F030D">
      <w:pPr>
        <w:pStyle w:val="AccountsHeading"/>
        <w:spacing w:line="276" w:lineRule="auto"/>
        <w:rPr>
          <w:rFonts w:cs="DINOT-Light"/>
          <w:b/>
          <w:bCs/>
          <w:caps w:val="0"/>
          <w:sz w:val="18"/>
          <w:szCs w:val="1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06"/>
        <w:gridCol w:w="2556"/>
        <w:gridCol w:w="1139"/>
      </w:tblGrid>
      <w:tr w:rsidR="00CB32CE" w:rsidRPr="00735726" w14:paraId="07847327" w14:textId="77777777" w:rsidTr="00881565">
        <w:trPr>
          <w:trHeight w:val="295"/>
          <w:tblHeader/>
        </w:trPr>
        <w:tc>
          <w:tcPr>
            <w:tcW w:w="310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5E65DD07" w14:textId="75A94615" w:rsidR="00CB32CE" w:rsidRPr="00735726" w:rsidRDefault="00CB32CE" w:rsidP="00CB32CE">
            <w:pPr>
              <w:pStyle w:val="03body"/>
              <w:spacing w:line="360" w:lineRule="auto"/>
              <w:rPr>
                <w:b/>
              </w:rPr>
            </w:pPr>
            <w:r w:rsidRPr="00735726">
              <w:rPr>
                <w:b/>
              </w:rPr>
              <w:t>Membership</w:t>
            </w:r>
          </w:p>
        </w:tc>
        <w:tc>
          <w:tcPr>
            <w:tcW w:w="255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04DD500E" w14:textId="6AE19B54" w:rsidR="00CB32CE" w:rsidRPr="00735726" w:rsidRDefault="00CB32CE" w:rsidP="00CB32CE">
            <w:pPr>
              <w:pStyle w:val="03body"/>
              <w:spacing w:line="360" w:lineRule="auto"/>
              <w:rPr>
                <w:b/>
              </w:rPr>
            </w:pPr>
            <w:r w:rsidRPr="00735726">
              <w:rPr>
                <w:b/>
              </w:rPr>
              <w:t>Role</w:t>
            </w:r>
          </w:p>
        </w:tc>
        <w:tc>
          <w:tcPr>
            <w:tcW w:w="1139" w:type="dxa"/>
            <w:tcBorders>
              <w:top w:val="single" w:sz="4" w:space="0" w:color="auto"/>
              <w:left w:val="single" w:sz="4" w:space="0" w:color="auto"/>
              <w:bottom w:val="single" w:sz="4" w:space="0" w:color="auto"/>
              <w:right w:val="single" w:sz="4" w:space="0" w:color="auto"/>
            </w:tcBorders>
            <w:hideMark/>
          </w:tcPr>
          <w:p w14:paraId="3954DBE3" w14:textId="5E861E62" w:rsidR="00CB32CE" w:rsidRPr="00735726" w:rsidRDefault="00CB32CE" w:rsidP="00CB32CE">
            <w:pPr>
              <w:pStyle w:val="03body"/>
              <w:spacing w:line="360" w:lineRule="auto"/>
              <w:rPr>
                <w:b/>
              </w:rPr>
            </w:pPr>
            <w:r w:rsidRPr="00735726">
              <w:rPr>
                <w:b/>
              </w:rPr>
              <w:t>Attendance</w:t>
            </w:r>
          </w:p>
        </w:tc>
      </w:tr>
      <w:tr w:rsidR="00CB32CE" w:rsidRPr="00735726" w14:paraId="31306C08" w14:textId="77777777" w:rsidTr="00881565">
        <w:trPr>
          <w:trHeight w:val="295"/>
          <w:tblHeader/>
        </w:trPr>
        <w:tc>
          <w:tcPr>
            <w:tcW w:w="310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tcPr>
          <w:p w14:paraId="7F4250EB" w14:textId="2AA5742B" w:rsidR="00CB32CE" w:rsidRPr="00735726" w:rsidRDefault="00CB32CE" w:rsidP="00CB32CE">
            <w:pPr>
              <w:pStyle w:val="03body"/>
              <w:spacing w:line="360" w:lineRule="auto"/>
              <w:rPr>
                <w:b/>
              </w:rPr>
            </w:pPr>
            <w:r w:rsidRPr="00735726">
              <w:rPr>
                <w:b/>
              </w:rPr>
              <w:t>Jon Butterworth</w:t>
            </w:r>
          </w:p>
        </w:tc>
        <w:tc>
          <w:tcPr>
            <w:tcW w:w="255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tcPr>
          <w:p w14:paraId="2E273897" w14:textId="7B872247" w:rsidR="00CB32CE" w:rsidRPr="00735726" w:rsidRDefault="00CB32CE" w:rsidP="00CB32CE">
            <w:pPr>
              <w:pStyle w:val="03body"/>
              <w:spacing w:line="360" w:lineRule="auto"/>
              <w:rPr>
                <w:b/>
              </w:rPr>
            </w:pPr>
            <w:r w:rsidRPr="00735726">
              <w:t>Chair</w:t>
            </w:r>
          </w:p>
        </w:tc>
        <w:tc>
          <w:tcPr>
            <w:tcW w:w="1139" w:type="dxa"/>
            <w:tcBorders>
              <w:top w:val="single" w:sz="4" w:space="0" w:color="auto"/>
              <w:left w:val="single" w:sz="4" w:space="0" w:color="auto"/>
              <w:bottom w:val="single" w:sz="4" w:space="0" w:color="auto"/>
              <w:right w:val="single" w:sz="4" w:space="0" w:color="auto"/>
            </w:tcBorders>
          </w:tcPr>
          <w:p w14:paraId="31B2BE04" w14:textId="2B2E74C6" w:rsidR="00CB32CE" w:rsidRPr="00735726" w:rsidRDefault="007E2E14" w:rsidP="00773E65">
            <w:pPr>
              <w:pStyle w:val="03body"/>
              <w:tabs>
                <w:tab w:val="left" w:pos="871"/>
              </w:tabs>
              <w:spacing w:line="360" w:lineRule="auto"/>
            </w:pPr>
            <w:r w:rsidRPr="00735726">
              <w:t>2</w:t>
            </w:r>
            <w:r w:rsidR="00C741AF" w:rsidRPr="00735726">
              <w:t>/2</w:t>
            </w:r>
          </w:p>
        </w:tc>
      </w:tr>
      <w:tr w:rsidR="007E2E14" w:rsidRPr="00735726" w14:paraId="0B5F99B2" w14:textId="77777777" w:rsidTr="00881565">
        <w:trPr>
          <w:trHeight w:val="226"/>
        </w:trPr>
        <w:tc>
          <w:tcPr>
            <w:tcW w:w="3106" w:type="dxa"/>
            <w:tcBorders>
              <w:top w:val="single" w:sz="4" w:space="0" w:color="auto"/>
              <w:left w:val="single" w:sz="4" w:space="0" w:color="auto"/>
              <w:bottom w:val="single" w:sz="4" w:space="0" w:color="auto"/>
              <w:right w:val="single" w:sz="4" w:space="0" w:color="auto"/>
            </w:tcBorders>
          </w:tcPr>
          <w:p w14:paraId="29AD3ACF" w14:textId="3042AD11" w:rsidR="007E2E14" w:rsidRPr="00735726" w:rsidRDefault="007E2E14" w:rsidP="007E2E14">
            <w:pPr>
              <w:pStyle w:val="03body"/>
              <w:spacing w:line="360" w:lineRule="auto"/>
              <w:rPr>
                <w:vertAlign w:val="superscript"/>
              </w:rPr>
            </w:pPr>
            <w:r w:rsidRPr="00735726">
              <w:t>Iain Evans</w:t>
            </w:r>
            <w:r w:rsidR="00C741AF" w:rsidRPr="00735726">
              <w:rPr>
                <w:vertAlign w:val="superscript"/>
              </w:rPr>
              <w:t>1</w:t>
            </w:r>
          </w:p>
        </w:tc>
        <w:tc>
          <w:tcPr>
            <w:tcW w:w="2556" w:type="dxa"/>
            <w:tcBorders>
              <w:top w:val="single" w:sz="4" w:space="0" w:color="auto"/>
              <w:left w:val="single" w:sz="4" w:space="0" w:color="auto"/>
              <w:bottom w:val="single" w:sz="4" w:space="0" w:color="auto"/>
              <w:right w:val="single" w:sz="4" w:space="0" w:color="auto"/>
            </w:tcBorders>
          </w:tcPr>
          <w:p w14:paraId="75B5F11C" w14:textId="0162923A" w:rsidR="007E2E14" w:rsidRPr="00735726" w:rsidRDefault="007E2E14" w:rsidP="007E2E14">
            <w:pPr>
              <w:pStyle w:val="03body"/>
              <w:spacing w:line="360" w:lineRule="auto"/>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5FEFBE2C" w14:textId="68977CBD" w:rsidR="007E2E14" w:rsidRPr="00735726" w:rsidRDefault="007E2E14" w:rsidP="007E2E14">
            <w:pPr>
              <w:pStyle w:val="03body"/>
              <w:spacing w:line="360" w:lineRule="auto"/>
            </w:pPr>
            <w:r w:rsidRPr="00735726">
              <w:t>2</w:t>
            </w:r>
            <w:r w:rsidR="00C741AF" w:rsidRPr="00735726">
              <w:t>/2</w:t>
            </w:r>
          </w:p>
        </w:tc>
      </w:tr>
      <w:tr w:rsidR="00BA072B" w:rsidRPr="00735726" w14:paraId="6139D3A3" w14:textId="77777777" w:rsidTr="00881565">
        <w:trPr>
          <w:trHeight w:val="226"/>
        </w:trPr>
        <w:tc>
          <w:tcPr>
            <w:tcW w:w="3106" w:type="dxa"/>
            <w:tcBorders>
              <w:top w:val="single" w:sz="4" w:space="0" w:color="auto"/>
              <w:left w:val="single" w:sz="4" w:space="0" w:color="auto"/>
              <w:bottom w:val="single" w:sz="4" w:space="0" w:color="auto"/>
              <w:right w:val="single" w:sz="4" w:space="0" w:color="auto"/>
            </w:tcBorders>
          </w:tcPr>
          <w:p w14:paraId="5EFA6154" w14:textId="160D3331" w:rsidR="00BA072B" w:rsidRPr="00735726" w:rsidRDefault="00BA072B" w:rsidP="00BA072B">
            <w:pPr>
              <w:pStyle w:val="03body"/>
              <w:spacing w:line="360" w:lineRule="auto"/>
            </w:pPr>
            <w:r w:rsidRPr="00735726">
              <w:t>Loraine Woodhouse</w:t>
            </w:r>
          </w:p>
        </w:tc>
        <w:tc>
          <w:tcPr>
            <w:tcW w:w="2556" w:type="dxa"/>
            <w:tcBorders>
              <w:top w:val="single" w:sz="4" w:space="0" w:color="auto"/>
              <w:left w:val="single" w:sz="4" w:space="0" w:color="auto"/>
              <w:bottom w:val="single" w:sz="4" w:space="0" w:color="auto"/>
              <w:right w:val="single" w:sz="4" w:space="0" w:color="auto"/>
            </w:tcBorders>
          </w:tcPr>
          <w:p w14:paraId="4674B60C" w14:textId="6263B9C3" w:rsidR="00BA072B" w:rsidRPr="00735726" w:rsidRDefault="00BA072B" w:rsidP="00BA072B">
            <w:pPr>
              <w:pStyle w:val="03body"/>
              <w:spacing w:line="360" w:lineRule="auto"/>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0678BEBC" w14:textId="26DA4BA7" w:rsidR="00BA072B" w:rsidRPr="00735726" w:rsidRDefault="00BA072B" w:rsidP="00BA072B">
            <w:pPr>
              <w:pStyle w:val="03body"/>
              <w:spacing w:line="360" w:lineRule="auto"/>
            </w:pPr>
            <w:r w:rsidRPr="00735726">
              <w:t>2/2</w:t>
            </w:r>
          </w:p>
        </w:tc>
      </w:tr>
      <w:tr w:rsidR="00BA072B" w:rsidRPr="00735726" w14:paraId="2A96FF05" w14:textId="77777777" w:rsidTr="00881565">
        <w:trPr>
          <w:trHeight w:val="226"/>
        </w:trPr>
        <w:tc>
          <w:tcPr>
            <w:tcW w:w="3106" w:type="dxa"/>
            <w:tcBorders>
              <w:top w:val="single" w:sz="4" w:space="0" w:color="auto"/>
              <w:left w:val="single" w:sz="4" w:space="0" w:color="auto"/>
              <w:bottom w:val="single" w:sz="4" w:space="0" w:color="auto"/>
              <w:right w:val="single" w:sz="4" w:space="0" w:color="auto"/>
            </w:tcBorders>
          </w:tcPr>
          <w:p w14:paraId="47FE42D1" w14:textId="16993D5F" w:rsidR="00BA072B" w:rsidRPr="00735726" w:rsidRDefault="00BA072B" w:rsidP="00BA072B">
            <w:pPr>
              <w:pStyle w:val="03body"/>
              <w:spacing w:line="360" w:lineRule="auto"/>
              <w:rPr>
                <w:vertAlign w:val="superscript"/>
              </w:rPr>
            </w:pPr>
            <w:r w:rsidRPr="00735726">
              <w:t>Susan Davy</w:t>
            </w:r>
            <w:r w:rsidRPr="00735726">
              <w:rPr>
                <w:vertAlign w:val="superscript"/>
              </w:rPr>
              <w:t>2</w:t>
            </w:r>
          </w:p>
        </w:tc>
        <w:tc>
          <w:tcPr>
            <w:tcW w:w="2556" w:type="dxa"/>
            <w:tcBorders>
              <w:top w:val="single" w:sz="4" w:space="0" w:color="auto"/>
              <w:left w:val="single" w:sz="4" w:space="0" w:color="auto"/>
              <w:bottom w:val="single" w:sz="4" w:space="0" w:color="auto"/>
              <w:right w:val="single" w:sz="4" w:space="0" w:color="auto"/>
            </w:tcBorders>
          </w:tcPr>
          <w:p w14:paraId="00562BC3" w14:textId="0FD42FC5" w:rsidR="00BA072B" w:rsidRPr="00735726" w:rsidRDefault="00BA072B" w:rsidP="00BA072B">
            <w:pPr>
              <w:pStyle w:val="03body"/>
              <w:spacing w:line="360" w:lineRule="auto"/>
            </w:pPr>
            <w:r w:rsidRPr="00735726">
              <w:t>Chief Executive Officer</w:t>
            </w:r>
          </w:p>
        </w:tc>
        <w:tc>
          <w:tcPr>
            <w:tcW w:w="1139" w:type="dxa"/>
            <w:tcBorders>
              <w:top w:val="single" w:sz="4" w:space="0" w:color="auto"/>
              <w:left w:val="single" w:sz="4" w:space="0" w:color="auto"/>
              <w:bottom w:val="single" w:sz="4" w:space="0" w:color="auto"/>
              <w:right w:val="single" w:sz="4" w:space="0" w:color="auto"/>
            </w:tcBorders>
          </w:tcPr>
          <w:p w14:paraId="04D99788" w14:textId="37FD9E2F" w:rsidR="00BA072B" w:rsidRPr="00735726" w:rsidRDefault="00BA072B" w:rsidP="00BA072B">
            <w:pPr>
              <w:pStyle w:val="03body"/>
              <w:spacing w:line="360" w:lineRule="auto"/>
            </w:pPr>
            <w:r w:rsidRPr="00735726">
              <w:t>2/2</w:t>
            </w:r>
          </w:p>
        </w:tc>
      </w:tr>
      <w:tr w:rsidR="00BA072B" w:rsidRPr="00735726" w14:paraId="31F6E5F4" w14:textId="77777777" w:rsidTr="00881565">
        <w:trPr>
          <w:trHeight w:val="226"/>
        </w:trPr>
        <w:tc>
          <w:tcPr>
            <w:tcW w:w="3106" w:type="dxa"/>
            <w:tcBorders>
              <w:top w:val="single" w:sz="4" w:space="0" w:color="auto"/>
              <w:left w:val="single" w:sz="4" w:space="0" w:color="auto"/>
              <w:bottom w:val="single" w:sz="4" w:space="0" w:color="auto"/>
              <w:right w:val="single" w:sz="4" w:space="0" w:color="auto"/>
            </w:tcBorders>
          </w:tcPr>
          <w:p w14:paraId="7DC23705" w14:textId="5CE16E8B" w:rsidR="00BA072B" w:rsidRPr="00735726" w:rsidRDefault="00BA072B" w:rsidP="00BA072B">
            <w:pPr>
              <w:pStyle w:val="03body"/>
              <w:spacing w:line="360" w:lineRule="auto"/>
              <w:rPr>
                <w:vertAlign w:val="superscript"/>
              </w:rPr>
            </w:pPr>
            <w:r w:rsidRPr="00735726">
              <w:t>Laura Flowerdew</w:t>
            </w:r>
          </w:p>
        </w:tc>
        <w:tc>
          <w:tcPr>
            <w:tcW w:w="2556" w:type="dxa"/>
            <w:tcBorders>
              <w:top w:val="single" w:sz="4" w:space="0" w:color="auto"/>
              <w:left w:val="single" w:sz="4" w:space="0" w:color="auto"/>
              <w:bottom w:val="single" w:sz="4" w:space="0" w:color="auto"/>
              <w:right w:val="single" w:sz="4" w:space="0" w:color="auto"/>
            </w:tcBorders>
          </w:tcPr>
          <w:p w14:paraId="1EC5AA6D" w14:textId="5A394C44" w:rsidR="00BA072B" w:rsidRPr="00735726" w:rsidRDefault="00BA072B" w:rsidP="00BA072B">
            <w:pPr>
              <w:pStyle w:val="03body"/>
              <w:spacing w:line="360" w:lineRule="auto"/>
            </w:pPr>
            <w:r w:rsidRPr="00735726">
              <w:t>Chief Financial Officer</w:t>
            </w:r>
          </w:p>
        </w:tc>
        <w:tc>
          <w:tcPr>
            <w:tcW w:w="1139" w:type="dxa"/>
            <w:tcBorders>
              <w:top w:val="single" w:sz="4" w:space="0" w:color="auto"/>
              <w:left w:val="single" w:sz="4" w:space="0" w:color="auto"/>
              <w:bottom w:val="single" w:sz="4" w:space="0" w:color="auto"/>
              <w:right w:val="single" w:sz="4" w:space="0" w:color="auto"/>
            </w:tcBorders>
          </w:tcPr>
          <w:p w14:paraId="2027CD2C" w14:textId="797656C8" w:rsidR="00BA072B" w:rsidRPr="00735726" w:rsidRDefault="00BA072B" w:rsidP="00BA072B">
            <w:pPr>
              <w:pStyle w:val="03body"/>
              <w:spacing w:line="360" w:lineRule="auto"/>
            </w:pPr>
            <w:r w:rsidRPr="00735726">
              <w:t>2/2</w:t>
            </w:r>
          </w:p>
        </w:tc>
      </w:tr>
    </w:tbl>
    <w:p w14:paraId="3F2F020A" w14:textId="77777777" w:rsidR="00C741AF" w:rsidRPr="00735726" w:rsidRDefault="00C741AF" w:rsidP="00C741AF">
      <w:pPr>
        <w:pStyle w:val="AccountsHeading"/>
        <w:spacing w:line="276" w:lineRule="auto"/>
        <w:ind w:left="720"/>
        <w:rPr>
          <w:rFonts w:cs="DINOT-Light"/>
          <w:caps w:val="0"/>
          <w:sz w:val="14"/>
          <w:szCs w:val="14"/>
        </w:rPr>
      </w:pPr>
      <w:r w:rsidRPr="00735726">
        <w:rPr>
          <w:rFonts w:cs="DINOT-Light"/>
          <w:caps w:val="0"/>
          <w:sz w:val="14"/>
          <w:szCs w:val="14"/>
        </w:rPr>
        <w:t>1.  Resigned 31 March 2026</w:t>
      </w:r>
    </w:p>
    <w:p w14:paraId="0FCBA2AD" w14:textId="57DE40CA" w:rsidR="00C741AF" w:rsidRPr="00735726" w:rsidRDefault="00C741AF" w:rsidP="00C741AF">
      <w:pPr>
        <w:pStyle w:val="AccountsHeading"/>
        <w:spacing w:line="276" w:lineRule="auto"/>
        <w:ind w:left="720"/>
        <w:rPr>
          <w:rFonts w:cs="DINOT-Light"/>
          <w:caps w:val="0"/>
          <w:sz w:val="14"/>
          <w:szCs w:val="14"/>
        </w:rPr>
      </w:pPr>
      <w:r w:rsidRPr="00735726">
        <w:rPr>
          <w:rFonts w:cs="DINOT-Light"/>
          <w:caps w:val="0"/>
          <w:sz w:val="14"/>
          <w:szCs w:val="14"/>
        </w:rPr>
        <w:t>2. Resigned 31 December 2025</w:t>
      </w:r>
    </w:p>
    <w:p w14:paraId="335BFC68" w14:textId="77777777" w:rsidR="00C741AF" w:rsidRPr="00735726" w:rsidRDefault="00C741AF" w:rsidP="00C741AF">
      <w:pPr>
        <w:pStyle w:val="AccountsHeading"/>
        <w:spacing w:line="276" w:lineRule="auto"/>
        <w:ind w:left="720"/>
        <w:rPr>
          <w:rFonts w:cs="DINOT-Light"/>
          <w:caps w:val="0"/>
          <w:sz w:val="12"/>
          <w:szCs w:val="12"/>
        </w:rPr>
      </w:pPr>
    </w:p>
    <w:p w14:paraId="20314F92" w14:textId="5D39B488" w:rsidR="00C741AF" w:rsidRPr="00735726" w:rsidRDefault="00C741AF" w:rsidP="00C741AF">
      <w:pPr>
        <w:rPr>
          <w:rFonts w:ascii="Arial" w:hAnsi="Arial" w:cs="Arial"/>
          <w:i/>
          <w:iCs/>
          <w:sz w:val="18"/>
          <w:szCs w:val="18"/>
        </w:rPr>
      </w:pPr>
      <w:r w:rsidRPr="00735726">
        <w:rPr>
          <w:rFonts w:ascii="Arial" w:hAnsi="Arial" w:cs="Arial"/>
          <w:sz w:val="18"/>
          <w:szCs w:val="18"/>
        </w:rPr>
        <w:t xml:space="preserve">Keith Haslett and Sir Andrew Haines became members of the Health and Safety Committee effective </w:t>
      </w:r>
      <w:r w:rsidR="003955FB" w:rsidRPr="00735726">
        <w:rPr>
          <w:rFonts w:ascii="Arial" w:hAnsi="Arial" w:cs="Arial"/>
          <w:sz w:val="18"/>
          <w:szCs w:val="18"/>
        </w:rPr>
        <w:t xml:space="preserve">19 May 2026 and </w:t>
      </w:r>
      <w:r w:rsidRPr="00735726">
        <w:rPr>
          <w:rFonts w:ascii="Arial" w:hAnsi="Arial" w:cs="Arial"/>
          <w:sz w:val="18"/>
          <w:szCs w:val="18"/>
        </w:rPr>
        <w:t>1 April 2026</w:t>
      </w:r>
      <w:r w:rsidR="003955FB" w:rsidRPr="00735726">
        <w:rPr>
          <w:rFonts w:ascii="Arial" w:hAnsi="Arial" w:cs="Arial"/>
          <w:sz w:val="18"/>
          <w:szCs w:val="18"/>
        </w:rPr>
        <w:t xml:space="preserve"> respectively</w:t>
      </w:r>
      <w:r w:rsidRPr="00735726">
        <w:rPr>
          <w:rFonts w:ascii="Arial" w:hAnsi="Arial" w:cs="Arial"/>
          <w:sz w:val="18"/>
          <w:szCs w:val="18"/>
        </w:rPr>
        <w:t>.</w:t>
      </w:r>
      <w:r w:rsidRPr="00735726">
        <w:rPr>
          <w:rFonts w:ascii="Arial" w:hAnsi="Arial" w:cs="Arial"/>
          <w:i/>
          <w:iCs/>
          <w:sz w:val="18"/>
          <w:szCs w:val="18"/>
        </w:rPr>
        <w:t xml:space="preserve"> </w:t>
      </w:r>
    </w:p>
    <w:p w14:paraId="3848381A" w14:textId="62C6FC0F" w:rsidR="0049008F" w:rsidRPr="00735726" w:rsidRDefault="0049008F" w:rsidP="005A5668">
      <w:pPr>
        <w:rPr>
          <w:rFonts w:ascii="Arial" w:eastAsia="Times New Roman" w:hAnsi="Arial" w:cs="DINOT-Light"/>
          <w:color w:val="000000"/>
          <w:sz w:val="18"/>
          <w:szCs w:val="18"/>
        </w:rPr>
      </w:pPr>
      <w:r w:rsidRPr="00735726">
        <w:rPr>
          <w:rFonts w:ascii="Arial" w:hAnsi="Arial" w:cs="Arial"/>
          <w:i/>
          <w:iCs/>
          <w:sz w:val="18"/>
          <w:szCs w:val="18"/>
        </w:rPr>
        <w:t xml:space="preserve">THE COMMITTEE’S FOCUS FOR </w:t>
      </w:r>
      <w:r w:rsidR="00C741AF" w:rsidRPr="00735726">
        <w:rPr>
          <w:rFonts w:ascii="Arial" w:hAnsi="Arial" w:cs="Arial"/>
          <w:i/>
          <w:iCs/>
          <w:sz w:val="18"/>
          <w:szCs w:val="18"/>
        </w:rPr>
        <w:t>2025/26</w:t>
      </w:r>
      <w:r w:rsidR="003B6FB7" w:rsidRPr="00735726">
        <w:rPr>
          <w:rFonts w:ascii="Arial" w:hAnsi="Arial" w:cs="Arial"/>
          <w:i/>
          <w:iCs/>
          <w:sz w:val="18"/>
          <w:szCs w:val="18"/>
        </w:rPr>
        <w:br/>
      </w:r>
      <w:r w:rsidRPr="00735726">
        <w:rPr>
          <w:rFonts w:ascii="Arial" w:eastAsia="Times New Roman" w:hAnsi="Arial" w:cs="DINOT-Light"/>
          <w:color w:val="000000"/>
          <w:sz w:val="18"/>
          <w:szCs w:val="18"/>
        </w:rPr>
        <w:t xml:space="preserve">During the year, the Committee considered a wide range of matters </w:t>
      </w:r>
      <w:proofErr w:type="gramStart"/>
      <w:r w:rsidRPr="00735726">
        <w:rPr>
          <w:rFonts w:ascii="Arial" w:eastAsia="Times New Roman" w:hAnsi="Arial" w:cs="DINOT-Light"/>
          <w:color w:val="000000"/>
          <w:sz w:val="18"/>
          <w:szCs w:val="18"/>
        </w:rPr>
        <w:t>in the course of</w:t>
      </w:r>
      <w:proofErr w:type="gramEnd"/>
      <w:r w:rsidRPr="00735726">
        <w:rPr>
          <w:rFonts w:ascii="Arial" w:eastAsia="Times New Roman" w:hAnsi="Arial" w:cs="DINOT-Light"/>
          <w:color w:val="000000"/>
          <w:sz w:val="18"/>
          <w:szCs w:val="18"/>
        </w:rPr>
        <w:t xml:space="preserve"> fulfilling its duties in accordance with its terms of reference:</w:t>
      </w:r>
    </w:p>
    <w:p w14:paraId="50BD1409" w14:textId="41AFDAE8" w:rsidR="0049008F" w:rsidRPr="00735726" w:rsidRDefault="0049008F" w:rsidP="00646F4F">
      <w:pPr>
        <w:pStyle w:val="ListParagraph"/>
        <w:numPr>
          <w:ilvl w:val="0"/>
          <w:numId w:val="54"/>
        </w:numPr>
        <w:spacing w:after="0"/>
        <w:rPr>
          <w:rFonts w:ascii="Arial" w:hAnsi="Arial" w:cs="Arial"/>
          <w:sz w:val="18"/>
          <w:szCs w:val="18"/>
        </w:rPr>
      </w:pPr>
      <w:r w:rsidRPr="00735726">
        <w:rPr>
          <w:rFonts w:ascii="Arial" w:hAnsi="Arial" w:cs="Arial"/>
          <w:sz w:val="18"/>
          <w:szCs w:val="18"/>
        </w:rPr>
        <w:t>Half</w:t>
      </w:r>
      <w:r w:rsidR="00C741AF" w:rsidRPr="00735726">
        <w:rPr>
          <w:rFonts w:ascii="Arial" w:hAnsi="Arial" w:cs="Arial"/>
          <w:sz w:val="18"/>
          <w:szCs w:val="18"/>
        </w:rPr>
        <w:t>-</w:t>
      </w:r>
      <w:r w:rsidRPr="00735726">
        <w:rPr>
          <w:rFonts w:ascii="Arial" w:hAnsi="Arial" w:cs="Arial"/>
          <w:sz w:val="18"/>
          <w:szCs w:val="18"/>
        </w:rPr>
        <w:t xml:space="preserve">yearly comprehensive reviews of the Company’s Health </w:t>
      </w:r>
      <w:r w:rsidR="00C741AF" w:rsidRPr="00735726">
        <w:rPr>
          <w:rFonts w:ascii="Arial" w:hAnsi="Arial" w:cs="Arial"/>
          <w:sz w:val="18"/>
          <w:szCs w:val="18"/>
        </w:rPr>
        <w:t>and</w:t>
      </w:r>
      <w:r w:rsidRPr="00735726">
        <w:rPr>
          <w:rFonts w:ascii="Arial" w:hAnsi="Arial" w:cs="Arial"/>
          <w:sz w:val="18"/>
          <w:szCs w:val="18"/>
        </w:rPr>
        <w:t xml:space="preserve"> Safety performance.</w:t>
      </w:r>
    </w:p>
    <w:p w14:paraId="00B68C9E" w14:textId="77777777" w:rsidR="0049008F" w:rsidRPr="00735726" w:rsidRDefault="0049008F" w:rsidP="00646F4F">
      <w:pPr>
        <w:pStyle w:val="ListParagraph"/>
        <w:numPr>
          <w:ilvl w:val="0"/>
          <w:numId w:val="54"/>
        </w:numPr>
        <w:spacing w:after="0"/>
        <w:rPr>
          <w:rFonts w:ascii="Arial" w:hAnsi="Arial" w:cs="Arial"/>
          <w:sz w:val="18"/>
          <w:szCs w:val="18"/>
        </w:rPr>
      </w:pPr>
      <w:r w:rsidRPr="00735726">
        <w:rPr>
          <w:rFonts w:ascii="Arial" w:hAnsi="Arial" w:cs="Arial"/>
          <w:sz w:val="18"/>
          <w:szCs w:val="18"/>
        </w:rPr>
        <w:t>A review of the tactical interventions to deliver in year improvements in incident reduction.</w:t>
      </w:r>
    </w:p>
    <w:p w14:paraId="1DA1D0A8" w14:textId="5F8B72A1" w:rsidR="00C741AF" w:rsidRPr="00735726" w:rsidRDefault="00C741AF" w:rsidP="00646F4F">
      <w:pPr>
        <w:pStyle w:val="ListParagraph"/>
        <w:numPr>
          <w:ilvl w:val="0"/>
          <w:numId w:val="54"/>
        </w:numPr>
        <w:autoSpaceDE w:val="0"/>
        <w:autoSpaceDN w:val="0"/>
        <w:adjustRightInd w:val="0"/>
        <w:spacing w:after="0" w:line="240" w:lineRule="auto"/>
        <w:rPr>
          <w:rFonts w:ascii="Arial" w:hAnsi="Arial" w:cs="Arial"/>
          <w:sz w:val="18"/>
          <w:szCs w:val="18"/>
        </w:rPr>
      </w:pPr>
      <w:r w:rsidRPr="00735726">
        <w:rPr>
          <w:rFonts w:ascii="Arial" w:hAnsi="Arial" w:cs="Arial"/>
          <w:sz w:val="18"/>
          <w:szCs w:val="18"/>
        </w:rPr>
        <w:t>A review and challenge of high potential near-miss events within our strategic supply chain to ensure themes are identified and pragmatic solutions implemented.</w:t>
      </w:r>
    </w:p>
    <w:p w14:paraId="1E54A206" w14:textId="0F7BF48E" w:rsidR="0049008F" w:rsidRPr="00735726" w:rsidRDefault="00C741AF" w:rsidP="00646F4F">
      <w:pPr>
        <w:pStyle w:val="ListParagraph"/>
        <w:numPr>
          <w:ilvl w:val="0"/>
          <w:numId w:val="54"/>
        </w:numPr>
        <w:autoSpaceDE w:val="0"/>
        <w:autoSpaceDN w:val="0"/>
        <w:adjustRightInd w:val="0"/>
        <w:spacing w:after="0" w:line="240" w:lineRule="auto"/>
        <w:rPr>
          <w:rFonts w:ascii="Arial" w:hAnsi="Arial" w:cs="Arial"/>
          <w:sz w:val="18"/>
          <w:szCs w:val="18"/>
        </w:rPr>
      </w:pPr>
      <w:r w:rsidRPr="00735726">
        <w:rPr>
          <w:rFonts w:ascii="Arial" w:hAnsi="Arial" w:cs="Arial"/>
          <w:sz w:val="18"/>
          <w:szCs w:val="18"/>
        </w:rPr>
        <w:t>Visiting sites to engage with front-line colleagues and the wider Health and Safety teams.</w:t>
      </w:r>
    </w:p>
    <w:p w14:paraId="67FD7254" w14:textId="77777777" w:rsidR="00C741AF" w:rsidRPr="009A2CAE" w:rsidRDefault="00C741AF" w:rsidP="00C741AF">
      <w:pPr>
        <w:pStyle w:val="ListParagraph"/>
        <w:autoSpaceDE w:val="0"/>
        <w:autoSpaceDN w:val="0"/>
        <w:adjustRightInd w:val="0"/>
        <w:spacing w:after="0" w:line="240" w:lineRule="auto"/>
        <w:rPr>
          <w:rFonts w:ascii="Arial" w:hAnsi="Arial" w:cs="Arial"/>
          <w:sz w:val="18"/>
          <w:szCs w:val="18"/>
        </w:rPr>
      </w:pPr>
    </w:p>
    <w:p w14:paraId="40DBB7A8" w14:textId="37481BF2" w:rsidR="00C741AF" w:rsidRPr="00735726" w:rsidRDefault="00C741AF" w:rsidP="00C741AF">
      <w:pPr>
        <w:spacing w:after="0"/>
        <w:rPr>
          <w:rFonts w:ascii="Arial" w:hAnsi="Arial" w:cs="Arial"/>
          <w:sz w:val="18"/>
          <w:szCs w:val="18"/>
        </w:rPr>
      </w:pPr>
      <w:bookmarkStart w:id="43" w:name="_Hlk137045546"/>
      <w:bookmarkStart w:id="44" w:name="_Hlk135211107"/>
      <w:r w:rsidRPr="00735726">
        <w:rPr>
          <w:rFonts w:ascii="Arial" w:hAnsi="Arial" w:cs="Arial"/>
          <w:sz w:val="18"/>
          <w:szCs w:val="18"/>
        </w:rPr>
        <w:t xml:space="preserve">At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we are passionate about health and safety. Everyone is empowered to take responsibility for both safety and wellbeing, feeling able to call out anything that makes us better. Safety is about taking accountability and brave leadership, which leads to the journey of a world-class culture. </w:t>
      </w:r>
    </w:p>
    <w:p w14:paraId="23A886B3" w14:textId="77777777" w:rsidR="00C741AF" w:rsidRPr="00735726" w:rsidRDefault="00C741AF" w:rsidP="00C741AF">
      <w:pPr>
        <w:spacing w:after="0"/>
        <w:rPr>
          <w:rFonts w:ascii="Arial" w:hAnsi="Arial" w:cs="Arial"/>
          <w:sz w:val="18"/>
          <w:szCs w:val="18"/>
        </w:rPr>
      </w:pPr>
    </w:p>
    <w:p w14:paraId="260792D4" w14:textId="51A14101" w:rsidR="00C741AF" w:rsidRPr="00735726" w:rsidRDefault="00C741AF" w:rsidP="00C741AF">
      <w:pPr>
        <w:spacing w:after="0"/>
        <w:rPr>
          <w:rFonts w:ascii="Arial" w:hAnsi="Arial" w:cs="Arial"/>
          <w:sz w:val="18"/>
          <w:szCs w:val="18"/>
        </w:rPr>
      </w:pPr>
      <w:proofErr w:type="spellStart"/>
      <w:r w:rsidRPr="00735726">
        <w:rPr>
          <w:rFonts w:ascii="Arial" w:hAnsi="Arial" w:cs="Arial"/>
          <w:sz w:val="18"/>
          <w:szCs w:val="18"/>
        </w:rPr>
        <w:t>HomeSafe</w:t>
      </w:r>
      <w:proofErr w:type="spellEnd"/>
      <w:r w:rsidRPr="00735726">
        <w:rPr>
          <w:rFonts w:ascii="Arial" w:hAnsi="Arial" w:cs="Arial"/>
          <w:sz w:val="18"/>
          <w:szCs w:val="18"/>
        </w:rPr>
        <w:t>, our flagship initiative to drive enduring and sustained change, continues to drive the overall approach and the Board Committee has robustly reviewed the 2030 strategy and implementation of the four cornerstones. As ever, leadership sets the tone and the Board has dedicated time to visit operational sites, discuss and review performance, offer support, encourage learning, and meet department and site leaders and employees from across the business.</w:t>
      </w:r>
      <w:r w:rsidR="00FE3201" w:rsidRPr="00735726">
        <w:rPr>
          <w:rFonts w:ascii="Arial" w:hAnsi="Arial" w:cs="Arial"/>
          <w:sz w:val="18"/>
          <w:szCs w:val="18"/>
        </w:rPr>
        <w:t xml:space="preserve"> </w:t>
      </w:r>
      <w:r w:rsidRPr="00735726">
        <w:rPr>
          <w:rFonts w:ascii="Arial" w:hAnsi="Arial" w:cs="Arial"/>
          <w:sz w:val="18"/>
          <w:szCs w:val="18"/>
        </w:rPr>
        <w:t xml:space="preserve">The Board Committee recognises the improvements across the four cornerstones of the </w:t>
      </w:r>
      <w:proofErr w:type="spellStart"/>
      <w:r w:rsidRPr="00735726">
        <w:rPr>
          <w:rFonts w:ascii="Arial" w:hAnsi="Arial" w:cs="Arial"/>
          <w:sz w:val="18"/>
          <w:szCs w:val="18"/>
        </w:rPr>
        <w:t>HomeSafe</w:t>
      </w:r>
      <w:proofErr w:type="spellEnd"/>
      <w:r w:rsidRPr="00735726">
        <w:rPr>
          <w:rFonts w:ascii="Arial" w:hAnsi="Arial" w:cs="Arial"/>
          <w:sz w:val="18"/>
          <w:szCs w:val="18"/>
        </w:rPr>
        <w:t xml:space="preserve"> 2030 strategy and supports the focus on risk management and reduction.</w:t>
      </w:r>
    </w:p>
    <w:p w14:paraId="7970584A" w14:textId="77777777" w:rsidR="00C741AF" w:rsidRPr="00735726" w:rsidRDefault="00C741AF" w:rsidP="00C741AF">
      <w:pPr>
        <w:spacing w:after="0"/>
        <w:rPr>
          <w:rFonts w:ascii="Arial" w:hAnsi="Arial" w:cs="Arial"/>
          <w:sz w:val="18"/>
          <w:szCs w:val="18"/>
        </w:rPr>
      </w:pPr>
    </w:p>
    <w:p w14:paraId="5558C3ED" w14:textId="2D2088A9" w:rsidR="00350214" w:rsidRPr="00735726" w:rsidRDefault="00C741AF" w:rsidP="00C741AF">
      <w:pPr>
        <w:spacing w:after="0"/>
        <w:rPr>
          <w:rFonts w:ascii="Arial" w:hAnsi="Arial" w:cs="Arial"/>
          <w:sz w:val="18"/>
          <w:szCs w:val="18"/>
        </w:rPr>
      </w:pPr>
      <w:r w:rsidRPr="00735726">
        <w:rPr>
          <w:rFonts w:ascii="Arial" w:hAnsi="Arial" w:cs="Arial"/>
          <w:sz w:val="18"/>
          <w:szCs w:val="18"/>
        </w:rPr>
        <w:t xml:space="preserve">The Board Committee also acknowledges the increase in personal lost time injuries across the winter period and has reviewed these in detail. The Board is satisfied the response is proportionate and that there can be periods where low impact injuries fluctuate, this does not change the overall strategic direction of </w:t>
      </w:r>
      <w:proofErr w:type="spellStart"/>
      <w:r w:rsidRPr="00735726">
        <w:rPr>
          <w:rFonts w:ascii="Arial" w:hAnsi="Arial" w:cs="Arial"/>
          <w:sz w:val="18"/>
          <w:szCs w:val="18"/>
        </w:rPr>
        <w:t>HomeSafe</w:t>
      </w:r>
      <w:proofErr w:type="spellEnd"/>
      <w:r w:rsidRPr="00735726">
        <w:rPr>
          <w:rFonts w:ascii="Arial" w:hAnsi="Arial" w:cs="Arial"/>
          <w:sz w:val="18"/>
          <w:szCs w:val="18"/>
        </w:rPr>
        <w:t xml:space="preserve">, however does serve as a timely reminder that the focus on </w:t>
      </w:r>
      <w:proofErr w:type="spellStart"/>
      <w:r w:rsidRPr="00735726">
        <w:rPr>
          <w:rFonts w:ascii="Arial" w:hAnsi="Arial" w:cs="Arial"/>
          <w:sz w:val="18"/>
          <w:szCs w:val="18"/>
        </w:rPr>
        <w:t>HomeSafe</w:t>
      </w:r>
      <w:proofErr w:type="spellEnd"/>
      <w:r w:rsidRPr="00735726">
        <w:rPr>
          <w:rFonts w:ascii="Arial" w:hAnsi="Arial" w:cs="Arial"/>
          <w:sz w:val="18"/>
          <w:szCs w:val="18"/>
        </w:rPr>
        <w:t xml:space="preserve"> </w:t>
      </w:r>
      <w:proofErr w:type="gramStart"/>
      <w:r w:rsidRPr="00735726">
        <w:rPr>
          <w:rFonts w:ascii="Arial" w:hAnsi="Arial" w:cs="Arial"/>
          <w:sz w:val="18"/>
          <w:szCs w:val="18"/>
        </w:rPr>
        <w:t>has to</w:t>
      </w:r>
      <w:proofErr w:type="gramEnd"/>
      <w:r w:rsidRPr="00735726">
        <w:rPr>
          <w:rFonts w:ascii="Arial" w:hAnsi="Arial" w:cs="Arial"/>
          <w:sz w:val="18"/>
          <w:szCs w:val="18"/>
        </w:rPr>
        <w:t xml:space="preserve"> be consistent and persistent.</w:t>
      </w:r>
    </w:p>
    <w:p w14:paraId="0C8F6AA1" w14:textId="77777777" w:rsidR="00C741AF" w:rsidRPr="009A2CAE" w:rsidRDefault="00C741AF" w:rsidP="00C741AF">
      <w:pPr>
        <w:spacing w:after="0"/>
        <w:rPr>
          <w:rFonts w:ascii="Arial" w:hAnsi="Arial" w:cs="Arial"/>
          <w:sz w:val="18"/>
          <w:szCs w:val="18"/>
        </w:rPr>
      </w:pPr>
    </w:p>
    <w:p w14:paraId="309A9C9B" w14:textId="5686E52F" w:rsidR="00C741AF" w:rsidRPr="00735726" w:rsidRDefault="00C741AF" w:rsidP="00C741AF">
      <w:pPr>
        <w:spacing w:after="0"/>
        <w:rPr>
          <w:rFonts w:ascii="Arial" w:hAnsi="Arial" w:cs="Arial"/>
          <w:sz w:val="18"/>
          <w:szCs w:val="18"/>
        </w:rPr>
      </w:pPr>
      <w:r w:rsidRPr="00735726">
        <w:rPr>
          <w:rFonts w:ascii="Arial" w:hAnsi="Arial" w:cs="Arial"/>
          <w:sz w:val="18"/>
          <w:szCs w:val="18"/>
        </w:rPr>
        <w:t>During the year the Board reviewed two significant incidents within the supply chain and was satisfied the investigations and subsequent actions were appropriate and that wider learning, particularly around supervision</w:t>
      </w:r>
    </w:p>
    <w:p w14:paraId="366D0623" w14:textId="7B781712" w:rsidR="00C741AF" w:rsidRPr="00735726" w:rsidRDefault="00C741AF" w:rsidP="00C741AF">
      <w:pPr>
        <w:spacing w:after="0"/>
        <w:rPr>
          <w:rFonts w:ascii="Arial" w:hAnsi="Arial" w:cs="Arial"/>
          <w:sz w:val="18"/>
          <w:szCs w:val="18"/>
        </w:rPr>
      </w:pPr>
      <w:r w:rsidRPr="00735726">
        <w:rPr>
          <w:rFonts w:ascii="Arial" w:hAnsi="Arial" w:cs="Arial"/>
          <w:sz w:val="18"/>
          <w:szCs w:val="18"/>
        </w:rPr>
        <w:t xml:space="preserve">was adopted across the </w:t>
      </w:r>
      <w:r w:rsidR="00826D05" w:rsidRPr="00735726">
        <w:rPr>
          <w:rFonts w:ascii="Arial" w:hAnsi="Arial" w:cs="Arial"/>
          <w:sz w:val="18"/>
          <w:szCs w:val="18"/>
        </w:rPr>
        <w:t>Company</w:t>
      </w:r>
      <w:r w:rsidRPr="00735726">
        <w:rPr>
          <w:rFonts w:ascii="Arial" w:hAnsi="Arial" w:cs="Arial"/>
          <w:sz w:val="18"/>
          <w:szCs w:val="18"/>
        </w:rPr>
        <w:t>.</w:t>
      </w:r>
    </w:p>
    <w:p w14:paraId="494C2293" w14:textId="77777777" w:rsidR="00C741AF" w:rsidRPr="009A2CAE" w:rsidRDefault="00C741AF" w:rsidP="00C741AF">
      <w:pPr>
        <w:spacing w:after="0"/>
        <w:rPr>
          <w:rFonts w:ascii="Arial" w:hAnsi="Arial" w:cs="Arial"/>
          <w:sz w:val="18"/>
          <w:szCs w:val="18"/>
        </w:rPr>
      </w:pPr>
    </w:p>
    <w:p w14:paraId="44E9889E" w14:textId="49D87A9B" w:rsidR="00350214" w:rsidRPr="00735726" w:rsidRDefault="00350214" w:rsidP="005A5668">
      <w:pPr>
        <w:pStyle w:val="Headinglevel4"/>
        <w:spacing w:line="276" w:lineRule="auto"/>
        <w:outlineLvl w:val="0"/>
      </w:pPr>
      <w:r w:rsidRPr="00735726">
        <w:rPr>
          <w:caps w:val="0"/>
        </w:rPr>
        <w:t>COMMITTEE COMPOSITION</w:t>
      </w:r>
    </w:p>
    <w:p w14:paraId="38D405A9" w14:textId="39B3B2C3" w:rsidR="00C741AF" w:rsidRPr="00735726" w:rsidRDefault="00C741AF" w:rsidP="00C741AF">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From 1 April 2026 membership of the Health and Safety Committee will be Jon Butterworth, Sir Andrew Haines,</w:t>
      </w:r>
    </w:p>
    <w:p w14:paraId="20671E97" w14:textId="09C4AD3D" w:rsidR="00350214" w:rsidRPr="00735726" w:rsidRDefault="00C741AF" w:rsidP="00C741AF">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Loraine Woodhouse and Laura Flowerdew.</w:t>
      </w:r>
      <w:r w:rsidR="00F363F6" w:rsidRPr="00735726">
        <w:rPr>
          <w:rFonts w:eastAsiaTheme="minorHAnsi"/>
          <w:b w:val="0"/>
          <w:bCs w:val="0"/>
          <w:caps w:val="0"/>
          <w:color w:val="auto"/>
        </w:rPr>
        <w:t xml:space="preserve"> Keith Haslett joined the Committee effective 19 May 20</w:t>
      </w:r>
      <w:r w:rsidR="007E561A">
        <w:rPr>
          <w:rFonts w:eastAsiaTheme="minorHAnsi"/>
          <w:b w:val="0"/>
          <w:bCs w:val="0"/>
          <w:caps w:val="0"/>
          <w:color w:val="auto"/>
        </w:rPr>
        <w:t>2</w:t>
      </w:r>
      <w:r w:rsidR="00F363F6" w:rsidRPr="00735726">
        <w:rPr>
          <w:rFonts w:eastAsiaTheme="minorHAnsi"/>
          <w:b w:val="0"/>
          <w:bCs w:val="0"/>
          <w:caps w:val="0"/>
          <w:color w:val="auto"/>
        </w:rPr>
        <w:t>6.</w:t>
      </w:r>
    </w:p>
    <w:p w14:paraId="54B9E374" w14:textId="77777777" w:rsidR="00C741AF" w:rsidRPr="009A2CAE" w:rsidRDefault="00C741AF" w:rsidP="00C741AF">
      <w:pPr>
        <w:pStyle w:val="Headinglevel4"/>
        <w:spacing w:line="276" w:lineRule="auto"/>
        <w:outlineLvl w:val="0"/>
        <w:rPr>
          <w:rFonts w:eastAsiaTheme="minorHAnsi"/>
          <w:b w:val="0"/>
          <w:bCs w:val="0"/>
          <w:caps w:val="0"/>
          <w:color w:val="auto"/>
        </w:rPr>
      </w:pPr>
    </w:p>
    <w:p w14:paraId="5019AB6A" w14:textId="0E319D2A" w:rsidR="00CB32CE" w:rsidRPr="00735726" w:rsidRDefault="00CB32CE" w:rsidP="005A5668">
      <w:pPr>
        <w:pStyle w:val="Headinglevel4"/>
        <w:spacing w:line="276" w:lineRule="auto"/>
        <w:outlineLvl w:val="0"/>
      </w:pPr>
      <w:r w:rsidRPr="00735726">
        <w:t>REPORTING</w:t>
      </w:r>
    </w:p>
    <w:bookmarkEnd w:id="43"/>
    <w:bookmarkEnd w:id="44"/>
    <w:p w14:paraId="587667ED" w14:textId="7EE29705" w:rsidR="003B6FB7" w:rsidRPr="00735726" w:rsidRDefault="003B6FB7" w:rsidP="003B6FB7">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In addition to the regular Board report by the Chief Executive Officer, detailed performance is reviewed quarterly by the Executive team, and six-monthly by this Committee, focusing on performance, benchmarking, and lead activities such as leadership and engagement, hazard rectification, asset health, critical safety controls</w:t>
      </w:r>
    </w:p>
    <w:p w14:paraId="48481806" w14:textId="06C0B2EE" w:rsidR="003B6FB7" w:rsidRPr="009A2CAE" w:rsidRDefault="003B6FB7" w:rsidP="003B6FB7">
      <w:pPr>
        <w:pStyle w:val="Headinglevel4"/>
        <w:spacing w:line="276" w:lineRule="auto"/>
        <w:outlineLvl w:val="0"/>
      </w:pPr>
      <w:r w:rsidRPr="00735726">
        <w:rPr>
          <w:rFonts w:eastAsiaTheme="minorHAnsi"/>
          <w:b w:val="0"/>
          <w:bCs w:val="0"/>
          <w:caps w:val="0"/>
          <w:color w:val="auto"/>
        </w:rPr>
        <w:t xml:space="preserve">and working environment. The Committee will continue to review and challenge plans and performance to support our </w:t>
      </w:r>
      <w:proofErr w:type="spellStart"/>
      <w:r w:rsidRPr="00735726">
        <w:rPr>
          <w:rFonts w:eastAsiaTheme="minorHAnsi"/>
          <w:b w:val="0"/>
          <w:bCs w:val="0"/>
          <w:caps w:val="0"/>
          <w:color w:val="auto"/>
        </w:rPr>
        <w:t>HomeSafe</w:t>
      </w:r>
      <w:proofErr w:type="spellEnd"/>
      <w:r w:rsidRPr="00735726">
        <w:rPr>
          <w:rFonts w:eastAsiaTheme="minorHAnsi"/>
          <w:b w:val="0"/>
          <w:bCs w:val="0"/>
          <w:caps w:val="0"/>
          <w:color w:val="auto"/>
        </w:rPr>
        <w:t xml:space="preserve"> ambitions.</w:t>
      </w:r>
    </w:p>
    <w:p w14:paraId="1C799DF2" w14:textId="4EB234D4" w:rsidR="00641B45" w:rsidRPr="00735726" w:rsidRDefault="00FE3201" w:rsidP="00277639">
      <w:pPr>
        <w:rPr>
          <w:rFonts w:ascii="Arial" w:hAnsi="Arial" w:cs="Arial"/>
          <w:sz w:val="32"/>
          <w:szCs w:val="32"/>
        </w:rPr>
      </w:pPr>
      <w:bookmarkStart w:id="45" w:name="_Hlk135385237"/>
      <w:bookmarkStart w:id="46" w:name="_Hlk201063183"/>
      <w:bookmarkEnd w:id="2"/>
      <w:bookmarkEnd w:id="23"/>
      <w:bookmarkEnd w:id="24"/>
      <w:r w:rsidRPr="00735726">
        <w:rPr>
          <w:rFonts w:ascii="Arial" w:hAnsi="Arial" w:cs="Arial"/>
          <w:sz w:val="32"/>
          <w:szCs w:val="32"/>
        </w:rPr>
        <w:lastRenderedPageBreak/>
        <w:t>REMUNERATION COMMITTEE</w:t>
      </w:r>
      <w:r w:rsidR="00B44352" w:rsidRPr="00735726">
        <w:rPr>
          <w:rFonts w:ascii="Arial" w:hAnsi="Arial" w:cs="Arial"/>
          <w:sz w:val="32"/>
          <w:szCs w:val="32"/>
        </w:rPr>
        <w:t xml:space="preserve"> REPORT</w:t>
      </w:r>
    </w:p>
    <w:p w14:paraId="00AD06B0" w14:textId="77777777" w:rsidR="00641B45" w:rsidRPr="00735726" w:rsidRDefault="00641B45" w:rsidP="00641B45">
      <w:pP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EVOLVING REMUNERATION IN A CHANGING ENVIRONMENT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06"/>
        <w:gridCol w:w="2556"/>
        <w:gridCol w:w="1139"/>
      </w:tblGrid>
      <w:tr w:rsidR="00641B45" w:rsidRPr="00735726" w14:paraId="128D33F2" w14:textId="77777777" w:rsidTr="00DA2C47">
        <w:trPr>
          <w:trHeight w:val="295"/>
          <w:tblHeader/>
        </w:trPr>
        <w:tc>
          <w:tcPr>
            <w:tcW w:w="310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04AA6E36" w14:textId="77777777" w:rsidR="00641B45" w:rsidRPr="00735726" w:rsidRDefault="00641B45" w:rsidP="00DA2C47">
            <w:pPr>
              <w:pStyle w:val="03body"/>
              <w:spacing w:line="360" w:lineRule="auto"/>
              <w:rPr>
                <w:b/>
              </w:rPr>
            </w:pPr>
            <w:r w:rsidRPr="00735726">
              <w:rPr>
                <w:b/>
              </w:rPr>
              <w:t>Membership</w:t>
            </w:r>
          </w:p>
        </w:tc>
        <w:tc>
          <w:tcPr>
            <w:tcW w:w="255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hideMark/>
          </w:tcPr>
          <w:p w14:paraId="1952BA17" w14:textId="77777777" w:rsidR="00641B45" w:rsidRPr="00735726" w:rsidRDefault="00641B45" w:rsidP="00DA2C47">
            <w:pPr>
              <w:pStyle w:val="03body"/>
              <w:spacing w:line="360" w:lineRule="auto"/>
              <w:rPr>
                <w:b/>
              </w:rPr>
            </w:pPr>
            <w:r w:rsidRPr="00735726">
              <w:rPr>
                <w:b/>
              </w:rPr>
              <w:t>Role</w:t>
            </w:r>
          </w:p>
        </w:tc>
        <w:tc>
          <w:tcPr>
            <w:tcW w:w="1139" w:type="dxa"/>
            <w:tcBorders>
              <w:top w:val="single" w:sz="4" w:space="0" w:color="auto"/>
              <w:left w:val="single" w:sz="4" w:space="0" w:color="auto"/>
              <w:bottom w:val="single" w:sz="4" w:space="0" w:color="auto"/>
              <w:right w:val="single" w:sz="4" w:space="0" w:color="auto"/>
            </w:tcBorders>
            <w:hideMark/>
          </w:tcPr>
          <w:p w14:paraId="15B9C37C" w14:textId="77777777" w:rsidR="00641B45" w:rsidRPr="00735726" w:rsidRDefault="00641B45" w:rsidP="00DA2C47">
            <w:pPr>
              <w:pStyle w:val="03body"/>
              <w:spacing w:line="360" w:lineRule="auto"/>
              <w:rPr>
                <w:b/>
              </w:rPr>
            </w:pPr>
            <w:r w:rsidRPr="00735726">
              <w:rPr>
                <w:b/>
              </w:rPr>
              <w:t>Attendance</w:t>
            </w:r>
          </w:p>
        </w:tc>
      </w:tr>
      <w:tr w:rsidR="00641B45" w:rsidRPr="00735726" w14:paraId="5F2DC536" w14:textId="77777777" w:rsidTr="00DA2C47">
        <w:trPr>
          <w:trHeight w:val="295"/>
          <w:tblHeader/>
        </w:trPr>
        <w:tc>
          <w:tcPr>
            <w:tcW w:w="310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tcPr>
          <w:p w14:paraId="4E0E761C" w14:textId="4050FBCA" w:rsidR="00641B45" w:rsidRPr="00735726" w:rsidRDefault="00641B45" w:rsidP="00DA2C47">
            <w:pPr>
              <w:pStyle w:val="03body"/>
              <w:spacing w:line="360" w:lineRule="auto"/>
              <w:rPr>
                <w:b/>
                <w:vertAlign w:val="superscript"/>
              </w:rPr>
            </w:pPr>
            <w:r w:rsidRPr="00735726">
              <w:rPr>
                <w:b/>
              </w:rPr>
              <w:t xml:space="preserve">Andrea </w:t>
            </w:r>
            <w:proofErr w:type="spellStart"/>
            <w:r w:rsidRPr="00735726">
              <w:rPr>
                <w:b/>
              </w:rPr>
              <w:t>Blance</w:t>
            </w:r>
            <w:proofErr w:type="spellEnd"/>
          </w:p>
        </w:tc>
        <w:tc>
          <w:tcPr>
            <w:tcW w:w="255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tcPr>
          <w:p w14:paraId="1BD5F24B" w14:textId="77777777" w:rsidR="00641B45" w:rsidRPr="00735726" w:rsidRDefault="00641B45" w:rsidP="00DA2C47">
            <w:pPr>
              <w:pStyle w:val="03body"/>
              <w:spacing w:line="360" w:lineRule="auto"/>
              <w:rPr>
                <w:bCs/>
              </w:rPr>
            </w:pPr>
            <w:r w:rsidRPr="00735726">
              <w:rPr>
                <w:bCs/>
              </w:rPr>
              <w:t>Chair</w:t>
            </w:r>
          </w:p>
        </w:tc>
        <w:tc>
          <w:tcPr>
            <w:tcW w:w="1139" w:type="dxa"/>
            <w:tcBorders>
              <w:top w:val="single" w:sz="4" w:space="0" w:color="auto"/>
              <w:left w:val="single" w:sz="4" w:space="0" w:color="auto"/>
              <w:bottom w:val="single" w:sz="4" w:space="0" w:color="auto"/>
              <w:right w:val="single" w:sz="4" w:space="0" w:color="auto"/>
            </w:tcBorders>
          </w:tcPr>
          <w:p w14:paraId="79BCE86E" w14:textId="4F93B562" w:rsidR="00641B45" w:rsidRPr="00735726" w:rsidRDefault="00EF5CE3" w:rsidP="00DA2C47">
            <w:pPr>
              <w:pStyle w:val="03body"/>
              <w:spacing w:line="360" w:lineRule="auto"/>
              <w:rPr>
                <w:bCs/>
              </w:rPr>
            </w:pPr>
            <w:r w:rsidRPr="00735726">
              <w:rPr>
                <w:bCs/>
              </w:rPr>
              <w:t>4/4</w:t>
            </w:r>
          </w:p>
        </w:tc>
      </w:tr>
      <w:tr w:rsidR="00EF5CE3" w:rsidRPr="00735726" w14:paraId="3A7F6013" w14:textId="77777777" w:rsidTr="00DA2C47">
        <w:trPr>
          <w:trHeight w:val="295"/>
          <w:tblHeader/>
        </w:trPr>
        <w:tc>
          <w:tcPr>
            <w:tcW w:w="310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tcPr>
          <w:p w14:paraId="0FD98182" w14:textId="6FA937F8" w:rsidR="00EF5CE3" w:rsidRPr="00735726" w:rsidRDefault="00EF5CE3" w:rsidP="00EF5CE3">
            <w:pPr>
              <w:pStyle w:val="03body"/>
              <w:spacing w:line="360" w:lineRule="auto"/>
              <w:rPr>
                <w:b/>
                <w:vertAlign w:val="superscript"/>
              </w:rPr>
            </w:pPr>
            <w:r w:rsidRPr="00735726">
              <w:t>Iain Evans</w:t>
            </w:r>
            <w:r w:rsidRPr="00735726">
              <w:rPr>
                <w:vertAlign w:val="superscript"/>
              </w:rPr>
              <w:t>1</w:t>
            </w:r>
          </w:p>
        </w:tc>
        <w:tc>
          <w:tcPr>
            <w:tcW w:w="255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tcPr>
          <w:p w14:paraId="264A0184" w14:textId="252346D1" w:rsidR="00EF5CE3" w:rsidRPr="00735726" w:rsidRDefault="00EF5CE3" w:rsidP="00EF5CE3">
            <w:pPr>
              <w:pStyle w:val="03body"/>
              <w:spacing w:line="360" w:lineRule="auto"/>
              <w:rPr>
                <w:bCs/>
              </w:rPr>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0028DBA8" w14:textId="7D5017F2" w:rsidR="00EF5CE3" w:rsidRPr="00735726" w:rsidRDefault="00EF5CE3" w:rsidP="00EF5CE3">
            <w:pPr>
              <w:pStyle w:val="03body"/>
              <w:spacing w:line="360" w:lineRule="auto"/>
              <w:rPr>
                <w:bCs/>
              </w:rPr>
            </w:pPr>
            <w:r w:rsidRPr="00735726">
              <w:rPr>
                <w:bCs/>
              </w:rPr>
              <w:t>4/4</w:t>
            </w:r>
          </w:p>
        </w:tc>
      </w:tr>
      <w:tr w:rsidR="00EF5CE3" w:rsidRPr="00735726" w14:paraId="28F6725B" w14:textId="77777777" w:rsidTr="00DA2C47">
        <w:trPr>
          <w:trHeight w:val="295"/>
          <w:tblHeader/>
        </w:trPr>
        <w:tc>
          <w:tcPr>
            <w:tcW w:w="310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tcPr>
          <w:p w14:paraId="79F38F31" w14:textId="3C1A3D99" w:rsidR="00EF5CE3" w:rsidRPr="00735726" w:rsidRDefault="00EF5CE3" w:rsidP="00EF5CE3">
            <w:pPr>
              <w:pStyle w:val="03body"/>
              <w:spacing w:line="360" w:lineRule="auto"/>
              <w:rPr>
                <w:b/>
                <w:vertAlign w:val="superscript"/>
              </w:rPr>
            </w:pPr>
            <w:r w:rsidRPr="00735726">
              <w:t>Dorothy Burwell</w:t>
            </w:r>
          </w:p>
        </w:tc>
        <w:tc>
          <w:tcPr>
            <w:tcW w:w="2556" w:type="dxa"/>
            <w:tcBorders>
              <w:top w:val="single" w:sz="4" w:space="0" w:color="auto"/>
              <w:left w:val="single" w:sz="4" w:space="0" w:color="auto"/>
              <w:bottom w:val="single" w:sz="4" w:space="0" w:color="auto"/>
              <w:right w:val="single" w:sz="4" w:space="0" w:color="auto"/>
            </w:tcBorders>
            <w:tcMar>
              <w:top w:w="0" w:type="dxa"/>
              <w:left w:w="0" w:type="dxa"/>
              <w:bottom w:w="85" w:type="dxa"/>
              <w:right w:w="0" w:type="dxa"/>
            </w:tcMar>
          </w:tcPr>
          <w:p w14:paraId="0FC93E32" w14:textId="595A7021" w:rsidR="00EF5CE3" w:rsidRPr="00735726" w:rsidRDefault="00EF5CE3" w:rsidP="00EF5CE3">
            <w:pPr>
              <w:pStyle w:val="03body"/>
              <w:spacing w:line="360" w:lineRule="auto"/>
              <w:rPr>
                <w:b/>
              </w:rPr>
            </w:pPr>
            <w:r w:rsidRPr="00735726">
              <w:t>Non-Executive Director</w:t>
            </w:r>
          </w:p>
        </w:tc>
        <w:tc>
          <w:tcPr>
            <w:tcW w:w="1139" w:type="dxa"/>
            <w:tcBorders>
              <w:top w:val="single" w:sz="4" w:space="0" w:color="auto"/>
              <w:left w:val="single" w:sz="4" w:space="0" w:color="auto"/>
              <w:bottom w:val="single" w:sz="4" w:space="0" w:color="auto"/>
              <w:right w:val="single" w:sz="4" w:space="0" w:color="auto"/>
            </w:tcBorders>
          </w:tcPr>
          <w:p w14:paraId="3663AD27" w14:textId="7950DAA0" w:rsidR="00EF5CE3" w:rsidRPr="00735726" w:rsidRDefault="00EF5CE3" w:rsidP="00EF5CE3">
            <w:pPr>
              <w:pStyle w:val="03body"/>
              <w:spacing w:line="360" w:lineRule="auto"/>
              <w:rPr>
                <w:bCs/>
              </w:rPr>
            </w:pPr>
            <w:r w:rsidRPr="00735726">
              <w:rPr>
                <w:bCs/>
              </w:rPr>
              <w:t>4/4</w:t>
            </w:r>
          </w:p>
        </w:tc>
      </w:tr>
    </w:tbl>
    <w:p w14:paraId="22819912" w14:textId="1D917F53" w:rsidR="00641B45" w:rsidRPr="00735726" w:rsidRDefault="00EF5CE3" w:rsidP="00641B45">
      <w:pPr>
        <w:pStyle w:val="ListParagraph"/>
        <w:numPr>
          <w:ilvl w:val="0"/>
          <w:numId w:val="113"/>
        </w:numPr>
        <w:spacing w:line="360" w:lineRule="auto"/>
        <w:rPr>
          <w:rFonts w:ascii="Arial" w:hAnsi="Arial" w:cs="Arial"/>
          <w:sz w:val="14"/>
          <w:szCs w:val="14"/>
        </w:rPr>
      </w:pPr>
      <w:r w:rsidRPr="00735726">
        <w:rPr>
          <w:rFonts w:ascii="Arial" w:hAnsi="Arial" w:cs="Arial"/>
          <w:sz w:val="14"/>
          <w:szCs w:val="14"/>
        </w:rPr>
        <w:t>Resigned 31 March 2026</w:t>
      </w:r>
    </w:p>
    <w:p w14:paraId="4A3B83E7" w14:textId="542D1D16" w:rsidR="00EF5CE3" w:rsidRPr="00735726" w:rsidRDefault="00EF5CE3" w:rsidP="00EF5CE3">
      <w:pPr>
        <w:autoSpaceDE w:val="0"/>
        <w:autoSpaceDN w:val="0"/>
        <w:adjustRightInd w:val="0"/>
        <w:spacing w:after="0" w:line="240" w:lineRule="auto"/>
        <w:rPr>
          <w:rFonts w:ascii="Arial" w:hAnsi="Arial" w:cs="Arial"/>
          <w:sz w:val="18"/>
          <w:szCs w:val="18"/>
        </w:rPr>
      </w:pPr>
      <w:r w:rsidRPr="00735726">
        <w:rPr>
          <w:rFonts w:ascii="Arial" w:hAnsi="Arial" w:cs="Arial"/>
          <w:sz w:val="18"/>
          <w:szCs w:val="18"/>
        </w:rPr>
        <w:t>Sir Andrew Haines became a member of the Remuneration Committee effective 1 April 2026. Three additional Remuneration Committee meetings were held during the year.</w:t>
      </w:r>
    </w:p>
    <w:p w14:paraId="5E4E93B2" w14:textId="77777777" w:rsidR="00EF5CE3" w:rsidRPr="009A2CAE" w:rsidRDefault="00EF5CE3" w:rsidP="00EF5CE3">
      <w:pPr>
        <w:autoSpaceDE w:val="0"/>
        <w:autoSpaceDN w:val="0"/>
        <w:adjustRightInd w:val="0"/>
        <w:spacing w:after="0" w:line="240" w:lineRule="auto"/>
        <w:rPr>
          <w:rFonts w:ascii="Arial" w:hAnsi="Arial" w:cs="Arial"/>
          <w:sz w:val="12"/>
          <w:szCs w:val="12"/>
        </w:rPr>
      </w:pPr>
    </w:p>
    <w:p w14:paraId="79DB20A6" w14:textId="77777777" w:rsidR="00641B45" w:rsidRPr="00735726" w:rsidRDefault="00641B45" w:rsidP="00641B45">
      <w:pPr>
        <w:rPr>
          <w:rFonts w:ascii="Arial" w:hAnsi="Arial" w:cs="Arial"/>
          <w:i/>
          <w:iCs/>
          <w:sz w:val="18"/>
          <w:szCs w:val="18"/>
        </w:rPr>
      </w:pPr>
      <w:r w:rsidRPr="00735726">
        <w:rPr>
          <w:rFonts w:ascii="Arial" w:hAnsi="Arial" w:cs="Arial"/>
          <w:i/>
          <w:iCs/>
          <w:sz w:val="18"/>
          <w:szCs w:val="18"/>
        </w:rPr>
        <w:t>ROLE OF THE REMUNERATION COMMITTEE</w:t>
      </w:r>
    </w:p>
    <w:p w14:paraId="5976CC2A" w14:textId="291B839D" w:rsidR="00EF5CE3" w:rsidRPr="00735726" w:rsidRDefault="00EF5CE3" w:rsidP="00EF5CE3">
      <w:pPr>
        <w:rPr>
          <w:rFonts w:ascii="Arial" w:hAnsi="Arial" w:cs="Arial"/>
          <w:sz w:val="18"/>
          <w:szCs w:val="18"/>
        </w:rPr>
      </w:pPr>
      <w:r w:rsidRPr="00735726">
        <w:rPr>
          <w:rFonts w:ascii="Arial" w:hAnsi="Arial" w:cs="Arial"/>
          <w:sz w:val="18"/>
          <w:szCs w:val="18"/>
        </w:rPr>
        <w:t>The Remuneration Committee is responsible for making sure pay and rewards across the Company are fair, competitive, and support the company’s goals. Specifically, it:</w:t>
      </w:r>
    </w:p>
    <w:p w14:paraId="2DE068BB" w14:textId="22E9BC4C" w:rsidR="00EF5CE3" w:rsidRPr="00735726" w:rsidRDefault="00EF5CE3" w:rsidP="00C66B4D">
      <w:pPr>
        <w:pStyle w:val="ListParagraph"/>
        <w:numPr>
          <w:ilvl w:val="0"/>
          <w:numId w:val="112"/>
        </w:numPr>
        <w:ind w:left="709" w:right="-46" w:hanging="283"/>
        <w:rPr>
          <w:rFonts w:ascii="Arial" w:eastAsia="Times New Roman" w:hAnsi="Arial" w:cs="DINOT-Light"/>
          <w:color w:val="000000"/>
          <w:sz w:val="18"/>
          <w:szCs w:val="18"/>
        </w:rPr>
      </w:pPr>
      <w:r w:rsidRPr="00735726">
        <w:rPr>
          <w:rFonts w:ascii="Arial" w:eastAsia="Times New Roman" w:hAnsi="Arial" w:cs="DINOT-Light"/>
          <w:color w:val="000000"/>
          <w:sz w:val="18"/>
          <w:szCs w:val="18"/>
        </w:rPr>
        <w:t>Ensures pay is aligned with the Company’s strategy and reflects its values.</w:t>
      </w:r>
    </w:p>
    <w:p w14:paraId="522BA441" w14:textId="7F547B5C" w:rsidR="00EF5CE3" w:rsidRPr="00735726" w:rsidRDefault="00EF5CE3" w:rsidP="00305836">
      <w:pPr>
        <w:pStyle w:val="ListParagraph"/>
        <w:numPr>
          <w:ilvl w:val="0"/>
          <w:numId w:val="112"/>
        </w:numPr>
        <w:ind w:left="709" w:right="-46" w:hanging="283"/>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Sets and reviews the overall pay policy, considering stakeholder views and best practice, so the company can attract, retain and motivate senior leaders. </w:t>
      </w:r>
    </w:p>
    <w:p w14:paraId="16565592" w14:textId="50C03BCD" w:rsidR="00EF5CE3" w:rsidRPr="00735726" w:rsidRDefault="00EF5CE3" w:rsidP="002171D6">
      <w:pPr>
        <w:pStyle w:val="ListParagraph"/>
        <w:numPr>
          <w:ilvl w:val="0"/>
          <w:numId w:val="112"/>
        </w:numPr>
        <w:ind w:left="709" w:right="-46" w:hanging="283"/>
        <w:rPr>
          <w:rFonts w:ascii="Arial" w:eastAsia="Times New Roman" w:hAnsi="Arial" w:cs="DINOT-Light"/>
          <w:color w:val="000000"/>
          <w:sz w:val="18"/>
          <w:szCs w:val="18"/>
        </w:rPr>
      </w:pPr>
      <w:r w:rsidRPr="00735726">
        <w:rPr>
          <w:rFonts w:ascii="Arial" w:eastAsia="Times New Roman" w:hAnsi="Arial" w:cs="DINOT-Light"/>
          <w:color w:val="000000"/>
          <w:sz w:val="18"/>
          <w:szCs w:val="18"/>
        </w:rPr>
        <w:t>Advises the Board on how executive pay should be structured.</w:t>
      </w:r>
    </w:p>
    <w:p w14:paraId="4FDB4C7C" w14:textId="008CF728" w:rsidR="00EF5CE3" w:rsidRPr="00735726" w:rsidRDefault="00EF5CE3" w:rsidP="00DB4BB9">
      <w:pPr>
        <w:pStyle w:val="ListParagraph"/>
        <w:numPr>
          <w:ilvl w:val="0"/>
          <w:numId w:val="112"/>
        </w:numPr>
        <w:ind w:left="709" w:right="-46" w:hanging="283"/>
        <w:rPr>
          <w:rFonts w:ascii="Arial" w:eastAsia="Times New Roman" w:hAnsi="Arial" w:cs="DINOT-Light"/>
          <w:color w:val="000000"/>
          <w:sz w:val="18"/>
          <w:szCs w:val="18"/>
        </w:rPr>
      </w:pPr>
      <w:r w:rsidRPr="00735726">
        <w:rPr>
          <w:rFonts w:ascii="Arial" w:eastAsia="Times New Roman" w:hAnsi="Arial" w:cs="DINOT-Light"/>
          <w:color w:val="000000"/>
          <w:sz w:val="18"/>
          <w:szCs w:val="18"/>
        </w:rPr>
        <w:t>Decides the pay levels for the Chair, Executive Directors and senior executives, and keeps an eye on pay across the wider workforce.</w:t>
      </w:r>
    </w:p>
    <w:p w14:paraId="6F100E6F" w14:textId="01C3DB32" w:rsidR="00EF5CE3" w:rsidRPr="00735726" w:rsidRDefault="00EF5CE3" w:rsidP="00716A4E">
      <w:pPr>
        <w:pStyle w:val="ListParagraph"/>
        <w:numPr>
          <w:ilvl w:val="0"/>
          <w:numId w:val="112"/>
        </w:numPr>
        <w:ind w:left="709" w:right="-46" w:hanging="283"/>
        <w:rPr>
          <w:rFonts w:ascii="Arial" w:eastAsia="Times New Roman" w:hAnsi="Arial" w:cs="DINOT-Light"/>
          <w:color w:val="000000"/>
          <w:sz w:val="18"/>
          <w:szCs w:val="18"/>
        </w:rPr>
      </w:pPr>
      <w:r w:rsidRPr="00735726">
        <w:rPr>
          <w:rFonts w:ascii="Arial" w:eastAsia="Times New Roman" w:hAnsi="Arial" w:cs="DINOT-Light"/>
          <w:color w:val="000000"/>
          <w:sz w:val="18"/>
          <w:szCs w:val="18"/>
        </w:rPr>
        <w:t>Approves how performance-related pay schemes are designed and sets the targets for them.</w:t>
      </w:r>
    </w:p>
    <w:p w14:paraId="3221C5AC" w14:textId="5A7C4E97" w:rsidR="00EF5CE3" w:rsidRPr="00735726" w:rsidRDefault="00EF5CE3" w:rsidP="00442088">
      <w:pPr>
        <w:pStyle w:val="ListParagraph"/>
        <w:numPr>
          <w:ilvl w:val="0"/>
          <w:numId w:val="112"/>
        </w:numPr>
        <w:ind w:left="709" w:right="-46" w:hanging="283"/>
        <w:rPr>
          <w:rFonts w:ascii="Arial" w:eastAsia="Times New Roman" w:hAnsi="Arial" w:cs="DINOT-Light"/>
          <w:color w:val="000000"/>
          <w:sz w:val="18"/>
          <w:szCs w:val="18"/>
        </w:rPr>
      </w:pPr>
      <w:r w:rsidRPr="00735726">
        <w:rPr>
          <w:rFonts w:ascii="Arial" w:eastAsia="Times New Roman" w:hAnsi="Arial" w:cs="DINOT-Light"/>
          <w:color w:val="000000"/>
          <w:sz w:val="18"/>
          <w:szCs w:val="18"/>
        </w:rPr>
        <w:t>Reviews performance outcomes and decides how much should be paid under incentive schemes.</w:t>
      </w:r>
    </w:p>
    <w:p w14:paraId="2614D453" w14:textId="3C7CBA57" w:rsidR="00641B45" w:rsidRPr="00735726" w:rsidRDefault="00641B45" w:rsidP="00641B45">
      <w:pPr>
        <w:rPr>
          <w:rFonts w:ascii="Arial" w:hAnsi="Arial" w:cs="Arial"/>
          <w:i/>
          <w:iCs/>
          <w:sz w:val="18"/>
          <w:szCs w:val="18"/>
        </w:rPr>
      </w:pPr>
      <w:r w:rsidRPr="00735726">
        <w:rPr>
          <w:rFonts w:ascii="Arial" w:hAnsi="Arial" w:cs="Arial"/>
          <w:i/>
          <w:iCs/>
          <w:sz w:val="18"/>
          <w:szCs w:val="18"/>
        </w:rPr>
        <w:t>THE COMMITTEE’S FOCUS FOR 202</w:t>
      </w:r>
      <w:r w:rsidR="00EF5CE3" w:rsidRPr="00735726">
        <w:rPr>
          <w:rFonts w:ascii="Arial" w:hAnsi="Arial" w:cs="Arial"/>
          <w:i/>
          <w:iCs/>
          <w:sz w:val="18"/>
          <w:szCs w:val="18"/>
        </w:rPr>
        <w:t>5</w:t>
      </w:r>
      <w:r w:rsidRPr="00735726">
        <w:rPr>
          <w:rFonts w:ascii="Arial" w:hAnsi="Arial" w:cs="Arial"/>
          <w:i/>
          <w:iCs/>
          <w:sz w:val="18"/>
          <w:szCs w:val="18"/>
        </w:rPr>
        <w:t>/2</w:t>
      </w:r>
      <w:r w:rsidR="00EF5CE3" w:rsidRPr="00735726">
        <w:rPr>
          <w:rFonts w:ascii="Arial" w:hAnsi="Arial" w:cs="Arial"/>
          <w:i/>
          <w:iCs/>
          <w:sz w:val="18"/>
          <w:szCs w:val="18"/>
        </w:rPr>
        <w:t>6</w:t>
      </w:r>
    </w:p>
    <w:p w14:paraId="21750ABF" w14:textId="1B9645FE" w:rsidR="00EF5CE3" w:rsidRPr="00735726" w:rsidRDefault="00EF5CE3" w:rsidP="00641B45">
      <w:pPr>
        <w:rPr>
          <w:rFonts w:ascii="Arial" w:hAnsi="Arial" w:cs="Arial"/>
          <w:sz w:val="18"/>
          <w:szCs w:val="18"/>
        </w:rPr>
      </w:pPr>
      <w:r w:rsidRPr="00735726">
        <w:rPr>
          <w:rFonts w:ascii="Arial" w:hAnsi="Arial" w:cs="Arial"/>
          <w:sz w:val="18"/>
          <w:szCs w:val="18"/>
        </w:rPr>
        <w:t>During the year the Committee focused on:</w:t>
      </w:r>
    </w:p>
    <w:p w14:paraId="4A4907B3" w14:textId="77777777" w:rsidR="00EF5CE3" w:rsidRPr="00735726" w:rsidRDefault="00EF5CE3" w:rsidP="00B03F02">
      <w:pPr>
        <w:pStyle w:val="ListParagraph"/>
        <w:numPr>
          <w:ilvl w:val="0"/>
          <w:numId w:val="111"/>
        </w:numPr>
        <w:rPr>
          <w:rFonts w:ascii="Arial" w:eastAsia="Times New Roman" w:hAnsi="Arial" w:cs="DINOT-Light"/>
          <w:color w:val="000000"/>
          <w:sz w:val="18"/>
          <w:szCs w:val="18"/>
        </w:rPr>
      </w:pPr>
      <w:bookmarkStart w:id="47" w:name="_Hlk137045602"/>
      <w:r w:rsidRPr="00735726">
        <w:rPr>
          <w:rFonts w:ascii="Arial" w:eastAsia="Times New Roman" w:hAnsi="Arial" w:cs="DINOT-Light"/>
          <w:color w:val="000000"/>
          <w:sz w:val="18"/>
          <w:szCs w:val="18"/>
        </w:rPr>
        <w:t>Reviewing pay and terms for the Executive Directors, the Chair, senior executives and the wider workforce.</w:t>
      </w:r>
    </w:p>
    <w:p w14:paraId="35EBF681" w14:textId="70EAF70D" w:rsidR="00EF5CE3" w:rsidRPr="00735726" w:rsidRDefault="00EF5CE3" w:rsidP="005E2804">
      <w:pPr>
        <w:pStyle w:val="ListParagraph"/>
        <w:numPr>
          <w:ilvl w:val="0"/>
          <w:numId w:val="111"/>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Considering long-term incentive plans for the next three to five years, engaging with stakeholders as</w:t>
      </w:r>
    </w:p>
    <w:p w14:paraId="6CAB2A3B" w14:textId="77777777" w:rsidR="00EF5CE3" w:rsidRPr="00735726" w:rsidRDefault="00EF5CE3" w:rsidP="008C04C9">
      <w:pPr>
        <w:pStyle w:val="ListParagraph"/>
        <w:numPr>
          <w:ilvl w:val="0"/>
          <w:numId w:val="111"/>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appropriate. </w:t>
      </w:r>
    </w:p>
    <w:p w14:paraId="2E08B5E6" w14:textId="7C143C27" w:rsidR="00EF5CE3" w:rsidRPr="00735726" w:rsidRDefault="00EF5CE3" w:rsidP="00A61D64">
      <w:pPr>
        <w:pStyle w:val="ListParagraph"/>
        <w:numPr>
          <w:ilvl w:val="0"/>
          <w:numId w:val="111"/>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Setting challenging but realistic performance targets that align with the Company’s strategy, values</w:t>
      </w:r>
    </w:p>
    <w:p w14:paraId="6F5C37ED" w14:textId="77777777" w:rsidR="00EF5CE3" w:rsidRPr="00735726" w:rsidRDefault="00EF5CE3" w:rsidP="00A10477">
      <w:pPr>
        <w:pStyle w:val="ListParagraph"/>
        <w:numPr>
          <w:ilvl w:val="0"/>
          <w:numId w:val="111"/>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and best practice.</w:t>
      </w:r>
    </w:p>
    <w:p w14:paraId="62D6FCA1" w14:textId="59A02DB8" w:rsidR="00EF5CE3" w:rsidRPr="00735726" w:rsidRDefault="00EF5CE3" w:rsidP="000F1BC2">
      <w:pPr>
        <w:pStyle w:val="ListParagraph"/>
        <w:numPr>
          <w:ilvl w:val="0"/>
          <w:numId w:val="111"/>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Reviewing the Remuneration Policy to ensure it continues to support delivery of the Company’s strategy.</w:t>
      </w:r>
    </w:p>
    <w:p w14:paraId="05969311" w14:textId="7106E3E0" w:rsidR="00EF5CE3" w:rsidRPr="00735726" w:rsidRDefault="00EF5CE3" w:rsidP="006A0AD2">
      <w:pPr>
        <w:pStyle w:val="ListParagraph"/>
        <w:numPr>
          <w:ilvl w:val="0"/>
          <w:numId w:val="111"/>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Looking at pay arrangements for the incoming Chief Executive Officer.</w:t>
      </w:r>
    </w:p>
    <w:p w14:paraId="56D532B0" w14:textId="1A8839F8" w:rsidR="00EF5CE3" w:rsidRPr="00735726" w:rsidRDefault="00EF5CE3" w:rsidP="00EF5CE3">
      <w:pPr>
        <w:autoSpaceDE w:val="0"/>
        <w:autoSpaceDN w:val="0"/>
        <w:adjustRightInd w:val="0"/>
        <w:spacing w:after="0" w:line="240"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As a leading company in the UK water sector, we focus on long-term responsibility and sustainability. We recognise the impact we have on many groups, including our customers, local communities, the environment and our employees.</w:t>
      </w:r>
    </w:p>
    <w:p w14:paraId="22E64E69" w14:textId="77777777" w:rsidR="00EF5CE3" w:rsidRPr="00735726" w:rsidRDefault="00EF5CE3" w:rsidP="00EF5CE3">
      <w:pPr>
        <w:autoSpaceDE w:val="0"/>
        <w:autoSpaceDN w:val="0"/>
        <w:adjustRightInd w:val="0"/>
        <w:spacing w:after="0" w:line="240" w:lineRule="auto"/>
        <w:rPr>
          <w:rFonts w:ascii="Arial" w:eastAsia="Times New Roman" w:hAnsi="Arial" w:cs="DINOT-Light"/>
          <w:color w:val="000000"/>
          <w:sz w:val="18"/>
          <w:szCs w:val="18"/>
        </w:rPr>
      </w:pPr>
    </w:p>
    <w:p w14:paraId="3B19DDAB" w14:textId="67BBBC77" w:rsidR="00697B5A" w:rsidRPr="00735726" w:rsidRDefault="00697B5A" w:rsidP="00697B5A">
      <w:pPr>
        <w:rPr>
          <w:rFonts w:ascii="Arial" w:eastAsia="Times New Roman" w:hAnsi="Arial" w:cs="DINOT-Light"/>
          <w:color w:val="000000"/>
          <w:sz w:val="18"/>
          <w:szCs w:val="18"/>
        </w:rPr>
      </w:pPr>
      <w:r w:rsidRPr="00735726">
        <w:rPr>
          <w:rFonts w:ascii="Arial" w:eastAsia="Times New Roman" w:hAnsi="Arial" w:cs="DINOT-Light"/>
          <w:color w:val="000000"/>
          <w:sz w:val="18"/>
          <w:szCs w:val="18"/>
        </w:rPr>
        <w:t>These considerations guide the Committee’s decisions. We aim to act responsibly while also encouraging strong performance to deliver the significant investment needed for the future of the business.</w:t>
      </w:r>
    </w:p>
    <w:p w14:paraId="0BBE5EDA" w14:textId="09F614C7" w:rsidR="00697B5A" w:rsidRPr="00735726" w:rsidRDefault="00697B5A" w:rsidP="00697B5A">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Pay for senior executives in our sector is under close public scrutiny, and we understand the need to rebuild trust. At the same time, we operate in a complex and highly regulated environment, providing essential water and </w:t>
      </w:r>
      <w:r w:rsidR="00DC7467" w:rsidRPr="00735726">
        <w:rPr>
          <w:rFonts w:ascii="Arial" w:eastAsia="Times New Roman" w:hAnsi="Arial" w:cs="DINOT-Light"/>
          <w:color w:val="000000"/>
          <w:sz w:val="18"/>
          <w:szCs w:val="18"/>
        </w:rPr>
        <w:t>wastewater</w:t>
      </w:r>
      <w:r w:rsidRPr="00735726">
        <w:rPr>
          <w:rFonts w:ascii="Arial" w:eastAsia="Times New Roman" w:hAnsi="Arial" w:cs="DINOT-Light"/>
          <w:color w:val="000000"/>
          <w:sz w:val="18"/>
          <w:szCs w:val="18"/>
        </w:rPr>
        <w:t xml:space="preserve"> services to millions of households.</w:t>
      </w:r>
    </w:p>
    <w:p w14:paraId="59AA99EE" w14:textId="31D26816" w:rsidR="00697B5A" w:rsidRPr="00735726" w:rsidRDefault="00593D4B" w:rsidP="00697B5A">
      <w:pPr>
        <w:rPr>
          <w:rFonts w:ascii="Arial" w:eastAsia="Times New Roman" w:hAnsi="Arial" w:cs="DINOT-Light"/>
          <w:color w:val="000000"/>
          <w:sz w:val="18"/>
          <w:szCs w:val="18"/>
        </w:rPr>
      </w:pP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w:t>
      </w:r>
      <w:r w:rsidR="00BE021D" w:rsidRPr="00735726">
        <w:rPr>
          <w:rFonts w:ascii="Arial" w:eastAsia="Times New Roman" w:hAnsi="Arial" w:cs="DINOT-Light"/>
          <w:color w:val="000000"/>
          <w:sz w:val="18"/>
          <w:szCs w:val="18"/>
        </w:rPr>
        <w:t>has</w:t>
      </w:r>
      <w:r w:rsidR="00697B5A" w:rsidRPr="00735726">
        <w:rPr>
          <w:rFonts w:ascii="Arial" w:eastAsia="Times New Roman" w:hAnsi="Arial" w:cs="DINOT-Light"/>
          <w:color w:val="000000"/>
          <w:sz w:val="18"/>
          <w:szCs w:val="18"/>
        </w:rPr>
        <w:t xml:space="preserve"> an ambitious investment plan for the AMP8 period, with £3.0 billion</w:t>
      </w:r>
      <w:r w:rsidR="00BE021D" w:rsidRPr="00735726">
        <w:rPr>
          <w:rFonts w:ascii="Arial" w:eastAsia="Times New Roman" w:hAnsi="Arial" w:cs="DINOT-Light"/>
          <w:color w:val="000000"/>
          <w:sz w:val="18"/>
          <w:szCs w:val="18"/>
          <w:vertAlign w:val="superscript"/>
        </w:rPr>
        <w:t>2</w:t>
      </w:r>
      <w:r w:rsidR="00697B5A" w:rsidRPr="00735726">
        <w:rPr>
          <w:rStyle w:val="FootnoteReference"/>
          <w:rFonts w:ascii="Arial" w:eastAsia="Times New Roman" w:hAnsi="Arial" w:cs="DINOT-Light"/>
          <w:color w:val="FFFFFF" w:themeColor="background1"/>
          <w:sz w:val="18"/>
          <w:szCs w:val="18"/>
        </w:rPr>
        <w:footnoteReference w:id="18"/>
      </w:r>
      <w:r w:rsidR="00697B5A" w:rsidRPr="00735726">
        <w:rPr>
          <w:rFonts w:ascii="Arial" w:eastAsia="Times New Roman" w:hAnsi="Arial" w:cs="DINOT-Light"/>
          <w:color w:val="000000"/>
          <w:sz w:val="18"/>
          <w:szCs w:val="18"/>
        </w:rPr>
        <w:t xml:space="preserve">being invested across our regions. This includes major projects such as reducing storm overflows, upgrading major water </w:t>
      </w:r>
      <w:r w:rsidR="00697B5A" w:rsidRPr="00735726">
        <w:rPr>
          <w:rFonts w:ascii="Arial" w:eastAsia="Times New Roman" w:hAnsi="Arial" w:cs="DINOT-Light"/>
          <w:color w:val="000000"/>
          <w:sz w:val="18"/>
          <w:szCs w:val="18"/>
        </w:rPr>
        <w:lastRenderedPageBreak/>
        <w:t xml:space="preserve">treatment works, replacing ageing infrastructure, and supporting nature recovery. Our teams are also dealing with ongoing challenges such as affordability for customers, population growth, and reducing environmental impact. </w:t>
      </w:r>
    </w:p>
    <w:p w14:paraId="0782E9D6" w14:textId="4D64A7A7" w:rsidR="00697B5A" w:rsidRPr="00735726" w:rsidRDefault="00697B5A" w:rsidP="00697B5A">
      <w:pPr>
        <w:rPr>
          <w:rFonts w:ascii="Arial" w:eastAsia="Times New Roman" w:hAnsi="Arial" w:cs="DINOT-Light"/>
          <w:color w:val="000000"/>
          <w:sz w:val="18"/>
          <w:szCs w:val="18"/>
        </w:rPr>
      </w:pPr>
      <w:r w:rsidRPr="00735726">
        <w:rPr>
          <w:rFonts w:ascii="Arial" w:eastAsia="Times New Roman" w:hAnsi="Arial" w:cs="DINOT-Light"/>
          <w:color w:val="000000"/>
          <w:sz w:val="18"/>
          <w:szCs w:val="18"/>
        </w:rPr>
        <w:t>Given the scale and complexity of these challenges, it is essential that we attract and retain highly capable leaders. We compete with other large organisations for senior talent, both within and beyond the water sector.</w:t>
      </w:r>
    </w:p>
    <w:p w14:paraId="2DD24816" w14:textId="0A2370BB" w:rsidR="00EF5CE3" w:rsidRPr="00735726" w:rsidRDefault="00697B5A" w:rsidP="00697B5A">
      <w:pPr>
        <w:rPr>
          <w:rFonts w:ascii="Arial" w:eastAsia="Times New Roman" w:hAnsi="Arial" w:cs="DINOT-Light"/>
          <w:color w:val="000000"/>
          <w:sz w:val="18"/>
          <w:szCs w:val="18"/>
        </w:rPr>
      </w:pPr>
      <w:r w:rsidRPr="00735726">
        <w:rPr>
          <w:rFonts w:ascii="Arial" w:eastAsia="Times New Roman" w:hAnsi="Arial" w:cs="DINOT-Light"/>
          <w:color w:val="000000"/>
          <w:sz w:val="18"/>
          <w:szCs w:val="18"/>
        </w:rPr>
        <w:t>To do this, our pay levels must remain competitive with similar companies, including utilities and infrastructure businesses. Pay plays an important role in attracting, motivating and retaining the right people. Having a strong leadership team is critical to delivering our long-term strategy and meeting the expectations of all our stakeholders.</w:t>
      </w:r>
    </w:p>
    <w:p w14:paraId="0F1BF92F" w14:textId="4087D442" w:rsidR="00697B5A" w:rsidRPr="00735726" w:rsidRDefault="00697B5A" w:rsidP="00697B5A">
      <w:pPr>
        <w:pStyle w:val="Headinglevel4"/>
        <w:spacing w:line="276" w:lineRule="auto"/>
        <w:ind w:right="95"/>
        <w:outlineLvl w:val="0"/>
        <w:rPr>
          <w:rFonts w:cs="DINOT-Light"/>
          <w:b w:val="0"/>
          <w:bCs w:val="0"/>
          <w:caps w:val="0"/>
        </w:rPr>
      </w:pPr>
      <w:r w:rsidRPr="00735726">
        <w:t>BUSINESS</w:t>
      </w:r>
      <w:r w:rsidR="00641B45" w:rsidRPr="00735726">
        <w:t xml:space="preserve"> CONTEXT</w:t>
      </w:r>
      <w:r w:rsidR="00641B45" w:rsidRPr="00735726">
        <w:br/>
      </w:r>
      <w:r w:rsidRPr="00735726">
        <w:rPr>
          <w:rFonts w:cs="DINOT-Light"/>
          <w:b w:val="0"/>
          <w:bCs w:val="0"/>
          <w:caps w:val="0"/>
        </w:rPr>
        <w:t xml:space="preserve">This has been a year of significant progress, evolution and continued delivery for </w:t>
      </w:r>
      <w:proofErr w:type="gramStart"/>
      <w:r w:rsidRPr="00735726">
        <w:rPr>
          <w:rFonts w:cs="DINOT-Light"/>
          <w:b w:val="0"/>
          <w:bCs w:val="0"/>
          <w:caps w:val="0"/>
        </w:rPr>
        <w:t>South West</w:t>
      </w:r>
      <w:proofErr w:type="gramEnd"/>
      <w:r w:rsidRPr="00735726">
        <w:rPr>
          <w:rFonts w:cs="DINOT-Light"/>
          <w:b w:val="0"/>
          <w:bCs w:val="0"/>
          <w:caps w:val="0"/>
        </w:rPr>
        <w:t xml:space="preserve"> Water amidst a changing landscape in the UK water sector.</w:t>
      </w:r>
    </w:p>
    <w:p w14:paraId="657B603C" w14:textId="77777777" w:rsidR="00697B5A" w:rsidRPr="009A2CAE" w:rsidRDefault="00697B5A" w:rsidP="00697B5A">
      <w:pPr>
        <w:pStyle w:val="Headinglevel4"/>
        <w:spacing w:line="276" w:lineRule="auto"/>
        <w:ind w:right="95"/>
        <w:outlineLvl w:val="0"/>
        <w:rPr>
          <w:rFonts w:cs="DINOT-Light"/>
          <w:b w:val="0"/>
          <w:bCs w:val="0"/>
          <w:caps w:val="0"/>
        </w:rPr>
      </w:pPr>
    </w:p>
    <w:p w14:paraId="029C2DAF" w14:textId="55E7812D"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The Company has returned to profitability during the year, with underlying EBITDA increasing by 55.7% year-on-year to £</w:t>
      </w:r>
      <w:r w:rsidR="00CB753C" w:rsidRPr="00735726">
        <w:rPr>
          <w:rFonts w:cs="DINOT-Light"/>
          <w:b w:val="0"/>
          <w:bCs w:val="0"/>
          <w:caps w:val="0"/>
        </w:rPr>
        <w:t>482.4</w:t>
      </w:r>
      <w:r w:rsidRPr="00735726">
        <w:rPr>
          <w:rFonts w:cs="DINOT-Light"/>
          <w:b w:val="0"/>
          <w:bCs w:val="0"/>
          <w:caps w:val="0"/>
        </w:rPr>
        <w:t xml:space="preserve"> million, driven by higher water revenue and a continued focus on operational efficiency. </w:t>
      </w:r>
    </w:p>
    <w:p w14:paraId="5613914E" w14:textId="77777777" w:rsidR="00697B5A" w:rsidRPr="009A2CAE" w:rsidRDefault="00697B5A" w:rsidP="00697B5A">
      <w:pPr>
        <w:pStyle w:val="Headinglevel4"/>
        <w:spacing w:line="276" w:lineRule="auto"/>
        <w:ind w:right="95"/>
        <w:outlineLvl w:val="0"/>
        <w:rPr>
          <w:rFonts w:cs="DINOT-Light"/>
          <w:b w:val="0"/>
          <w:bCs w:val="0"/>
          <w:caps w:val="0"/>
        </w:rPr>
      </w:pPr>
    </w:p>
    <w:p w14:paraId="73843F06" w14:textId="3B18DA94"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The year has once again demonstrated how rapidly the operating environment for water infrastructure is changing. Conditions during the year ranged from one of the driest springs on record to intense storms and</w:t>
      </w:r>
    </w:p>
    <w:p w14:paraId="631F0DE6" w14:textId="77777777"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exceptional rainfall later in the year.</w:t>
      </w:r>
    </w:p>
    <w:p w14:paraId="68513D1D" w14:textId="77777777" w:rsidR="00697B5A" w:rsidRPr="009A2CAE" w:rsidRDefault="00697B5A" w:rsidP="00697B5A">
      <w:pPr>
        <w:pStyle w:val="Headinglevel4"/>
        <w:spacing w:line="276" w:lineRule="auto"/>
        <w:ind w:right="95"/>
        <w:outlineLvl w:val="0"/>
        <w:rPr>
          <w:rFonts w:cs="DINOT-Light"/>
          <w:b w:val="0"/>
          <w:bCs w:val="0"/>
          <w:caps w:val="0"/>
        </w:rPr>
      </w:pPr>
    </w:p>
    <w:p w14:paraId="4E105AE7" w14:textId="14C15072"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These extremes, and the impact on our performance, highlight the increasing volatility created by climate change and reinforce the need for sustained investment in resilient infrastructure. We know we have further to go, but our Pollutions Incident Reduction Plan is delivering measurable improvements with a c.34% reduction year-on- year in pollutions.</w:t>
      </w:r>
    </w:p>
    <w:p w14:paraId="21FA2745" w14:textId="77777777" w:rsidR="00697B5A" w:rsidRPr="00735726" w:rsidRDefault="00697B5A" w:rsidP="00697B5A">
      <w:pPr>
        <w:pStyle w:val="Headinglevel4"/>
        <w:spacing w:line="276" w:lineRule="auto"/>
        <w:ind w:right="95"/>
        <w:outlineLvl w:val="0"/>
        <w:rPr>
          <w:rFonts w:cs="DINOT-Light"/>
          <w:b w:val="0"/>
          <w:bCs w:val="0"/>
          <w:caps w:val="0"/>
        </w:rPr>
      </w:pPr>
    </w:p>
    <w:p w14:paraId="12B6185B" w14:textId="464C3339"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 xml:space="preserve">There was also a c.17% reduction in storm overflow use year-on-year, and a 25% reduction in average spill duration. Disappointingly, one event resulted in a Category 1 incident </w:t>
      </w:r>
      <w:r w:rsidR="006C1BA9" w:rsidRPr="00735726">
        <w:rPr>
          <w:rFonts w:cs="DINOT-Light"/>
          <w:b w:val="0"/>
          <w:bCs w:val="0"/>
          <w:caps w:val="0"/>
        </w:rPr>
        <w:t xml:space="preserve">- </w:t>
      </w:r>
      <w:r w:rsidRPr="00735726">
        <w:rPr>
          <w:rFonts w:cs="DINOT-Light"/>
          <w:b w:val="0"/>
          <w:bCs w:val="0"/>
          <w:caps w:val="0"/>
        </w:rPr>
        <w:t>although our overall Category 1 and</w:t>
      </w:r>
    </w:p>
    <w:p w14:paraId="66668116" w14:textId="23EC9AAC"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2 pollutions reduced year-on-year to three. In addition, our provisional assessment for the 2025 EPA rating is 1*</w:t>
      </w:r>
    </w:p>
    <w:p w14:paraId="7E4AA2C1" w14:textId="1C09CEF7"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 xml:space="preserve">given that whilst underlying operational performance saw improvement, we still did not achieve the high standards required across </w:t>
      </w:r>
      <w:proofErr w:type="gramStart"/>
      <w:r w:rsidRPr="00735726">
        <w:rPr>
          <w:rFonts w:cs="DINOT-Light"/>
          <w:b w:val="0"/>
          <w:bCs w:val="0"/>
          <w:caps w:val="0"/>
        </w:rPr>
        <w:t>a number of</w:t>
      </w:r>
      <w:proofErr w:type="gramEnd"/>
      <w:r w:rsidRPr="00735726">
        <w:rPr>
          <w:rFonts w:cs="DINOT-Light"/>
          <w:b w:val="0"/>
          <w:bCs w:val="0"/>
          <w:caps w:val="0"/>
        </w:rPr>
        <w:t xml:space="preserve"> measures, and in the current year, four projects within our broader WINEP programme were not finalised by March 2026, and therefore further impacted the EPA scorecard.</w:t>
      </w:r>
    </w:p>
    <w:p w14:paraId="5463EA65" w14:textId="77777777" w:rsidR="00697B5A" w:rsidRPr="009A2CAE" w:rsidRDefault="00697B5A" w:rsidP="00697B5A">
      <w:pPr>
        <w:pStyle w:val="Headinglevel4"/>
        <w:spacing w:line="276" w:lineRule="auto"/>
        <w:ind w:right="95"/>
        <w:outlineLvl w:val="0"/>
        <w:rPr>
          <w:rFonts w:cs="DINOT-Light"/>
          <w:b w:val="0"/>
          <w:bCs w:val="0"/>
          <w:caps w:val="0"/>
        </w:rPr>
      </w:pPr>
    </w:p>
    <w:p w14:paraId="50727B7C" w14:textId="3705634C"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 xml:space="preserve">On 2 June 2026, </w:t>
      </w:r>
      <w:proofErr w:type="gramStart"/>
      <w:r w:rsidRPr="00735726">
        <w:rPr>
          <w:rFonts w:cs="DINOT-Light"/>
          <w:b w:val="0"/>
          <w:bCs w:val="0"/>
          <w:caps w:val="0"/>
        </w:rPr>
        <w:t>South West</w:t>
      </w:r>
      <w:proofErr w:type="gramEnd"/>
      <w:r w:rsidRPr="00735726">
        <w:rPr>
          <w:rFonts w:cs="DINOT-Light"/>
          <w:b w:val="0"/>
          <w:bCs w:val="0"/>
          <w:caps w:val="0"/>
        </w:rPr>
        <w:t xml:space="preserve"> Water was fined £1.9 million in respect of the Brixham cryptosporidium incident</w:t>
      </w:r>
    </w:p>
    <w:p w14:paraId="15B8E6F5" w14:textId="1346B43E"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arising in May 2024. We recognise the impact both on our customers from this incident, and we recognise that</w:t>
      </w:r>
    </w:p>
    <w:p w14:paraId="3902139C" w14:textId="74F57AD5"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 xml:space="preserve">we must do more to live up to the expectations of the customers and communities we serve. Supporting customers and </w:t>
      </w:r>
      <w:proofErr w:type="gramStart"/>
      <w:r w:rsidRPr="00735726">
        <w:rPr>
          <w:rFonts w:cs="DINOT-Light"/>
          <w:b w:val="0"/>
          <w:bCs w:val="0"/>
          <w:caps w:val="0"/>
        </w:rPr>
        <w:t>communities</w:t>
      </w:r>
      <w:proofErr w:type="gramEnd"/>
      <w:r w:rsidRPr="00735726">
        <w:rPr>
          <w:rFonts w:cs="DINOT-Light"/>
          <w:b w:val="0"/>
          <w:bCs w:val="0"/>
          <w:caps w:val="0"/>
        </w:rPr>
        <w:t xml:space="preserve"> remains central to </w:t>
      </w:r>
      <w:proofErr w:type="gramStart"/>
      <w:r w:rsidRPr="00735726">
        <w:rPr>
          <w:rFonts w:cs="DINOT-Light"/>
          <w:b w:val="0"/>
          <w:bCs w:val="0"/>
          <w:caps w:val="0"/>
        </w:rPr>
        <w:t>South West</w:t>
      </w:r>
      <w:proofErr w:type="gramEnd"/>
      <w:r w:rsidRPr="00735726">
        <w:rPr>
          <w:rFonts w:cs="DINOT-Light"/>
          <w:b w:val="0"/>
          <w:bCs w:val="0"/>
          <w:caps w:val="0"/>
        </w:rPr>
        <w:t xml:space="preserve"> Water’s purpose. The start of the new regulatory</w:t>
      </w:r>
    </w:p>
    <w:p w14:paraId="44E67BE5" w14:textId="42F7641F"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period saw bill increases across the sector reflecting record levels of investment in infrastructure and environmental improvements. We remain mindful of affordability for many households, and will aid customers</w:t>
      </w:r>
    </w:p>
    <w:p w14:paraId="03EAA47A" w14:textId="5F62B217"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through our £200 million support package across this five-year period coupled with our affordability toolkit.</w:t>
      </w:r>
    </w:p>
    <w:p w14:paraId="6B2CCDF7" w14:textId="77777777" w:rsidR="00697B5A" w:rsidRPr="00735726" w:rsidRDefault="00697B5A" w:rsidP="00697B5A">
      <w:pPr>
        <w:pStyle w:val="Headinglevel4"/>
        <w:spacing w:line="276" w:lineRule="auto"/>
        <w:ind w:right="95"/>
        <w:outlineLvl w:val="0"/>
        <w:rPr>
          <w:rFonts w:cs="DINOT-Light"/>
          <w:b w:val="0"/>
          <w:bCs w:val="0"/>
          <w:caps w:val="0"/>
        </w:rPr>
      </w:pPr>
    </w:p>
    <w:p w14:paraId="38B29A25" w14:textId="6FEFDE8B"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Our £3.0 billion</w:t>
      </w:r>
      <w:r w:rsidR="00DE0BB1" w:rsidRPr="00735726">
        <w:rPr>
          <w:rFonts w:cs="DINOT-Light"/>
          <w:b w:val="0"/>
          <w:bCs w:val="0"/>
          <w:vertAlign w:val="superscript"/>
        </w:rPr>
        <w:t>2</w:t>
      </w:r>
      <w:r w:rsidRPr="00735726">
        <w:rPr>
          <w:rStyle w:val="FootnoteReference"/>
          <w:rFonts w:cs="DINOT-Light"/>
          <w:b w:val="0"/>
          <w:bCs w:val="0"/>
          <w:caps w:val="0"/>
          <w:color w:val="FFFFFF" w:themeColor="background1"/>
        </w:rPr>
        <w:footnoteReference w:id="19"/>
      </w:r>
      <w:r w:rsidRPr="00735726">
        <w:rPr>
          <w:rFonts w:cs="DINOT-Light"/>
          <w:b w:val="0"/>
          <w:bCs w:val="0"/>
          <w:caps w:val="0"/>
        </w:rPr>
        <w:t>investment programme over the five-year AMP8 period is a core focus across the business, to</w:t>
      </w:r>
    </w:p>
    <w:p w14:paraId="706F454F" w14:textId="12405664"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deliver improvements for customers and to ensure we improve the resilience and performance of our assets.</w:t>
      </w:r>
    </w:p>
    <w:p w14:paraId="0B641960" w14:textId="0EFC2096"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 xml:space="preserve">In the first year of AMP8, we have continued to focus on delivering on our four strategic priorities through </w:t>
      </w:r>
      <w:proofErr w:type="gramStart"/>
      <w:r w:rsidRPr="00735726">
        <w:rPr>
          <w:rFonts w:cs="DINOT-Light"/>
          <w:b w:val="0"/>
          <w:bCs w:val="0"/>
          <w:caps w:val="0"/>
        </w:rPr>
        <w:t>our</w:t>
      </w:r>
      <w:proofErr w:type="gramEnd"/>
    </w:p>
    <w:p w14:paraId="78D1A6E6" w14:textId="7A8C6E9C"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business units, and to focus on efficiency opportunities across our integrated structures and operations.</w:t>
      </w:r>
    </w:p>
    <w:p w14:paraId="03080E93" w14:textId="1EE7C6A6"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We invested record levels of capital (£</w:t>
      </w:r>
      <w:r w:rsidR="005A2203" w:rsidRPr="00735726">
        <w:rPr>
          <w:rFonts w:cs="DINOT-Light"/>
          <w:b w:val="0"/>
          <w:bCs w:val="0"/>
          <w:caps w:val="0"/>
        </w:rPr>
        <w:t>563.3</w:t>
      </w:r>
      <w:r w:rsidRPr="00735726">
        <w:rPr>
          <w:rFonts w:cs="DINOT-Light"/>
          <w:b w:val="0"/>
          <w:bCs w:val="0"/>
          <w:caps w:val="0"/>
        </w:rPr>
        <w:t xml:space="preserve"> million) to deliver network resilience and enhancements and</w:t>
      </w:r>
    </w:p>
    <w:p w14:paraId="66FC30FA" w14:textId="6723D97E" w:rsidR="00697B5A" w:rsidRPr="00735726" w:rsidRDefault="00697B5A" w:rsidP="00697B5A">
      <w:pPr>
        <w:pStyle w:val="Headinglevel4"/>
        <w:spacing w:line="276" w:lineRule="auto"/>
        <w:ind w:right="95"/>
        <w:outlineLvl w:val="0"/>
        <w:rPr>
          <w:rFonts w:cs="DINOT-Light"/>
          <w:b w:val="0"/>
          <w:bCs w:val="0"/>
          <w:caps w:val="0"/>
        </w:rPr>
      </w:pPr>
      <w:r w:rsidRPr="00735726">
        <w:rPr>
          <w:rFonts w:cs="DINOT-Light"/>
          <w:b w:val="0"/>
          <w:bCs w:val="0"/>
          <w:caps w:val="0"/>
        </w:rPr>
        <w:t>benefits for the environment and our customers.</w:t>
      </w:r>
    </w:p>
    <w:p w14:paraId="561F6155" w14:textId="77777777" w:rsidR="005A2203" w:rsidRPr="00735726" w:rsidRDefault="005A2203" w:rsidP="00697B5A">
      <w:pPr>
        <w:pStyle w:val="Headinglevel4"/>
        <w:spacing w:line="276" w:lineRule="auto"/>
        <w:ind w:right="95"/>
        <w:outlineLvl w:val="0"/>
        <w:rPr>
          <w:rFonts w:cs="DINOT-Light"/>
          <w:b w:val="0"/>
          <w:bCs w:val="0"/>
          <w:caps w:val="0"/>
        </w:rPr>
      </w:pPr>
    </w:p>
    <w:p w14:paraId="539D0E47" w14:textId="564A63AA" w:rsidR="005A2203" w:rsidRPr="00735726" w:rsidRDefault="005A2203" w:rsidP="005A2203">
      <w:pPr>
        <w:pStyle w:val="Headinglevel4"/>
        <w:spacing w:line="276" w:lineRule="auto"/>
        <w:ind w:right="95"/>
        <w:outlineLvl w:val="0"/>
        <w:rPr>
          <w:rFonts w:cs="DINOT-Light"/>
          <w:b w:val="0"/>
          <w:bCs w:val="0"/>
          <w:caps w:val="0"/>
        </w:rPr>
      </w:pPr>
      <w:r w:rsidRPr="00735726">
        <w:rPr>
          <w:rFonts w:cs="DINOT-Light"/>
          <w:b w:val="0"/>
          <w:bCs w:val="0"/>
          <w:caps w:val="0"/>
        </w:rPr>
        <w:t>Further detail regarding our operating performance is set out in the Strategic Report. Many of the key aspects of</w:t>
      </w:r>
    </w:p>
    <w:p w14:paraId="79A64916" w14:textId="5F76B7E3" w:rsidR="00697B5A" w:rsidRPr="00735726" w:rsidRDefault="005A2203" w:rsidP="005A2203">
      <w:pPr>
        <w:pStyle w:val="Headinglevel4"/>
        <w:spacing w:line="276" w:lineRule="auto"/>
        <w:ind w:right="95"/>
        <w:outlineLvl w:val="0"/>
        <w:rPr>
          <w:rFonts w:cs="DINOT-Light"/>
          <w:b w:val="0"/>
          <w:bCs w:val="0"/>
          <w:caps w:val="0"/>
        </w:rPr>
      </w:pPr>
      <w:r w:rsidRPr="00735726">
        <w:rPr>
          <w:rFonts w:cs="DINOT-Light"/>
          <w:b w:val="0"/>
          <w:bCs w:val="0"/>
          <w:caps w:val="0"/>
        </w:rPr>
        <w:t xml:space="preserve">our performance </w:t>
      </w:r>
      <w:proofErr w:type="gramStart"/>
      <w:r w:rsidRPr="00735726">
        <w:rPr>
          <w:rFonts w:cs="DINOT-Light"/>
          <w:b w:val="0"/>
          <w:bCs w:val="0"/>
          <w:caps w:val="0"/>
        </w:rPr>
        <w:t>were</w:t>
      </w:r>
      <w:proofErr w:type="gramEnd"/>
      <w:r w:rsidRPr="00735726">
        <w:rPr>
          <w:rFonts w:cs="DINOT-Light"/>
          <w:b w:val="0"/>
          <w:bCs w:val="0"/>
          <w:caps w:val="0"/>
        </w:rPr>
        <w:t xml:space="preserve"> captured in the scorecards that we use for senior executive incentives</w:t>
      </w:r>
      <w:r w:rsidR="002B4432" w:rsidRPr="00735726">
        <w:rPr>
          <w:rFonts w:cs="DINOT-Light"/>
          <w:b w:val="0"/>
          <w:bCs w:val="0"/>
          <w:caps w:val="0"/>
        </w:rPr>
        <w:t>.</w:t>
      </w:r>
    </w:p>
    <w:p w14:paraId="16A8A059" w14:textId="77777777" w:rsidR="00697B5A" w:rsidRPr="009A2CAE" w:rsidRDefault="00697B5A" w:rsidP="00697B5A">
      <w:pPr>
        <w:pStyle w:val="Headinglevel4"/>
        <w:spacing w:line="276" w:lineRule="auto"/>
        <w:ind w:right="95"/>
        <w:outlineLvl w:val="0"/>
        <w:rPr>
          <w:rFonts w:cs="DINOT-Light"/>
          <w:b w:val="0"/>
          <w:bCs w:val="0"/>
          <w:caps w:val="0"/>
        </w:rPr>
      </w:pPr>
    </w:p>
    <w:p w14:paraId="329F18C6" w14:textId="51E559ED" w:rsidR="00057D91" w:rsidRPr="009A2CAE" w:rsidRDefault="00057D91">
      <w:pPr>
        <w:spacing w:after="160" w:line="259" w:lineRule="auto"/>
        <w:rPr>
          <w:rFonts w:ascii="Arial" w:eastAsia="Times New Roman" w:hAnsi="Arial" w:cs="DINOT-Light"/>
          <w:color w:val="000000"/>
          <w:sz w:val="18"/>
          <w:szCs w:val="18"/>
        </w:rPr>
      </w:pPr>
      <w:r w:rsidRPr="009A2CAE">
        <w:rPr>
          <w:rFonts w:cs="DINOT-Light"/>
          <w:b/>
          <w:bCs/>
          <w:caps/>
        </w:rPr>
        <w:br w:type="page"/>
      </w:r>
    </w:p>
    <w:p w14:paraId="234A1C78" w14:textId="6C3E176F" w:rsidR="005A2203" w:rsidRPr="00735726" w:rsidRDefault="005A2203" w:rsidP="00697B5A">
      <w:pPr>
        <w:pStyle w:val="Headinglevel4"/>
        <w:spacing w:line="276" w:lineRule="auto"/>
        <w:ind w:right="95"/>
        <w:outlineLvl w:val="0"/>
      </w:pPr>
      <w:r w:rsidRPr="00735726">
        <w:lastRenderedPageBreak/>
        <w:t>wider workforce remuneration</w:t>
      </w:r>
    </w:p>
    <w:p w14:paraId="3FF6C5F7" w14:textId="39C70987" w:rsidR="00490EA7" w:rsidRPr="00735726" w:rsidRDefault="00490EA7" w:rsidP="00490EA7">
      <w:pPr>
        <w:pStyle w:val="Headinglevel4"/>
        <w:spacing w:line="276" w:lineRule="auto"/>
        <w:ind w:right="95"/>
        <w:outlineLvl w:val="0"/>
        <w:rPr>
          <w:rFonts w:cs="DINOT-Light"/>
          <w:b w:val="0"/>
          <w:bCs w:val="0"/>
          <w:caps w:val="0"/>
        </w:rPr>
      </w:pPr>
      <w:r w:rsidRPr="00735726">
        <w:rPr>
          <w:rFonts w:cs="DINOT-Light"/>
          <w:b w:val="0"/>
          <w:bCs w:val="0"/>
          <w:caps w:val="0"/>
        </w:rPr>
        <w:t>We continue to prioritise fair and competitive pay for our front-line colleagues, particularly at a time when the</w:t>
      </w:r>
    </w:p>
    <w:p w14:paraId="436B494D" w14:textId="66973371" w:rsidR="00490EA7" w:rsidRPr="00735726" w:rsidRDefault="00490EA7" w:rsidP="00490EA7">
      <w:pPr>
        <w:pStyle w:val="Headinglevel4"/>
        <w:spacing w:line="276" w:lineRule="auto"/>
        <w:ind w:right="95"/>
        <w:outlineLvl w:val="0"/>
        <w:rPr>
          <w:rFonts w:cs="DINOT-Light"/>
          <w:b w:val="0"/>
          <w:bCs w:val="0"/>
          <w:caps w:val="0"/>
        </w:rPr>
      </w:pPr>
      <w:r w:rsidRPr="00735726">
        <w:rPr>
          <w:rFonts w:cs="DINOT-Light"/>
          <w:b w:val="0"/>
          <w:bCs w:val="0"/>
          <w:caps w:val="0"/>
        </w:rPr>
        <w:t>financial environment remains challenging. We believe this is the right approach, both for our people and for the</w:t>
      </w:r>
    </w:p>
    <w:p w14:paraId="05E7EB37" w14:textId="77777777" w:rsidR="00490EA7" w:rsidRPr="00735726" w:rsidRDefault="00490EA7" w:rsidP="00490EA7">
      <w:pPr>
        <w:pStyle w:val="Headinglevel4"/>
        <w:spacing w:line="276" w:lineRule="auto"/>
        <w:ind w:right="95"/>
        <w:outlineLvl w:val="0"/>
        <w:rPr>
          <w:rFonts w:cs="DINOT-Light"/>
          <w:b w:val="0"/>
          <w:bCs w:val="0"/>
          <w:caps w:val="0"/>
        </w:rPr>
      </w:pPr>
      <w:r w:rsidRPr="00735726">
        <w:rPr>
          <w:rFonts w:cs="DINOT-Light"/>
          <w:b w:val="0"/>
          <w:bCs w:val="0"/>
          <w:caps w:val="0"/>
        </w:rPr>
        <w:t>long-term success of the business.</w:t>
      </w:r>
    </w:p>
    <w:p w14:paraId="1E788830" w14:textId="77777777" w:rsidR="00490EA7" w:rsidRPr="00735726" w:rsidRDefault="00490EA7" w:rsidP="00490EA7">
      <w:pPr>
        <w:pStyle w:val="Headinglevel4"/>
        <w:spacing w:line="276" w:lineRule="auto"/>
        <w:ind w:right="95"/>
        <w:outlineLvl w:val="0"/>
        <w:rPr>
          <w:rFonts w:cs="DINOT-Light"/>
          <w:b w:val="0"/>
          <w:bCs w:val="0"/>
          <w:caps w:val="0"/>
        </w:rPr>
      </w:pPr>
    </w:p>
    <w:p w14:paraId="24A7F0D3" w14:textId="3A128E3F" w:rsidR="00490EA7" w:rsidRPr="00735726" w:rsidRDefault="00490EA7" w:rsidP="00490EA7">
      <w:pPr>
        <w:pStyle w:val="Headinglevel4"/>
        <w:spacing w:line="276" w:lineRule="auto"/>
        <w:ind w:right="95"/>
        <w:outlineLvl w:val="0"/>
        <w:rPr>
          <w:rFonts w:cs="DINOT-Light"/>
          <w:b w:val="0"/>
          <w:bCs w:val="0"/>
          <w:caps w:val="0"/>
        </w:rPr>
      </w:pPr>
      <w:r w:rsidRPr="00735726">
        <w:rPr>
          <w:rFonts w:cs="DINOT-Light"/>
          <w:b w:val="0"/>
          <w:bCs w:val="0"/>
          <w:caps w:val="0"/>
        </w:rPr>
        <w:t xml:space="preserve">We are proud to be an accredited Living Wage Foundation employer, with </w:t>
      </w:r>
      <w:proofErr w:type="gramStart"/>
      <w:r w:rsidRPr="00735726">
        <w:rPr>
          <w:rFonts w:cs="DINOT-Light"/>
          <w:b w:val="0"/>
          <w:bCs w:val="0"/>
          <w:caps w:val="0"/>
        </w:rPr>
        <w:t>the majority of</w:t>
      </w:r>
      <w:proofErr w:type="gramEnd"/>
      <w:r w:rsidRPr="00735726">
        <w:rPr>
          <w:rFonts w:cs="DINOT-Light"/>
          <w:b w:val="0"/>
          <w:bCs w:val="0"/>
          <w:caps w:val="0"/>
        </w:rPr>
        <w:t xml:space="preserve"> our workforce covered since 2021. In 2026, most colleagues received a pay increase of 4.5%, and our minimum hourly rate has increased to £13.95 around £1,000 per year higher than the Real Living Wage. This reflects our ambition to remain an employer of choice. </w:t>
      </w:r>
    </w:p>
    <w:p w14:paraId="0AAA15CA" w14:textId="77777777" w:rsidR="00490EA7" w:rsidRPr="00735726" w:rsidRDefault="00490EA7" w:rsidP="00490EA7">
      <w:pPr>
        <w:pStyle w:val="Headinglevel4"/>
        <w:spacing w:line="276" w:lineRule="auto"/>
        <w:ind w:right="95"/>
        <w:outlineLvl w:val="0"/>
        <w:rPr>
          <w:rFonts w:cs="DINOT-Light"/>
          <w:b w:val="0"/>
          <w:bCs w:val="0"/>
          <w:caps w:val="0"/>
        </w:rPr>
      </w:pPr>
    </w:p>
    <w:p w14:paraId="6FC6BFA6" w14:textId="7455F9EE" w:rsidR="00490EA7" w:rsidRPr="00735726" w:rsidRDefault="00490EA7" w:rsidP="00490EA7">
      <w:pPr>
        <w:pStyle w:val="Headinglevel4"/>
        <w:spacing w:line="276" w:lineRule="auto"/>
        <w:ind w:right="95"/>
        <w:outlineLvl w:val="0"/>
        <w:rPr>
          <w:rFonts w:cs="DINOT-Light"/>
          <w:b w:val="0"/>
          <w:bCs w:val="0"/>
          <w:caps w:val="0"/>
        </w:rPr>
      </w:pPr>
      <w:r w:rsidRPr="00735726">
        <w:rPr>
          <w:rFonts w:cs="DINOT-Light"/>
          <w:b w:val="0"/>
          <w:bCs w:val="0"/>
          <w:caps w:val="0"/>
        </w:rPr>
        <w:t>Our overall approach to reward continues to evolve alongside the Company. As we now operate across more locations, we have focused on ensuring our reward offering remains relevant, competitive and inclusive. This year, we have:</w:t>
      </w:r>
    </w:p>
    <w:p w14:paraId="19ED1BDE" w14:textId="77777777" w:rsidR="00490EA7" w:rsidRPr="00735726" w:rsidRDefault="00490EA7" w:rsidP="00490EA7">
      <w:pPr>
        <w:pStyle w:val="Headinglevel4"/>
        <w:spacing w:line="276" w:lineRule="auto"/>
        <w:ind w:right="95"/>
        <w:outlineLvl w:val="0"/>
        <w:rPr>
          <w:rFonts w:cs="DINOT-Light"/>
          <w:b w:val="0"/>
          <w:bCs w:val="0"/>
          <w:caps w:val="0"/>
        </w:rPr>
      </w:pPr>
    </w:p>
    <w:p w14:paraId="36B32862" w14:textId="5AD6267C" w:rsidR="00490EA7" w:rsidRPr="00735726" w:rsidRDefault="00490EA7" w:rsidP="00490EA7">
      <w:pPr>
        <w:pStyle w:val="Headinglevel4"/>
        <w:numPr>
          <w:ilvl w:val="0"/>
          <w:numId w:val="115"/>
        </w:numPr>
        <w:spacing w:line="276" w:lineRule="auto"/>
        <w:ind w:right="95"/>
        <w:outlineLvl w:val="0"/>
        <w:rPr>
          <w:rFonts w:cs="DINOT-Light"/>
          <w:b w:val="0"/>
          <w:bCs w:val="0"/>
          <w:caps w:val="0"/>
        </w:rPr>
      </w:pPr>
      <w:r w:rsidRPr="00735726">
        <w:rPr>
          <w:rFonts w:cs="DINOT-Light"/>
          <w:b w:val="0"/>
          <w:bCs w:val="0"/>
          <w:caps w:val="0"/>
        </w:rPr>
        <w:t>Refreshed our reward and recognition programmes</w:t>
      </w:r>
    </w:p>
    <w:p w14:paraId="19DAAB66" w14:textId="39917652" w:rsidR="00490EA7" w:rsidRPr="00735726" w:rsidRDefault="00490EA7" w:rsidP="00490EA7">
      <w:pPr>
        <w:pStyle w:val="Headinglevel4"/>
        <w:numPr>
          <w:ilvl w:val="0"/>
          <w:numId w:val="115"/>
        </w:numPr>
        <w:spacing w:line="276" w:lineRule="auto"/>
        <w:ind w:right="95"/>
        <w:outlineLvl w:val="0"/>
        <w:rPr>
          <w:rFonts w:cs="DINOT-Light"/>
          <w:b w:val="0"/>
          <w:bCs w:val="0"/>
          <w:caps w:val="0"/>
        </w:rPr>
      </w:pPr>
      <w:r w:rsidRPr="00735726">
        <w:rPr>
          <w:rFonts w:cs="DINOT-Light"/>
          <w:b w:val="0"/>
          <w:bCs w:val="0"/>
          <w:caps w:val="0"/>
        </w:rPr>
        <w:t>Enhanced our all-employee share plans by introducing matching shares</w:t>
      </w:r>
    </w:p>
    <w:p w14:paraId="6DF37E74" w14:textId="244C986E" w:rsidR="00490EA7" w:rsidRPr="00735726" w:rsidRDefault="00490EA7" w:rsidP="00490EA7">
      <w:pPr>
        <w:pStyle w:val="Headinglevel4"/>
        <w:numPr>
          <w:ilvl w:val="0"/>
          <w:numId w:val="115"/>
        </w:numPr>
        <w:spacing w:line="276" w:lineRule="auto"/>
        <w:ind w:right="95"/>
        <w:outlineLvl w:val="0"/>
        <w:rPr>
          <w:rFonts w:cs="DINOT-Light"/>
          <w:b w:val="0"/>
          <w:bCs w:val="0"/>
          <w:caps w:val="0"/>
        </w:rPr>
      </w:pPr>
      <w:r w:rsidRPr="00735726">
        <w:rPr>
          <w:rFonts w:cs="DINOT-Light"/>
          <w:b w:val="0"/>
          <w:bCs w:val="0"/>
          <w:caps w:val="0"/>
        </w:rPr>
        <w:t>Increased flexibility in benefits, giving colleagues more choice over options that suit their lifestyles</w:t>
      </w:r>
    </w:p>
    <w:p w14:paraId="3E240453" w14:textId="77777777" w:rsidR="00490EA7" w:rsidRPr="00735726" w:rsidRDefault="00490EA7" w:rsidP="00490EA7">
      <w:pPr>
        <w:pStyle w:val="Headinglevel4"/>
        <w:spacing w:line="276" w:lineRule="auto"/>
        <w:ind w:right="95"/>
        <w:outlineLvl w:val="0"/>
        <w:rPr>
          <w:rFonts w:cs="DINOT-Light"/>
          <w:b w:val="0"/>
          <w:bCs w:val="0"/>
          <w:caps w:val="0"/>
        </w:rPr>
      </w:pPr>
    </w:p>
    <w:p w14:paraId="11CC8AC1" w14:textId="16DC2B78" w:rsidR="00490EA7" w:rsidRPr="00735726" w:rsidRDefault="00490EA7" w:rsidP="00490EA7">
      <w:pPr>
        <w:pStyle w:val="Headinglevel4"/>
        <w:spacing w:line="276" w:lineRule="auto"/>
        <w:ind w:right="95"/>
        <w:outlineLvl w:val="0"/>
        <w:rPr>
          <w:rFonts w:cs="DINOT-Light"/>
          <w:b w:val="0"/>
          <w:bCs w:val="0"/>
          <w:caps w:val="0"/>
        </w:rPr>
      </w:pPr>
      <w:r w:rsidRPr="00735726">
        <w:rPr>
          <w:rFonts w:cs="DINOT-Light"/>
          <w:b w:val="0"/>
          <w:bCs w:val="0"/>
          <w:caps w:val="0"/>
        </w:rPr>
        <w:t>We also continue to offer strong pension provision and enhanced life assurance benefits.</w:t>
      </w:r>
    </w:p>
    <w:p w14:paraId="1921BF50" w14:textId="77777777" w:rsidR="00490EA7" w:rsidRPr="00735726" w:rsidRDefault="00490EA7" w:rsidP="00490EA7">
      <w:pPr>
        <w:pStyle w:val="Headinglevel4"/>
        <w:spacing w:line="276" w:lineRule="auto"/>
        <w:ind w:right="95"/>
        <w:outlineLvl w:val="0"/>
        <w:rPr>
          <w:rFonts w:cs="DINOT-Light"/>
          <w:b w:val="0"/>
          <w:bCs w:val="0"/>
          <w:caps w:val="0"/>
        </w:rPr>
      </w:pPr>
    </w:p>
    <w:p w14:paraId="1881AD97" w14:textId="476FFC21" w:rsidR="00490EA7" w:rsidRPr="00735726" w:rsidRDefault="00490EA7" w:rsidP="00490EA7">
      <w:pPr>
        <w:pStyle w:val="Headinglevel4"/>
        <w:spacing w:line="276" w:lineRule="auto"/>
        <w:ind w:right="95"/>
        <w:outlineLvl w:val="0"/>
        <w:rPr>
          <w:rFonts w:cs="DINOT-Light"/>
          <w:b w:val="0"/>
          <w:bCs w:val="0"/>
          <w:caps w:val="0"/>
        </w:rPr>
      </w:pPr>
      <w:r w:rsidRPr="00735726">
        <w:rPr>
          <w:rFonts w:cs="DINOT-Light"/>
          <w:b w:val="0"/>
          <w:bCs w:val="0"/>
          <w:caps w:val="0"/>
        </w:rPr>
        <w:t>We are committed to ensuring that performance-related pay is meaningful and clearly linked to outcomes. This</w:t>
      </w:r>
    </w:p>
    <w:p w14:paraId="557E0C8B" w14:textId="216212B4" w:rsidR="00490EA7" w:rsidRPr="00735726" w:rsidRDefault="00490EA7" w:rsidP="00490EA7">
      <w:pPr>
        <w:pStyle w:val="Headinglevel4"/>
        <w:spacing w:line="276" w:lineRule="auto"/>
        <w:ind w:right="95"/>
        <w:outlineLvl w:val="0"/>
        <w:rPr>
          <w:rFonts w:cs="DINOT-Light"/>
          <w:b w:val="0"/>
          <w:bCs w:val="0"/>
          <w:caps w:val="0"/>
        </w:rPr>
      </w:pPr>
      <w:r w:rsidRPr="00735726">
        <w:rPr>
          <w:rFonts w:cs="DINOT-Light"/>
          <w:b w:val="0"/>
          <w:bCs w:val="0"/>
          <w:caps w:val="0"/>
        </w:rPr>
        <w:t xml:space="preserve">means rewarding colleagues when they deliver for our customers, communities, and the environment all aligned with our Company values. For senior managers, there is also a continued focus on building share ownership in our parent </w:t>
      </w:r>
      <w:r w:rsidR="003B36A4" w:rsidRPr="00735726">
        <w:rPr>
          <w:rFonts w:cs="DINOT-Light"/>
          <w:b w:val="0"/>
          <w:bCs w:val="0"/>
          <w:caps w:val="0"/>
        </w:rPr>
        <w:t>C</w:t>
      </w:r>
      <w:r w:rsidRPr="00735726">
        <w:rPr>
          <w:rFonts w:cs="DINOT-Light"/>
          <w:b w:val="0"/>
          <w:bCs w:val="0"/>
          <w:caps w:val="0"/>
        </w:rPr>
        <w:t>ompany Pennon Group plc, strengthening alignment with the long-term success of the business.</w:t>
      </w:r>
    </w:p>
    <w:p w14:paraId="218CA9B3" w14:textId="77777777" w:rsidR="00490EA7" w:rsidRPr="00735726" w:rsidRDefault="00490EA7" w:rsidP="00490EA7">
      <w:pPr>
        <w:pStyle w:val="Headinglevel4"/>
        <w:spacing w:line="276" w:lineRule="auto"/>
        <w:ind w:right="95"/>
        <w:outlineLvl w:val="0"/>
        <w:rPr>
          <w:rFonts w:cs="DINOT-Light"/>
          <w:b w:val="0"/>
          <w:bCs w:val="0"/>
          <w:caps w:val="0"/>
        </w:rPr>
      </w:pPr>
    </w:p>
    <w:p w14:paraId="5F333976" w14:textId="4A7444F4" w:rsidR="005A2203" w:rsidRPr="009A2CAE" w:rsidRDefault="00490EA7" w:rsidP="00490EA7">
      <w:pPr>
        <w:pStyle w:val="Headinglevel4"/>
        <w:spacing w:line="276" w:lineRule="auto"/>
        <w:ind w:right="95"/>
        <w:outlineLvl w:val="0"/>
        <w:rPr>
          <w:rFonts w:cs="DINOT-Light"/>
          <w:b w:val="0"/>
          <w:bCs w:val="0"/>
          <w:caps w:val="0"/>
        </w:rPr>
      </w:pPr>
      <w:r w:rsidRPr="00735726">
        <w:rPr>
          <w:rFonts w:cs="DINOT-Light"/>
          <w:b w:val="0"/>
          <w:bCs w:val="0"/>
          <w:caps w:val="0"/>
        </w:rPr>
        <w:t xml:space="preserve">Encouragingly, our share scheme </w:t>
      </w:r>
      <w:proofErr w:type="gramStart"/>
      <w:r w:rsidRPr="00735726">
        <w:rPr>
          <w:rFonts w:cs="DINOT-Light"/>
          <w:b w:val="0"/>
          <w:bCs w:val="0"/>
          <w:caps w:val="0"/>
        </w:rPr>
        <w:t>remain</w:t>
      </w:r>
      <w:proofErr w:type="gramEnd"/>
      <w:r w:rsidRPr="00735726">
        <w:rPr>
          <w:rFonts w:cs="DINOT-Light"/>
          <w:b w:val="0"/>
          <w:bCs w:val="0"/>
          <w:caps w:val="0"/>
        </w:rPr>
        <w:t xml:space="preserve"> popular, with around </w:t>
      </w:r>
      <w:r w:rsidR="00A2551E" w:rsidRPr="00735726">
        <w:rPr>
          <w:rFonts w:cs="DINOT-Light"/>
          <w:b w:val="0"/>
          <w:bCs w:val="0"/>
          <w:caps w:val="0"/>
        </w:rPr>
        <w:t>34%</w:t>
      </w:r>
      <w:r w:rsidRPr="00735726">
        <w:rPr>
          <w:rFonts w:cs="DINOT-Light"/>
          <w:b w:val="0"/>
          <w:bCs w:val="0"/>
          <w:caps w:val="0"/>
        </w:rPr>
        <w:t xml:space="preserve"> of colleagues participating in either </w:t>
      </w:r>
      <w:proofErr w:type="spellStart"/>
      <w:r w:rsidRPr="00735726">
        <w:rPr>
          <w:rFonts w:cs="DINOT-Light"/>
          <w:b w:val="0"/>
          <w:bCs w:val="0"/>
          <w:caps w:val="0"/>
        </w:rPr>
        <w:t>ShareSave</w:t>
      </w:r>
      <w:proofErr w:type="spellEnd"/>
      <w:r w:rsidRPr="00735726">
        <w:rPr>
          <w:rFonts w:cs="DINOT-Light"/>
          <w:b w:val="0"/>
          <w:bCs w:val="0"/>
          <w:caps w:val="0"/>
        </w:rPr>
        <w:t xml:space="preserve"> or our enhanced share incentive plan, </w:t>
      </w:r>
      <w:proofErr w:type="spellStart"/>
      <w:r w:rsidRPr="00735726">
        <w:rPr>
          <w:rFonts w:cs="DINOT-Light"/>
          <w:b w:val="0"/>
          <w:bCs w:val="0"/>
          <w:caps w:val="0"/>
        </w:rPr>
        <w:t>ExtraShare</w:t>
      </w:r>
      <w:proofErr w:type="spellEnd"/>
      <w:r w:rsidR="00593D4B" w:rsidRPr="00735726">
        <w:rPr>
          <w:rFonts w:cs="DINOT-Light"/>
          <w:b w:val="0"/>
          <w:bCs w:val="0"/>
          <w:caps w:val="0"/>
        </w:rPr>
        <w:t xml:space="preserve">, through our parent </w:t>
      </w:r>
      <w:r w:rsidR="003B36A4" w:rsidRPr="00735726">
        <w:rPr>
          <w:rFonts w:cs="DINOT-Light"/>
          <w:b w:val="0"/>
          <w:bCs w:val="0"/>
          <w:caps w:val="0"/>
        </w:rPr>
        <w:t>C</w:t>
      </w:r>
      <w:r w:rsidR="00593D4B" w:rsidRPr="00735726">
        <w:rPr>
          <w:rFonts w:cs="DINOT-Light"/>
          <w:b w:val="0"/>
          <w:bCs w:val="0"/>
          <w:caps w:val="0"/>
        </w:rPr>
        <w:t>ompany, Pennon Group plc.</w:t>
      </w:r>
    </w:p>
    <w:p w14:paraId="5195A998" w14:textId="77777777" w:rsidR="00490EA7" w:rsidRPr="009A2CAE" w:rsidRDefault="00490EA7" w:rsidP="00490EA7">
      <w:pPr>
        <w:pStyle w:val="Headinglevel4"/>
        <w:spacing w:line="276" w:lineRule="auto"/>
        <w:ind w:right="95"/>
        <w:outlineLvl w:val="0"/>
        <w:rPr>
          <w:rFonts w:cs="DINOT-Light"/>
          <w:b w:val="0"/>
          <w:bCs w:val="0"/>
          <w:caps w:val="0"/>
        </w:rPr>
      </w:pPr>
    </w:p>
    <w:p w14:paraId="2D627EC6" w14:textId="6BB7E21B" w:rsidR="00490EA7" w:rsidRPr="00735726" w:rsidRDefault="00641B45" w:rsidP="00277639">
      <w:pPr>
        <w:pStyle w:val="Headinglevel4"/>
        <w:spacing w:line="276" w:lineRule="auto"/>
        <w:outlineLvl w:val="0"/>
        <w:rPr>
          <w:rFonts w:cs="DINOT-Light"/>
          <w:b w:val="0"/>
          <w:bCs w:val="0"/>
          <w:caps w:val="0"/>
        </w:rPr>
      </w:pPr>
      <w:r w:rsidRPr="00735726">
        <w:t>INCENTIVE OUTCOMES</w:t>
      </w:r>
      <w:r w:rsidR="00057D91" w:rsidRPr="00735726">
        <w:rPr>
          <w:rFonts w:cs="DINOT-Light"/>
          <w:b w:val="0"/>
          <w:bCs w:val="0"/>
          <w:caps w:val="0"/>
        </w:rPr>
        <w:br/>
      </w:r>
      <w:r w:rsidR="00490EA7" w:rsidRPr="00735726">
        <w:rPr>
          <w:rFonts w:cs="DINOT-Light"/>
          <w:b w:val="0"/>
          <w:bCs w:val="0"/>
          <w:caps w:val="0"/>
        </w:rPr>
        <w:t xml:space="preserve">Our incentives are designed to provide a rounded assessment of performance across a range of key metrics. In line with Ofwat guidance, </w:t>
      </w:r>
      <w:proofErr w:type="gramStart"/>
      <w:r w:rsidR="00490EA7" w:rsidRPr="00735726">
        <w:rPr>
          <w:rFonts w:cs="DINOT-Light"/>
          <w:b w:val="0"/>
          <w:bCs w:val="0"/>
          <w:caps w:val="0"/>
        </w:rPr>
        <w:t>the majority of</w:t>
      </w:r>
      <w:proofErr w:type="gramEnd"/>
      <w:r w:rsidR="00490EA7" w:rsidRPr="00735726">
        <w:rPr>
          <w:rFonts w:cs="DINOT-Light"/>
          <w:b w:val="0"/>
          <w:bCs w:val="0"/>
          <w:caps w:val="0"/>
        </w:rPr>
        <w:t xml:space="preserve"> our incentives are linked to delivery of stretching objectives in relation to our customers, communities and the environment.</w:t>
      </w:r>
    </w:p>
    <w:p w14:paraId="24A45704" w14:textId="77777777" w:rsidR="00490EA7" w:rsidRPr="00735726" w:rsidRDefault="00490EA7" w:rsidP="00641B45">
      <w:pPr>
        <w:pStyle w:val="Headinglevel4"/>
        <w:spacing w:line="276" w:lineRule="auto"/>
        <w:ind w:right="-46"/>
        <w:outlineLvl w:val="0"/>
        <w:rPr>
          <w:rFonts w:cs="DINOT-Light"/>
          <w:b w:val="0"/>
          <w:bCs w:val="0"/>
          <w:caps w:val="0"/>
        </w:rPr>
      </w:pPr>
    </w:p>
    <w:p w14:paraId="198B46DB" w14:textId="59701F23"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 xml:space="preserve">Our stretching business plan for AMP8 was agreed with Ofwat and was rated as outstanding. The targets that we set for our incentive plans are directly linked to this business plan which </w:t>
      </w:r>
      <w:proofErr w:type="gramStart"/>
      <w:r w:rsidRPr="00735726">
        <w:rPr>
          <w:rFonts w:cs="DINOT-Light"/>
          <w:b w:val="0"/>
          <w:bCs w:val="0"/>
          <w:caps w:val="0"/>
        </w:rPr>
        <w:t>takes into account</w:t>
      </w:r>
      <w:proofErr w:type="gramEnd"/>
      <w:r w:rsidRPr="00735726">
        <w:rPr>
          <w:rFonts w:cs="DINOT-Light"/>
          <w:b w:val="0"/>
          <w:bCs w:val="0"/>
          <w:caps w:val="0"/>
        </w:rPr>
        <w:t xml:space="preserve"> the expectations from the regulator and our various stakeholders. The bonus and LTIP awards for the Executive Directors are funded at the </w:t>
      </w:r>
      <w:r w:rsidR="00593D4B" w:rsidRPr="00735726">
        <w:rPr>
          <w:rFonts w:cs="DINOT-Light"/>
          <w:b w:val="0"/>
          <w:bCs w:val="0"/>
          <w:caps w:val="0"/>
        </w:rPr>
        <w:t xml:space="preserve">Pennon Group </w:t>
      </w:r>
      <w:r w:rsidRPr="00735726">
        <w:rPr>
          <w:rFonts w:cs="DINOT-Light"/>
          <w:b w:val="0"/>
          <w:bCs w:val="0"/>
          <w:caps w:val="0"/>
        </w:rPr>
        <w:t>level, ensuring incentives are not funded by customers.</w:t>
      </w:r>
    </w:p>
    <w:p w14:paraId="3C6C6C3A" w14:textId="77777777" w:rsidR="00D07881" w:rsidRPr="00735726" w:rsidRDefault="00D07881" w:rsidP="00D07881">
      <w:pPr>
        <w:pStyle w:val="Headinglevel4"/>
        <w:spacing w:line="276" w:lineRule="auto"/>
        <w:ind w:right="-46"/>
        <w:outlineLvl w:val="0"/>
        <w:rPr>
          <w:rFonts w:cs="DINOT-Light"/>
          <w:b w:val="0"/>
          <w:bCs w:val="0"/>
          <w:caps w:val="0"/>
        </w:rPr>
      </w:pPr>
    </w:p>
    <w:p w14:paraId="1E765A5F" w14:textId="29F4FD52" w:rsidR="00D07881" w:rsidRPr="00735726" w:rsidRDefault="009B360E" w:rsidP="00593D4B">
      <w:pPr>
        <w:pStyle w:val="Headinglevel4"/>
        <w:spacing w:line="276" w:lineRule="auto"/>
        <w:ind w:right="-46"/>
        <w:outlineLvl w:val="0"/>
        <w:rPr>
          <w:rFonts w:cs="DINOT-Light"/>
          <w:b w:val="0"/>
          <w:bCs w:val="0"/>
          <w:caps w:val="0"/>
        </w:rPr>
      </w:pPr>
      <w:r w:rsidRPr="00735726">
        <w:rPr>
          <w:rFonts w:cs="DINOT-Light"/>
          <w:b w:val="0"/>
          <w:bCs w:val="0"/>
          <w:caps w:val="0"/>
        </w:rPr>
        <w:t xml:space="preserve">The annual bonus for 2025/26 is structured to provide a clear link to the performance of </w:t>
      </w:r>
      <w:proofErr w:type="gramStart"/>
      <w:r w:rsidRPr="00735726">
        <w:rPr>
          <w:rFonts w:cs="DINOT-Light"/>
          <w:b w:val="0"/>
          <w:bCs w:val="0"/>
          <w:caps w:val="0"/>
        </w:rPr>
        <w:t>South West</w:t>
      </w:r>
      <w:proofErr w:type="gramEnd"/>
      <w:r w:rsidRPr="00735726">
        <w:rPr>
          <w:rFonts w:cs="DINOT-Light"/>
          <w:b w:val="0"/>
          <w:bCs w:val="0"/>
          <w:caps w:val="0"/>
        </w:rPr>
        <w:t xml:space="preserve"> Water and other Pennon Group regulated entities, which reflects feedback previously provided by Ofwat, with 70% of the award weighted to </w:t>
      </w:r>
      <w:proofErr w:type="gramStart"/>
      <w:r w:rsidRPr="00735726">
        <w:rPr>
          <w:rFonts w:cs="DINOT-Light"/>
          <w:b w:val="0"/>
          <w:bCs w:val="0"/>
          <w:caps w:val="0"/>
        </w:rPr>
        <w:t>South West</w:t>
      </w:r>
      <w:proofErr w:type="gramEnd"/>
      <w:r w:rsidRPr="00735726">
        <w:rPr>
          <w:rFonts w:cs="DINOT-Light"/>
          <w:b w:val="0"/>
          <w:bCs w:val="0"/>
          <w:caps w:val="0"/>
        </w:rPr>
        <w:t xml:space="preserve"> Water </w:t>
      </w:r>
      <w:r w:rsidR="00593D4B" w:rsidRPr="00735726">
        <w:rPr>
          <w:rFonts w:cs="DINOT-Light"/>
          <w:b w:val="0"/>
          <w:bCs w:val="0"/>
          <w:caps w:val="0"/>
        </w:rPr>
        <w:t>and the remainder linked to other Group activities.</w:t>
      </w:r>
      <w:r w:rsidR="00D07881" w:rsidRPr="00735726">
        <w:rPr>
          <w:rFonts w:cs="DINOT-Light"/>
          <w:b w:val="0"/>
          <w:bCs w:val="0"/>
          <w:caps w:val="0"/>
        </w:rPr>
        <w:t xml:space="preserve"> Within these elements, financial, customer and environmental measures are embedded. This basket of measures seeks to capture areas of focus across a diverse range of stakeholders.</w:t>
      </w:r>
    </w:p>
    <w:p w14:paraId="1EFA2347" w14:textId="77777777" w:rsidR="00D07881" w:rsidRPr="00735726" w:rsidRDefault="00D07881" w:rsidP="00D07881">
      <w:pPr>
        <w:pStyle w:val="Headinglevel4"/>
        <w:spacing w:line="276" w:lineRule="auto"/>
        <w:ind w:right="-46"/>
        <w:outlineLvl w:val="0"/>
        <w:rPr>
          <w:rFonts w:cs="DINOT-Light"/>
          <w:b w:val="0"/>
          <w:bCs w:val="0"/>
          <w:caps w:val="0"/>
        </w:rPr>
      </w:pPr>
    </w:p>
    <w:p w14:paraId="644D1EA9" w14:textId="528395EB"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 xml:space="preserve">Based on a formulaic assessment of performance, the outturn of the 2025/26 bonus was </w:t>
      </w:r>
      <w:r w:rsidR="00867C84" w:rsidRPr="00735726">
        <w:rPr>
          <w:rFonts w:cs="DINOT-Light"/>
          <w:b w:val="0"/>
          <w:bCs w:val="0"/>
          <w:caps w:val="0"/>
        </w:rPr>
        <w:t>32.6</w:t>
      </w:r>
      <w:r w:rsidRPr="00735726">
        <w:rPr>
          <w:rFonts w:cs="DINOT-Light"/>
          <w:b w:val="0"/>
          <w:bCs w:val="0"/>
          <w:caps w:val="0"/>
        </w:rPr>
        <w:t>% of maximum.</w:t>
      </w:r>
    </w:p>
    <w:p w14:paraId="326B4F7F" w14:textId="3A6D661A"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The Committee thereafter considered events which could trigger Ofwat’s performance-related executive pay prohibition rules, including the review of certain matters which have not been fully concluded at the time</w:t>
      </w:r>
    </w:p>
    <w:p w14:paraId="6232C335" w14:textId="7C33AA4A" w:rsidR="00D07881" w:rsidRPr="00735726" w:rsidRDefault="00D07881" w:rsidP="00D636C2">
      <w:pPr>
        <w:rPr>
          <w:rFonts w:cs="DINOT-Light"/>
          <w:b/>
          <w:bCs/>
          <w:caps/>
        </w:rPr>
      </w:pPr>
      <w:r w:rsidRPr="00735726">
        <w:rPr>
          <w:rFonts w:ascii="Arial" w:eastAsia="Times New Roman" w:hAnsi="Arial" w:cs="DINOT-Light"/>
          <w:color w:val="000000"/>
          <w:sz w:val="18"/>
          <w:szCs w:val="18"/>
        </w:rPr>
        <w:t xml:space="preserve">of decision-making. </w:t>
      </w:r>
      <w:r w:rsidR="00867C84" w:rsidRPr="00735726">
        <w:rPr>
          <w:rFonts w:ascii="Arial" w:eastAsia="Times New Roman" w:hAnsi="Arial" w:cs="DINOT-Light"/>
          <w:color w:val="000000"/>
          <w:sz w:val="18"/>
          <w:szCs w:val="18"/>
        </w:rPr>
        <w:t xml:space="preserve">On the assumption that the incident at </w:t>
      </w:r>
      <w:proofErr w:type="spellStart"/>
      <w:r w:rsidR="00867C84" w:rsidRPr="00735726">
        <w:rPr>
          <w:rFonts w:ascii="Arial" w:eastAsia="Times New Roman" w:hAnsi="Arial" w:cs="DINOT-Light"/>
          <w:color w:val="000000"/>
          <w:sz w:val="18"/>
          <w:szCs w:val="18"/>
        </w:rPr>
        <w:t>Men</w:t>
      </w:r>
      <w:r w:rsidR="00A43CC1" w:rsidRPr="00735726">
        <w:rPr>
          <w:rFonts w:ascii="Arial" w:eastAsia="Times New Roman" w:hAnsi="Arial" w:cs="DINOT-Light"/>
          <w:color w:val="000000"/>
          <w:sz w:val="18"/>
          <w:szCs w:val="18"/>
        </w:rPr>
        <w:t>a</w:t>
      </w:r>
      <w:r w:rsidR="00867C84" w:rsidRPr="00735726">
        <w:rPr>
          <w:rFonts w:ascii="Arial" w:eastAsia="Times New Roman" w:hAnsi="Arial" w:cs="DINOT-Light"/>
          <w:color w:val="000000"/>
          <w:sz w:val="18"/>
          <w:szCs w:val="18"/>
        </w:rPr>
        <w:t>gwins</w:t>
      </w:r>
      <w:proofErr w:type="spellEnd"/>
      <w:r w:rsidR="00867C84" w:rsidRPr="00735726">
        <w:rPr>
          <w:rFonts w:ascii="Arial" w:eastAsia="Times New Roman" w:hAnsi="Arial" w:cs="DINOT-Light"/>
          <w:color w:val="000000"/>
          <w:sz w:val="18"/>
          <w:szCs w:val="18"/>
        </w:rPr>
        <w:t xml:space="preserve"> in June 2025 (see </w:t>
      </w:r>
      <w:r w:rsidR="00867C84" w:rsidRPr="009A2CAE">
        <w:rPr>
          <w:rFonts w:ascii="Arial" w:eastAsia="Times New Roman" w:hAnsi="Arial" w:cs="DINOT-Light"/>
          <w:color w:val="000000"/>
          <w:sz w:val="18"/>
          <w:szCs w:val="18"/>
        </w:rPr>
        <w:t xml:space="preserve">page </w:t>
      </w:r>
      <w:r w:rsidR="00A43CC1" w:rsidRPr="009A2CAE">
        <w:rPr>
          <w:rFonts w:ascii="Arial" w:eastAsia="Times New Roman" w:hAnsi="Arial" w:cs="DINOT-Light"/>
          <w:color w:val="000000"/>
          <w:sz w:val="18"/>
          <w:szCs w:val="18"/>
        </w:rPr>
        <w:t>4</w:t>
      </w:r>
      <w:r w:rsidR="008E3656" w:rsidRPr="009A2CAE">
        <w:rPr>
          <w:rFonts w:ascii="Arial" w:eastAsia="Times New Roman" w:hAnsi="Arial" w:cs="DINOT-Light"/>
          <w:color w:val="000000"/>
          <w:sz w:val="18"/>
          <w:szCs w:val="18"/>
        </w:rPr>
        <w:t>2</w:t>
      </w:r>
      <w:r w:rsidR="00867C84" w:rsidRPr="00735726">
        <w:rPr>
          <w:rFonts w:ascii="Arial" w:eastAsia="Times New Roman" w:hAnsi="Arial" w:cs="DINOT-Light"/>
          <w:color w:val="000000"/>
          <w:sz w:val="18"/>
          <w:szCs w:val="18"/>
        </w:rPr>
        <w:t xml:space="preserve"> for further details) will be classified as a Category 1 event, the Committee concluded that no bonus would be paid in respect of </w:t>
      </w:r>
      <w:proofErr w:type="gramStart"/>
      <w:r w:rsidR="00867C84" w:rsidRPr="00735726">
        <w:rPr>
          <w:rFonts w:ascii="Arial" w:eastAsia="Times New Roman" w:hAnsi="Arial" w:cs="DINOT-Light"/>
          <w:color w:val="000000"/>
          <w:sz w:val="18"/>
          <w:szCs w:val="18"/>
        </w:rPr>
        <w:t>South West</w:t>
      </w:r>
      <w:proofErr w:type="gramEnd"/>
      <w:r w:rsidR="00867C84" w:rsidRPr="00735726">
        <w:rPr>
          <w:rFonts w:ascii="Arial" w:eastAsia="Times New Roman" w:hAnsi="Arial" w:cs="DINOT-Light"/>
          <w:color w:val="000000"/>
          <w:sz w:val="18"/>
          <w:szCs w:val="18"/>
        </w:rPr>
        <w:t xml:space="preserve"> Water. </w:t>
      </w:r>
      <w:proofErr w:type="gramStart"/>
      <w:r w:rsidR="00867C84" w:rsidRPr="00735726">
        <w:rPr>
          <w:rFonts w:ascii="Arial" w:eastAsia="Times New Roman" w:hAnsi="Arial" w:cs="DINOT-Light"/>
          <w:color w:val="000000"/>
          <w:sz w:val="18"/>
          <w:szCs w:val="18"/>
        </w:rPr>
        <w:t>In the event that</w:t>
      </w:r>
      <w:proofErr w:type="gramEnd"/>
      <w:r w:rsidR="00867C84" w:rsidRPr="00735726">
        <w:rPr>
          <w:rFonts w:ascii="Arial" w:eastAsia="Times New Roman" w:hAnsi="Arial" w:cs="DINOT-Light"/>
          <w:color w:val="000000"/>
          <w:sz w:val="18"/>
          <w:szCs w:val="18"/>
        </w:rPr>
        <w:t xml:space="preserve"> both the </w:t>
      </w:r>
      <w:proofErr w:type="spellStart"/>
      <w:r w:rsidR="00867C84" w:rsidRPr="00735726">
        <w:rPr>
          <w:rFonts w:ascii="Arial" w:eastAsia="Times New Roman" w:hAnsi="Arial" w:cs="DINOT-Light"/>
          <w:color w:val="000000"/>
          <w:sz w:val="18"/>
          <w:szCs w:val="18"/>
        </w:rPr>
        <w:t>Men</w:t>
      </w:r>
      <w:r w:rsidR="00A43CC1" w:rsidRPr="00735726">
        <w:rPr>
          <w:rFonts w:ascii="Arial" w:eastAsia="Times New Roman" w:hAnsi="Arial" w:cs="DINOT-Light"/>
          <w:color w:val="000000"/>
          <w:sz w:val="18"/>
          <w:szCs w:val="18"/>
        </w:rPr>
        <w:t>a</w:t>
      </w:r>
      <w:r w:rsidR="00867C84" w:rsidRPr="00735726">
        <w:rPr>
          <w:rFonts w:ascii="Arial" w:eastAsia="Times New Roman" w:hAnsi="Arial" w:cs="DINOT-Light"/>
          <w:color w:val="000000"/>
          <w:sz w:val="18"/>
          <w:szCs w:val="18"/>
        </w:rPr>
        <w:t>gwins</w:t>
      </w:r>
      <w:proofErr w:type="spellEnd"/>
      <w:r w:rsidR="00867C84" w:rsidRPr="00735726">
        <w:rPr>
          <w:rFonts w:ascii="Arial" w:eastAsia="Times New Roman" w:hAnsi="Arial" w:cs="DINOT-Light"/>
          <w:color w:val="000000"/>
          <w:sz w:val="18"/>
          <w:szCs w:val="18"/>
        </w:rPr>
        <w:t xml:space="preserve"> incident is downgraded to a Category 2 event and the EPA is improved to 2*, the Committee would reconsider whether either of the Executive Directors should be eligible for a bonus in respect of </w:t>
      </w:r>
      <w:proofErr w:type="gramStart"/>
      <w:r w:rsidR="00867C84" w:rsidRPr="00735726">
        <w:rPr>
          <w:rFonts w:ascii="Arial" w:eastAsia="Times New Roman" w:hAnsi="Arial" w:cs="DINOT-Light"/>
          <w:color w:val="000000"/>
          <w:sz w:val="18"/>
          <w:szCs w:val="18"/>
        </w:rPr>
        <w:t>South West</w:t>
      </w:r>
      <w:proofErr w:type="gramEnd"/>
      <w:r w:rsidR="00867C84" w:rsidRPr="00735726">
        <w:rPr>
          <w:rFonts w:ascii="Arial" w:eastAsia="Times New Roman" w:hAnsi="Arial" w:cs="DINOT-Light"/>
          <w:color w:val="000000"/>
          <w:sz w:val="18"/>
          <w:szCs w:val="18"/>
        </w:rPr>
        <w:t xml:space="preserve"> Water performance. </w:t>
      </w:r>
      <w:proofErr w:type="gramStart"/>
      <w:r w:rsidRPr="00735726">
        <w:rPr>
          <w:rFonts w:ascii="Arial" w:eastAsia="Times New Roman" w:hAnsi="Arial" w:cs="DINOT-Light"/>
          <w:color w:val="000000"/>
          <w:sz w:val="18"/>
          <w:szCs w:val="18"/>
        </w:rPr>
        <w:t>In the event that</w:t>
      </w:r>
      <w:proofErr w:type="gramEnd"/>
      <w:r w:rsidRPr="00735726">
        <w:rPr>
          <w:rFonts w:ascii="Arial" w:eastAsia="Times New Roman" w:hAnsi="Arial" w:cs="DINOT-Light"/>
          <w:color w:val="000000"/>
          <w:sz w:val="18"/>
          <w:szCs w:val="18"/>
        </w:rPr>
        <w:t xml:space="preserve"> both the </w:t>
      </w:r>
      <w:proofErr w:type="spellStart"/>
      <w:r w:rsidRPr="00735726">
        <w:rPr>
          <w:rFonts w:ascii="Arial" w:eastAsia="Times New Roman" w:hAnsi="Arial" w:cs="DINOT-Light"/>
          <w:color w:val="000000"/>
          <w:sz w:val="18"/>
          <w:szCs w:val="18"/>
        </w:rPr>
        <w:t>Menagwins</w:t>
      </w:r>
      <w:proofErr w:type="spellEnd"/>
      <w:r w:rsidRPr="00735726">
        <w:rPr>
          <w:rFonts w:ascii="Arial" w:eastAsia="Times New Roman" w:hAnsi="Arial" w:cs="DINOT-Light"/>
          <w:color w:val="000000"/>
          <w:sz w:val="18"/>
          <w:szCs w:val="18"/>
        </w:rPr>
        <w:t xml:space="preserve"> incident is downgraded to a Category 2 event and the EPA is improved to 2*, the Committee would reconsider whether either of the Executive Directors should be eligible for a bonus in respect of </w:t>
      </w:r>
      <w:proofErr w:type="gramStart"/>
      <w:r w:rsidRPr="00735726">
        <w:rPr>
          <w:rFonts w:ascii="Arial" w:eastAsia="Times New Roman" w:hAnsi="Arial" w:cs="DINOT-Light"/>
          <w:color w:val="000000"/>
          <w:sz w:val="18"/>
          <w:szCs w:val="18"/>
        </w:rPr>
        <w:t>S</w:t>
      </w:r>
      <w:r w:rsidR="00867C84" w:rsidRPr="00735726">
        <w:rPr>
          <w:rFonts w:ascii="Arial" w:eastAsia="Times New Roman" w:hAnsi="Arial" w:cs="DINOT-Light"/>
          <w:color w:val="000000"/>
          <w:sz w:val="18"/>
          <w:szCs w:val="18"/>
        </w:rPr>
        <w:t xml:space="preserve">outh </w:t>
      </w:r>
      <w:r w:rsidRPr="00735726">
        <w:rPr>
          <w:rFonts w:ascii="Arial" w:eastAsia="Times New Roman" w:hAnsi="Arial" w:cs="DINOT-Light"/>
          <w:color w:val="000000"/>
          <w:sz w:val="18"/>
          <w:szCs w:val="18"/>
        </w:rPr>
        <w:t>W</w:t>
      </w:r>
      <w:r w:rsidR="00867C84" w:rsidRPr="00735726">
        <w:rPr>
          <w:rFonts w:ascii="Arial" w:eastAsia="Times New Roman" w:hAnsi="Arial" w:cs="DINOT-Light"/>
          <w:color w:val="000000"/>
          <w:sz w:val="18"/>
          <w:szCs w:val="18"/>
        </w:rPr>
        <w:t>est</w:t>
      </w:r>
      <w:proofErr w:type="gramEnd"/>
      <w:r w:rsidR="00867C84"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W</w:t>
      </w:r>
      <w:r w:rsidR="00867C84" w:rsidRPr="00735726">
        <w:rPr>
          <w:rFonts w:ascii="Arial" w:eastAsia="Times New Roman" w:hAnsi="Arial" w:cs="DINOT-Light"/>
          <w:color w:val="000000"/>
          <w:sz w:val="18"/>
          <w:szCs w:val="18"/>
        </w:rPr>
        <w:t>ater</w:t>
      </w:r>
      <w:r w:rsidRPr="00735726">
        <w:rPr>
          <w:rFonts w:ascii="Arial" w:eastAsia="Times New Roman" w:hAnsi="Arial" w:cs="DINOT-Light"/>
          <w:color w:val="000000"/>
          <w:sz w:val="18"/>
          <w:szCs w:val="18"/>
        </w:rPr>
        <w:t xml:space="preserve"> performance. The impact of the Brixham water quality incident has</w:t>
      </w:r>
      <w:r w:rsidR="00867C84"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already been reflected in directors’ remuneration, through the cancellation of the annual bonus for relevant directors in respect of the 2023/24 financial year.</w:t>
      </w:r>
    </w:p>
    <w:p w14:paraId="38BE05D4" w14:textId="77777777" w:rsidR="00D07881" w:rsidRPr="00735726" w:rsidRDefault="00D07881" w:rsidP="00D07881">
      <w:pPr>
        <w:pStyle w:val="Headinglevel4"/>
        <w:spacing w:line="276" w:lineRule="auto"/>
        <w:ind w:right="-46"/>
        <w:outlineLvl w:val="0"/>
        <w:rPr>
          <w:rFonts w:cs="DINOT-Light"/>
          <w:b w:val="0"/>
          <w:bCs w:val="0"/>
          <w:caps w:val="0"/>
        </w:rPr>
      </w:pPr>
    </w:p>
    <w:p w14:paraId="1BD6BEC2" w14:textId="27F421B0" w:rsidR="00D07881" w:rsidRPr="000853D1" w:rsidRDefault="00D07881" w:rsidP="00D07881">
      <w:pPr>
        <w:pStyle w:val="Headinglevel4"/>
        <w:spacing w:line="276" w:lineRule="auto"/>
        <w:ind w:right="-46"/>
        <w:outlineLvl w:val="0"/>
        <w:rPr>
          <w:rFonts w:cs="DINOT-Light"/>
          <w:b w:val="0"/>
          <w:bCs w:val="0"/>
          <w:caps w:val="0"/>
        </w:rPr>
      </w:pPr>
      <w:r w:rsidRPr="000853D1">
        <w:rPr>
          <w:rFonts w:cs="DINOT-Light"/>
          <w:b w:val="0"/>
          <w:bCs w:val="0"/>
          <w:caps w:val="0"/>
        </w:rPr>
        <w:lastRenderedPageBreak/>
        <w:t xml:space="preserve">The 2023 LTIP was subject to stretching targets relating to </w:t>
      </w:r>
      <w:proofErr w:type="spellStart"/>
      <w:r w:rsidRPr="000853D1">
        <w:rPr>
          <w:rFonts w:cs="DINOT-Light"/>
          <w:b w:val="0"/>
          <w:bCs w:val="0"/>
          <w:caps w:val="0"/>
        </w:rPr>
        <w:t>RoRE</w:t>
      </w:r>
      <w:proofErr w:type="spellEnd"/>
      <w:r w:rsidRPr="000853D1">
        <w:rPr>
          <w:rFonts w:cs="DINOT-Light"/>
          <w:b w:val="0"/>
          <w:bCs w:val="0"/>
          <w:caps w:val="0"/>
        </w:rPr>
        <w:t>, operational water quality measures and a</w:t>
      </w:r>
    </w:p>
    <w:p w14:paraId="58AD5113" w14:textId="7FA9FE7C" w:rsidR="00D07881" w:rsidRPr="000853D1" w:rsidRDefault="00D07881" w:rsidP="00D07881">
      <w:pPr>
        <w:pStyle w:val="Headinglevel4"/>
        <w:spacing w:line="276" w:lineRule="auto"/>
        <w:ind w:right="-46"/>
        <w:outlineLvl w:val="0"/>
        <w:rPr>
          <w:rFonts w:cs="DINOT-Light"/>
          <w:b w:val="0"/>
          <w:bCs w:val="0"/>
          <w:caps w:val="0"/>
        </w:rPr>
      </w:pPr>
      <w:r w:rsidRPr="000853D1">
        <w:rPr>
          <w:rFonts w:cs="DINOT-Light"/>
          <w:b w:val="0"/>
          <w:bCs w:val="0"/>
          <w:caps w:val="0"/>
        </w:rPr>
        <w:t>basket of customer measures. This is the first award to include additional goals relating to water quality following</w:t>
      </w:r>
    </w:p>
    <w:p w14:paraId="47B4B2FF" w14:textId="662D26AA" w:rsidR="00D07881" w:rsidRPr="000853D1" w:rsidRDefault="00D07881" w:rsidP="00D07881">
      <w:pPr>
        <w:pStyle w:val="Headinglevel4"/>
        <w:spacing w:line="276" w:lineRule="auto"/>
        <w:ind w:right="-46"/>
        <w:outlineLvl w:val="0"/>
        <w:rPr>
          <w:rFonts w:cs="DINOT-Light"/>
          <w:b w:val="0"/>
          <w:bCs w:val="0"/>
          <w:caps w:val="0"/>
        </w:rPr>
      </w:pPr>
      <w:r w:rsidRPr="000853D1">
        <w:rPr>
          <w:rFonts w:cs="DINOT-Light"/>
          <w:b w:val="0"/>
          <w:bCs w:val="0"/>
          <w:caps w:val="0"/>
        </w:rPr>
        <w:t xml:space="preserve">feedback from Ofwat. </w:t>
      </w:r>
      <w:proofErr w:type="spellStart"/>
      <w:r w:rsidRPr="000853D1">
        <w:rPr>
          <w:rFonts w:cs="DINOT-Light"/>
          <w:b w:val="0"/>
          <w:bCs w:val="0"/>
          <w:caps w:val="0"/>
        </w:rPr>
        <w:t>RoRE</w:t>
      </w:r>
      <w:proofErr w:type="spellEnd"/>
      <w:r w:rsidRPr="000853D1">
        <w:rPr>
          <w:rFonts w:cs="DINOT-Light"/>
          <w:b w:val="0"/>
          <w:bCs w:val="0"/>
          <w:caps w:val="0"/>
        </w:rPr>
        <w:t xml:space="preserve"> targets for the final year of the performance period were adjusted to reflect the</w:t>
      </w:r>
    </w:p>
    <w:p w14:paraId="6E33BD3B" w14:textId="5F73A14F" w:rsidR="00490EA7" w:rsidRPr="00735726" w:rsidRDefault="00153FF7" w:rsidP="00D07881">
      <w:pPr>
        <w:pStyle w:val="Headinglevel4"/>
        <w:spacing w:line="276" w:lineRule="auto"/>
        <w:ind w:right="-46"/>
        <w:outlineLvl w:val="0"/>
        <w:rPr>
          <w:rFonts w:cs="DINOT-Light"/>
          <w:b w:val="0"/>
          <w:bCs w:val="0"/>
          <w:caps w:val="0"/>
        </w:rPr>
      </w:pPr>
      <w:r w:rsidRPr="000853D1">
        <w:rPr>
          <w:rFonts w:cs="DINOT-Light"/>
          <w:b w:val="0"/>
          <w:bCs w:val="0"/>
          <w:caps w:val="0"/>
        </w:rPr>
        <w:t xml:space="preserve">Company’s </w:t>
      </w:r>
      <w:r w:rsidR="00D07881" w:rsidRPr="000853D1">
        <w:rPr>
          <w:rFonts w:cs="DINOT-Light"/>
          <w:b w:val="0"/>
          <w:bCs w:val="0"/>
          <w:caps w:val="0"/>
        </w:rPr>
        <w:t>allowed rate of return, as determined by Ofwat, over AMP8.</w:t>
      </w:r>
    </w:p>
    <w:p w14:paraId="416098C1" w14:textId="77777777" w:rsidR="00D07881" w:rsidRPr="00735726" w:rsidRDefault="00D07881" w:rsidP="00D07881">
      <w:pPr>
        <w:pStyle w:val="Headinglevel4"/>
        <w:spacing w:line="276" w:lineRule="auto"/>
        <w:ind w:right="-46"/>
        <w:outlineLvl w:val="0"/>
        <w:rPr>
          <w:rFonts w:cs="DINOT-Light"/>
          <w:b w:val="0"/>
          <w:bCs w:val="0"/>
          <w:caps w:val="0"/>
        </w:rPr>
      </w:pPr>
    </w:p>
    <w:p w14:paraId="105452C5" w14:textId="0D654F31"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The adjusted targets were calibrated so that they maintain comparable stretch as when targets were set</w:t>
      </w:r>
    </w:p>
    <w:p w14:paraId="7C2D4C37" w14:textId="72003F25"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 xml:space="preserve">(based on allowed rate of return in AMP7), ensuring that performance is assessed on a like-for-like basis. </w:t>
      </w:r>
    </w:p>
    <w:p w14:paraId="3B5349ED" w14:textId="34B68433"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The customer metrics also included affordability and social value measures following feedback from EFRA</w:t>
      </w:r>
    </w:p>
    <w:p w14:paraId="30BA6FCB" w14:textId="1BA90A52"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Committee members at a sector wide Select Committee in January 2025.</w:t>
      </w:r>
    </w:p>
    <w:p w14:paraId="272F1333" w14:textId="77777777" w:rsidR="00D07881" w:rsidRPr="00735726" w:rsidRDefault="00D07881" w:rsidP="00D07881">
      <w:pPr>
        <w:pStyle w:val="Headinglevel4"/>
        <w:spacing w:line="276" w:lineRule="auto"/>
        <w:ind w:right="-46"/>
        <w:outlineLvl w:val="0"/>
        <w:rPr>
          <w:rFonts w:cs="DINOT-Light"/>
          <w:b w:val="0"/>
          <w:bCs w:val="0"/>
          <w:caps w:val="0"/>
        </w:rPr>
      </w:pPr>
    </w:p>
    <w:p w14:paraId="3B060D67" w14:textId="0A6235E6"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Our incentives are structured to provide a rounded measure of performance, incorporating metrics related</w:t>
      </w:r>
    </w:p>
    <w:p w14:paraId="28BA9917" w14:textId="2EEBFF49"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to customers, operations, water quality and financial resilience. The stretching performance targets mean that</w:t>
      </w:r>
    </w:p>
    <w:p w14:paraId="3EC7D7F5" w14:textId="4DCAB9C9"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full payouts are dependent on strong delivery. Where targets had not been achieved, this is already reflected in</w:t>
      </w:r>
    </w:p>
    <w:p w14:paraId="167EC024" w14:textId="1EB6757A"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the performance assessment. The Committee undertook a holistic review of both the annual bonus and LTIP</w:t>
      </w:r>
    </w:p>
    <w:p w14:paraId="2091AE58" w14:textId="2FFED2F5"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outcomes, and concluded that the outcomes for the year were supported by the performance achieved.</w:t>
      </w:r>
    </w:p>
    <w:p w14:paraId="5338BE55" w14:textId="77777777" w:rsidR="00D07881" w:rsidRPr="00735726" w:rsidRDefault="00D07881" w:rsidP="00D07881">
      <w:pPr>
        <w:pStyle w:val="Headinglevel4"/>
        <w:spacing w:line="276" w:lineRule="auto"/>
        <w:ind w:right="-46"/>
        <w:outlineLvl w:val="0"/>
        <w:rPr>
          <w:rFonts w:cs="DINOT-Light"/>
          <w:b w:val="0"/>
          <w:bCs w:val="0"/>
          <w:caps w:val="0"/>
        </w:rPr>
      </w:pPr>
    </w:p>
    <w:p w14:paraId="3CF7FD1F" w14:textId="036A0878"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 xml:space="preserve">Full details of both incentives are set out in the main body of the </w:t>
      </w:r>
      <w:r w:rsidR="00AE1C17" w:rsidRPr="00735726">
        <w:rPr>
          <w:rFonts w:cs="DINOT-Light"/>
          <w:b w:val="0"/>
          <w:bCs w:val="0"/>
          <w:caps w:val="0"/>
        </w:rPr>
        <w:t>Pennon Group pl</w:t>
      </w:r>
      <w:r w:rsidR="000D5F17" w:rsidRPr="00735726">
        <w:rPr>
          <w:rFonts w:cs="DINOT-Light"/>
          <w:b w:val="0"/>
          <w:bCs w:val="0"/>
          <w:caps w:val="0"/>
        </w:rPr>
        <w:t>c</w:t>
      </w:r>
      <w:r w:rsidR="00AE1C17" w:rsidRPr="00735726">
        <w:rPr>
          <w:rFonts w:cs="DINOT-Light"/>
          <w:b w:val="0"/>
          <w:bCs w:val="0"/>
          <w:caps w:val="0"/>
        </w:rPr>
        <w:t xml:space="preserve"> Annual Report and Accounts 2026 in the </w:t>
      </w:r>
      <w:r w:rsidRPr="00735726">
        <w:rPr>
          <w:rFonts w:cs="DINOT-Light"/>
          <w:b w:val="0"/>
          <w:bCs w:val="0"/>
          <w:caps w:val="0"/>
        </w:rPr>
        <w:t>Remuneration Report</w:t>
      </w:r>
      <w:r w:rsidR="00AE1C17" w:rsidRPr="00735726">
        <w:rPr>
          <w:rFonts w:cs="DINOT-Light"/>
          <w:b w:val="0"/>
          <w:bCs w:val="0"/>
          <w:caps w:val="0"/>
        </w:rPr>
        <w:t xml:space="preserve"> on pages </w:t>
      </w:r>
      <w:r w:rsidR="000D5F17" w:rsidRPr="009A2CAE">
        <w:rPr>
          <w:rFonts w:cs="DINOT-Light"/>
          <w:b w:val="0"/>
          <w:bCs w:val="0"/>
          <w:caps w:val="0"/>
        </w:rPr>
        <w:t>133</w:t>
      </w:r>
      <w:r w:rsidR="00AE1C17" w:rsidRPr="009A2CAE">
        <w:rPr>
          <w:rFonts w:cs="DINOT-Light"/>
          <w:b w:val="0"/>
          <w:bCs w:val="0"/>
          <w:caps w:val="0"/>
        </w:rPr>
        <w:t xml:space="preserve"> to </w:t>
      </w:r>
      <w:r w:rsidR="000D5F17" w:rsidRPr="009A2CAE">
        <w:rPr>
          <w:rFonts w:cs="DINOT-Light"/>
          <w:b w:val="0"/>
          <w:bCs w:val="0"/>
          <w:caps w:val="0"/>
        </w:rPr>
        <w:t>149</w:t>
      </w:r>
      <w:r w:rsidR="00AE1C17" w:rsidRPr="009A2CAE">
        <w:rPr>
          <w:rFonts w:cs="DINOT-Light"/>
          <w:b w:val="0"/>
          <w:bCs w:val="0"/>
          <w:caps w:val="0"/>
        </w:rPr>
        <w:t>.</w:t>
      </w:r>
    </w:p>
    <w:p w14:paraId="68DB355E" w14:textId="77777777" w:rsidR="00D07881" w:rsidRPr="00735726" w:rsidRDefault="00D07881" w:rsidP="00D07881">
      <w:pPr>
        <w:pStyle w:val="Headinglevel4"/>
        <w:spacing w:line="276" w:lineRule="auto"/>
        <w:ind w:right="-46"/>
        <w:outlineLvl w:val="0"/>
        <w:rPr>
          <w:rFonts w:cs="DINOT-Light"/>
          <w:b w:val="0"/>
          <w:bCs w:val="0"/>
          <w:caps w:val="0"/>
        </w:rPr>
      </w:pPr>
    </w:p>
    <w:p w14:paraId="3FE44934" w14:textId="2BCC87E4"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In addition, the Committee is mindful that the in-flight 2024 and 2025 LTIP awards are subject to Ofwat’s pay</w:t>
      </w:r>
    </w:p>
    <w:p w14:paraId="2F3F244B" w14:textId="0E485082"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prohibition rules. The Committee will consider how the rules should be applied and any impact on payment of</w:t>
      </w:r>
    </w:p>
    <w:p w14:paraId="38F91355" w14:textId="1636D664" w:rsidR="00D07881" w:rsidRPr="00735726" w:rsidRDefault="00D07881" w:rsidP="00D07881">
      <w:pPr>
        <w:pStyle w:val="Headinglevel4"/>
        <w:spacing w:line="276" w:lineRule="auto"/>
        <w:ind w:right="-46"/>
        <w:outlineLvl w:val="0"/>
        <w:rPr>
          <w:rFonts w:cs="DINOT-Light"/>
          <w:b w:val="0"/>
          <w:bCs w:val="0"/>
          <w:caps w:val="0"/>
        </w:rPr>
      </w:pPr>
      <w:r w:rsidRPr="00735726">
        <w:rPr>
          <w:rFonts w:cs="DINOT-Light"/>
          <w:b w:val="0"/>
          <w:bCs w:val="0"/>
          <w:caps w:val="0"/>
        </w:rPr>
        <w:t>each of these awards following the end of the relevant performance period.</w:t>
      </w:r>
    </w:p>
    <w:p w14:paraId="67753505" w14:textId="77777777" w:rsidR="00490EA7" w:rsidRPr="00735726" w:rsidRDefault="00490EA7" w:rsidP="00641B45">
      <w:pPr>
        <w:pStyle w:val="Headinglevel4"/>
        <w:spacing w:line="276" w:lineRule="auto"/>
        <w:ind w:right="-46"/>
        <w:outlineLvl w:val="0"/>
        <w:rPr>
          <w:rFonts w:cs="DINOT-Light"/>
          <w:b w:val="0"/>
          <w:bCs w:val="0"/>
          <w:caps w:val="0"/>
        </w:rPr>
      </w:pPr>
    </w:p>
    <w:p w14:paraId="2BA78AC4" w14:textId="61BBCD7A" w:rsidR="00641B45" w:rsidRPr="00735726" w:rsidRDefault="00641B45" w:rsidP="00641B45">
      <w:pPr>
        <w:pStyle w:val="Headinglevel4"/>
        <w:spacing w:line="276" w:lineRule="auto"/>
        <w:ind w:right="95"/>
        <w:outlineLvl w:val="0"/>
        <w:rPr>
          <w:rFonts w:cs="DINOT-Light"/>
          <w:b w:val="0"/>
          <w:bCs w:val="0"/>
          <w:caps w:val="0"/>
        </w:rPr>
      </w:pPr>
      <w:r w:rsidRPr="00735726">
        <w:rPr>
          <w:rFonts w:cs="DINOT-Light"/>
          <w:caps w:val="0"/>
        </w:rPr>
        <w:t>BOARD CHANGES</w:t>
      </w:r>
    </w:p>
    <w:p w14:paraId="7788E81D" w14:textId="792FADD2" w:rsidR="00D07881" w:rsidRPr="00735726" w:rsidRDefault="00D07881" w:rsidP="00D07881">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Susan Davy stepped down from the Board and retired as Chief Executive Officer on 31 December 2025.</w:t>
      </w:r>
    </w:p>
    <w:p w14:paraId="48349224" w14:textId="729670DA" w:rsidR="00D07881" w:rsidRPr="00735726" w:rsidRDefault="00D07881" w:rsidP="00D07881">
      <w:pPr>
        <w:pStyle w:val="Headinglevel4"/>
        <w:spacing w:line="276" w:lineRule="auto"/>
        <w:outlineLvl w:val="0"/>
        <w:rPr>
          <w:rFonts w:cs="DINOT-Light"/>
          <w:b w:val="0"/>
          <w:bCs w:val="0"/>
          <w:caps w:val="0"/>
        </w:rPr>
      </w:pPr>
      <w:r w:rsidRPr="00735726">
        <w:rPr>
          <w:rFonts w:cs="DINOT-Light"/>
          <w:b w:val="0"/>
          <w:bCs w:val="0"/>
          <w:caps w:val="0"/>
        </w:rPr>
        <w:t xml:space="preserve">Remuneration arrangements in relation to Susan’s departure were determined in accordance with our Remuneration Policy and have been detailed on page </w:t>
      </w:r>
      <w:r w:rsidR="000D5F17" w:rsidRPr="009A2CAE">
        <w:rPr>
          <w:rFonts w:cs="DINOT-Light"/>
          <w:b w:val="0"/>
          <w:bCs w:val="0"/>
          <w:caps w:val="0"/>
        </w:rPr>
        <w:t>158</w:t>
      </w:r>
      <w:r w:rsidRPr="009A2CAE">
        <w:rPr>
          <w:rFonts w:cs="DINOT-Light"/>
          <w:b w:val="0"/>
          <w:bCs w:val="0"/>
          <w:caps w:val="0"/>
        </w:rPr>
        <w:t>.</w:t>
      </w:r>
      <w:r w:rsidRPr="00735726">
        <w:rPr>
          <w:rFonts w:cs="DINOT-Light"/>
          <w:b w:val="0"/>
          <w:bCs w:val="0"/>
          <w:caps w:val="0"/>
        </w:rPr>
        <w:t xml:space="preserve"> </w:t>
      </w:r>
    </w:p>
    <w:p w14:paraId="14463A5B" w14:textId="77777777" w:rsidR="00D07881" w:rsidRPr="00735726" w:rsidRDefault="00D07881" w:rsidP="00D07881">
      <w:pPr>
        <w:pStyle w:val="Headinglevel4"/>
        <w:spacing w:line="276" w:lineRule="auto"/>
        <w:outlineLvl w:val="0"/>
        <w:rPr>
          <w:rFonts w:cs="DINOT-Light"/>
          <w:b w:val="0"/>
          <w:bCs w:val="0"/>
          <w:caps w:val="0"/>
        </w:rPr>
      </w:pPr>
    </w:p>
    <w:p w14:paraId="47A0B333" w14:textId="36A6F567" w:rsidR="00D07881" w:rsidRPr="00735726" w:rsidRDefault="00D07881" w:rsidP="00D07881">
      <w:pPr>
        <w:pStyle w:val="Headinglevel4"/>
        <w:spacing w:line="276" w:lineRule="auto"/>
        <w:outlineLvl w:val="0"/>
        <w:rPr>
          <w:rFonts w:cs="DINOT-Light"/>
          <w:b w:val="0"/>
          <w:bCs w:val="0"/>
          <w:caps w:val="0"/>
        </w:rPr>
      </w:pPr>
      <w:r w:rsidRPr="00735726">
        <w:rPr>
          <w:rFonts w:cs="DINOT-Light"/>
          <w:b w:val="0"/>
          <w:bCs w:val="0"/>
          <w:caps w:val="0"/>
        </w:rPr>
        <w:t xml:space="preserve">We were delighted to appoint Keith Haslett as our new Chief Executive Officer (CEO) </w:t>
      </w:r>
      <w:r w:rsidR="006C1BA9" w:rsidRPr="00735726">
        <w:rPr>
          <w:rFonts w:cs="DINOT-Light"/>
          <w:b w:val="0"/>
          <w:bCs w:val="0"/>
          <w:caps w:val="0"/>
        </w:rPr>
        <w:t xml:space="preserve">- </w:t>
      </w:r>
      <w:r w:rsidRPr="00735726">
        <w:rPr>
          <w:rFonts w:cs="DINOT-Light"/>
          <w:b w:val="0"/>
          <w:bCs w:val="0"/>
          <w:caps w:val="0"/>
        </w:rPr>
        <w:t>with Keith joining the Company on 1</w:t>
      </w:r>
      <w:r w:rsidR="003955FB" w:rsidRPr="00735726">
        <w:rPr>
          <w:rFonts w:cs="DINOT-Light"/>
          <w:b w:val="0"/>
          <w:bCs w:val="0"/>
          <w:caps w:val="0"/>
        </w:rPr>
        <w:t>9</w:t>
      </w:r>
      <w:r w:rsidRPr="00735726">
        <w:rPr>
          <w:rFonts w:cs="DINOT-Light"/>
          <w:b w:val="0"/>
          <w:bCs w:val="0"/>
          <w:caps w:val="0"/>
        </w:rPr>
        <w:t xml:space="preserve"> </w:t>
      </w:r>
      <w:r w:rsidR="003955FB" w:rsidRPr="00735726">
        <w:rPr>
          <w:rFonts w:cs="DINOT-Light"/>
          <w:b w:val="0"/>
          <w:bCs w:val="0"/>
          <w:caps w:val="0"/>
        </w:rPr>
        <w:t xml:space="preserve">May </w:t>
      </w:r>
      <w:r w:rsidRPr="00735726">
        <w:rPr>
          <w:rFonts w:cs="DINOT-Light"/>
          <w:b w:val="0"/>
          <w:bCs w:val="0"/>
          <w:caps w:val="0"/>
        </w:rPr>
        <w:t>2026.</w:t>
      </w:r>
      <w:r w:rsidR="00153FF7" w:rsidRPr="00735726">
        <w:rPr>
          <w:rFonts w:cs="DINOT-Light"/>
          <w:b w:val="0"/>
          <w:bCs w:val="0"/>
          <w:caps w:val="0"/>
        </w:rPr>
        <w:t xml:space="preserve"> </w:t>
      </w:r>
      <w:r w:rsidRPr="00735726">
        <w:rPr>
          <w:rFonts w:cs="DINOT-Light"/>
          <w:b w:val="0"/>
          <w:bCs w:val="0"/>
          <w:caps w:val="0"/>
        </w:rPr>
        <w:t>Keith is a seasoned leader in the UK water sector,</w:t>
      </w:r>
      <w:r w:rsidR="008936A1" w:rsidRPr="00735726">
        <w:rPr>
          <w:rFonts w:cs="DINOT-Light"/>
          <w:b w:val="0"/>
          <w:bCs w:val="0"/>
          <w:caps w:val="0"/>
        </w:rPr>
        <w:t xml:space="preserve"> </w:t>
      </w:r>
      <w:r w:rsidRPr="00735726">
        <w:rPr>
          <w:rFonts w:cs="DINOT-Light"/>
          <w:b w:val="0"/>
          <w:bCs w:val="0"/>
          <w:caps w:val="0"/>
        </w:rPr>
        <w:t>bringing over 25 years of experience across regulated</w:t>
      </w:r>
      <w:r w:rsidR="00153FF7" w:rsidRPr="00735726">
        <w:rPr>
          <w:rFonts w:cs="DINOT-Light"/>
          <w:b w:val="0"/>
          <w:bCs w:val="0"/>
          <w:caps w:val="0"/>
        </w:rPr>
        <w:t xml:space="preserve"> </w:t>
      </w:r>
      <w:r w:rsidRPr="00735726">
        <w:rPr>
          <w:rFonts w:cs="DINOT-Light"/>
          <w:b w:val="0"/>
          <w:bCs w:val="0"/>
          <w:caps w:val="0"/>
        </w:rPr>
        <w:t>utilities, with a strong track record of delivering</w:t>
      </w:r>
      <w:r w:rsidR="008936A1" w:rsidRPr="00735726">
        <w:rPr>
          <w:rFonts w:cs="DINOT-Light"/>
          <w:b w:val="0"/>
          <w:bCs w:val="0"/>
          <w:caps w:val="0"/>
        </w:rPr>
        <w:t xml:space="preserve"> </w:t>
      </w:r>
      <w:r w:rsidRPr="00735726">
        <w:rPr>
          <w:rFonts w:cs="DINOT-Light"/>
          <w:b w:val="0"/>
          <w:bCs w:val="0"/>
          <w:caps w:val="0"/>
        </w:rPr>
        <w:t>for customers by driving operational excellence,</w:t>
      </w:r>
      <w:r w:rsidR="008936A1" w:rsidRPr="00735726">
        <w:rPr>
          <w:rFonts w:cs="DINOT-Light"/>
          <w:b w:val="0"/>
          <w:bCs w:val="0"/>
          <w:caps w:val="0"/>
        </w:rPr>
        <w:t xml:space="preserve"> </w:t>
      </w:r>
      <w:r w:rsidRPr="00735726">
        <w:rPr>
          <w:rFonts w:cs="DINOT-Light"/>
          <w:b w:val="0"/>
          <w:bCs w:val="0"/>
          <w:caps w:val="0"/>
        </w:rPr>
        <w:t>delivering complex capital programmes, and increasing</w:t>
      </w:r>
      <w:r w:rsidR="008936A1" w:rsidRPr="00735726">
        <w:rPr>
          <w:rFonts w:cs="DINOT-Light"/>
          <w:b w:val="0"/>
          <w:bCs w:val="0"/>
          <w:caps w:val="0"/>
        </w:rPr>
        <w:t xml:space="preserve"> stakeholder</w:t>
      </w:r>
      <w:r w:rsidRPr="00735726">
        <w:rPr>
          <w:rFonts w:cs="DINOT-Light"/>
          <w:b w:val="0"/>
          <w:bCs w:val="0"/>
          <w:caps w:val="0"/>
        </w:rPr>
        <w:t xml:space="preserve"> value. He most recently served as the C</w:t>
      </w:r>
      <w:r w:rsidR="008936A1" w:rsidRPr="00735726">
        <w:rPr>
          <w:rFonts w:cs="DINOT-Light"/>
          <w:b w:val="0"/>
          <w:bCs w:val="0"/>
          <w:caps w:val="0"/>
        </w:rPr>
        <w:t xml:space="preserve">hief </w:t>
      </w:r>
      <w:r w:rsidRPr="00735726">
        <w:rPr>
          <w:rFonts w:cs="DINOT-Light"/>
          <w:b w:val="0"/>
          <w:bCs w:val="0"/>
          <w:caps w:val="0"/>
        </w:rPr>
        <w:t>E</w:t>
      </w:r>
      <w:r w:rsidR="008936A1" w:rsidRPr="00735726">
        <w:rPr>
          <w:rFonts w:cs="DINOT-Light"/>
          <w:b w:val="0"/>
          <w:bCs w:val="0"/>
          <w:caps w:val="0"/>
        </w:rPr>
        <w:t xml:space="preserve">xecutive Officer </w:t>
      </w:r>
      <w:r w:rsidRPr="00735726">
        <w:rPr>
          <w:rFonts w:cs="DINOT-Light"/>
          <w:b w:val="0"/>
          <w:bCs w:val="0"/>
          <w:caps w:val="0"/>
        </w:rPr>
        <w:t xml:space="preserve">of Affinity Water </w:t>
      </w:r>
      <w:proofErr w:type="gramStart"/>
      <w:r w:rsidRPr="00735726">
        <w:rPr>
          <w:rFonts w:cs="DINOT-Light"/>
          <w:b w:val="0"/>
          <w:bCs w:val="0"/>
          <w:caps w:val="0"/>
        </w:rPr>
        <w:t>and also</w:t>
      </w:r>
      <w:proofErr w:type="gramEnd"/>
      <w:r w:rsidRPr="00735726">
        <w:rPr>
          <w:rFonts w:cs="DINOT-Light"/>
          <w:b w:val="0"/>
          <w:bCs w:val="0"/>
          <w:caps w:val="0"/>
        </w:rPr>
        <w:t xml:space="preserve"> held senior executive roles at</w:t>
      </w:r>
      <w:r w:rsidR="008936A1" w:rsidRPr="00735726">
        <w:rPr>
          <w:rFonts w:cs="DINOT-Light"/>
          <w:b w:val="0"/>
          <w:bCs w:val="0"/>
          <w:caps w:val="0"/>
        </w:rPr>
        <w:t xml:space="preserve"> </w:t>
      </w:r>
      <w:r w:rsidRPr="00735726">
        <w:rPr>
          <w:rFonts w:cs="DINOT-Light"/>
          <w:b w:val="0"/>
          <w:bCs w:val="0"/>
          <w:caps w:val="0"/>
        </w:rPr>
        <w:t>Northumbrian Water Group and United Utilities.</w:t>
      </w:r>
    </w:p>
    <w:p w14:paraId="553528D6" w14:textId="77777777" w:rsidR="008936A1" w:rsidRPr="00735726" w:rsidRDefault="008936A1" w:rsidP="00D07881">
      <w:pPr>
        <w:pStyle w:val="Headinglevel4"/>
        <w:spacing w:line="276" w:lineRule="auto"/>
        <w:outlineLvl w:val="0"/>
        <w:rPr>
          <w:rFonts w:cs="DINOT-Light"/>
          <w:b w:val="0"/>
          <w:bCs w:val="0"/>
          <w:caps w:val="0"/>
        </w:rPr>
      </w:pPr>
    </w:p>
    <w:p w14:paraId="607B09F3" w14:textId="4D6FD830" w:rsidR="00D07881" w:rsidRPr="00735726" w:rsidRDefault="00F868A6" w:rsidP="00D07881">
      <w:pPr>
        <w:pStyle w:val="Headinglevel4"/>
        <w:spacing w:line="276" w:lineRule="auto"/>
        <w:outlineLvl w:val="0"/>
        <w:rPr>
          <w:rFonts w:cs="DINOT-Light"/>
          <w:b w:val="0"/>
          <w:bCs w:val="0"/>
          <w:caps w:val="0"/>
        </w:rPr>
      </w:pPr>
      <w:r w:rsidRPr="00735726">
        <w:rPr>
          <w:rFonts w:cs="DINOT-Light"/>
          <w:b w:val="0"/>
          <w:bCs w:val="0"/>
          <w:caps w:val="0"/>
        </w:rPr>
        <w:t xml:space="preserve">As </w:t>
      </w:r>
      <w:proofErr w:type="gramStart"/>
      <w:r w:rsidRPr="00735726">
        <w:rPr>
          <w:rFonts w:cs="DINOT-Light"/>
          <w:b w:val="0"/>
          <w:bCs w:val="0"/>
          <w:caps w:val="0"/>
        </w:rPr>
        <w:t>South West</w:t>
      </w:r>
      <w:proofErr w:type="gramEnd"/>
      <w:r w:rsidRPr="00735726">
        <w:rPr>
          <w:rFonts w:cs="DINOT-Light"/>
          <w:b w:val="0"/>
          <w:bCs w:val="0"/>
          <w:caps w:val="0"/>
        </w:rPr>
        <w:t xml:space="preserve"> Water operates within the broader Pennon Group, the Committee considered the importance of ensuring that executive leadership across the Group is appropriately positioned to support the scale, complexity and regulatory demands of the business. </w:t>
      </w:r>
      <w:r w:rsidR="00D07881" w:rsidRPr="00735726">
        <w:rPr>
          <w:rFonts w:cs="DINOT-Light"/>
          <w:b w:val="0"/>
          <w:bCs w:val="0"/>
          <w:caps w:val="0"/>
        </w:rPr>
        <w:t>For some time</w:t>
      </w:r>
      <w:r w:rsidRPr="00735726">
        <w:rPr>
          <w:rFonts w:cs="DINOT-Light"/>
          <w:b w:val="0"/>
          <w:bCs w:val="0"/>
          <w:caps w:val="0"/>
        </w:rPr>
        <w:t>,</w:t>
      </w:r>
      <w:r w:rsidR="00D07881" w:rsidRPr="00735726">
        <w:rPr>
          <w:rFonts w:cs="DINOT-Light"/>
          <w:b w:val="0"/>
          <w:bCs w:val="0"/>
          <w:caps w:val="0"/>
        </w:rPr>
        <w:t xml:space="preserve"> the Committee recognised that</w:t>
      </w:r>
      <w:r w:rsidR="008936A1" w:rsidRPr="00735726">
        <w:rPr>
          <w:rFonts w:cs="DINOT-Light"/>
          <w:b w:val="0"/>
          <w:bCs w:val="0"/>
          <w:caps w:val="0"/>
        </w:rPr>
        <w:t xml:space="preserve"> </w:t>
      </w:r>
      <w:r w:rsidRPr="00735726">
        <w:rPr>
          <w:rFonts w:cs="DINOT-Light"/>
          <w:b w:val="0"/>
          <w:bCs w:val="0"/>
          <w:caps w:val="0"/>
        </w:rPr>
        <w:t xml:space="preserve">Pennon’s </w:t>
      </w:r>
      <w:r w:rsidR="00D07881" w:rsidRPr="00735726">
        <w:rPr>
          <w:rFonts w:cs="DINOT-Light"/>
          <w:b w:val="0"/>
          <w:bCs w:val="0"/>
          <w:caps w:val="0"/>
        </w:rPr>
        <w:t>previous approach to remuneration had fallen</w:t>
      </w:r>
      <w:r w:rsidR="008936A1" w:rsidRPr="00735726">
        <w:rPr>
          <w:rFonts w:cs="DINOT-Light"/>
          <w:b w:val="0"/>
          <w:bCs w:val="0"/>
          <w:caps w:val="0"/>
        </w:rPr>
        <w:t xml:space="preserve"> </w:t>
      </w:r>
      <w:r w:rsidR="00D07881" w:rsidRPr="00735726">
        <w:rPr>
          <w:rFonts w:cs="DINOT-Light"/>
          <w:b w:val="0"/>
          <w:bCs w:val="0"/>
          <w:caps w:val="0"/>
        </w:rPr>
        <w:t>significantly behind competitive market practice. As</w:t>
      </w:r>
      <w:r w:rsidR="008936A1" w:rsidRPr="00735726">
        <w:rPr>
          <w:rFonts w:cs="DINOT-Light"/>
          <w:b w:val="0"/>
          <w:bCs w:val="0"/>
          <w:caps w:val="0"/>
        </w:rPr>
        <w:t xml:space="preserve"> </w:t>
      </w:r>
      <w:r w:rsidR="00D07881" w:rsidRPr="00735726">
        <w:rPr>
          <w:rFonts w:cs="DINOT-Light"/>
          <w:b w:val="0"/>
          <w:bCs w:val="0"/>
          <w:caps w:val="0"/>
        </w:rPr>
        <w:t>noted in last year’s Remuneration Report, the pay</w:t>
      </w:r>
      <w:r w:rsidR="008936A1" w:rsidRPr="00735726">
        <w:rPr>
          <w:rFonts w:cs="DINOT-Light"/>
          <w:b w:val="0"/>
          <w:bCs w:val="0"/>
          <w:caps w:val="0"/>
        </w:rPr>
        <w:t xml:space="preserve"> </w:t>
      </w:r>
      <w:r w:rsidR="00D07881" w:rsidRPr="00735726">
        <w:rPr>
          <w:rFonts w:cs="DINOT-Light"/>
          <w:b w:val="0"/>
          <w:bCs w:val="0"/>
          <w:caps w:val="0"/>
        </w:rPr>
        <w:t>for the previous C</w:t>
      </w:r>
      <w:r w:rsidRPr="00735726">
        <w:rPr>
          <w:rFonts w:cs="DINOT-Light"/>
          <w:b w:val="0"/>
          <w:bCs w:val="0"/>
          <w:caps w:val="0"/>
        </w:rPr>
        <w:t xml:space="preserve">hief </w:t>
      </w:r>
      <w:r w:rsidR="00D07881" w:rsidRPr="00735726">
        <w:rPr>
          <w:rFonts w:cs="DINOT-Light"/>
          <w:b w:val="0"/>
          <w:bCs w:val="0"/>
          <w:caps w:val="0"/>
        </w:rPr>
        <w:t>E</w:t>
      </w:r>
      <w:r w:rsidRPr="00735726">
        <w:rPr>
          <w:rFonts w:cs="DINOT-Light"/>
          <w:b w:val="0"/>
          <w:bCs w:val="0"/>
          <w:caps w:val="0"/>
        </w:rPr>
        <w:t xml:space="preserve">xecutive </w:t>
      </w:r>
      <w:r w:rsidR="00D07881" w:rsidRPr="00735726">
        <w:rPr>
          <w:rFonts w:cs="DINOT-Light"/>
          <w:b w:val="0"/>
          <w:bCs w:val="0"/>
          <w:caps w:val="0"/>
        </w:rPr>
        <w:t>O</w:t>
      </w:r>
      <w:r w:rsidRPr="00735726">
        <w:rPr>
          <w:rFonts w:cs="DINOT-Light"/>
          <w:b w:val="0"/>
          <w:bCs w:val="0"/>
          <w:caps w:val="0"/>
        </w:rPr>
        <w:t>fficer</w:t>
      </w:r>
      <w:r w:rsidR="00D07881" w:rsidRPr="00735726">
        <w:rPr>
          <w:rFonts w:cs="DINOT-Light"/>
          <w:b w:val="0"/>
          <w:bCs w:val="0"/>
          <w:caps w:val="0"/>
        </w:rPr>
        <w:t xml:space="preserve"> was in the bottom 10% of the</w:t>
      </w:r>
      <w:r w:rsidR="008936A1" w:rsidRPr="00735726">
        <w:rPr>
          <w:rFonts w:cs="DINOT-Light"/>
          <w:b w:val="0"/>
          <w:bCs w:val="0"/>
          <w:caps w:val="0"/>
        </w:rPr>
        <w:t xml:space="preserve"> </w:t>
      </w:r>
      <w:r w:rsidR="00D07881" w:rsidRPr="00735726">
        <w:rPr>
          <w:rFonts w:cs="DINOT-Light"/>
          <w:b w:val="0"/>
          <w:bCs w:val="0"/>
          <w:caps w:val="0"/>
        </w:rPr>
        <w:t>FTSE 250. The unsustainable market positioning was</w:t>
      </w:r>
      <w:r w:rsidR="008936A1" w:rsidRPr="00735726">
        <w:rPr>
          <w:rFonts w:cs="DINOT-Light"/>
          <w:b w:val="0"/>
          <w:bCs w:val="0"/>
          <w:caps w:val="0"/>
        </w:rPr>
        <w:t xml:space="preserve"> </w:t>
      </w:r>
      <w:r w:rsidR="00D07881" w:rsidRPr="00735726">
        <w:rPr>
          <w:rFonts w:cs="DINOT-Light"/>
          <w:b w:val="0"/>
          <w:bCs w:val="0"/>
          <w:caps w:val="0"/>
        </w:rPr>
        <w:t>emphasised when recruiting our C</w:t>
      </w:r>
      <w:r w:rsidR="00F07600" w:rsidRPr="00735726">
        <w:rPr>
          <w:rFonts w:cs="DINOT-Light"/>
          <w:b w:val="0"/>
          <w:bCs w:val="0"/>
          <w:caps w:val="0"/>
        </w:rPr>
        <w:t xml:space="preserve">hief </w:t>
      </w:r>
      <w:r w:rsidR="00D07881" w:rsidRPr="00735726">
        <w:rPr>
          <w:rFonts w:cs="DINOT-Light"/>
          <w:b w:val="0"/>
          <w:bCs w:val="0"/>
          <w:caps w:val="0"/>
        </w:rPr>
        <w:t>F</w:t>
      </w:r>
      <w:r w:rsidR="00F07600" w:rsidRPr="00735726">
        <w:rPr>
          <w:rFonts w:cs="DINOT-Light"/>
          <w:b w:val="0"/>
          <w:bCs w:val="0"/>
          <w:caps w:val="0"/>
        </w:rPr>
        <w:t xml:space="preserve">inancial </w:t>
      </w:r>
      <w:r w:rsidR="00D07881" w:rsidRPr="00735726">
        <w:rPr>
          <w:rFonts w:cs="DINOT-Light"/>
          <w:b w:val="0"/>
          <w:bCs w:val="0"/>
          <w:caps w:val="0"/>
        </w:rPr>
        <w:t>O</w:t>
      </w:r>
      <w:r w:rsidR="00F07600" w:rsidRPr="00735726">
        <w:rPr>
          <w:rFonts w:cs="DINOT-Light"/>
          <w:b w:val="0"/>
          <w:bCs w:val="0"/>
          <w:caps w:val="0"/>
        </w:rPr>
        <w:t>fficer</w:t>
      </w:r>
      <w:r w:rsidR="00D07881" w:rsidRPr="00735726">
        <w:rPr>
          <w:rFonts w:cs="DINOT-Light"/>
          <w:b w:val="0"/>
          <w:bCs w:val="0"/>
          <w:caps w:val="0"/>
        </w:rPr>
        <w:t xml:space="preserve"> in 2024, as many</w:t>
      </w:r>
      <w:r w:rsidR="008936A1" w:rsidRPr="00735726">
        <w:rPr>
          <w:rFonts w:cs="DINOT-Light"/>
          <w:b w:val="0"/>
          <w:bCs w:val="0"/>
          <w:caps w:val="0"/>
        </w:rPr>
        <w:t xml:space="preserve"> </w:t>
      </w:r>
      <w:r w:rsidR="00D07881" w:rsidRPr="00735726">
        <w:rPr>
          <w:rFonts w:cs="DINOT-Light"/>
          <w:b w:val="0"/>
          <w:bCs w:val="0"/>
          <w:caps w:val="0"/>
        </w:rPr>
        <w:t>credible external candidates had pay expectations that</w:t>
      </w:r>
      <w:r w:rsidR="008936A1" w:rsidRPr="00735726">
        <w:rPr>
          <w:rFonts w:cs="DINOT-Light"/>
          <w:b w:val="0"/>
          <w:bCs w:val="0"/>
          <w:caps w:val="0"/>
        </w:rPr>
        <w:t xml:space="preserve"> </w:t>
      </w:r>
      <w:r w:rsidR="00D07881" w:rsidRPr="00735726">
        <w:rPr>
          <w:rFonts w:cs="DINOT-Light"/>
          <w:b w:val="0"/>
          <w:bCs w:val="0"/>
          <w:caps w:val="0"/>
        </w:rPr>
        <w:t>far exceeded the pay levels of our previous C</w:t>
      </w:r>
      <w:r w:rsidR="00F07600" w:rsidRPr="00735726">
        <w:rPr>
          <w:rFonts w:cs="DINOT-Light"/>
          <w:b w:val="0"/>
          <w:bCs w:val="0"/>
          <w:caps w:val="0"/>
        </w:rPr>
        <w:t xml:space="preserve">hief </w:t>
      </w:r>
      <w:r w:rsidR="00D07881" w:rsidRPr="00735726">
        <w:rPr>
          <w:rFonts w:cs="DINOT-Light"/>
          <w:b w:val="0"/>
          <w:bCs w:val="0"/>
          <w:caps w:val="0"/>
        </w:rPr>
        <w:t>E</w:t>
      </w:r>
      <w:r w:rsidR="00F07600" w:rsidRPr="00735726">
        <w:rPr>
          <w:rFonts w:cs="DINOT-Light"/>
          <w:b w:val="0"/>
          <w:bCs w:val="0"/>
          <w:caps w:val="0"/>
        </w:rPr>
        <w:t xml:space="preserve">xecutive </w:t>
      </w:r>
      <w:r w:rsidR="00D07881" w:rsidRPr="00735726">
        <w:rPr>
          <w:rFonts w:cs="DINOT-Light"/>
          <w:b w:val="0"/>
          <w:bCs w:val="0"/>
          <w:caps w:val="0"/>
        </w:rPr>
        <w:t>O</w:t>
      </w:r>
      <w:r w:rsidR="00F07600" w:rsidRPr="00735726">
        <w:rPr>
          <w:rFonts w:cs="DINOT-Light"/>
          <w:b w:val="0"/>
          <w:bCs w:val="0"/>
          <w:caps w:val="0"/>
        </w:rPr>
        <w:t>fficer</w:t>
      </w:r>
      <w:r w:rsidR="00D07881" w:rsidRPr="00735726">
        <w:rPr>
          <w:rFonts w:cs="DINOT-Light"/>
          <w:b w:val="0"/>
          <w:bCs w:val="0"/>
          <w:caps w:val="0"/>
        </w:rPr>
        <w:t>. Prior</w:t>
      </w:r>
      <w:r w:rsidR="008936A1" w:rsidRPr="00735726">
        <w:rPr>
          <w:rFonts w:cs="DINOT-Light"/>
          <w:b w:val="0"/>
          <w:bCs w:val="0"/>
          <w:caps w:val="0"/>
        </w:rPr>
        <w:t xml:space="preserve"> </w:t>
      </w:r>
      <w:r w:rsidR="00D07881" w:rsidRPr="00735726">
        <w:rPr>
          <w:rFonts w:cs="DINOT-Light"/>
          <w:b w:val="0"/>
          <w:bCs w:val="0"/>
          <w:caps w:val="0"/>
        </w:rPr>
        <w:t>to Susan’s decision to retire from the business, the</w:t>
      </w:r>
      <w:r w:rsidR="008936A1" w:rsidRPr="00735726">
        <w:rPr>
          <w:rFonts w:cs="DINOT-Light"/>
          <w:b w:val="0"/>
          <w:bCs w:val="0"/>
          <w:caps w:val="0"/>
        </w:rPr>
        <w:t xml:space="preserve"> </w:t>
      </w:r>
      <w:r w:rsidR="00D07881" w:rsidRPr="00735726">
        <w:rPr>
          <w:rFonts w:cs="DINOT-Light"/>
          <w:b w:val="0"/>
          <w:bCs w:val="0"/>
          <w:caps w:val="0"/>
        </w:rPr>
        <w:t>Committee had already held initial discussions with some</w:t>
      </w:r>
      <w:r w:rsidR="008936A1" w:rsidRPr="00735726">
        <w:rPr>
          <w:rFonts w:cs="DINOT-Light"/>
          <w:b w:val="0"/>
          <w:bCs w:val="0"/>
          <w:caps w:val="0"/>
        </w:rPr>
        <w:t xml:space="preserve"> </w:t>
      </w:r>
      <w:r w:rsidR="00D07881" w:rsidRPr="00735726">
        <w:rPr>
          <w:rFonts w:cs="DINOT-Light"/>
          <w:b w:val="0"/>
          <w:bCs w:val="0"/>
          <w:caps w:val="0"/>
        </w:rPr>
        <w:t>of our investors regarding a potential reset to her salary.</w:t>
      </w:r>
    </w:p>
    <w:p w14:paraId="7FA5AEDA" w14:textId="77777777" w:rsidR="008936A1" w:rsidRPr="00735726" w:rsidRDefault="008936A1" w:rsidP="00D07881">
      <w:pPr>
        <w:pStyle w:val="Headinglevel4"/>
        <w:spacing w:line="276" w:lineRule="auto"/>
        <w:outlineLvl w:val="0"/>
        <w:rPr>
          <w:rFonts w:cs="DINOT-Light"/>
          <w:b w:val="0"/>
          <w:bCs w:val="0"/>
          <w:caps w:val="0"/>
        </w:rPr>
      </w:pPr>
    </w:p>
    <w:p w14:paraId="4F29EFCB" w14:textId="56C599E7" w:rsidR="00BF0E57" w:rsidRPr="00735726" w:rsidRDefault="00D07881" w:rsidP="00D07881">
      <w:pPr>
        <w:pStyle w:val="Headinglevel4"/>
        <w:spacing w:line="276" w:lineRule="auto"/>
        <w:outlineLvl w:val="0"/>
        <w:rPr>
          <w:rFonts w:cs="DINOT-Light"/>
          <w:b w:val="0"/>
          <w:bCs w:val="0"/>
          <w:caps w:val="0"/>
        </w:rPr>
      </w:pPr>
      <w:r w:rsidRPr="00735726">
        <w:rPr>
          <w:rFonts w:cs="DINOT-Light"/>
          <w:b w:val="0"/>
          <w:bCs w:val="0"/>
          <w:caps w:val="0"/>
        </w:rPr>
        <w:t>When setting salary levels for the new C</w:t>
      </w:r>
      <w:r w:rsidR="00F07600" w:rsidRPr="00735726">
        <w:rPr>
          <w:rFonts w:cs="DINOT-Light"/>
          <w:b w:val="0"/>
          <w:bCs w:val="0"/>
          <w:caps w:val="0"/>
        </w:rPr>
        <w:t xml:space="preserve">hief </w:t>
      </w:r>
      <w:r w:rsidRPr="00735726">
        <w:rPr>
          <w:rFonts w:cs="DINOT-Light"/>
          <w:b w:val="0"/>
          <w:bCs w:val="0"/>
          <w:caps w:val="0"/>
        </w:rPr>
        <w:t>E</w:t>
      </w:r>
      <w:r w:rsidR="00F07600" w:rsidRPr="00735726">
        <w:rPr>
          <w:rFonts w:cs="DINOT-Light"/>
          <w:b w:val="0"/>
          <w:bCs w:val="0"/>
          <w:caps w:val="0"/>
        </w:rPr>
        <w:t xml:space="preserve">xecutive </w:t>
      </w:r>
      <w:r w:rsidRPr="00735726">
        <w:rPr>
          <w:rFonts w:cs="DINOT-Light"/>
          <w:b w:val="0"/>
          <w:bCs w:val="0"/>
          <w:caps w:val="0"/>
        </w:rPr>
        <w:t>O</w:t>
      </w:r>
      <w:r w:rsidR="00F07600" w:rsidRPr="00735726">
        <w:rPr>
          <w:rFonts w:cs="DINOT-Light"/>
          <w:b w:val="0"/>
          <w:bCs w:val="0"/>
          <w:caps w:val="0"/>
        </w:rPr>
        <w:t>fficer</w:t>
      </w:r>
      <w:r w:rsidRPr="00735726">
        <w:rPr>
          <w:rFonts w:cs="DINOT-Light"/>
          <w:b w:val="0"/>
          <w:bCs w:val="0"/>
          <w:caps w:val="0"/>
        </w:rPr>
        <w:t>, the Committee</w:t>
      </w:r>
      <w:r w:rsidR="008936A1" w:rsidRPr="00735726">
        <w:rPr>
          <w:rFonts w:cs="DINOT-Light"/>
          <w:b w:val="0"/>
          <w:bCs w:val="0"/>
          <w:caps w:val="0"/>
        </w:rPr>
        <w:t xml:space="preserve"> </w:t>
      </w:r>
      <w:r w:rsidR="00F07600" w:rsidRPr="00735726">
        <w:rPr>
          <w:rFonts w:cs="DINOT-Light"/>
          <w:b w:val="0"/>
          <w:bCs w:val="0"/>
          <w:caps w:val="0"/>
        </w:rPr>
        <w:t>considered a range of factors, including</w:t>
      </w:r>
      <w:r w:rsidRPr="00735726">
        <w:rPr>
          <w:rFonts w:cs="DINOT-Light"/>
          <w:b w:val="0"/>
          <w:bCs w:val="0"/>
          <w:caps w:val="0"/>
        </w:rPr>
        <w:t xml:space="preserve"> FTSE 250 and sector pay levels, Keith’s</w:t>
      </w:r>
      <w:r w:rsidR="008936A1" w:rsidRPr="00735726">
        <w:rPr>
          <w:rFonts w:cs="DINOT-Light"/>
          <w:b w:val="0"/>
          <w:bCs w:val="0"/>
          <w:caps w:val="0"/>
        </w:rPr>
        <w:t xml:space="preserve"> </w:t>
      </w:r>
      <w:r w:rsidRPr="00735726">
        <w:rPr>
          <w:rFonts w:cs="DINOT-Light"/>
          <w:b w:val="0"/>
          <w:bCs w:val="0"/>
          <w:caps w:val="0"/>
        </w:rPr>
        <w:t>experience in the sector and outstanding leadership skills,</w:t>
      </w:r>
      <w:r w:rsidR="008936A1" w:rsidRPr="00735726">
        <w:rPr>
          <w:rFonts w:cs="DINOT-Light"/>
          <w:b w:val="0"/>
          <w:bCs w:val="0"/>
          <w:caps w:val="0"/>
        </w:rPr>
        <w:t xml:space="preserve"> </w:t>
      </w:r>
      <w:r w:rsidRPr="00735726">
        <w:rPr>
          <w:rFonts w:cs="DINOT-Light"/>
          <w:b w:val="0"/>
          <w:bCs w:val="0"/>
          <w:caps w:val="0"/>
        </w:rPr>
        <w:t>the size of our business, our record capital investment</w:t>
      </w:r>
      <w:r w:rsidR="008936A1" w:rsidRPr="00735726">
        <w:rPr>
          <w:rFonts w:cs="DINOT-Light"/>
          <w:b w:val="0"/>
          <w:bCs w:val="0"/>
          <w:caps w:val="0"/>
        </w:rPr>
        <w:t xml:space="preserve"> </w:t>
      </w:r>
      <w:r w:rsidRPr="00735726">
        <w:rPr>
          <w:rFonts w:cs="DINOT-Light"/>
          <w:b w:val="0"/>
          <w:bCs w:val="0"/>
          <w:caps w:val="0"/>
        </w:rPr>
        <w:t>plans, and the complexity of operating in the water sector.</w:t>
      </w:r>
      <w:r w:rsidR="008936A1" w:rsidRPr="00735726">
        <w:rPr>
          <w:rFonts w:cs="DINOT-Light"/>
          <w:b w:val="0"/>
          <w:bCs w:val="0"/>
          <w:caps w:val="0"/>
        </w:rPr>
        <w:t xml:space="preserve"> </w:t>
      </w:r>
      <w:r w:rsidR="00BF0E57" w:rsidRPr="00735726">
        <w:rPr>
          <w:rFonts w:cs="DINOT-Light"/>
          <w:b w:val="0"/>
          <w:bCs w:val="0"/>
          <w:caps w:val="0"/>
        </w:rPr>
        <w:t>While the Group CEO role carries substantial responsibility across Pennon’s portfolio of regulated water businesses, the Committee did not seek to position remuneration in line with larger global organisations. Alongside published benchmarking data, the Committee also considered live market evidence based on remuneration expectations observed during the recruitment process.</w:t>
      </w:r>
    </w:p>
    <w:p w14:paraId="2D538619" w14:textId="77777777" w:rsidR="009B360E" w:rsidRPr="00735726" w:rsidRDefault="009B360E" w:rsidP="00D07881">
      <w:pPr>
        <w:pStyle w:val="Headinglevel4"/>
        <w:spacing w:line="276" w:lineRule="auto"/>
        <w:outlineLvl w:val="0"/>
        <w:rPr>
          <w:rFonts w:cs="DINOT-Light"/>
          <w:b w:val="0"/>
          <w:bCs w:val="0"/>
          <w:caps w:val="0"/>
        </w:rPr>
      </w:pPr>
    </w:p>
    <w:p w14:paraId="19AE991F" w14:textId="2D537843" w:rsidR="009B360E" w:rsidRPr="00735726" w:rsidRDefault="009B360E" w:rsidP="00D07881">
      <w:pPr>
        <w:pStyle w:val="Headinglevel4"/>
        <w:spacing w:line="276" w:lineRule="auto"/>
        <w:outlineLvl w:val="0"/>
        <w:rPr>
          <w:rFonts w:cs="DINOT-Light"/>
          <w:b w:val="0"/>
          <w:bCs w:val="0"/>
          <w:caps w:val="0"/>
        </w:rPr>
      </w:pPr>
      <w:r w:rsidRPr="00735726">
        <w:rPr>
          <w:rFonts w:cs="DINOT-Light"/>
          <w:b w:val="0"/>
          <w:bCs w:val="0"/>
          <w:caps w:val="0"/>
        </w:rPr>
        <w:t>Ke</w:t>
      </w:r>
      <w:r w:rsidR="00E8456C">
        <w:rPr>
          <w:rFonts w:cs="DINOT-Light"/>
          <w:b w:val="0"/>
          <w:bCs w:val="0"/>
          <w:caps w:val="0"/>
        </w:rPr>
        <w:t>i</w:t>
      </w:r>
      <w:r w:rsidRPr="00735726">
        <w:rPr>
          <w:rFonts w:cs="DINOT-Light"/>
          <w:b w:val="0"/>
          <w:bCs w:val="0"/>
          <w:caps w:val="0"/>
        </w:rPr>
        <w:t xml:space="preserve">th’s salary as Chief Executive Officer of Pennon Group plc, of which </w:t>
      </w:r>
      <w:proofErr w:type="gramStart"/>
      <w:r w:rsidRPr="00735726">
        <w:rPr>
          <w:rFonts w:cs="DINOT-Light"/>
          <w:b w:val="0"/>
          <w:bCs w:val="0"/>
          <w:caps w:val="0"/>
        </w:rPr>
        <w:t>South West</w:t>
      </w:r>
      <w:proofErr w:type="gramEnd"/>
      <w:r w:rsidRPr="00735726">
        <w:rPr>
          <w:rFonts w:cs="DINOT-Light"/>
          <w:b w:val="0"/>
          <w:bCs w:val="0"/>
          <w:caps w:val="0"/>
        </w:rPr>
        <w:t xml:space="preserve"> Water is a subsidiary, has been set at £800,000. </w:t>
      </w:r>
      <w:proofErr w:type="gramStart"/>
      <w:r w:rsidRPr="00735726">
        <w:rPr>
          <w:rFonts w:cs="DINOT-Light"/>
          <w:b w:val="0"/>
          <w:bCs w:val="0"/>
          <w:caps w:val="0"/>
        </w:rPr>
        <w:t>South West</w:t>
      </w:r>
      <w:proofErr w:type="gramEnd"/>
      <w:r w:rsidRPr="00735726">
        <w:rPr>
          <w:rFonts w:cs="DINOT-Light"/>
          <w:b w:val="0"/>
          <w:bCs w:val="0"/>
          <w:caps w:val="0"/>
        </w:rPr>
        <w:t xml:space="preserve"> Water is recharged an appropriate proportion of this remuneration in respect of services provided to the Company. The salary level is broadly aligned with the median for FTSE-listed companies of a similar market capitalisation. Total target and maximum remuneration remain in lower quartile practice and are positioned at around the 20</w:t>
      </w:r>
      <w:r w:rsidRPr="00735726">
        <w:rPr>
          <w:rFonts w:cs="DINOT-Light"/>
          <w:b w:val="0"/>
          <w:bCs w:val="0"/>
          <w:caps w:val="0"/>
          <w:vertAlign w:val="superscript"/>
        </w:rPr>
        <w:t>th</w:t>
      </w:r>
      <w:r w:rsidRPr="00735726">
        <w:rPr>
          <w:rFonts w:cs="DINOT-Light"/>
          <w:b w:val="0"/>
          <w:bCs w:val="0"/>
          <w:caps w:val="0"/>
        </w:rPr>
        <w:t xml:space="preserve"> percentile. Therefore, the overall package remains modest </w:t>
      </w:r>
      <w:r w:rsidRPr="00735726">
        <w:rPr>
          <w:rFonts w:cs="DINOT-Light"/>
          <w:b w:val="0"/>
          <w:bCs w:val="0"/>
          <w:caps w:val="0"/>
        </w:rPr>
        <w:lastRenderedPageBreak/>
        <w:t>compared to the broader industry practice.</w:t>
      </w:r>
    </w:p>
    <w:p w14:paraId="671EFCAB" w14:textId="77777777" w:rsidR="00BF0E57" w:rsidRPr="00735726" w:rsidRDefault="00BF0E57" w:rsidP="00D07881">
      <w:pPr>
        <w:pStyle w:val="Headinglevel4"/>
        <w:spacing w:line="276" w:lineRule="auto"/>
        <w:outlineLvl w:val="0"/>
        <w:rPr>
          <w:rFonts w:cs="DINOT-Light"/>
          <w:b w:val="0"/>
          <w:bCs w:val="0"/>
          <w:caps w:val="0"/>
        </w:rPr>
      </w:pPr>
    </w:p>
    <w:p w14:paraId="554249C2" w14:textId="77777777" w:rsidR="001E6A6F" w:rsidRPr="00735726" w:rsidRDefault="001E6A6F" w:rsidP="001E6A6F">
      <w:pPr>
        <w:autoSpaceDE w:val="0"/>
        <w:autoSpaceDN w:val="0"/>
        <w:adjustRightInd w:val="0"/>
        <w:spacing w:after="120" w:line="240" w:lineRule="auto"/>
        <w:ind w:right="95"/>
        <w:jc w:val="both"/>
        <w:rPr>
          <w:rFonts w:ascii="Arial" w:eastAsia="Times New Roman" w:hAnsi="Arial" w:cs="DINOT-Light"/>
          <w:color w:val="000000"/>
          <w:sz w:val="18"/>
          <w:szCs w:val="18"/>
        </w:rPr>
      </w:pPr>
      <w:r w:rsidRPr="00735726">
        <w:rPr>
          <w:rFonts w:ascii="Arial" w:eastAsia="Times New Roman" w:hAnsi="Arial" w:cs="DINOT-Light"/>
          <w:color w:val="000000"/>
          <w:sz w:val="18"/>
          <w:szCs w:val="18"/>
        </w:rPr>
        <w:t>When considered against the broader FTSE 250, where Pennon remains among the larger companies by market capitalisation, total remuneration is positioned around the median.</w:t>
      </w:r>
    </w:p>
    <w:bookmarkEnd w:id="47"/>
    <w:p w14:paraId="69A46582" w14:textId="250FA054" w:rsidR="008936A1" w:rsidRPr="00735726" w:rsidRDefault="001E6A6F" w:rsidP="008936A1">
      <w:pPr>
        <w:spacing w:after="160"/>
        <w:rPr>
          <w:rFonts w:ascii="Arial" w:eastAsia="Times New Roman" w:hAnsi="Arial" w:cs="DINOT-Light"/>
          <w:color w:val="000000"/>
          <w:sz w:val="18"/>
          <w:szCs w:val="18"/>
        </w:rPr>
      </w:pPr>
      <w:r w:rsidRPr="00735726">
        <w:rPr>
          <w:rFonts w:ascii="Arial" w:eastAsia="Times New Roman" w:hAnsi="Arial" w:cs="DINOT-Light"/>
          <w:color w:val="000000"/>
          <w:sz w:val="18"/>
          <w:szCs w:val="18"/>
        </w:rPr>
        <w:t>The Committee</w:t>
      </w:r>
      <w:r w:rsidR="008936A1" w:rsidRPr="00735726">
        <w:rPr>
          <w:rFonts w:ascii="Arial" w:eastAsia="Times New Roman" w:hAnsi="Arial" w:cs="DINOT-Light"/>
          <w:color w:val="000000"/>
          <w:sz w:val="18"/>
          <w:szCs w:val="18"/>
        </w:rPr>
        <w:t xml:space="preserve"> also reviewed pay relative to water and utility peers. It is recognised that there are a wide range of pay models operated by peers and there is also variance in disclosure levels, reflecting the different ownership models which apply across the sector. These variations make direct comparison of pay levels challenging. However, the Committee remains comfortable that the package for the incoming Chief Executive Officer was competitive and appropriate when </w:t>
      </w:r>
      <w:proofErr w:type="gramStart"/>
      <w:r w:rsidR="008936A1" w:rsidRPr="00735726">
        <w:rPr>
          <w:rFonts w:ascii="Arial" w:eastAsia="Times New Roman" w:hAnsi="Arial" w:cs="DINOT-Light"/>
          <w:color w:val="000000"/>
          <w:sz w:val="18"/>
          <w:szCs w:val="18"/>
        </w:rPr>
        <w:t>taking into account</w:t>
      </w:r>
      <w:proofErr w:type="gramEnd"/>
      <w:r w:rsidR="008936A1" w:rsidRPr="00735726">
        <w:rPr>
          <w:rFonts w:ascii="Arial" w:eastAsia="Times New Roman" w:hAnsi="Arial" w:cs="DINOT-Light"/>
          <w:color w:val="000000"/>
          <w:sz w:val="18"/>
          <w:szCs w:val="18"/>
        </w:rPr>
        <w:t xml:space="preserve"> the scale and complexity of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within the broader </w:t>
      </w:r>
      <w:r w:rsidR="008936A1" w:rsidRPr="00735726">
        <w:rPr>
          <w:rFonts w:ascii="Arial" w:eastAsia="Times New Roman" w:hAnsi="Arial" w:cs="DINOT-Light"/>
          <w:color w:val="000000"/>
          <w:sz w:val="18"/>
          <w:szCs w:val="18"/>
        </w:rPr>
        <w:t xml:space="preserve">Pennon </w:t>
      </w:r>
      <w:proofErr w:type="gramStart"/>
      <w:r w:rsidR="008936A1" w:rsidRPr="00735726">
        <w:rPr>
          <w:rFonts w:ascii="Arial" w:eastAsia="Times New Roman" w:hAnsi="Arial" w:cs="DINOT-Light"/>
          <w:color w:val="000000"/>
          <w:sz w:val="18"/>
          <w:szCs w:val="18"/>
        </w:rPr>
        <w:t>Group</w:t>
      </w:r>
      <w:r w:rsidRPr="00735726">
        <w:rPr>
          <w:rFonts w:ascii="Arial" w:eastAsia="Times New Roman" w:hAnsi="Arial" w:cs="DINOT-Light"/>
          <w:color w:val="000000"/>
          <w:sz w:val="18"/>
          <w:szCs w:val="18"/>
        </w:rPr>
        <w:t>, and</w:t>
      </w:r>
      <w:proofErr w:type="gramEnd"/>
      <w:r w:rsidRPr="00735726">
        <w:rPr>
          <w:rFonts w:ascii="Arial" w:eastAsia="Times New Roman" w:hAnsi="Arial" w:cs="DINOT-Light"/>
          <w:color w:val="000000"/>
          <w:sz w:val="18"/>
          <w:szCs w:val="18"/>
        </w:rPr>
        <w:t xml:space="preserve"> supported by real-time market insights gathered during recruitment.</w:t>
      </w:r>
    </w:p>
    <w:p w14:paraId="1F28696C" w14:textId="638682CA" w:rsidR="008936A1" w:rsidRPr="00735726" w:rsidRDefault="008936A1" w:rsidP="008936A1">
      <w:pPr>
        <w:spacing w:after="160"/>
        <w:rPr>
          <w:rFonts w:ascii="Arial" w:eastAsia="Times New Roman" w:hAnsi="Arial" w:cs="DINOT-Light"/>
          <w:color w:val="000000"/>
          <w:sz w:val="18"/>
          <w:szCs w:val="18"/>
        </w:rPr>
      </w:pPr>
      <w:r w:rsidRPr="00735726">
        <w:rPr>
          <w:rFonts w:ascii="Arial" w:eastAsia="Times New Roman" w:hAnsi="Arial" w:cs="DINOT-Light"/>
          <w:color w:val="000000"/>
          <w:sz w:val="18"/>
          <w:szCs w:val="18"/>
        </w:rPr>
        <w:t>Following this reset in salary for the Chief Executive Officer role, we would expect future salary increases to be capped in line with the rate for wider employees.</w:t>
      </w:r>
    </w:p>
    <w:p w14:paraId="2DA34F10" w14:textId="5B420575" w:rsidR="008936A1" w:rsidRPr="009A2CAE" w:rsidRDefault="008936A1" w:rsidP="008936A1">
      <w:pPr>
        <w:spacing w:after="160"/>
        <w:rPr>
          <w:rFonts w:ascii="Arial" w:hAnsi="Arial" w:cs="Arial"/>
          <w:sz w:val="18"/>
          <w:szCs w:val="18"/>
        </w:rPr>
      </w:pPr>
      <w:r w:rsidRPr="00735726">
        <w:rPr>
          <w:rFonts w:ascii="Arial" w:eastAsia="Times New Roman" w:hAnsi="Arial" w:cs="DINOT-Light"/>
          <w:color w:val="000000"/>
          <w:sz w:val="18"/>
          <w:szCs w:val="18"/>
        </w:rPr>
        <w:t>Further details of Keith’s joining arrangements are set out on page</w:t>
      </w:r>
      <w:r w:rsidRPr="00735726">
        <w:rPr>
          <w:rFonts w:ascii="Arial" w:hAnsi="Arial" w:cs="Arial"/>
          <w:sz w:val="18"/>
          <w:szCs w:val="18"/>
        </w:rPr>
        <w:t xml:space="preserve"> </w:t>
      </w:r>
      <w:r w:rsidR="000D5F17" w:rsidRPr="009A2CAE">
        <w:rPr>
          <w:rFonts w:ascii="Arial" w:hAnsi="Arial" w:cs="Arial"/>
          <w:sz w:val="18"/>
          <w:szCs w:val="18"/>
        </w:rPr>
        <w:t>158</w:t>
      </w:r>
      <w:r w:rsidRPr="009A2CAE">
        <w:rPr>
          <w:rFonts w:ascii="Arial" w:hAnsi="Arial" w:cs="Arial"/>
          <w:sz w:val="18"/>
          <w:szCs w:val="18"/>
        </w:rPr>
        <w:t>.</w:t>
      </w:r>
    </w:p>
    <w:p w14:paraId="0DE94ED8" w14:textId="0A6CDC40" w:rsidR="008936A1" w:rsidRPr="00735726" w:rsidRDefault="008936A1" w:rsidP="008936A1">
      <w:pPr>
        <w:spacing w:after="160"/>
        <w:rPr>
          <w:rFonts w:ascii="Arial" w:hAnsi="Arial" w:cs="Arial"/>
          <w:sz w:val="18"/>
          <w:szCs w:val="18"/>
        </w:rPr>
      </w:pPr>
      <w:r w:rsidRPr="00735726">
        <w:rPr>
          <w:rFonts w:ascii="Arial" w:hAnsi="Arial" w:cs="Arial"/>
          <w:sz w:val="18"/>
          <w:szCs w:val="18"/>
        </w:rPr>
        <w:t xml:space="preserve">In the period between Susan stepping down and Keith joining the business, David Sproul was appointed as Executive Chair, supported by an Operating Committee, including Laura Flowerdew, with delegated executive authority </w:t>
      </w:r>
      <w:r w:rsidR="000B24CD" w:rsidRPr="00735726">
        <w:rPr>
          <w:rFonts w:ascii="Arial" w:hAnsi="Arial" w:cs="Arial"/>
          <w:sz w:val="18"/>
          <w:szCs w:val="18"/>
        </w:rPr>
        <w:t xml:space="preserve">across the Group’s operations, including </w:t>
      </w:r>
      <w:proofErr w:type="gramStart"/>
      <w:r w:rsidR="000B24CD" w:rsidRPr="00735726">
        <w:rPr>
          <w:rFonts w:ascii="Arial" w:hAnsi="Arial" w:cs="Arial"/>
          <w:sz w:val="18"/>
          <w:szCs w:val="18"/>
        </w:rPr>
        <w:t>South West</w:t>
      </w:r>
      <w:proofErr w:type="gramEnd"/>
      <w:r w:rsidR="000B24CD" w:rsidRPr="00735726">
        <w:rPr>
          <w:rFonts w:ascii="Arial" w:hAnsi="Arial" w:cs="Arial"/>
          <w:sz w:val="18"/>
          <w:szCs w:val="18"/>
        </w:rPr>
        <w:t xml:space="preserve"> Water</w:t>
      </w:r>
      <w:r w:rsidRPr="00735726">
        <w:rPr>
          <w:rFonts w:ascii="Arial" w:hAnsi="Arial" w:cs="Arial"/>
          <w:sz w:val="18"/>
          <w:szCs w:val="18"/>
        </w:rPr>
        <w:t xml:space="preserve">. </w:t>
      </w:r>
    </w:p>
    <w:p w14:paraId="1DFB05EA" w14:textId="0D4A4710" w:rsidR="000B24CD" w:rsidRPr="00735726" w:rsidRDefault="008936A1" w:rsidP="000B24CD">
      <w:pPr>
        <w:spacing w:after="160"/>
        <w:rPr>
          <w:rFonts w:ascii="Arial" w:hAnsi="Arial" w:cs="Arial"/>
          <w:sz w:val="18"/>
          <w:szCs w:val="18"/>
        </w:rPr>
      </w:pPr>
      <w:r w:rsidRPr="00735726">
        <w:rPr>
          <w:rFonts w:ascii="Arial" w:eastAsia="Times New Roman" w:hAnsi="Arial" w:cs="DINOT-Light"/>
          <w:b/>
          <w:bCs/>
          <w:color w:val="000000"/>
          <w:sz w:val="18"/>
          <w:szCs w:val="18"/>
        </w:rPr>
        <w:t>REMUNERATION POLICY REVIEW</w:t>
      </w:r>
      <w:r w:rsidR="00C61B51" w:rsidRPr="00735726">
        <w:rPr>
          <w:rFonts w:ascii="Arial" w:hAnsi="Arial" w:cs="Arial"/>
          <w:sz w:val="18"/>
          <w:szCs w:val="18"/>
        </w:rPr>
        <w:br/>
      </w:r>
      <w:r w:rsidR="000B24CD" w:rsidRPr="00735726">
        <w:rPr>
          <w:rFonts w:ascii="Arial" w:hAnsi="Arial" w:cs="Arial"/>
          <w:sz w:val="18"/>
          <w:szCs w:val="18"/>
        </w:rPr>
        <w:t xml:space="preserve">The current </w:t>
      </w:r>
      <w:proofErr w:type="gramStart"/>
      <w:r w:rsidR="000B24CD" w:rsidRPr="00735726">
        <w:rPr>
          <w:rFonts w:ascii="Arial" w:hAnsi="Arial" w:cs="Arial"/>
          <w:sz w:val="18"/>
          <w:szCs w:val="18"/>
        </w:rPr>
        <w:t>South West</w:t>
      </w:r>
      <w:proofErr w:type="gramEnd"/>
      <w:r w:rsidR="000B24CD" w:rsidRPr="00735726">
        <w:rPr>
          <w:rFonts w:ascii="Arial" w:hAnsi="Arial" w:cs="Arial"/>
          <w:sz w:val="18"/>
          <w:szCs w:val="18"/>
        </w:rPr>
        <w:t xml:space="preserve"> Water Directors’ remuneration policy was set in 2023. The full policy is contained in the 2023 South West Water Annual Performance Report on the Company’s website at </w:t>
      </w:r>
      <w:proofErr w:type="gramStart"/>
      <w:r w:rsidR="000B24CD" w:rsidRPr="00735726">
        <w:rPr>
          <w:rFonts w:ascii="Arial" w:hAnsi="Arial" w:cs="Arial"/>
          <w:sz w:val="18"/>
          <w:szCs w:val="18"/>
        </w:rPr>
        <w:t>South West</w:t>
      </w:r>
      <w:proofErr w:type="gramEnd"/>
      <w:r w:rsidR="000B24CD" w:rsidRPr="00735726">
        <w:rPr>
          <w:rFonts w:ascii="Arial" w:hAnsi="Arial" w:cs="Arial"/>
          <w:sz w:val="18"/>
          <w:szCs w:val="18"/>
        </w:rPr>
        <w:t xml:space="preserve"> Water Annual Report and Financial Statements 2023. </w:t>
      </w:r>
    </w:p>
    <w:p w14:paraId="1A4D34FA" w14:textId="0D36F130" w:rsidR="000B24CD" w:rsidRPr="00735726" w:rsidRDefault="000B24CD" w:rsidP="000B24CD">
      <w:pPr>
        <w:spacing w:after="160"/>
        <w:rPr>
          <w:rFonts w:ascii="Arial" w:hAnsi="Arial" w:cs="Arial"/>
          <w:sz w:val="18"/>
          <w:szCs w:val="18"/>
        </w:rPr>
      </w:pPr>
      <w:r w:rsidRPr="00735726">
        <w:rPr>
          <w:rFonts w:ascii="Arial" w:hAnsi="Arial" w:cs="Arial"/>
          <w:sz w:val="18"/>
          <w:szCs w:val="18"/>
        </w:rPr>
        <w:t xml:space="preserve">For the Executive Directors of Pennon Group </w:t>
      </w:r>
      <w:r w:rsidR="00147CC1" w:rsidRPr="00735726">
        <w:rPr>
          <w:rFonts w:ascii="Arial" w:hAnsi="Arial" w:cs="Arial"/>
          <w:sz w:val="18"/>
          <w:szCs w:val="18"/>
        </w:rPr>
        <w:t>p</w:t>
      </w:r>
      <w:r w:rsidRPr="00735726">
        <w:rPr>
          <w:rFonts w:ascii="Arial" w:hAnsi="Arial" w:cs="Arial"/>
          <w:sz w:val="18"/>
          <w:szCs w:val="18"/>
        </w:rPr>
        <w:t>lc, the policy can be found in full in the Pennon Group Annual Report and Accounts 2023. A summary of the policy and implementation for 2026/27 has been shared in the Pennon Group Annual Report and Accounts 2026. While we are required to seek approval at the 2026 AGM, we have decided to keep the policy largely unchanged for now, given the recent Chief Executive Officer transition. However, this will not limit future improvements. Following the AGM, we plan to carry out a more comprehensive review, including engaging with shareholders and consideration of evolving regulatory expectations and market practices.</w:t>
      </w:r>
    </w:p>
    <w:p w14:paraId="51951CBD" w14:textId="48E7B87F" w:rsidR="008936A1" w:rsidRPr="00735726" w:rsidRDefault="008936A1" w:rsidP="008936A1">
      <w:pPr>
        <w:spacing w:after="160"/>
        <w:rPr>
          <w:rFonts w:ascii="Arial" w:hAnsi="Arial" w:cs="Arial"/>
          <w:sz w:val="18"/>
          <w:szCs w:val="18"/>
        </w:rPr>
      </w:pPr>
      <w:r w:rsidRPr="00735726">
        <w:rPr>
          <w:rFonts w:ascii="Arial" w:eastAsia="Times New Roman" w:hAnsi="Arial" w:cs="DINOT-Light"/>
          <w:b/>
          <w:bCs/>
          <w:color w:val="000000"/>
          <w:sz w:val="18"/>
          <w:szCs w:val="18"/>
        </w:rPr>
        <w:t>SUMMARY</w:t>
      </w:r>
      <w:r w:rsidR="00057D91" w:rsidRPr="00735726">
        <w:rPr>
          <w:rFonts w:ascii="Arial" w:hAnsi="Arial" w:cs="Arial"/>
          <w:sz w:val="18"/>
          <w:szCs w:val="18"/>
        </w:rPr>
        <w:br/>
      </w:r>
      <w:r w:rsidRPr="00735726">
        <w:rPr>
          <w:rFonts w:ascii="Arial" w:hAnsi="Arial" w:cs="Arial"/>
          <w:sz w:val="18"/>
          <w:szCs w:val="18"/>
        </w:rPr>
        <w:t>The Committee continues to be mindful of the scale of the challenges facing the water sector and the need to be able to incentivise the delivery of long-term, sustainable performance that delivers value to all our stakeholders.</w:t>
      </w:r>
    </w:p>
    <w:p w14:paraId="722199EB" w14:textId="77777777" w:rsidR="008936A1" w:rsidRPr="00735726" w:rsidRDefault="008936A1" w:rsidP="008936A1">
      <w:pPr>
        <w:spacing w:after="160"/>
        <w:rPr>
          <w:rFonts w:ascii="Arial" w:hAnsi="Arial" w:cs="Arial"/>
          <w:sz w:val="18"/>
          <w:szCs w:val="18"/>
        </w:rPr>
      </w:pPr>
      <w:r w:rsidRPr="00735726">
        <w:rPr>
          <w:rFonts w:ascii="Arial" w:hAnsi="Arial" w:cs="Arial"/>
          <w:sz w:val="18"/>
          <w:szCs w:val="18"/>
        </w:rPr>
        <w:t xml:space="preserve">For the sector to deliver improved performance for all stakeholders, it is essential that we </w:t>
      </w:r>
      <w:proofErr w:type="gramStart"/>
      <w:r w:rsidRPr="00735726">
        <w:rPr>
          <w:rFonts w:ascii="Arial" w:hAnsi="Arial" w:cs="Arial"/>
          <w:sz w:val="18"/>
          <w:szCs w:val="18"/>
        </w:rPr>
        <w:t>are able to</w:t>
      </w:r>
      <w:proofErr w:type="gramEnd"/>
      <w:r w:rsidRPr="00735726">
        <w:rPr>
          <w:rFonts w:ascii="Arial" w:hAnsi="Arial" w:cs="Arial"/>
          <w:sz w:val="18"/>
          <w:szCs w:val="18"/>
        </w:rPr>
        <w:t xml:space="preserve"> attract and retain high-quality talent to the sector. </w:t>
      </w:r>
    </w:p>
    <w:p w14:paraId="7D8DA4C4" w14:textId="74129514" w:rsidR="00641B45" w:rsidRPr="00735726" w:rsidRDefault="008936A1" w:rsidP="008936A1">
      <w:pPr>
        <w:spacing w:after="160"/>
        <w:rPr>
          <w:rFonts w:ascii="Arial" w:eastAsia="Times New Roman" w:hAnsi="Arial" w:cs="DINOT-Light"/>
          <w:b/>
          <w:bCs/>
          <w:color w:val="000000"/>
          <w:sz w:val="18"/>
          <w:szCs w:val="18"/>
        </w:rPr>
      </w:pPr>
      <w:r w:rsidRPr="00735726">
        <w:rPr>
          <w:rFonts w:ascii="Arial" w:hAnsi="Arial" w:cs="Arial"/>
          <w:sz w:val="18"/>
          <w:szCs w:val="18"/>
        </w:rPr>
        <w:t>As always, we have sought to take a measured and pragmatic approach to remuneration as we navigate these challenges in a time of unprecedented change. The main body of the report provides further details on our key decisions.</w:t>
      </w:r>
      <w:r w:rsidR="00641B45" w:rsidRPr="00735726">
        <w:rPr>
          <w:rFonts w:ascii="Arial" w:hAnsi="Arial" w:cs="Arial"/>
          <w:sz w:val="18"/>
          <w:szCs w:val="18"/>
        </w:rPr>
        <w:br w:type="page"/>
      </w:r>
    </w:p>
    <w:p w14:paraId="43301BAE" w14:textId="77777777" w:rsidR="00E46DAC" w:rsidRPr="00735726" w:rsidRDefault="00E46DAC" w:rsidP="00E46DAC">
      <w:pPr>
        <w:pStyle w:val="AccountsHeading"/>
        <w:spacing w:line="240" w:lineRule="auto"/>
        <w:outlineLvl w:val="0"/>
      </w:pPr>
      <w:r w:rsidRPr="00735726">
        <w:lastRenderedPageBreak/>
        <w:t>Directors’ Remuneration REPORT</w:t>
      </w:r>
    </w:p>
    <w:p w14:paraId="270C237B" w14:textId="4A4E7118" w:rsidR="00E62728" w:rsidRPr="00735726" w:rsidRDefault="00E62728" w:rsidP="00D636C2">
      <w:pPr>
        <w:pStyle w:val="Headinglevel4"/>
        <w:spacing w:before="240"/>
        <w:outlineLvl w:val="0"/>
        <w:rPr>
          <w:rFonts w:eastAsiaTheme="minorHAnsi"/>
          <w:b w:val="0"/>
          <w:bCs w:val="0"/>
          <w:caps w:val="0"/>
          <w:color w:val="auto"/>
        </w:rPr>
      </w:pPr>
      <w:r w:rsidRPr="00735726">
        <w:t>INTRODUCTION</w:t>
      </w:r>
      <w:r w:rsidRPr="00735726">
        <w:br/>
      </w:r>
      <w:r w:rsidRPr="00735726">
        <w:rPr>
          <w:rFonts w:eastAsiaTheme="minorHAnsi"/>
          <w:b w:val="0"/>
          <w:bCs w:val="0"/>
          <w:caps w:val="0"/>
          <w:color w:val="auto"/>
        </w:rPr>
        <w:t xml:space="preserve">As a leading company in the UK water sector, we focus on long-term responsibility and sustainability. We recognise the impact we have on many groups, including our customers, local communities, the environment and our employees. </w:t>
      </w:r>
    </w:p>
    <w:p w14:paraId="17BA0046" w14:textId="314F00D4" w:rsidR="00E62728" w:rsidRPr="00735726" w:rsidRDefault="00E62728" w:rsidP="00E62728">
      <w:pPr>
        <w:pStyle w:val="Headinglevel4"/>
        <w:spacing w:before="240" w:line="276" w:lineRule="auto"/>
        <w:outlineLvl w:val="0"/>
        <w:rPr>
          <w:rFonts w:eastAsiaTheme="minorHAnsi"/>
          <w:b w:val="0"/>
          <w:bCs w:val="0"/>
          <w:caps w:val="0"/>
          <w:color w:val="auto"/>
        </w:rPr>
      </w:pPr>
      <w:r w:rsidRPr="00735726">
        <w:rPr>
          <w:rFonts w:eastAsiaTheme="minorHAnsi"/>
          <w:b w:val="0"/>
          <w:bCs w:val="0"/>
          <w:caps w:val="0"/>
          <w:color w:val="auto"/>
        </w:rPr>
        <w:t xml:space="preserve">Pay for senior executives in our sector is under close public scrutiny, and we understand the need to rebuild trust. At the same time, we operate in a complex and highly regulated environment, providing essential water and wastewater services to our customers. </w:t>
      </w:r>
    </w:p>
    <w:p w14:paraId="55A9480F" w14:textId="77777777" w:rsidR="00E62728" w:rsidRPr="00735726" w:rsidRDefault="00E62728" w:rsidP="00E62728">
      <w:pPr>
        <w:pStyle w:val="Headinglevel4"/>
        <w:spacing w:before="240" w:line="276" w:lineRule="auto"/>
        <w:outlineLvl w:val="0"/>
        <w:rPr>
          <w:rFonts w:eastAsiaTheme="minorHAnsi"/>
          <w:b w:val="0"/>
          <w:bCs w:val="0"/>
          <w:caps w:val="0"/>
          <w:color w:val="auto"/>
        </w:rPr>
      </w:pPr>
      <w:r w:rsidRPr="00735726">
        <w:rPr>
          <w:rFonts w:eastAsiaTheme="minorHAnsi"/>
          <w:b w:val="0"/>
          <w:bCs w:val="0"/>
          <w:caps w:val="0"/>
          <w:color w:val="auto"/>
        </w:rPr>
        <w:t xml:space="preserve">As a principle, we always strive to maintain constructive working relationships with the Government and our regulators. </w:t>
      </w:r>
    </w:p>
    <w:p w14:paraId="29C146D7" w14:textId="0FCF83E6" w:rsidR="00E62728" w:rsidRPr="00735726" w:rsidRDefault="00E62728" w:rsidP="00E62728">
      <w:pPr>
        <w:pStyle w:val="Headinglevel4"/>
        <w:spacing w:before="240" w:line="276" w:lineRule="auto"/>
        <w:outlineLvl w:val="0"/>
        <w:rPr>
          <w:rFonts w:eastAsiaTheme="minorHAnsi"/>
          <w:b w:val="0"/>
          <w:bCs w:val="0"/>
          <w:caps w:val="0"/>
          <w:color w:val="auto"/>
        </w:rPr>
      </w:pPr>
      <w:r w:rsidRPr="00735726">
        <w:rPr>
          <w:rFonts w:eastAsiaTheme="minorHAnsi"/>
          <w:b w:val="0"/>
          <w:bCs w:val="0"/>
          <w:caps w:val="0"/>
          <w:color w:val="auto"/>
        </w:rPr>
        <w:t>The Pennon Group</w:t>
      </w:r>
      <w:r w:rsidR="002B4432" w:rsidRPr="00735726">
        <w:rPr>
          <w:rFonts w:eastAsiaTheme="minorHAnsi"/>
          <w:b w:val="0"/>
          <w:bCs w:val="0"/>
          <w:caps w:val="0"/>
          <w:color w:val="auto"/>
        </w:rPr>
        <w:t xml:space="preserve"> </w:t>
      </w:r>
      <w:proofErr w:type="gramStart"/>
      <w:r w:rsidR="002B4432" w:rsidRPr="00735726">
        <w:rPr>
          <w:rFonts w:eastAsiaTheme="minorHAnsi"/>
          <w:b w:val="0"/>
          <w:bCs w:val="0"/>
          <w:caps w:val="0"/>
          <w:color w:val="auto"/>
        </w:rPr>
        <w:t>plc</w:t>
      </w:r>
      <w:proofErr w:type="gramEnd"/>
      <w:r w:rsidRPr="00735726">
        <w:rPr>
          <w:rFonts w:eastAsiaTheme="minorHAnsi"/>
          <w:b w:val="0"/>
          <w:bCs w:val="0"/>
          <w:caps w:val="0"/>
          <w:color w:val="auto"/>
        </w:rPr>
        <w:t xml:space="preserve"> Annual Report and Accounts 2026 </w:t>
      </w:r>
      <w:proofErr w:type="gramStart"/>
      <w:r w:rsidRPr="00735726">
        <w:rPr>
          <w:rFonts w:eastAsiaTheme="minorHAnsi"/>
          <w:b w:val="0"/>
          <w:bCs w:val="0"/>
          <w:caps w:val="0"/>
          <w:color w:val="auto"/>
        </w:rPr>
        <w:t>provides</w:t>
      </w:r>
      <w:proofErr w:type="gramEnd"/>
      <w:r w:rsidRPr="00735726">
        <w:rPr>
          <w:rFonts w:eastAsiaTheme="minorHAnsi"/>
          <w:b w:val="0"/>
          <w:bCs w:val="0"/>
          <w:caps w:val="0"/>
          <w:color w:val="auto"/>
        </w:rPr>
        <w:t xml:space="preserve"> </w:t>
      </w:r>
      <w:r w:rsidR="002B4432" w:rsidRPr="00735726">
        <w:rPr>
          <w:rFonts w:eastAsiaTheme="minorHAnsi"/>
          <w:b w:val="0"/>
          <w:bCs w:val="0"/>
          <w:caps w:val="0"/>
          <w:color w:val="auto"/>
        </w:rPr>
        <w:t>further</w:t>
      </w:r>
      <w:r w:rsidRPr="00735726">
        <w:rPr>
          <w:rFonts w:eastAsiaTheme="minorHAnsi"/>
          <w:b w:val="0"/>
          <w:bCs w:val="0"/>
          <w:caps w:val="0"/>
          <w:color w:val="auto"/>
        </w:rPr>
        <w:t xml:space="preserve"> details on our approach to remuneration.</w:t>
      </w:r>
    </w:p>
    <w:p w14:paraId="27A2B95B" w14:textId="02DB1500" w:rsidR="00E46DAC" w:rsidRPr="00735726" w:rsidRDefault="00E46DAC" w:rsidP="00E46DAC">
      <w:pPr>
        <w:pStyle w:val="Headinglevel4"/>
        <w:spacing w:before="240" w:line="276" w:lineRule="auto"/>
        <w:outlineLvl w:val="0"/>
      </w:pPr>
      <w:r w:rsidRPr="00735726">
        <w:t>REMUNERATION ALIGNED TO DELIVERY FOR OUR CUSTOMERS</w:t>
      </w:r>
      <w:r w:rsidRPr="00735726">
        <w:br/>
      </w:r>
      <w:r w:rsidRPr="00735726">
        <w:rPr>
          <w:rFonts w:eastAsiaTheme="minorHAnsi"/>
          <w:b w:val="0"/>
          <w:bCs w:val="0"/>
          <w:caps w:val="0"/>
          <w:color w:val="auto"/>
        </w:rPr>
        <w:t>Significant portion of executive remuneration is linked to performance:</w:t>
      </w:r>
    </w:p>
    <w:p w14:paraId="28AD950D" w14:textId="77777777" w:rsidR="00E46DAC" w:rsidRPr="00735726" w:rsidRDefault="00E46DAC" w:rsidP="00E46DAC">
      <w:pPr>
        <w:pStyle w:val="Headinglevel4"/>
        <w:numPr>
          <w:ilvl w:val="0"/>
          <w:numId w:val="120"/>
        </w:numPr>
        <w:spacing w:before="240" w:line="276" w:lineRule="auto"/>
        <w:outlineLvl w:val="0"/>
        <w:rPr>
          <w:rFonts w:eastAsiaTheme="minorHAnsi"/>
          <w:b w:val="0"/>
          <w:bCs w:val="0"/>
          <w:caps w:val="0"/>
          <w:color w:val="auto"/>
        </w:rPr>
      </w:pPr>
      <w:r w:rsidRPr="00735726">
        <w:rPr>
          <w:rFonts w:eastAsiaTheme="minorHAnsi"/>
          <w:b w:val="0"/>
          <w:bCs w:val="0"/>
          <w:caps w:val="0"/>
          <w:color w:val="auto"/>
        </w:rPr>
        <w:t>Incentive linked to underlying performance</w:t>
      </w:r>
    </w:p>
    <w:p w14:paraId="263BE805" w14:textId="2703D0A5" w:rsidR="00E46DAC" w:rsidRPr="00735726" w:rsidRDefault="00E46DAC" w:rsidP="00E46DAC">
      <w:pPr>
        <w:pStyle w:val="Headinglevel4"/>
        <w:numPr>
          <w:ilvl w:val="0"/>
          <w:numId w:val="120"/>
        </w:numPr>
        <w:spacing w:line="276" w:lineRule="auto"/>
        <w:outlineLvl w:val="0"/>
        <w:rPr>
          <w:rFonts w:eastAsiaTheme="minorHAnsi"/>
          <w:b w:val="0"/>
          <w:bCs w:val="0"/>
          <w:caps w:val="0"/>
          <w:color w:val="auto"/>
        </w:rPr>
      </w:pPr>
      <w:r w:rsidRPr="00735726">
        <w:rPr>
          <w:rFonts w:eastAsiaTheme="minorHAnsi"/>
          <w:b w:val="0"/>
          <w:bCs w:val="0"/>
          <w:caps w:val="0"/>
          <w:color w:val="auto"/>
        </w:rPr>
        <w:t xml:space="preserve">Performance pay </w:t>
      </w:r>
      <w:r w:rsidR="006C1BA9" w:rsidRPr="00735726">
        <w:rPr>
          <w:rFonts w:eastAsiaTheme="minorHAnsi"/>
          <w:b w:val="0"/>
          <w:bCs w:val="0"/>
          <w:caps w:val="0"/>
          <w:color w:val="auto"/>
        </w:rPr>
        <w:t xml:space="preserve">- </w:t>
      </w:r>
      <w:r w:rsidRPr="00735726">
        <w:rPr>
          <w:rFonts w:eastAsiaTheme="minorHAnsi"/>
          <w:b w:val="0"/>
          <w:bCs w:val="0"/>
          <w:caps w:val="0"/>
          <w:color w:val="auto"/>
        </w:rPr>
        <w:t>appropriately aligned with customer interests with bonus and LTIs having a substantial link to stretching performance delivery for customers</w:t>
      </w:r>
    </w:p>
    <w:p w14:paraId="6340C88D" w14:textId="77777777" w:rsidR="00E46DAC" w:rsidRPr="00735726" w:rsidRDefault="00E46DAC" w:rsidP="00E46DAC">
      <w:pPr>
        <w:pStyle w:val="Headinglevel4"/>
        <w:numPr>
          <w:ilvl w:val="0"/>
          <w:numId w:val="120"/>
        </w:numPr>
        <w:spacing w:line="276" w:lineRule="auto"/>
        <w:outlineLvl w:val="0"/>
        <w:rPr>
          <w:rFonts w:eastAsiaTheme="minorHAnsi"/>
          <w:b w:val="0"/>
          <w:bCs w:val="0"/>
          <w:caps w:val="0"/>
          <w:color w:val="auto"/>
        </w:rPr>
      </w:pPr>
      <w:r w:rsidRPr="00735726">
        <w:rPr>
          <w:rFonts w:eastAsiaTheme="minorHAnsi"/>
          <w:b w:val="0"/>
          <w:bCs w:val="0"/>
          <w:caps w:val="0"/>
          <w:color w:val="auto"/>
        </w:rPr>
        <w:t>Focus on customer and operational metrics assessed by Ofwat, our customer, communities, and wider stakeholders</w:t>
      </w:r>
    </w:p>
    <w:p w14:paraId="475AC707" w14:textId="77777777" w:rsidR="00E46DAC" w:rsidRPr="00735726" w:rsidRDefault="00E46DAC" w:rsidP="00E46DAC">
      <w:pPr>
        <w:pStyle w:val="Headinglevel4"/>
        <w:numPr>
          <w:ilvl w:val="0"/>
          <w:numId w:val="120"/>
        </w:numPr>
        <w:spacing w:line="276" w:lineRule="auto"/>
        <w:outlineLvl w:val="0"/>
        <w:rPr>
          <w:rFonts w:eastAsiaTheme="minorHAnsi"/>
          <w:b w:val="0"/>
          <w:bCs w:val="0"/>
          <w:caps w:val="0"/>
          <w:color w:val="auto"/>
        </w:rPr>
      </w:pPr>
      <w:r w:rsidRPr="00735726">
        <w:rPr>
          <w:rFonts w:eastAsiaTheme="minorHAnsi"/>
          <w:b w:val="0"/>
          <w:bCs w:val="0"/>
          <w:caps w:val="0"/>
          <w:color w:val="auto"/>
        </w:rPr>
        <w:t>Incentives designed to motivate delivery of sustainable performance</w:t>
      </w:r>
    </w:p>
    <w:p w14:paraId="0092306A" w14:textId="77777777" w:rsidR="00E46DAC" w:rsidRPr="00735726" w:rsidRDefault="00E46DAC" w:rsidP="00E46DAC">
      <w:pPr>
        <w:pStyle w:val="Headinglevel4"/>
        <w:numPr>
          <w:ilvl w:val="0"/>
          <w:numId w:val="120"/>
        </w:numPr>
        <w:spacing w:line="276" w:lineRule="auto"/>
        <w:outlineLvl w:val="0"/>
        <w:rPr>
          <w:rFonts w:eastAsiaTheme="minorHAnsi"/>
          <w:b w:val="0"/>
          <w:bCs w:val="0"/>
          <w:caps w:val="0"/>
          <w:color w:val="auto"/>
        </w:rPr>
      </w:pPr>
      <w:r w:rsidRPr="00735726">
        <w:rPr>
          <w:rFonts w:eastAsiaTheme="minorHAnsi"/>
          <w:b w:val="0"/>
          <w:bCs w:val="0"/>
          <w:caps w:val="0"/>
          <w:color w:val="auto"/>
        </w:rPr>
        <w:t>Safeguard mechanisms in place to ensure outcomes reflect underlying performance.</w:t>
      </w:r>
    </w:p>
    <w:p w14:paraId="0357EFF5" w14:textId="77777777" w:rsidR="00E46DAC" w:rsidRPr="00735726" w:rsidRDefault="00E46DAC" w:rsidP="00E46DAC">
      <w:pPr>
        <w:pStyle w:val="Headinglevel4"/>
        <w:spacing w:line="276" w:lineRule="auto"/>
        <w:outlineLvl w:val="0"/>
        <w:rPr>
          <w:rFonts w:eastAsiaTheme="minorHAnsi"/>
          <w:b w:val="0"/>
          <w:bCs w:val="0"/>
          <w:caps w:val="0"/>
          <w:color w:val="auto"/>
        </w:rPr>
      </w:pPr>
    </w:p>
    <w:p w14:paraId="5F9D4C3D" w14:textId="77777777" w:rsidR="00E46DAC" w:rsidRPr="00735726" w:rsidRDefault="00E46DAC" w:rsidP="00E46DAC">
      <w:pPr>
        <w:pStyle w:val="Heading2"/>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ROLE OF REMUNERATION COMMITTEE</w:t>
      </w:r>
    </w:p>
    <w:p w14:paraId="3082BB60" w14:textId="77777777" w:rsidR="00E46DAC" w:rsidRPr="00735726" w:rsidRDefault="00E46DAC" w:rsidP="00E46DAC">
      <w:pPr>
        <w:pStyle w:val="EYBodytextwithparaspace"/>
        <w:spacing w:after="0"/>
        <w:jc w:val="both"/>
        <w:rPr>
          <w:rFonts w:eastAsiaTheme="minorHAnsi"/>
          <w:color w:val="000000" w:themeColor="text1"/>
          <w:sz w:val="18"/>
          <w:szCs w:val="22"/>
        </w:rPr>
      </w:pPr>
      <w:r w:rsidRPr="00735726">
        <w:rPr>
          <w:rFonts w:eastAsiaTheme="minorHAnsi"/>
          <w:color w:val="000000" w:themeColor="text1"/>
          <w:sz w:val="18"/>
          <w:szCs w:val="22"/>
        </w:rPr>
        <w:t xml:space="preserve">The Remuneration Committee is responsible for ensuring that pay and reward arrangements across the Pennon Group (including </w:t>
      </w:r>
      <w:proofErr w:type="gramStart"/>
      <w:r w:rsidRPr="00735726">
        <w:rPr>
          <w:rFonts w:eastAsiaTheme="minorHAnsi"/>
          <w:color w:val="000000" w:themeColor="text1"/>
          <w:sz w:val="18"/>
          <w:szCs w:val="22"/>
        </w:rPr>
        <w:t>South West</w:t>
      </w:r>
      <w:proofErr w:type="gramEnd"/>
      <w:r w:rsidRPr="00735726">
        <w:rPr>
          <w:rFonts w:eastAsiaTheme="minorHAnsi"/>
          <w:color w:val="000000" w:themeColor="text1"/>
          <w:sz w:val="18"/>
          <w:szCs w:val="22"/>
        </w:rPr>
        <w:t xml:space="preserve"> Water) are fair, competitive, and support the Company’s goals. </w:t>
      </w:r>
      <w:proofErr w:type="gramStart"/>
      <w:r w:rsidRPr="00735726">
        <w:rPr>
          <w:rFonts w:eastAsiaTheme="minorHAnsi"/>
          <w:color w:val="000000" w:themeColor="text1"/>
          <w:sz w:val="18"/>
          <w:szCs w:val="22"/>
        </w:rPr>
        <w:t>Specifically</w:t>
      </w:r>
      <w:proofErr w:type="gramEnd"/>
      <w:r w:rsidRPr="00735726">
        <w:rPr>
          <w:rFonts w:eastAsiaTheme="minorHAnsi"/>
          <w:color w:val="000000" w:themeColor="text1"/>
          <w:sz w:val="18"/>
          <w:szCs w:val="22"/>
        </w:rPr>
        <w:t xml:space="preserve"> it:</w:t>
      </w:r>
    </w:p>
    <w:p w14:paraId="225B2C17" w14:textId="77777777" w:rsidR="00E46DAC" w:rsidRPr="00735726" w:rsidRDefault="00E46DAC" w:rsidP="00E46DAC">
      <w:pPr>
        <w:pStyle w:val="EYBodytextwithparaspace"/>
        <w:spacing w:after="0"/>
        <w:jc w:val="both"/>
        <w:rPr>
          <w:rFonts w:eastAsiaTheme="minorHAnsi"/>
          <w:color w:val="000000" w:themeColor="text1"/>
          <w:sz w:val="18"/>
          <w:szCs w:val="22"/>
        </w:rPr>
      </w:pPr>
    </w:p>
    <w:p w14:paraId="1EB73C82" w14:textId="3B7C4893" w:rsidR="00E46DAC" w:rsidRPr="00735726" w:rsidRDefault="00E46DAC" w:rsidP="00E46DAC">
      <w:pPr>
        <w:pStyle w:val="ListParagraph"/>
        <w:numPr>
          <w:ilvl w:val="0"/>
          <w:numId w:val="120"/>
        </w:numPr>
        <w:autoSpaceDE w:val="0"/>
        <w:autoSpaceDN w:val="0"/>
        <w:adjustRightInd w:val="0"/>
        <w:spacing w:after="0" w:line="240" w:lineRule="auto"/>
        <w:rPr>
          <w:rFonts w:ascii="Arial" w:hAnsi="Arial" w:cs="Arial"/>
          <w:sz w:val="18"/>
          <w:szCs w:val="18"/>
        </w:rPr>
      </w:pPr>
      <w:r w:rsidRPr="00735726">
        <w:rPr>
          <w:rFonts w:ascii="Arial" w:hAnsi="Arial" w:cs="Arial"/>
          <w:sz w:val="18"/>
          <w:szCs w:val="18"/>
        </w:rPr>
        <w:t xml:space="preserve">Ensures pay is aligned with the </w:t>
      </w:r>
      <w:r w:rsidR="00287C58" w:rsidRPr="00735726">
        <w:rPr>
          <w:rFonts w:ascii="Arial" w:hAnsi="Arial" w:cs="Arial"/>
          <w:sz w:val="18"/>
          <w:szCs w:val="18"/>
        </w:rPr>
        <w:t>Company’s</w:t>
      </w:r>
      <w:r w:rsidRPr="00735726">
        <w:rPr>
          <w:rFonts w:ascii="Arial" w:hAnsi="Arial" w:cs="Arial"/>
          <w:sz w:val="18"/>
          <w:szCs w:val="18"/>
        </w:rPr>
        <w:t xml:space="preserve"> strategy and reflects its values </w:t>
      </w:r>
    </w:p>
    <w:p w14:paraId="76990C02" w14:textId="77777777" w:rsidR="00E46DAC" w:rsidRPr="00735726" w:rsidRDefault="00E46DAC" w:rsidP="00E46DAC">
      <w:pPr>
        <w:pStyle w:val="ListParagraph"/>
        <w:numPr>
          <w:ilvl w:val="0"/>
          <w:numId w:val="120"/>
        </w:numPr>
        <w:autoSpaceDE w:val="0"/>
        <w:autoSpaceDN w:val="0"/>
        <w:adjustRightInd w:val="0"/>
        <w:spacing w:after="0" w:line="240" w:lineRule="auto"/>
        <w:rPr>
          <w:rFonts w:ascii="Arial" w:hAnsi="Arial" w:cs="Arial"/>
          <w:sz w:val="18"/>
          <w:szCs w:val="18"/>
        </w:rPr>
      </w:pPr>
      <w:r w:rsidRPr="00735726">
        <w:rPr>
          <w:rFonts w:ascii="Arial" w:hAnsi="Arial" w:cs="Arial"/>
          <w:sz w:val="18"/>
          <w:szCs w:val="18"/>
        </w:rPr>
        <w:t xml:space="preserve">Sets and reviews the overall pay policy, considering shareholder views and best practice, so the company can attract, retain and motivate senior leaders </w:t>
      </w:r>
    </w:p>
    <w:p w14:paraId="686E9F30" w14:textId="77777777" w:rsidR="00E46DAC" w:rsidRPr="00735726" w:rsidRDefault="00E46DAC" w:rsidP="00E46DAC">
      <w:pPr>
        <w:pStyle w:val="ListParagraph"/>
        <w:numPr>
          <w:ilvl w:val="0"/>
          <w:numId w:val="120"/>
        </w:numPr>
        <w:autoSpaceDE w:val="0"/>
        <w:autoSpaceDN w:val="0"/>
        <w:adjustRightInd w:val="0"/>
        <w:spacing w:after="0" w:line="240" w:lineRule="auto"/>
        <w:rPr>
          <w:rFonts w:ascii="Arial" w:hAnsi="Arial" w:cs="Arial"/>
          <w:sz w:val="18"/>
          <w:szCs w:val="18"/>
        </w:rPr>
      </w:pPr>
      <w:r w:rsidRPr="00735726">
        <w:rPr>
          <w:rFonts w:ascii="Arial" w:hAnsi="Arial" w:cs="Arial"/>
          <w:sz w:val="18"/>
          <w:szCs w:val="18"/>
        </w:rPr>
        <w:t xml:space="preserve">Advises the Board on how executive pay should be structured </w:t>
      </w:r>
    </w:p>
    <w:p w14:paraId="76DDD504" w14:textId="77777777" w:rsidR="00E46DAC" w:rsidRPr="00735726" w:rsidRDefault="00E46DAC" w:rsidP="00E46DAC">
      <w:pPr>
        <w:pStyle w:val="ListParagraph"/>
        <w:numPr>
          <w:ilvl w:val="0"/>
          <w:numId w:val="120"/>
        </w:numPr>
        <w:autoSpaceDE w:val="0"/>
        <w:autoSpaceDN w:val="0"/>
        <w:adjustRightInd w:val="0"/>
        <w:spacing w:after="0" w:line="240" w:lineRule="auto"/>
        <w:rPr>
          <w:rFonts w:ascii="Arial" w:hAnsi="Arial" w:cs="Arial"/>
          <w:sz w:val="18"/>
          <w:szCs w:val="18"/>
        </w:rPr>
      </w:pPr>
      <w:r w:rsidRPr="00735726">
        <w:rPr>
          <w:rFonts w:ascii="Arial" w:hAnsi="Arial" w:cs="Arial"/>
          <w:sz w:val="18"/>
          <w:szCs w:val="18"/>
        </w:rPr>
        <w:t xml:space="preserve">Decides the pay levels for the Chair, Executive Directors and senior executives, and keeps an eye on pay across the wider workforce </w:t>
      </w:r>
    </w:p>
    <w:p w14:paraId="3741FFD4" w14:textId="77777777" w:rsidR="00E46DAC" w:rsidRPr="00735726" w:rsidRDefault="00E46DAC" w:rsidP="00E46DAC">
      <w:pPr>
        <w:pStyle w:val="ListParagraph"/>
        <w:numPr>
          <w:ilvl w:val="0"/>
          <w:numId w:val="120"/>
        </w:numPr>
        <w:autoSpaceDE w:val="0"/>
        <w:autoSpaceDN w:val="0"/>
        <w:adjustRightInd w:val="0"/>
        <w:spacing w:after="0" w:line="240" w:lineRule="auto"/>
        <w:rPr>
          <w:rFonts w:ascii="Arial" w:hAnsi="Arial" w:cs="Arial"/>
          <w:sz w:val="18"/>
          <w:szCs w:val="18"/>
        </w:rPr>
      </w:pPr>
      <w:r w:rsidRPr="00735726">
        <w:rPr>
          <w:rFonts w:ascii="Arial" w:hAnsi="Arial" w:cs="Arial"/>
          <w:sz w:val="18"/>
          <w:szCs w:val="18"/>
        </w:rPr>
        <w:t xml:space="preserve">Approves how performance-related pay schemes are designed and sets the targets for them  </w:t>
      </w:r>
    </w:p>
    <w:p w14:paraId="7A0027C7" w14:textId="77777777" w:rsidR="00E46DAC" w:rsidRPr="00735726" w:rsidRDefault="00E46DAC" w:rsidP="00E46DAC">
      <w:pPr>
        <w:pStyle w:val="ListParagraph"/>
        <w:numPr>
          <w:ilvl w:val="0"/>
          <w:numId w:val="120"/>
        </w:numPr>
        <w:autoSpaceDE w:val="0"/>
        <w:autoSpaceDN w:val="0"/>
        <w:adjustRightInd w:val="0"/>
        <w:spacing w:after="0" w:line="240" w:lineRule="auto"/>
        <w:rPr>
          <w:rFonts w:ascii="Arial" w:hAnsi="Arial" w:cs="Arial"/>
          <w:sz w:val="18"/>
          <w:szCs w:val="18"/>
        </w:rPr>
      </w:pPr>
      <w:r w:rsidRPr="00735726">
        <w:rPr>
          <w:rFonts w:ascii="Arial" w:hAnsi="Arial" w:cs="Arial"/>
          <w:sz w:val="18"/>
          <w:szCs w:val="18"/>
        </w:rPr>
        <w:t>Reviews performance outcomes and decides how much should be paid under the incentive schemes.</w:t>
      </w:r>
    </w:p>
    <w:p w14:paraId="7302ED3C" w14:textId="19C30B49" w:rsidR="00E46DAC" w:rsidRPr="00735726" w:rsidRDefault="00E46DAC" w:rsidP="00E46DAC">
      <w:pPr>
        <w:spacing w:after="160"/>
        <w:rPr>
          <w:rFonts w:ascii="Arial" w:hAnsi="Arial" w:cs="Arial"/>
          <w:sz w:val="18"/>
          <w:szCs w:val="18"/>
        </w:rPr>
      </w:pPr>
      <w:r w:rsidRPr="00735726">
        <w:rPr>
          <w:rFonts w:ascii="Arial" w:eastAsia="Times New Roman" w:hAnsi="Arial" w:cs="Arial"/>
          <w:b/>
          <w:bCs/>
          <w:caps/>
          <w:color w:val="000000"/>
          <w:sz w:val="18"/>
          <w:szCs w:val="18"/>
        </w:rPr>
        <w:br/>
        <w:t>AT A GLANCE</w:t>
      </w:r>
      <w:r w:rsidRPr="00735726">
        <w:rPr>
          <w:rFonts w:ascii="Arial" w:hAnsi="Arial" w:cs="Arial"/>
        </w:rPr>
        <w:br/>
      </w:r>
      <w:r w:rsidRPr="00735726">
        <w:rPr>
          <w:rFonts w:ascii="Arial" w:hAnsi="Arial" w:cs="Arial"/>
          <w:sz w:val="18"/>
          <w:szCs w:val="18"/>
        </w:rPr>
        <w:t xml:space="preserve">For further detail on the structure of executive pay for Pennon Group Executives, please see page </w:t>
      </w:r>
      <w:r w:rsidR="000D5F17" w:rsidRPr="009A2CAE">
        <w:rPr>
          <w:rFonts w:ascii="Arial" w:hAnsi="Arial" w:cs="Arial"/>
          <w:sz w:val="18"/>
          <w:szCs w:val="18"/>
        </w:rPr>
        <w:t>133</w:t>
      </w:r>
      <w:r w:rsidRPr="009A2CAE">
        <w:rPr>
          <w:rFonts w:ascii="Arial" w:hAnsi="Arial" w:cs="Arial"/>
          <w:sz w:val="18"/>
          <w:szCs w:val="18"/>
        </w:rPr>
        <w:t xml:space="preserve"> </w:t>
      </w:r>
      <w:r w:rsidRPr="00735726">
        <w:rPr>
          <w:rFonts w:ascii="Arial" w:hAnsi="Arial" w:cs="Arial"/>
          <w:sz w:val="18"/>
          <w:szCs w:val="18"/>
        </w:rPr>
        <w:t xml:space="preserve">of the Pennon Group plc Annual Report and Accounts 2026. In summary there are six key elements of the structure of </w:t>
      </w:r>
      <w:r w:rsidR="002B4432" w:rsidRPr="00735726">
        <w:rPr>
          <w:rFonts w:ascii="Arial" w:hAnsi="Arial" w:cs="Arial"/>
          <w:sz w:val="18"/>
          <w:szCs w:val="18"/>
        </w:rPr>
        <w:t>E</w:t>
      </w:r>
      <w:r w:rsidRPr="00735726">
        <w:rPr>
          <w:rFonts w:ascii="Arial" w:hAnsi="Arial" w:cs="Arial"/>
          <w:sz w:val="18"/>
          <w:szCs w:val="18"/>
        </w:rPr>
        <w:t>xecutive pay:</w:t>
      </w:r>
    </w:p>
    <w:tbl>
      <w:tblPr>
        <w:tblStyle w:val="TableGrid"/>
        <w:tblW w:w="9087" w:type="dxa"/>
        <w:tblLook w:val="04A0" w:firstRow="1" w:lastRow="0" w:firstColumn="1" w:lastColumn="0" w:noHBand="0" w:noVBand="1"/>
      </w:tblPr>
      <w:tblGrid>
        <w:gridCol w:w="2227"/>
        <w:gridCol w:w="3402"/>
        <w:gridCol w:w="3458"/>
      </w:tblGrid>
      <w:tr w:rsidR="00E46DAC" w:rsidRPr="00735726" w14:paraId="67ABD7C1" w14:textId="77777777" w:rsidTr="00C242AC">
        <w:tc>
          <w:tcPr>
            <w:tcW w:w="2227" w:type="dxa"/>
          </w:tcPr>
          <w:p w14:paraId="5253FF05" w14:textId="77777777" w:rsidR="00E46DAC" w:rsidRPr="00735726" w:rsidRDefault="00E46DAC" w:rsidP="00C242AC">
            <w:pPr>
              <w:spacing w:after="160" w:line="259" w:lineRule="auto"/>
              <w:rPr>
                <w:rFonts w:ascii="Arial" w:hAnsi="Arial" w:cs="Arial"/>
                <w:b/>
                <w:bCs/>
                <w:color w:val="000000" w:themeColor="text1"/>
                <w:sz w:val="18"/>
                <w:szCs w:val="18"/>
              </w:rPr>
            </w:pPr>
            <w:r w:rsidRPr="00735726">
              <w:rPr>
                <w:rFonts w:ascii="Arial" w:hAnsi="Arial" w:cs="Arial"/>
                <w:b/>
                <w:bCs/>
                <w:color w:val="000000" w:themeColor="text1"/>
                <w:sz w:val="18"/>
                <w:szCs w:val="18"/>
              </w:rPr>
              <w:t>Element</w:t>
            </w:r>
          </w:p>
        </w:tc>
        <w:tc>
          <w:tcPr>
            <w:tcW w:w="3402" w:type="dxa"/>
          </w:tcPr>
          <w:p w14:paraId="7B6B5621" w14:textId="77777777" w:rsidR="00E46DAC" w:rsidRPr="00735726" w:rsidRDefault="00E46DAC" w:rsidP="00C242AC">
            <w:pPr>
              <w:spacing w:after="160" w:line="259" w:lineRule="auto"/>
              <w:rPr>
                <w:rFonts w:ascii="Arial" w:hAnsi="Arial" w:cs="Arial"/>
                <w:b/>
                <w:bCs/>
                <w:color w:val="000000" w:themeColor="text1"/>
                <w:sz w:val="18"/>
                <w:szCs w:val="18"/>
              </w:rPr>
            </w:pPr>
            <w:r w:rsidRPr="00735726">
              <w:rPr>
                <w:rFonts w:ascii="Arial" w:hAnsi="Arial" w:cs="Arial"/>
                <w:b/>
                <w:bCs/>
                <w:color w:val="000000" w:themeColor="text1"/>
                <w:sz w:val="18"/>
                <w:szCs w:val="18"/>
              </w:rPr>
              <w:t>Description</w:t>
            </w:r>
          </w:p>
        </w:tc>
        <w:tc>
          <w:tcPr>
            <w:tcW w:w="3458" w:type="dxa"/>
          </w:tcPr>
          <w:p w14:paraId="5FD41EBB" w14:textId="77777777" w:rsidR="00E46DAC" w:rsidRPr="00735726" w:rsidRDefault="00E46DAC" w:rsidP="00C242AC">
            <w:pPr>
              <w:spacing w:after="160" w:line="259" w:lineRule="auto"/>
              <w:jc w:val="center"/>
              <w:rPr>
                <w:rFonts w:ascii="Arial" w:hAnsi="Arial" w:cs="Arial"/>
                <w:b/>
                <w:bCs/>
                <w:color w:val="000000" w:themeColor="text1"/>
                <w:sz w:val="18"/>
                <w:szCs w:val="18"/>
              </w:rPr>
            </w:pPr>
            <w:r w:rsidRPr="00735726">
              <w:rPr>
                <w:rFonts w:ascii="Arial" w:hAnsi="Arial" w:cs="Arial"/>
                <w:b/>
                <w:bCs/>
                <w:color w:val="000000" w:themeColor="text1"/>
                <w:sz w:val="18"/>
                <w:szCs w:val="18"/>
              </w:rPr>
              <w:t>Timeframe</w:t>
            </w:r>
          </w:p>
        </w:tc>
      </w:tr>
      <w:tr w:rsidR="00E46DAC" w:rsidRPr="00735726" w14:paraId="42AD57E8" w14:textId="77777777" w:rsidTr="00C242AC">
        <w:tc>
          <w:tcPr>
            <w:tcW w:w="2227" w:type="dxa"/>
          </w:tcPr>
          <w:p w14:paraId="4680EF90"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Base Salary</w:t>
            </w:r>
          </w:p>
        </w:tc>
        <w:tc>
          <w:tcPr>
            <w:tcW w:w="3402" w:type="dxa"/>
          </w:tcPr>
          <w:p w14:paraId="5B734918"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Core element of a fixed amount, reflecting the size and scope of the role.</w:t>
            </w:r>
          </w:p>
        </w:tc>
        <w:tc>
          <w:tcPr>
            <w:tcW w:w="3458" w:type="dxa"/>
          </w:tcPr>
          <w:p w14:paraId="70C7F921" w14:textId="77777777" w:rsidR="00E46DAC" w:rsidRPr="00735726" w:rsidRDefault="00E46DAC" w:rsidP="00C242AC">
            <w:pPr>
              <w:spacing w:after="160" w:line="259" w:lineRule="auto"/>
              <w:jc w:val="center"/>
              <w:rPr>
                <w:rFonts w:ascii="Arial" w:hAnsi="Arial" w:cs="Arial"/>
                <w:color w:val="000000" w:themeColor="text1"/>
                <w:sz w:val="18"/>
                <w:szCs w:val="18"/>
              </w:rPr>
            </w:pPr>
            <w:r w:rsidRPr="00735726">
              <w:rPr>
                <w:rFonts w:ascii="Arial" w:hAnsi="Arial" w:cs="Arial"/>
                <w:color w:val="000000" w:themeColor="text1"/>
                <w:sz w:val="18"/>
                <w:szCs w:val="18"/>
              </w:rPr>
              <w:t>Year 1</w:t>
            </w:r>
          </w:p>
        </w:tc>
      </w:tr>
      <w:tr w:rsidR="00E46DAC" w:rsidRPr="00735726" w14:paraId="262AF5A2" w14:textId="77777777" w:rsidTr="00C242AC">
        <w:tc>
          <w:tcPr>
            <w:tcW w:w="2227" w:type="dxa"/>
          </w:tcPr>
          <w:p w14:paraId="0F122EEF"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Benefits</w:t>
            </w:r>
          </w:p>
        </w:tc>
        <w:tc>
          <w:tcPr>
            <w:tcW w:w="3402" w:type="dxa"/>
          </w:tcPr>
          <w:p w14:paraId="479F3D86"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Appropriate and sufficient level of benefits based on individual circumstances, includes car allowance and private medical insurance, for example.</w:t>
            </w:r>
          </w:p>
        </w:tc>
        <w:tc>
          <w:tcPr>
            <w:tcW w:w="3458" w:type="dxa"/>
          </w:tcPr>
          <w:p w14:paraId="43080815" w14:textId="77777777" w:rsidR="00E46DAC" w:rsidRPr="00735726" w:rsidRDefault="00E46DAC" w:rsidP="00C242AC">
            <w:pPr>
              <w:spacing w:after="160" w:line="259" w:lineRule="auto"/>
              <w:jc w:val="center"/>
              <w:rPr>
                <w:rFonts w:ascii="Arial" w:hAnsi="Arial" w:cs="Arial"/>
                <w:color w:val="000000" w:themeColor="text1"/>
                <w:sz w:val="18"/>
                <w:szCs w:val="18"/>
              </w:rPr>
            </w:pPr>
            <w:r w:rsidRPr="00735726">
              <w:rPr>
                <w:rFonts w:ascii="Arial" w:hAnsi="Arial" w:cs="Arial"/>
                <w:color w:val="000000" w:themeColor="text1"/>
                <w:sz w:val="18"/>
                <w:szCs w:val="18"/>
              </w:rPr>
              <w:t>Year 1</w:t>
            </w:r>
          </w:p>
        </w:tc>
      </w:tr>
      <w:tr w:rsidR="00E46DAC" w:rsidRPr="00735726" w14:paraId="5C3B907B" w14:textId="77777777" w:rsidTr="00C242AC">
        <w:tc>
          <w:tcPr>
            <w:tcW w:w="2227" w:type="dxa"/>
          </w:tcPr>
          <w:p w14:paraId="591DFFD2"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Retirement Benefits</w:t>
            </w:r>
          </w:p>
        </w:tc>
        <w:tc>
          <w:tcPr>
            <w:tcW w:w="3402" w:type="dxa"/>
          </w:tcPr>
          <w:p w14:paraId="6EEC0F6D"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 xml:space="preserve">Executive directors are eligible to participate in the Company’s defined </w:t>
            </w:r>
            <w:r w:rsidRPr="00735726">
              <w:rPr>
                <w:rFonts w:ascii="Arial" w:hAnsi="Arial" w:cs="Arial"/>
                <w:color w:val="000000" w:themeColor="text1"/>
                <w:sz w:val="18"/>
                <w:szCs w:val="18"/>
              </w:rPr>
              <w:lastRenderedPageBreak/>
              <w:t>contribution pension scheme (or receive a cash alternative).</w:t>
            </w:r>
          </w:p>
        </w:tc>
        <w:tc>
          <w:tcPr>
            <w:tcW w:w="3458" w:type="dxa"/>
          </w:tcPr>
          <w:p w14:paraId="7118B744" w14:textId="77777777" w:rsidR="00E46DAC" w:rsidRPr="00735726" w:rsidRDefault="00E46DAC" w:rsidP="00C242AC">
            <w:pPr>
              <w:spacing w:after="160" w:line="259" w:lineRule="auto"/>
              <w:jc w:val="center"/>
              <w:rPr>
                <w:rFonts w:ascii="Arial" w:hAnsi="Arial" w:cs="Arial"/>
                <w:color w:val="000000" w:themeColor="text1"/>
                <w:sz w:val="18"/>
                <w:szCs w:val="18"/>
              </w:rPr>
            </w:pPr>
            <w:r w:rsidRPr="00735726">
              <w:rPr>
                <w:rFonts w:ascii="Arial" w:hAnsi="Arial" w:cs="Arial"/>
                <w:color w:val="000000" w:themeColor="text1"/>
                <w:sz w:val="18"/>
                <w:szCs w:val="18"/>
              </w:rPr>
              <w:lastRenderedPageBreak/>
              <w:t>Year 1: 10% of salary</w:t>
            </w:r>
          </w:p>
        </w:tc>
      </w:tr>
      <w:tr w:rsidR="00E46DAC" w:rsidRPr="00735726" w14:paraId="56F88A44" w14:textId="77777777" w:rsidTr="00C242AC">
        <w:tc>
          <w:tcPr>
            <w:tcW w:w="2227" w:type="dxa"/>
          </w:tcPr>
          <w:p w14:paraId="7422A45C"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Annual Bonus</w:t>
            </w:r>
          </w:p>
        </w:tc>
        <w:tc>
          <w:tcPr>
            <w:tcW w:w="3402" w:type="dxa"/>
          </w:tcPr>
          <w:p w14:paraId="700849EA"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Rewards performance against annual targets which support the strategic direction of the Company.</w:t>
            </w:r>
          </w:p>
        </w:tc>
        <w:tc>
          <w:tcPr>
            <w:tcW w:w="3458" w:type="dxa"/>
          </w:tcPr>
          <w:p w14:paraId="090896D0" w14:textId="77777777" w:rsidR="00E46DAC" w:rsidRPr="00735726" w:rsidRDefault="00E46DAC" w:rsidP="00C242AC">
            <w:pPr>
              <w:spacing w:after="160" w:line="259" w:lineRule="auto"/>
              <w:jc w:val="center"/>
              <w:rPr>
                <w:rFonts w:ascii="Arial" w:hAnsi="Arial" w:cs="Arial"/>
                <w:color w:val="000000" w:themeColor="text1"/>
                <w:sz w:val="18"/>
                <w:szCs w:val="18"/>
              </w:rPr>
            </w:pPr>
            <w:r w:rsidRPr="00735726">
              <w:rPr>
                <w:rFonts w:ascii="Arial" w:hAnsi="Arial" w:cs="Arial"/>
                <w:color w:val="000000" w:themeColor="text1"/>
                <w:sz w:val="18"/>
                <w:szCs w:val="18"/>
              </w:rPr>
              <w:t>Year 1: Bonus up to 125% of salary, up to 50% in cash</w:t>
            </w:r>
          </w:p>
          <w:p w14:paraId="298E6655" w14:textId="77777777" w:rsidR="00E46DAC" w:rsidRPr="00735726" w:rsidRDefault="00E46DAC" w:rsidP="00C242AC">
            <w:pPr>
              <w:spacing w:after="160" w:line="259" w:lineRule="auto"/>
              <w:jc w:val="center"/>
              <w:rPr>
                <w:rFonts w:ascii="Arial" w:hAnsi="Arial" w:cs="Arial"/>
                <w:color w:val="000000" w:themeColor="text1"/>
                <w:sz w:val="18"/>
                <w:szCs w:val="18"/>
              </w:rPr>
            </w:pPr>
            <w:r w:rsidRPr="00735726">
              <w:rPr>
                <w:rFonts w:ascii="Arial" w:hAnsi="Arial" w:cs="Arial"/>
                <w:color w:val="000000" w:themeColor="text1"/>
                <w:sz w:val="18"/>
                <w:szCs w:val="18"/>
              </w:rPr>
              <w:t>Year 2 to 4: 50% deferred into shares for three years</w:t>
            </w:r>
          </w:p>
        </w:tc>
      </w:tr>
      <w:tr w:rsidR="00E46DAC" w:rsidRPr="00735726" w14:paraId="52915160" w14:textId="77777777" w:rsidTr="00C242AC">
        <w:tc>
          <w:tcPr>
            <w:tcW w:w="2227" w:type="dxa"/>
          </w:tcPr>
          <w:p w14:paraId="17DD462C"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Long-term Incentive Plan (LTIP)</w:t>
            </w:r>
          </w:p>
        </w:tc>
        <w:tc>
          <w:tcPr>
            <w:tcW w:w="3402" w:type="dxa"/>
          </w:tcPr>
          <w:p w14:paraId="1ED9B5F1"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Rewards performance against targets set by the Board for financial performance over three years.</w:t>
            </w:r>
          </w:p>
        </w:tc>
        <w:tc>
          <w:tcPr>
            <w:tcW w:w="3458" w:type="dxa"/>
          </w:tcPr>
          <w:p w14:paraId="21259B9F" w14:textId="77777777" w:rsidR="00E46DAC" w:rsidRPr="00735726" w:rsidRDefault="00E46DAC" w:rsidP="00C242AC">
            <w:pPr>
              <w:spacing w:after="160" w:line="259" w:lineRule="auto"/>
              <w:jc w:val="center"/>
              <w:rPr>
                <w:rFonts w:ascii="Arial" w:hAnsi="Arial" w:cs="Arial"/>
                <w:color w:val="000000" w:themeColor="text1"/>
                <w:sz w:val="18"/>
                <w:szCs w:val="18"/>
              </w:rPr>
            </w:pPr>
            <w:r w:rsidRPr="00735726">
              <w:rPr>
                <w:rFonts w:ascii="Arial" w:hAnsi="Arial" w:cs="Arial"/>
                <w:color w:val="000000" w:themeColor="text1"/>
                <w:sz w:val="18"/>
                <w:szCs w:val="18"/>
              </w:rPr>
              <w:t>Year 1 to 3: Subject to three-year performance period</w:t>
            </w:r>
          </w:p>
          <w:p w14:paraId="3ACFD7A9" w14:textId="77777777" w:rsidR="00E46DAC" w:rsidRPr="00735726" w:rsidRDefault="00E46DAC" w:rsidP="00C242AC">
            <w:pPr>
              <w:spacing w:after="160" w:line="259" w:lineRule="auto"/>
              <w:jc w:val="center"/>
              <w:rPr>
                <w:rFonts w:ascii="Arial" w:hAnsi="Arial" w:cs="Arial"/>
                <w:color w:val="000000" w:themeColor="text1"/>
                <w:sz w:val="18"/>
                <w:szCs w:val="18"/>
              </w:rPr>
            </w:pPr>
            <w:r w:rsidRPr="00735726">
              <w:rPr>
                <w:rFonts w:ascii="Arial" w:hAnsi="Arial" w:cs="Arial"/>
                <w:color w:val="000000" w:themeColor="text1"/>
                <w:sz w:val="18"/>
                <w:szCs w:val="18"/>
              </w:rPr>
              <w:t>Year 4 to 5: Subject to a two-year holding period</w:t>
            </w:r>
          </w:p>
        </w:tc>
      </w:tr>
      <w:tr w:rsidR="00E46DAC" w:rsidRPr="00735726" w14:paraId="6B270EB3" w14:textId="77777777" w:rsidTr="00C242AC">
        <w:tc>
          <w:tcPr>
            <w:tcW w:w="2227" w:type="dxa"/>
          </w:tcPr>
          <w:p w14:paraId="2BEBA7B1"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Shareholding guideline</w:t>
            </w:r>
          </w:p>
        </w:tc>
        <w:tc>
          <w:tcPr>
            <w:tcW w:w="3402" w:type="dxa"/>
          </w:tcPr>
          <w:p w14:paraId="0A8D06A6" w14:textId="77777777" w:rsidR="00E46DAC" w:rsidRPr="00735726" w:rsidRDefault="00E46DAC" w:rsidP="00C242AC">
            <w:pPr>
              <w:spacing w:after="160" w:line="259" w:lineRule="auto"/>
              <w:rPr>
                <w:rFonts w:ascii="Arial" w:hAnsi="Arial" w:cs="Arial"/>
                <w:color w:val="000000" w:themeColor="text1"/>
                <w:sz w:val="18"/>
                <w:szCs w:val="18"/>
              </w:rPr>
            </w:pPr>
            <w:r w:rsidRPr="00735726">
              <w:rPr>
                <w:rFonts w:ascii="Arial" w:hAnsi="Arial" w:cs="Arial"/>
                <w:color w:val="000000" w:themeColor="text1"/>
                <w:sz w:val="18"/>
                <w:szCs w:val="18"/>
              </w:rPr>
              <w:t>Executive Directors are expected to build up a shareholding equivalent to 200% of salary over a 5-year period</w:t>
            </w:r>
          </w:p>
        </w:tc>
        <w:tc>
          <w:tcPr>
            <w:tcW w:w="3458" w:type="dxa"/>
          </w:tcPr>
          <w:p w14:paraId="5F44BD82" w14:textId="77777777" w:rsidR="00E46DAC" w:rsidRPr="00735726" w:rsidRDefault="00E46DAC" w:rsidP="00C242AC">
            <w:pPr>
              <w:spacing w:after="160" w:line="259" w:lineRule="auto"/>
              <w:jc w:val="center"/>
              <w:rPr>
                <w:rFonts w:ascii="Arial" w:hAnsi="Arial" w:cs="Arial"/>
                <w:color w:val="000000" w:themeColor="text1"/>
                <w:sz w:val="18"/>
                <w:szCs w:val="18"/>
              </w:rPr>
            </w:pPr>
            <w:r w:rsidRPr="00735726">
              <w:rPr>
                <w:rFonts w:ascii="Arial" w:hAnsi="Arial" w:cs="Arial"/>
                <w:color w:val="000000" w:themeColor="text1"/>
                <w:sz w:val="18"/>
                <w:szCs w:val="18"/>
              </w:rPr>
              <w:t>Year 1 to 5</w:t>
            </w:r>
          </w:p>
        </w:tc>
      </w:tr>
    </w:tbl>
    <w:p w14:paraId="546BC723" w14:textId="77777777" w:rsidR="00E46DAC" w:rsidRPr="009A2CAE" w:rsidRDefault="00E46DAC" w:rsidP="00E46DAC">
      <w:pPr>
        <w:spacing w:after="160" w:line="240" w:lineRule="auto"/>
        <w:rPr>
          <w:b/>
          <w:bCs/>
          <w:caps/>
          <w:sz w:val="18"/>
          <w:szCs w:val="18"/>
        </w:rPr>
      </w:pPr>
    </w:p>
    <w:p w14:paraId="45C368F3" w14:textId="77777777" w:rsidR="00E46DAC" w:rsidRPr="00735726" w:rsidRDefault="00E46DAC" w:rsidP="00E46DAC">
      <w:pPr>
        <w:spacing w:after="160" w:line="240" w:lineRule="auto"/>
        <w:rPr>
          <w:rFonts w:ascii="Arial" w:hAnsi="Arial" w:cs="Arial"/>
          <w:b/>
          <w:bCs/>
          <w:sz w:val="18"/>
          <w:szCs w:val="18"/>
        </w:rPr>
      </w:pPr>
      <w:r w:rsidRPr="00735726">
        <w:rPr>
          <w:rFonts w:ascii="Arial" w:hAnsi="Arial" w:cs="Arial"/>
          <w:b/>
          <w:bCs/>
          <w:sz w:val="18"/>
          <w:szCs w:val="18"/>
        </w:rPr>
        <w:t>What safeguards are in place?</w:t>
      </w:r>
    </w:p>
    <w:tbl>
      <w:tblPr>
        <w:tblStyle w:val="TableGrid"/>
        <w:tblW w:w="0" w:type="auto"/>
        <w:tblLook w:val="04A0" w:firstRow="1" w:lastRow="0" w:firstColumn="1" w:lastColumn="0" w:noHBand="0" w:noVBand="1"/>
      </w:tblPr>
      <w:tblGrid>
        <w:gridCol w:w="3256"/>
        <w:gridCol w:w="5760"/>
      </w:tblGrid>
      <w:tr w:rsidR="00E46DAC" w:rsidRPr="00735726" w14:paraId="7C45AC0B" w14:textId="77777777" w:rsidTr="00C242AC">
        <w:tc>
          <w:tcPr>
            <w:tcW w:w="3256" w:type="dxa"/>
          </w:tcPr>
          <w:p w14:paraId="749E06F2" w14:textId="77777777" w:rsidR="00E46DAC" w:rsidRPr="00735726" w:rsidRDefault="00E46DAC" w:rsidP="00C242AC">
            <w:pPr>
              <w:spacing w:after="160" w:line="259" w:lineRule="auto"/>
              <w:rPr>
                <w:rFonts w:ascii="Arial" w:hAnsi="Arial" w:cs="Arial"/>
                <w:b/>
                <w:bCs/>
                <w:sz w:val="18"/>
                <w:szCs w:val="18"/>
              </w:rPr>
            </w:pPr>
            <w:r w:rsidRPr="00735726">
              <w:rPr>
                <w:rFonts w:ascii="Arial" w:hAnsi="Arial" w:cs="Arial"/>
                <w:b/>
                <w:bCs/>
                <w:sz w:val="18"/>
                <w:szCs w:val="18"/>
              </w:rPr>
              <w:t>Robust performance conditions</w:t>
            </w:r>
          </w:p>
        </w:tc>
        <w:tc>
          <w:tcPr>
            <w:tcW w:w="5760" w:type="dxa"/>
          </w:tcPr>
          <w:p w14:paraId="6D7D557E" w14:textId="77777777" w:rsidR="00E46DAC" w:rsidRPr="00735726" w:rsidRDefault="00E46DAC" w:rsidP="00C242AC">
            <w:pPr>
              <w:spacing w:after="160" w:line="259" w:lineRule="auto"/>
              <w:rPr>
                <w:rFonts w:ascii="Arial" w:hAnsi="Arial" w:cs="Arial"/>
                <w:sz w:val="18"/>
                <w:szCs w:val="18"/>
              </w:rPr>
            </w:pPr>
            <w:r w:rsidRPr="00735726">
              <w:rPr>
                <w:rFonts w:ascii="Arial" w:hAnsi="Arial" w:cs="Arial"/>
                <w:sz w:val="18"/>
                <w:szCs w:val="18"/>
              </w:rPr>
              <w:t>Variable pay linked to a rounded assessment of performance against stretching targets</w:t>
            </w:r>
          </w:p>
        </w:tc>
      </w:tr>
      <w:tr w:rsidR="00E46DAC" w:rsidRPr="00735726" w14:paraId="2CFCC633" w14:textId="77777777" w:rsidTr="00C242AC">
        <w:tc>
          <w:tcPr>
            <w:tcW w:w="3256" w:type="dxa"/>
          </w:tcPr>
          <w:p w14:paraId="17E62A25" w14:textId="77777777" w:rsidR="00E46DAC" w:rsidRPr="00735726" w:rsidRDefault="00E46DAC" w:rsidP="00C242AC">
            <w:pPr>
              <w:spacing w:after="160" w:line="259" w:lineRule="auto"/>
              <w:rPr>
                <w:rFonts w:ascii="Arial" w:hAnsi="Arial" w:cs="Arial"/>
                <w:b/>
                <w:bCs/>
                <w:sz w:val="18"/>
                <w:szCs w:val="18"/>
              </w:rPr>
            </w:pPr>
            <w:r w:rsidRPr="00735726">
              <w:rPr>
                <w:rFonts w:ascii="Arial" w:hAnsi="Arial" w:cs="Arial"/>
                <w:b/>
                <w:bCs/>
                <w:sz w:val="18"/>
                <w:szCs w:val="18"/>
              </w:rPr>
              <w:t>Robust framework</w:t>
            </w:r>
          </w:p>
        </w:tc>
        <w:tc>
          <w:tcPr>
            <w:tcW w:w="5760" w:type="dxa"/>
          </w:tcPr>
          <w:p w14:paraId="73EB8290" w14:textId="77777777" w:rsidR="00E46DAC" w:rsidRPr="00735726" w:rsidRDefault="00E46DAC" w:rsidP="00C242AC">
            <w:pPr>
              <w:spacing w:after="160" w:line="259" w:lineRule="auto"/>
              <w:rPr>
                <w:rFonts w:ascii="Arial" w:hAnsi="Arial" w:cs="Arial"/>
                <w:sz w:val="18"/>
                <w:szCs w:val="18"/>
              </w:rPr>
            </w:pPr>
            <w:r w:rsidRPr="00735726">
              <w:rPr>
                <w:rFonts w:ascii="Arial" w:hAnsi="Arial" w:cs="Arial"/>
                <w:sz w:val="18"/>
                <w:szCs w:val="18"/>
              </w:rPr>
              <w:t>Holistic review of performance to consider if formulaic incentive outcomes are fair and appropriate</w:t>
            </w:r>
          </w:p>
        </w:tc>
      </w:tr>
      <w:tr w:rsidR="00E46DAC" w:rsidRPr="00735726" w14:paraId="31299DD3" w14:textId="77777777" w:rsidTr="00C242AC">
        <w:tc>
          <w:tcPr>
            <w:tcW w:w="3256" w:type="dxa"/>
          </w:tcPr>
          <w:p w14:paraId="784C5DFA" w14:textId="77777777" w:rsidR="00E46DAC" w:rsidRPr="00735726" w:rsidRDefault="00E46DAC" w:rsidP="00C242AC">
            <w:pPr>
              <w:spacing w:after="160" w:line="259" w:lineRule="auto"/>
              <w:rPr>
                <w:rFonts w:ascii="Arial" w:hAnsi="Arial" w:cs="Arial"/>
                <w:b/>
                <w:bCs/>
                <w:sz w:val="18"/>
                <w:szCs w:val="18"/>
              </w:rPr>
            </w:pPr>
            <w:r w:rsidRPr="00735726">
              <w:rPr>
                <w:rFonts w:ascii="Arial" w:hAnsi="Arial" w:cs="Arial"/>
                <w:b/>
                <w:bCs/>
                <w:sz w:val="18"/>
                <w:szCs w:val="18"/>
              </w:rPr>
              <w:t>Deferral and holding period</w:t>
            </w:r>
          </w:p>
        </w:tc>
        <w:tc>
          <w:tcPr>
            <w:tcW w:w="5760" w:type="dxa"/>
          </w:tcPr>
          <w:p w14:paraId="24BE3CA7" w14:textId="77777777" w:rsidR="00E46DAC" w:rsidRPr="00735726" w:rsidRDefault="00E46DAC" w:rsidP="00C242AC">
            <w:pPr>
              <w:spacing w:after="160" w:line="259" w:lineRule="auto"/>
              <w:rPr>
                <w:rFonts w:ascii="Arial" w:hAnsi="Arial" w:cs="Arial"/>
                <w:sz w:val="18"/>
                <w:szCs w:val="18"/>
              </w:rPr>
            </w:pPr>
            <w:r w:rsidRPr="00735726">
              <w:rPr>
                <w:rFonts w:ascii="Arial" w:hAnsi="Arial" w:cs="Arial"/>
                <w:sz w:val="18"/>
                <w:szCs w:val="18"/>
              </w:rPr>
              <w:t>Bonus (50%) and LTIP awards are deferred for a further period to provide long-term alignment</w:t>
            </w:r>
          </w:p>
        </w:tc>
      </w:tr>
      <w:tr w:rsidR="00E46DAC" w:rsidRPr="00735726" w14:paraId="1B7BC266" w14:textId="77777777" w:rsidTr="00C242AC">
        <w:tc>
          <w:tcPr>
            <w:tcW w:w="3256" w:type="dxa"/>
          </w:tcPr>
          <w:p w14:paraId="24986240" w14:textId="77777777" w:rsidR="00E46DAC" w:rsidRPr="00735726" w:rsidRDefault="00E46DAC" w:rsidP="00C242AC">
            <w:pPr>
              <w:spacing w:after="160" w:line="259" w:lineRule="auto"/>
              <w:rPr>
                <w:rFonts w:ascii="Arial" w:hAnsi="Arial" w:cs="Arial"/>
                <w:b/>
                <w:bCs/>
                <w:sz w:val="18"/>
                <w:szCs w:val="18"/>
              </w:rPr>
            </w:pPr>
            <w:r w:rsidRPr="00735726">
              <w:rPr>
                <w:rFonts w:ascii="Arial" w:hAnsi="Arial" w:cs="Arial"/>
                <w:b/>
                <w:bCs/>
                <w:sz w:val="18"/>
                <w:szCs w:val="18"/>
              </w:rPr>
              <w:t>Malus and clawback</w:t>
            </w:r>
          </w:p>
        </w:tc>
        <w:tc>
          <w:tcPr>
            <w:tcW w:w="5760" w:type="dxa"/>
          </w:tcPr>
          <w:p w14:paraId="04FDE661" w14:textId="77777777" w:rsidR="00E46DAC" w:rsidRPr="00735726" w:rsidRDefault="00E46DAC" w:rsidP="00C242AC">
            <w:pPr>
              <w:spacing w:after="160" w:line="259" w:lineRule="auto"/>
              <w:rPr>
                <w:rFonts w:ascii="Arial" w:hAnsi="Arial" w:cs="Arial"/>
                <w:sz w:val="18"/>
                <w:szCs w:val="18"/>
              </w:rPr>
            </w:pPr>
            <w:r w:rsidRPr="00735726">
              <w:rPr>
                <w:rFonts w:ascii="Arial" w:hAnsi="Arial" w:cs="Arial"/>
                <w:sz w:val="18"/>
                <w:szCs w:val="18"/>
              </w:rPr>
              <w:t>Provisions in place for variable pay to safeguard against payments for failure</w:t>
            </w:r>
          </w:p>
        </w:tc>
      </w:tr>
    </w:tbl>
    <w:p w14:paraId="75DD8E81" w14:textId="77777777" w:rsidR="00E46DAC" w:rsidRPr="009A2CAE" w:rsidRDefault="00E46DAC" w:rsidP="00E46DAC">
      <w:pPr>
        <w:pStyle w:val="Headinglevel4"/>
        <w:spacing w:line="240" w:lineRule="auto"/>
        <w:outlineLvl w:val="0"/>
        <w:rPr>
          <w:rFonts w:eastAsiaTheme="minorHAnsi"/>
          <w:b w:val="0"/>
          <w:bCs w:val="0"/>
          <w:caps w:val="0"/>
          <w:color w:val="auto"/>
        </w:rPr>
      </w:pPr>
    </w:p>
    <w:p w14:paraId="4FB0E7B1" w14:textId="77777777" w:rsidR="00E46DAC" w:rsidRPr="009A2CAE" w:rsidRDefault="00E46DAC" w:rsidP="00E46DAC">
      <w:pPr>
        <w:spacing w:after="160" w:line="240" w:lineRule="auto"/>
        <w:rPr>
          <w:b/>
          <w:bCs/>
          <w:caps/>
        </w:rPr>
      </w:pPr>
      <w:r w:rsidRPr="009A2CAE">
        <w:rPr>
          <w:b/>
          <w:bCs/>
          <w:caps/>
        </w:rPr>
        <w:br w:type="page"/>
      </w:r>
    </w:p>
    <w:p w14:paraId="50B562D1" w14:textId="77777777" w:rsidR="00E46DAC" w:rsidRPr="00735726" w:rsidRDefault="00E46DAC" w:rsidP="00E46DAC">
      <w:pPr>
        <w:pStyle w:val="AccountsHeading"/>
        <w:spacing w:line="240" w:lineRule="auto"/>
        <w:outlineLvl w:val="0"/>
      </w:pPr>
      <w:bookmarkStart w:id="48" w:name="_Hlk201063147"/>
      <w:r w:rsidRPr="00735726">
        <w:lastRenderedPageBreak/>
        <w:t>ANNUAL REPORT ON REMUNERATION</w:t>
      </w:r>
    </w:p>
    <w:bookmarkEnd w:id="48"/>
    <w:p w14:paraId="599CCCE2" w14:textId="77777777" w:rsidR="00E46DAC" w:rsidRPr="00735726" w:rsidRDefault="00E46DAC" w:rsidP="00E46DAC">
      <w:pPr>
        <w:pStyle w:val="BodyText"/>
        <w:spacing w:before="59"/>
        <w:ind w:right="-46"/>
        <w:rPr>
          <w:rFonts w:ascii="Arial" w:hAnsi="Arial" w:cs="Arial"/>
          <w:color w:val="auto"/>
          <w:spacing w:val="0"/>
          <w:lang w:eastAsia="en-US"/>
        </w:rPr>
      </w:pPr>
      <w:r w:rsidRPr="00735726">
        <w:rPr>
          <w:rFonts w:ascii="Arial" w:hAnsi="Arial" w:cs="Arial"/>
          <w:color w:val="auto"/>
          <w:spacing w:val="0"/>
          <w:lang w:eastAsia="en-US"/>
        </w:rPr>
        <w:br/>
        <w:t xml:space="preserve">For 2025/2026 the statutory directors included in this report are as follows: </w:t>
      </w:r>
    </w:p>
    <w:p w14:paraId="6F6CD596" w14:textId="6A94BA25" w:rsidR="00E46DAC" w:rsidRPr="00735726" w:rsidRDefault="00E46DAC" w:rsidP="00E46DAC">
      <w:pPr>
        <w:pStyle w:val="BodyText"/>
        <w:spacing w:before="59" w:line="276" w:lineRule="auto"/>
        <w:ind w:right="-46"/>
        <w:rPr>
          <w:rFonts w:ascii="Arial" w:hAnsi="Arial" w:cs="Arial"/>
          <w:color w:val="auto"/>
          <w:spacing w:val="0"/>
          <w:lang w:eastAsia="en-US"/>
        </w:rPr>
      </w:pPr>
      <w:r w:rsidRPr="00735726">
        <w:rPr>
          <w:rFonts w:ascii="Arial" w:hAnsi="Arial" w:cs="Arial"/>
          <w:color w:val="auto"/>
          <w:spacing w:val="0"/>
          <w:lang w:eastAsia="en-US"/>
        </w:rPr>
        <w:t xml:space="preserve">Susan Davy, Chief Executive Officer is an Executive Director of Pennon Group plc and </w:t>
      </w:r>
      <w:proofErr w:type="gramStart"/>
      <w:r w:rsidRPr="00735726">
        <w:rPr>
          <w:rFonts w:ascii="Arial" w:hAnsi="Arial" w:cs="Arial"/>
          <w:color w:val="auto"/>
          <w:spacing w:val="0"/>
          <w:lang w:eastAsia="en-US"/>
        </w:rPr>
        <w:t>South West</w:t>
      </w:r>
      <w:proofErr w:type="gramEnd"/>
      <w:r w:rsidRPr="00735726">
        <w:rPr>
          <w:rFonts w:ascii="Arial" w:hAnsi="Arial" w:cs="Arial"/>
          <w:color w:val="auto"/>
          <w:spacing w:val="0"/>
          <w:lang w:eastAsia="en-US"/>
        </w:rPr>
        <w:t xml:space="preserve"> Water Ltd who retired and stepped down from the </w:t>
      </w:r>
      <w:r w:rsidR="00D01FD3" w:rsidRPr="00735726">
        <w:rPr>
          <w:rFonts w:ascii="Arial" w:hAnsi="Arial" w:cs="Arial"/>
          <w:color w:val="auto"/>
          <w:spacing w:val="0"/>
          <w:lang w:eastAsia="en-US"/>
        </w:rPr>
        <w:t>B</w:t>
      </w:r>
      <w:r w:rsidRPr="00735726">
        <w:rPr>
          <w:rFonts w:ascii="Arial" w:hAnsi="Arial" w:cs="Arial"/>
          <w:color w:val="auto"/>
          <w:spacing w:val="0"/>
          <w:lang w:eastAsia="en-US"/>
        </w:rPr>
        <w:t xml:space="preserve">oard on 31 December 2025. </w:t>
      </w:r>
    </w:p>
    <w:p w14:paraId="3D4AD361" w14:textId="77777777" w:rsidR="00E46DAC" w:rsidRPr="00735726" w:rsidRDefault="00E46DAC" w:rsidP="00E46DAC">
      <w:pPr>
        <w:pStyle w:val="BodyText"/>
        <w:spacing w:before="59" w:line="276" w:lineRule="auto"/>
        <w:ind w:right="-46"/>
        <w:rPr>
          <w:rFonts w:ascii="Arial" w:hAnsi="Arial" w:cs="Arial"/>
          <w:color w:val="auto"/>
          <w:spacing w:val="0"/>
          <w:lang w:eastAsia="en-US"/>
        </w:rPr>
      </w:pPr>
      <w:r w:rsidRPr="00735726">
        <w:rPr>
          <w:rFonts w:ascii="Arial" w:hAnsi="Arial" w:cs="Arial"/>
          <w:color w:val="auto"/>
          <w:spacing w:val="0"/>
          <w:lang w:eastAsia="en-US"/>
        </w:rPr>
        <w:t xml:space="preserve">Laura Flowerdew, Chief Financial Officer of Pennon Group plc and </w:t>
      </w:r>
      <w:proofErr w:type="gramStart"/>
      <w:r w:rsidRPr="00735726">
        <w:rPr>
          <w:rFonts w:ascii="Arial" w:hAnsi="Arial" w:cs="Arial"/>
          <w:color w:val="auto"/>
          <w:spacing w:val="0"/>
          <w:lang w:eastAsia="en-US"/>
        </w:rPr>
        <w:t>South West</w:t>
      </w:r>
      <w:proofErr w:type="gramEnd"/>
      <w:r w:rsidRPr="00735726">
        <w:rPr>
          <w:rFonts w:ascii="Arial" w:hAnsi="Arial" w:cs="Arial"/>
          <w:color w:val="auto"/>
          <w:spacing w:val="0"/>
          <w:lang w:eastAsia="en-US"/>
        </w:rPr>
        <w:t xml:space="preserve"> Water Ltd. </w:t>
      </w:r>
    </w:p>
    <w:p w14:paraId="7A9BFBB0" w14:textId="2520C876" w:rsidR="00E46DAC" w:rsidRPr="00735726" w:rsidRDefault="00E46DAC" w:rsidP="00E46DAC">
      <w:pPr>
        <w:pStyle w:val="BodyText"/>
        <w:spacing w:before="59" w:line="276" w:lineRule="auto"/>
        <w:ind w:right="-46"/>
        <w:rPr>
          <w:rFonts w:ascii="Arial" w:hAnsi="Arial" w:cs="Arial"/>
          <w:color w:val="auto"/>
          <w:spacing w:val="0"/>
          <w:lang w:eastAsia="en-US"/>
        </w:rPr>
      </w:pPr>
      <w:r w:rsidRPr="00735726">
        <w:rPr>
          <w:rFonts w:ascii="Arial" w:hAnsi="Arial" w:cs="Arial"/>
          <w:color w:val="auto"/>
          <w:spacing w:val="0"/>
          <w:lang w:eastAsia="en-US"/>
        </w:rPr>
        <w:t xml:space="preserve">The apportionment of fixed pay included in this report for Pennon Group Executives in 2025/26 </w:t>
      </w:r>
      <w:r w:rsidR="000A1079" w:rsidRPr="00735726">
        <w:rPr>
          <w:rFonts w:ascii="Arial" w:hAnsi="Arial" w:cs="Arial"/>
          <w:color w:val="auto"/>
          <w:spacing w:val="0"/>
          <w:lang w:eastAsia="en-US"/>
        </w:rPr>
        <w:t xml:space="preserve">is </w:t>
      </w:r>
      <w:r w:rsidRPr="00735726">
        <w:rPr>
          <w:rFonts w:ascii="Arial" w:hAnsi="Arial" w:cs="Arial"/>
          <w:color w:val="auto"/>
          <w:spacing w:val="0"/>
          <w:lang w:eastAsia="en-US"/>
        </w:rPr>
        <w:t xml:space="preserve">70% for </w:t>
      </w:r>
      <w:proofErr w:type="gramStart"/>
      <w:r w:rsidRPr="00735726">
        <w:rPr>
          <w:rFonts w:ascii="Arial" w:hAnsi="Arial" w:cs="Arial"/>
          <w:color w:val="auto"/>
          <w:spacing w:val="0"/>
          <w:lang w:eastAsia="en-US"/>
        </w:rPr>
        <w:t>South West</w:t>
      </w:r>
      <w:proofErr w:type="gramEnd"/>
      <w:r w:rsidRPr="00735726">
        <w:rPr>
          <w:rFonts w:ascii="Arial" w:hAnsi="Arial" w:cs="Arial"/>
          <w:color w:val="auto"/>
          <w:spacing w:val="0"/>
          <w:lang w:eastAsia="en-US"/>
        </w:rPr>
        <w:t xml:space="preserve"> Water, covering </w:t>
      </w:r>
      <w:proofErr w:type="gramStart"/>
      <w:r w:rsidRPr="00735726">
        <w:rPr>
          <w:rFonts w:ascii="Arial" w:hAnsi="Arial" w:cs="Arial"/>
          <w:color w:val="auto"/>
          <w:spacing w:val="0"/>
          <w:lang w:eastAsia="en-US"/>
        </w:rPr>
        <w:t>South West</w:t>
      </w:r>
      <w:proofErr w:type="gramEnd"/>
      <w:r w:rsidRPr="00735726">
        <w:rPr>
          <w:rFonts w:ascii="Arial" w:hAnsi="Arial" w:cs="Arial"/>
          <w:color w:val="auto"/>
          <w:spacing w:val="0"/>
          <w:lang w:eastAsia="en-US"/>
        </w:rPr>
        <w:t xml:space="preserve"> Water, Bournemouth Water and Bristol Water. </w:t>
      </w:r>
    </w:p>
    <w:p w14:paraId="56C6E5B9" w14:textId="77777777" w:rsidR="000A1079" w:rsidRPr="00735726" w:rsidRDefault="000A1079" w:rsidP="00E46DAC">
      <w:pPr>
        <w:pStyle w:val="BodyText"/>
        <w:spacing w:before="59" w:line="276" w:lineRule="auto"/>
        <w:ind w:right="-46"/>
        <w:rPr>
          <w:rFonts w:ascii="Arial" w:hAnsi="Arial" w:cs="Arial"/>
          <w:color w:val="auto"/>
          <w:spacing w:val="0"/>
          <w:lang w:eastAsia="en-US"/>
        </w:rPr>
      </w:pPr>
      <w:r w:rsidRPr="00735726">
        <w:rPr>
          <w:rFonts w:ascii="Arial" w:hAnsi="Arial" w:cs="Arial"/>
          <w:color w:val="auto"/>
          <w:spacing w:val="0"/>
          <w:lang w:eastAsia="en-US"/>
        </w:rPr>
        <w:t xml:space="preserve">No cost is borne by or apportioned to </w:t>
      </w:r>
      <w:proofErr w:type="gramStart"/>
      <w:r w:rsidRPr="00735726">
        <w:rPr>
          <w:rFonts w:ascii="Arial" w:hAnsi="Arial" w:cs="Arial"/>
          <w:color w:val="auto"/>
          <w:spacing w:val="0"/>
          <w:lang w:eastAsia="en-US"/>
        </w:rPr>
        <w:t>South West</w:t>
      </w:r>
      <w:proofErr w:type="gramEnd"/>
      <w:r w:rsidRPr="00735726">
        <w:rPr>
          <w:rFonts w:ascii="Arial" w:hAnsi="Arial" w:cs="Arial"/>
          <w:color w:val="auto"/>
          <w:spacing w:val="0"/>
          <w:lang w:eastAsia="en-US"/>
        </w:rPr>
        <w:t xml:space="preserve"> Water for any performance related pay for any Executive as Pennon Group fund any such payments with no cost to customers. </w:t>
      </w:r>
    </w:p>
    <w:p w14:paraId="01E5CFB9" w14:textId="731D9A4D" w:rsidR="00E46DAC" w:rsidRPr="009A2CAE" w:rsidRDefault="00E46DAC" w:rsidP="00E46DAC">
      <w:pPr>
        <w:pStyle w:val="BodyText"/>
        <w:spacing w:before="59" w:line="276" w:lineRule="auto"/>
        <w:ind w:right="-46"/>
        <w:rPr>
          <w:rFonts w:ascii="Arial" w:hAnsi="Arial" w:cs="Arial"/>
          <w:color w:val="auto"/>
          <w:spacing w:val="0"/>
          <w:lang w:eastAsia="en-US"/>
        </w:rPr>
      </w:pPr>
      <w:r w:rsidRPr="00735726">
        <w:rPr>
          <w:rFonts w:ascii="Arial" w:hAnsi="Arial" w:cs="Arial"/>
          <w:color w:val="auto"/>
          <w:spacing w:val="0"/>
          <w:lang w:eastAsia="en-US"/>
        </w:rPr>
        <w:t xml:space="preserve">Remuneration is set by the Pennon Group Remuneration Committee and in accordance with the Pennon Group remuneration policy, approved by shareholders on 22 July 2023 in line with the normal three-year review process. The policy was approved with 93.6% shareholder support and is detailed in the Pennon Group plc Annual Report 2023. Full details of the implementation for 2025/26 can be read in the Pennon Group plc Annual Report 2026 on pages </w:t>
      </w:r>
      <w:r w:rsidRPr="009A2CAE">
        <w:rPr>
          <w:rFonts w:ascii="Arial" w:hAnsi="Arial" w:cs="Arial"/>
          <w:color w:val="auto"/>
          <w:spacing w:val="0"/>
          <w:lang w:eastAsia="en-US"/>
        </w:rPr>
        <w:t>1</w:t>
      </w:r>
      <w:r w:rsidR="000D5F17" w:rsidRPr="009A2CAE">
        <w:rPr>
          <w:rFonts w:ascii="Arial" w:hAnsi="Arial" w:cs="Arial"/>
          <w:color w:val="auto"/>
          <w:spacing w:val="0"/>
          <w:lang w:eastAsia="en-US"/>
        </w:rPr>
        <w:t>50</w:t>
      </w:r>
      <w:r w:rsidRPr="009A2CAE">
        <w:rPr>
          <w:rFonts w:ascii="Arial" w:hAnsi="Arial" w:cs="Arial"/>
          <w:color w:val="auto"/>
          <w:spacing w:val="0"/>
          <w:lang w:eastAsia="en-US"/>
        </w:rPr>
        <w:t xml:space="preserve"> to 1</w:t>
      </w:r>
      <w:r w:rsidR="000D5F17" w:rsidRPr="009A2CAE">
        <w:rPr>
          <w:rFonts w:ascii="Arial" w:hAnsi="Arial" w:cs="Arial"/>
          <w:color w:val="auto"/>
          <w:spacing w:val="0"/>
          <w:lang w:eastAsia="en-US"/>
        </w:rPr>
        <w:t>55</w:t>
      </w:r>
      <w:r w:rsidRPr="009A2CAE">
        <w:rPr>
          <w:rFonts w:ascii="Arial" w:hAnsi="Arial" w:cs="Arial"/>
          <w:color w:val="auto"/>
          <w:spacing w:val="0"/>
          <w:lang w:eastAsia="en-US"/>
        </w:rPr>
        <w:t xml:space="preserve">. </w:t>
      </w:r>
    </w:p>
    <w:p w14:paraId="685EA6CC" w14:textId="77777777" w:rsidR="00E46DAC" w:rsidRPr="00735726" w:rsidRDefault="00E46DAC" w:rsidP="00E46DAC">
      <w:pPr>
        <w:pStyle w:val="BodyText"/>
        <w:spacing w:before="59" w:line="276" w:lineRule="auto"/>
        <w:ind w:right="-46"/>
        <w:rPr>
          <w:rFonts w:ascii="Arial" w:hAnsi="Arial" w:cs="Arial"/>
          <w:color w:val="auto"/>
          <w:spacing w:val="0"/>
          <w:lang w:eastAsia="en-US"/>
        </w:rPr>
      </w:pPr>
      <w:r w:rsidRPr="00735726">
        <w:rPr>
          <w:rFonts w:ascii="Arial" w:hAnsi="Arial" w:cs="Arial"/>
          <w:color w:val="auto"/>
          <w:spacing w:val="0"/>
          <w:lang w:eastAsia="en-US"/>
        </w:rPr>
        <w:t xml:space="preserve">All remuneration arrangements relating to Susan Davy’s departure were consistent with the Remuneration Policy and the Company’s incentive </w:t>
      </w:r>
      <w:proofErr w:type="gramStart"/>
      <w:r w:rsidRPr="00735726">
        <w:rPr>
          <w:rFonts w:ascii="Arial" w:hAnsi="Arial" w:cs="Arial"/>
          <w:color w:val="auto"/>
          <w:spacing w:val="0"/>
          <w:lang w:eastAsia="en-US"/>
        </w:rPr>
        <w:t>plans, and</w:t>
      </w:r>
      <w:proofErr w:type="gramEnd"/>
      <w:r w:rsidRPr="00735726">
        <w:rPr>
          <w:rFonts w:ascii="Arial" w:hAnsi="Arial" w:cs="Arial"/>
          <w:color w:val="auto"/>
          <w:spacing w:val="0"/>
          <w:lang w:eastAsia="en-US"/>
        </w:rPr>
        <w:t xml:space="preserve"> are detailed in the Pennon Group plc Annual Report and Accounts 2026. </w:t>
      </w:r>
    </w:p>
    <w:p w14:paraId="5AC84D94" w14:textId="51B5713C" w:rsidR="00E46DAC" w:rsidRPr="00735726" w:rsidRDefault="00E46DAC" w:rsidP="00D636C2">
      <w:pPr>
        <w:pStyle w:val="BodyText"/>
        <w:spacing w:before="59" w:line="276" w:lineRule="auto"/>
        <w:ind w:right="-46"/>
        <w:rPr>
          <w:color w:val="auto"/>
        </w:rPr>
      </w:pPr>
      <w:r w:rsidRPr="00735726">
        <w:rPr>
          <w:rFonts w:ascii="Arial" w:hAnsi="Arial" w:cs="Arial"/>
          <w:color w:val="auto"/>
          <w:spacing w:val="0"/>
          <w:lang w:eastAsia="en-US"/>
        </w:rPr>
        <w:t xml:space="preserve">Keith Haslett joined Pennon as Chief Executive Officer on 1 April 2026, and was appointed to the </w:t>
      </w:r>
      <w:r w:rsidR="00D01FD3" w:rsidRPr="00735726">
        <w:rPr>
          <w:rFonts w:ascii="Arial" w:hAnsi="Arial" w:cs="Arial"/>
          <w:color w:val="auto"/>
          <w:spacing w:val="0"/>
          <w:lang w:eastAsia="en-US"/>
        </w:rPr>
        <w:t>B</w:t>
      </w:r>
      <w:r w:rsidRPr="00735726">
        <w:rPr>
          <w:rFonts w:ascii="Arial" w:hAnsi="Arial" w:cs="Arial"/>
          <w:color w:val="auto"/>
          <w:spacing w:val="0"/>
          <w:lang w:eastAsia="en-US"/>
        </w:rPr>
        <w:t xml:space="preserve">oard of Pennon Group Plc on 1 April 2026, and </w:t>
      </w:r>
      <w:proofErr w:type="gramStart"/>
      <w:r w:rsidRPr="00735726">
        <w:rPr>
          <w:rFonts w:ascii="Arial" w:hAnsi="Arial" w:cs="Arial"/>
          <w:color w:val="auto"/>
          <w:spacing w:val="0"/>
          <w:lang w:eastAsia="en-US"/>
        </w:rPr>
        <w:t>South West</w:t>
      </w:r>
      <w:proofErr w:type="gramEnd"/>
      <w:r w:rsidRPr="00735726">
        <w:rPr>
          <w:rFonts w:ascii="Arial" w:hAnsi="Arial" w:cs="Arial"/>
          <w:color w:val="auto"/>
          <w:spacing w:val="0"/>
          <w:lang w:eastAsia="en-US"/>
        </w:rPr>
        <w:t xml:space="preserve"> Water Ltd on 19 May 2026 following Ofwat’s approval under the new fitness and propriety rule. Further information relating to Keith’s remuneration is detailed in the Pennon Group plc Annual Report and Accounts 2026.</w:t>
      </w:r>
      <w:r w:rsidR="000A1079" w:rsidRPr="00735726">
        <w:rPr>
          <w:rFonts w:ascii="Arial" w:eastAsia="Times New Roman" w:hAnsi="Arial" w:cs="Arial"/>
          <w:b/>
          <w:bCs/>
          <w:caps/>
          <w:color w:val="000000"/>
          <w:spacing w:val="0"/>
          <w:lang w:eastAsia="en-US"/>
        </w:rPr>
        <w:br/>
      </w:r>
      <w:r w:rsidR="000A1079" w:rsidRPr="00735726">
        <w:rPr>
          <w:rFonts w:ascii="Arial" w:eastAsia="Times New Roman" w:hAnsi="Arial" w:cs="Arial"/>
          <w:b/>
          <w:bCs/>
          <w:caps/>
          <w:color w:val="000000"/>
          <w:spacing w:val="0"/>
          <w:lang w:eastAsia="en-US"/>
        </w:rPr>
        <w:br/>
      </w:r>
      <w:r w:rsidRPr="00735726">
        <w:rPr>
          <w:rFonts w:ascii="Arial" w:eastAsia="Times New Roman" w:hAnsi="Arial" w:cs="Arial"/>
          <w:b/>
          <w:bCs/>
          <w:caps/>
          <w:color w:val="000000"/>
          <w:spacing w:val="0"/>
          <w:lang w:eastAsia="en-US"/>
        </w:rPr>
        <w:t xml:space="preserve">The </w:t>
      </w:r>
      <w:proofErr w:type="gramStart"/>
      <w:r w:rsidRPr="00735726">
        <w:rPr>
          <w:rFonts w:ascii="Arial" w:eastAsia="Times New Roman" w:hAnsi="Arial" w:cs="Arial"/>
          <w:b/>
          <w:bCs/>
          <w:caps/>
          <w:color w:val="000000"/>
          <w:spacing w:val="0"/>
          <w:lang w:eastAsia="en-US"/>
        </w:rPr>
        <w:t>South West</w:t>
      </w:r>
      <w:proofErr w:type="gramEnd"/>
      <w:r w:rsidRPr="00735726">
        <w:rPr>
          <w:rFonts w:ascii="Arial" w:eastAsia="Times New Roman" w:hAnsi="Arial" w:cs="Arial"/>
          <w:b/>
          <w:bCs/>
          <w:caps/>
          <w:color w:val="000000"/>
          <w:spacing w:val="0"/>
          <w:lang w:eastAsia="en-US"/>
        </w:rPr>
        <w:t xml:space="preserve"> Water Directors’ Remuneration Policy and Implementation in 2025/26</w:t>
      </w:r>
      <w:r w:rsidR="000A1079" w:rsidRPr="00735726">
        <w:rPr>
          <w:color w:val="auto"/>
        </w:rPr>
        <w:br/>
      </w:r>
      <w:r w:rsidRPr="00735726">
        <w:rPr>
          <w:rFonts w:ascii="Arial" w:hAnsi="Arial" w:cs="Arial"/>
          <w:color w:val="auto"/>
          <w:spacing w:val="0"/>
          <w:lang w:eastAsia="en-US"/>
        </w:rPr>
        <w:t xml:space="preserve">The current </w:t>
      </w:r>
      <w:proofErr w:type="gramStart"/>
      <w:r w:rsidRPr="00735726">
        <w:rPr>
          <w:rFonts w:ascii="Arial" w:hAnsi="Arial" w:cs="Arial"/>
          <w:color w:val="auto"/>
          <w:spacing w:val="0"/>
          <w:lang w:eastAsia="en-US"/>
        </w:rPr>
        <w:t>South West</w:t>
      </w:r>
      <w:proofErr w:type="gramEnd"/>
      <w:r w:rsidRPr="00735726">
        <w:rPr>
          <w:rFonts w:ascii="Arial" w:hAnsi="Arial" w:cs="Arial"/>
          <w:color w:val="auto"/>
          <w:spacing w:val="0"/>
          <w:lang w:eastAsia="en-US"/>
        </w:rPr>
        <w:t xml:space="preserve"> Water Directors’ remuneration policy was set in 2023. The full policy is contained in the 2023 South West Water Annual Performance Report on the Company’s website at </w:t>
      </w:r>
      <w:proofErr w:type="gramStart"/>
      <w:r w:rsidRPr="00735726">
        <w:rPr>
          <w:rFonts w:ascii="Arial" w:hAnsi="Arial" w:cs="Arial"/>
          <w:color w:val="auto"/>
          <w:spacing w:val="0"/>
          <w:lang w:eastAsia="en-US"/>
        </w:rPr>
        <w:t>South West</w:t>
      </w:r>
      <w:proofErr w:type="gramEnd"/>
      <w:r w:rsidRPr="00735726">
        <w:rPr>
          <w:rFonts w:ascii="Arial" w:hAnsi="Arial" w:cs="Arial"/>
          <w:color w:val="auto"/>
          <w:spacing w:val="0"/>
          <w:lang w:eastAsia="en-US"/>
        </w:rPr>
        <w:t xml:space="preserve"> Water Annual Report and Financial Statements 2023. </w:t>
      </w:r>
    </w:p>
    <w:p w14:paraId="4ED8AAB1" w14:textId="2D396665" w:rsidR="00704B58" w:rsidRPr="00735726" w:rsidRDefault="00E46DAC" w:rsidP="00D636C2">
      <w:pPr>
        <w:pStyle w:val="BodyText"/>
        <w:spacing w:before="59" w:line="276" w:lineRule="auto"/>
        <w:ind w:right="-46"/>
        <w:rPr>
          <w:rFonts w:ascii="Arial" w:hAnsi="Arial" w:cs="Arial"/>
          <w:color w:val="auto"/>
          <w:spacing w:val="0"/>
          <w:lang w:eastAsia="en-US"/>
        </w:rPr>
      </w:pPr>
      <w:r w:rsidRPr="00735726">
        <w:rPr>
          <w:rFonts w:ascii="Arial" w:hAnsi="Arial" w:cs="Arial"/>
          <w:color w:val="auto"/>
          <w:spacing w:val="0"/>
          <w:lang w:eastAsia="en-US"/>
        </w:rPr>
        <w:t xml:space="preserve">For the Executive Directors of Pennon Group plc, the policy can be found in full in the Pennon Group plc Annual Report and Accounts 2023. A summary of the policy and implementation for 2026/27 in the Pennon Group </w:t>
      </w:r>
      <w:r w:rsidR="002B4432" w:rsidRPr="00735726">
        <w:rPr>
          <w:rFonts w:ascii="Arial" w:hAnsi="Arial" w:cs="Arial"/>
          <w:color w:val="auto"/>
          <w:spacing w:val="0"/>
          <w:lang w:eastAsia="en-US"/>
        </w:rPr>
        <w:t xml:space="preserve">plc </w:t>
      </w:r>
      <w:r w:rsidRPr="00735726">
        <w:rPr>
          <w:rFonts w:ascii="Arial" w:hAnsi="Arial" w:cs="Arial"/>
          <w:color w:val="auto"/>
          <w:spacing w:val="0"/>
          <w:lang w:eastAsia="en-US"/>
        </w:rPr>
        <w:t>Annual Report and Accounts 2026.</w:t>
      </w:r>
    </w:p>
    <w:p w14:paraId="28EDAFBC" w14:textId="03EB2BE3" w:rsidR="00E46DAC" w:rsidRPr="00735726" w:rsidRDefault="00E46DAC" w:rsidP="00D636C2">
      <w:pPr>
        <w:pStyle w:val="BodyText"/>
        <w:spacing w:before="59" w:line="276" w:lineRule="auto"/>
        <w:ind w:right="-46"/>
        <w:rPr>
          <w:rFonts w:ascii="Arial" w:hAnsi="Arial" w:cs="Arial"/>
          <w:color w:val="auto"/>
          <w:spacing w:val="0"/>
          <w:lang w:eastAsia="en-US"/>
        </w:rPr>
      </w:pPr>
      <w:r w:rsidRPr="00735726">
        <w:rPr>
          <w:rFonts w:ascii="Arial" w:hAnsi="Arial" w:cs="Arial"/>
          <w:color w:val="auto"/>
          <w:spacing w:val="0"/>
          <w:lang w:eastAsia="en-US"/>
        </w:rPr>
        <w:t>While we are required to seek approval again at the 2026 AGM, we have decided to keep the policy largely unchanged for now, given the recent Chief Executive Officer transition. However, this will not limit future improvements.</w:t>
      </w:r>
    </w:p>
    <w:p w14:paraId="7437595D" w14:textId="019C1AC8" w:rsidR="00704B58" w:rsidRPr="00735726" w:rsidRDefault="00E46DAC" w:rsidP="00D636C2">
      <w:pPr>
        <w:pStyle w:val="BodyText"/>
        <w:spacing w:before="59" w:line="276" w:lineRule="auto"/>
        <w:ind w:right="-46"/>
        <w:rPr>
          <w:rFonts w:ascii="Arial" w:hAnsi="Arial" w:cs="Arial"/>
          <w:color w:val="auto"/>
          <w:spacing w:val="0"/>
          <w:lang w:eastAsia="en-US"/>
        </w:rPr>
      </w:pPr>
      <w:r w:rsidRPr="00735726">
        <w:rPr>
          <w:rFonts w:ascii="Arial" w:hAnsi="Arial" w:cs="Arial"/>
          <w:color w:val="auto"/>
          <w:spacing w:val="0"/>
          <w:lang w:eastAsia="en-US"/>
        </w:rPr>
        <w:t>Following the AGM, we plan to carry out a more comprehensive review, including engaging with shareholders and consideration of evolving regulatory expectations and market practices.</w:t>
      </w:r>
    </w:p>
    <w:p w14:paraId="5A163A60" w14:textId="77777777" w:rsidR="00704B58" w:rsidRPr="00735726" w:rsidRDefault="00704B58" w:rsidP="00704B58">
      <w:pPr>
        <w:spacing w:after="160"/>
        <w:rPr>
          <w:rFonts w:ascii="Arial" w:eastAsia="Times New Roman" w:hAnsi="Arial" w:cs="DINOT-Light"/>
          <w:sz w:val="18"/>
          <w:szCs w:val="18"/>
        </w:rPr>
      </w:pPr>
      <w:r w:rsidRPr="00735726">
        <w:rPr>
          <w:rFonts w:ascii="Arial" w:eastAsia="Times New Roman" w:hAnsi="Arial" w:cs="Arial"/>
          <w:b/>
          <w:bCs/>
          <w:caps/>
          <w:color w:val="000000"/>
          <w:sz w:val="18"/>
          <w:szCs w:val="18"/>
        </w:rPr>
        <w:t xml:space="preserve">Notes to the single figure table </w:t>
      </w:r>
      <w:r w:rsidRPr="00735726">
        <w:rPr>
          <w:rFonts w:ascii="Arial" w:eastAsia="Times New Roman" w:hAnsi="Arial" w:cs="Arial"/>
          <w:b/>
          <w:bCs/>
          <w:caps/>
          <w:color w:val="000000"/>
          <w:sz w:val="18"/>
          <w:szCs w:val="18"/>
        </w:rPr>
        <w:br/>
      </w:r>
      <w:r w:rsidRPr="00735726">
        <w:rPr>
          <w:rFonts w:ascii="Arial" w:eastAsia="Times New Roman" w:hAnsi="Arial" w:cs="DINOT-Light"/>
          <w:sz w:val="18"/>
          <w:szCs w:val="18"/>
        </w:rPr>
        <w:t xml:space="preserve">As noted in the Pennon Group plc Annual Report and Accounts 2026, the Chief Financial Officer received a modest salary supplement to reflect the additional responsibilities taken on after Susan Davy left and prior to Keith Haslett joining the business. This supplement ceased in March 2026. </w:t>
      </w:r>
    </w:p>
    <w:p w14:paraId="21CA5A68" w14:textId="77777777" w:rsidR="00704B58" w:rsidRPr="00735726" w:rsidRDefault="00704B58" w:rsidP="00704B58">
      <w:pPr>
        <w:spacing w:after="160"/>
        <w:rPr>
          <w:rFonts w:ascii="Arial" w:eastAsia="Times New Roman" w:hAnsi="Arial" w:cs="DINOT-Light"/>
          <w:sz w:val="18"/>
          <w:szCs w:val="18"/>
        </w:rPr>
      </w:pPr>
      <w:r w:rsidRPr="00735726">
        <w:rPr>
          <w:rFonts w:ascii="Arial" w:eastAsia="Times New Roman" w:hAnsi="Arial" w:cs="DINOT-Light"/>
          <w:sz w:val="18"/>
          <w:szCs w:val="18"/>
        </w:rPr>
        <w:t xml:space="preserve">In line with our previous approach, following guidance from Ofwat, all performance related pay for Executive Directors is funded at the Group level and therefore not funded by customers. </w:t>
      </w:r>
    </w:p>
    <w:p w14:paraId="6AFAFFFA" w14:textId="77777777" w:rsidR="00704B58" w:rsidRPr="00735726" w:rsidRDefault="00704B58" w:rsidP="00704B58">
      <w:pPr>
        <w:spacing w:after="160"/>
        <w:rPr>
          <w:rFonts w:ascii="Arial" w:eastAsia="Times New Roman" w:hAnsi="Arial" w:cs="DINOT-Light"/>
          <w:sz w:val="18"/>
          <w:szCs w:val="18"/>
        </w:rPr>
      </w:pPr>
      <w:r w:rsidRPr="00735726">
        <w:rPr>
          <w:rFonts w:ascii="Arial" w:eastAsia="Times New Roman" w:hAnsi="Arial" w:cs="DINOT-Light"/>
          <w:sz w:val="18"/>
          <w:szCs w:val="18"/>
        </w:rPr>
        <w:t xml:space="preserve">Our incentives are designed to provide a rounded assessment of performance across a range of key metrics. In line with Ofwat guidance, </w:t>
      </w:r>
      <w:proofErr w:type="gramStart"/>
      <w:r w:rsidRPr="00735726">
        <w:rPr>
          <w:rFonts w:ascii="Arial" w:eastAsia="Times New Roman" w:hAnsi="Arial" w:cs="DINOT-Light"/>
          <w:sz w:val="18"/>
          <w:szCs w:val="18"/>
        </w:rPr>
        <w:t>the majority of</w:t>
      </w:r>
      <w:proofErr w:type="gramEnd"/>
      <w:r w:rsidRPr="00735726">
        <w:rPr>
          <w:rFonts w:ascii="Arial" w:eastAsia="Times New Roman" w:hAnsi="Arial" w:cs="DINOT-Light"/>
          <w:sz w:val="18"/>
          <w:szCs w:val="18"/>
        </w:rPr>
        <w:t xml:space="preserve"> our incentives are linked to the delivery of stretching objectives in relation to our customers, communities and the environment. </w:t>
      </w:r>
    </w:p>
    <w:p w14:paraId="3A3AFC80" w14:textId="1C6DC10B" w:rsidR="00704B58" w:rsidRPr="009A2CAE" w:rsidRDefault="00704B58" w:rsidP="00704B58">
      <w:pPr>
        <w:spacing w:after="160"/>
        <w:rPr>
          <w:rFonts w:ascii="Arial" w:eastAsia="Times New Roman" w:hAnsi="Arial" w:cs="DINOT-Light"/>
          <w:sz w:val="18"/>
          <w:szCs w:val="18"/>
        </w:rPr>
      </w:pPr>
      <w:r w:rsidRPr="00735726">
        <w:rPr>
          <w:rFonts w:ascii="Arial" w:eastAsia="Times New Roman" w:hAnsi="Arial" w:cs="DINOT-Light"/>
          <w:sz w:val="18"/>
          <w:szCs w:val="18"/>
        </w:rPr>
        <w:t xml:space="preserve">Executive Directors full remuneration at a </w:t>
      </w:r>
      <w:r w:rsidR="00147CC1" w:rsidRPr="00735726">
        <w:rPr>
          <w:rFonts w:ascii="Arial" w:eastAsia="Times New Roman" w:hAnsi="Arial" w:cs="DINOT-Light"/>
          <w:sz w:val="18"/>
          <w:szCs w:val="18"/>
        </w:rPr>
        <w:t xml:space="preserve">Pennon </w:t>
      </w:r>
      <w:r w:rsidRPr="00735726">
        <w:rPr>
          <w:rFonts w:ascii="Arial" w:eastAsia="Times New Roman" w:hAnsi="Arial" w:cs="DINOT-Light"/>
          <w:sz w:val="18"/>
          <w:szCs w:val="18"/>
        </w:rPr>
        <w:t xml:space="preserve">Group level is disclosed in detail within the Pennon Group plc Annual Report and Accounts 2026 (on pages </w:t>
      </w:r>
      <w:r w:rsidR="000D5F17" w:rsidRPr="009A2CAE">
        <w:rPr>
          <w:rFonts w:ascii="Arial" w:eastAsia="Times New Roman" w:hAnsi="Arial" w:cs="DINOT-Light"/>
          <w:sz w:val="18"/>
          <w:szCs w:val="18"/>
        </w:rPr>
        <w:t>133</w:t>
      </w:r>
      <w:r w:rsidRPr="009A2CAE">
        <w:rPr>
          <w:rFonts w:ascii="Arial" w:eastAsia="Times New Roman" w:hAnsi="Arial" w:cs="DINOT-Light"/>
          <w:sz w:val="18"/>
          <w:szCs w:val="18"/>
        </w:rPr>
        <w:t xml:space="preserve"> to </w:t>
      </w:r>
      <w:r w:rsidR="000D5F17" w:rsidRPr="009A2CAE">
        <w:rPr>
          <w:rFonts w:ascii="Arial" w:eastAsia="Times New Roman" w:hAnsi="Arial" w:cs="DINOT-Light"/>
          <w:sz w:val="18"/>
          <w:szCs w:val="18"/>
        </w:rPr>
        <w:t>155</w:t>
      </w:r>
      <w:r w:rsidRPr="009A2CAE">
        <w:rPr>
          <w:rFonts w:ascii="Arial" w:eastAsia="Times New Roman" w:hAnsi="Arial" w:cs="DINOT-Light"/>
          <w:sz w:val="18"/>
          <w:szCs w:val="18"/>
        </w:rPr>
        <w:t xml:space="preserve">). </w:t>
      </w:r>
    </w:p>
    <w:p w14:paraId="37B4003F" w14:textId="77777777" w:rsidR="00704B58" w:rsidRPr="00735726" w:rsidRDefault="00704B58" w:rsidP="00704B58">
      <w:pPr>
        <w:pStyle w:val="Headinglevel4"/>
        <w:spacing w:line="360" w:lineRule="auto"/>
        <w:outlineLvl w:val="0"/>
      </w:pPr>
    </w:p>
    <w:p w14:paraId="503D94E0" w14:textId="77777777" w:rsidR="00704B58" w:rsidRPr="00735726" w:rsidRDefault="00704B58">
      <w:pPr>
        <w:spacing w:after="160" w:line="259" w:lineRule="auto"/>
        <w:rPr>
          <w:rFonts w:ascii="Arial" w:eastAsia="Times New Roman" w:hAnsi="Arial" w:cs="Arial"/>
          <w:b/>
          <w:bCs/>
          <w:caps/>
          <w:color w:val="000000"/>
          <w:sz w:val="18"/>
          <w:szCs w:val="18"/>
        </w:rPr>
      </w:pPr>
      <w:r w:rsidRPr="00735726">
        <w:br w:type="page"/>
      </w:r>
    </w:p>
    <w:p w14:paraId="0D23B44B" w14:textId="537BD23F" w:rsidR="00704B58" w:rsidRPr="00735726" w:rsidRDefault="00704B58" w:rsidP="00704B58">
      <w:pPr>
        <w:pStyle w:val="Headinglevel4"/>
        <w:spacing w:line="360" w:lineRule="auto"/>
        <w:outlineLvl w:val="0"/>
      </w:pPr>
      <w:r w:rsidRPr="00735726">
        <w:lastRenderedPageBreak/>
        <w:t xml:space="preserve">Single total figure of remuneration tables (Audited information) </w:t>
      </w:r>
    </w:p>
    <w:p w14:paraId="2DC84DD4" w14:textId="77777777" w:rsidR="00704B58" w:rsidRPr="009A2CAE" w:rsidRDefault="00704B58" w:rsidP="00704B58">
      <w:pPr>
        <w:pStyle w:val="ListParagraph"/>
        <w:ind w:left="-284"/>
        <w:rPr>
          <w:rFonts w:ascii="Arial" w:hAnsi="Arial"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1505"/>
        <w:gridCol w:w="1505"/>
        <w:gridCol w:w="1505"/>
        <w:gridCol w:w="1498"/>
      </w:tblGrid>
      <w:tr w:rsidR="00704B58" w:rsidRPr="00735726" w14:paraId="04CD62A9" w14:textId="77777777" w:rsidTr="00080495">
        <w:trPr>
          <w:trHeight w:val="551"/>
        </w:trPr>
        <w:tc>
          <w:tcPr>
            <w:tcW w:w="2991" w:type="dxa"/>
            <w:tcBorders>
              <w:right w:val="single" w:sz="4" w:space="0" w:color="auto"/>
            </w:tcBorders>
          </w:tcPr>
          <w:p w14:paraId="785E9AC6" w14:textId="77777777" w:rsidR="00704B58" w:rsidRPr="009A2CAE" w:rsidRDefault="00704B58" w:rsidP="00080495">
            <w:pPr>
              <w:rPr>
                <w:color w:val="FFFFFF" w:themeColor="background1"/>
              </w:rPr>
            </w:pPr>
          </w:p>
        </w:tc>
        <w:tc>
          <w:tcPr>
            <w:tcW w:w="3010" w:type="dxa"/>
            <w:gridSpan w:val="2"/>
            <w:tcBorders>
              <w:top w:val="single" w:sz="4" w:space="0" w:color="auto"/>
              <w:left w:val="single" w:sz="4" w:space="0" w:color="auto"/>
              <w:right w:val="single" w:sz="4" w:space="0" w:color="auto"/>
            </w:tcBorders>
            <w:shd w:val="clear" w:color="auto" w:fill="002060"/>
          </w:tcPr>
          <w:p w14:paraId="6064992F" w14:textId="77777777" w:rsidR="00704B58" w:rsidRPr="00735726" w:rsidRDefault="00704B58" w:rsidP="00080495">
            <w:pPr>
              <w:jc w:val="center"/>
              <w:rPr>
                <w:rFonts w:ascii="Arial" w:hAnsi="Arial" w:cs="Arial"/>
                <w:b/>
                <w:bCs/>
                <w:color w:val="FFFFFF" w:themeColor="background1"/>
                <w:sz w:val="18"/>
                <w:szCs w:val="18"/>
              </w:rPr>
            </w:pPr>
            <w:r w:rsidRPr="00735726">
              <w:rPr>
                <w:rFonts w:ascii="Arial" w:hAnsi="Arial" w:cs="Arial"/>
                <w:b/>
                <w:bCs/>
                <w:color w:val="FFFFFF" w:themeColor="background1"/>
                <w:sz w:val="18"/>
                <w:szCs w:val="18"/>
              </w:rPr>
              <w:t>Laura Flowerdew</w:t>
            </w:r>
            <w:r w:rsidRPr="00735726">
              <w:rPr>
                <w:rFonts w:ascii="Arial" w:hAnsi="Arial" w:cs="Arial"/>
                <w:b/>
                <w:bCs/>
                <w:color w:val="FFFFFF" w:themeColor="background1"/>
                <w:sz w:val="18"/>
                <w:szCs w:val="18"/>
                <w:vertAlign w:val="superscript"/>
              </w:rPr>
              <w:t>1</w:t>
            </w:r>
            <w:r w:rsidRPr="00735726">
              <w:rPr>
                <w:rFonts w:ascii="Arial" w:hAnsi="Arial" w:cs="Arial"/>
                <w:b/>
                <w:bCs/>
                <w:color w:val="FFFFFF" w:themeColor="background1"/>
                <w:sz w:val="18"/>
                <w:szCs w:val="18"/>
              </w:rPr>
              <w:br/>
              <w:t>(£000)</w:t>
            </w:r>
          </w:p>
        </w:tc>
        <w:tc>
          <w:tcPr>
            <w:tcW w:w="3003" w:type="dxa"/>
            <w:gridSpan w:val="2"/>
            <w:tcBorders>
              <w:top w:val="single" w:sz="4" w:space="0" w:color="auto"/>
              <w:left w:val="single" w:sz="4" w:space="0" w:color="auto"/>
              <w:right w:val="single" w:sz="4" w:space="0" w:color="auto"/>
            </w:tcBorders>
            <w:shd w:val="clear" w:color="auto" w:fill="002060"/>
          </w:tcPr>
          <w:p w14:paraId="0E5598A3" w14:textId="77777777" w:rsidR="00704B58" w:rsidRPr="00735726" w:rsidRDefault="00704B58" w:rsidP="00080495">
            <w:pPr>
              <w:jc w:val="center"/>
              <w:rPr>
                <w:rFonts w:ascii="Arial" w:hAnsi="Arial" w:cs="Arial"/>
                <w:b/>
                <w:bCs/>
                <w:color w:val="FFFFFF" w:themeColor="background1"/>
                <w:sz w:val="18"/>
                <w:szCs w:val="18"/>
              </w:rPr>
            </w:pPr>
            <w:r w:rsidRPr="00735726">
              <w:rPr>
                <w:rFonts w:ascii="Arial" w:hAnsi="Arial" w:cs="Arial"/>
                <w:b/>
                <w:bCs/>
                <w:color w:val="FFFFFF" w:themeColor="background1"/>
                <w:sz w:val="18"/>
                <w:szCs w:val="18"/>
              </w:rPr>
              <w:t>Susan Davy</w:t>
            </w:r>
            <w:r w:rsidRPr="00735726">
              <w:rPr>
                <w:rFonts w:ascii="Arial" w:hAnsi="Arial" w:cs="Arial"/>
                <w:b/>
                <w:color w:val="FFFFFF" w:themeColor="background1"/>
                <w:position w:val="7"/>
                <w:sz w:val="12"/>
                <w:szCs w:val="12"/>
              </w:rPr>
              <w:t>2</w:t>
            </w:r>
            <w:r w:rsidRPr="00735726">
              <w:rPr>
                <w:rFonts w:ascii="Arial" w:hAnsi="Arial" w:cs="Arial"/>
                <w:b/>
                <w:bCs/>
                <w:color w:val="FFFFFF" w:themeColor="background1"/>
                <w:sz w:val="18"/>
                <w:szCs w:val="18"/>
              </w:rPr>
              <w:br/>
              <w:t>(£000)</w:t>
            </w:r>
          </w:p>
        </w:tc>
      </w:tr>
      <w:tr w:rsidR="00704B58" w:rsidRPr="00735726" w14:paraId="0DAD5614" w14:textId="77777777" w:rsidTr="00080495">
        <w:trPr>
          <w:trHeight w:val="275"/>
        </w:trPr>
        <w:tc>
          <w:tcPr>
            <w:tcW w:w="2991" w:type="dxa"/>
            <w:tcBorders>
              <w:bottom w:val="single" w:sz="4" w:space="0" w:color="auto"/>
              <w:right w:val="single" w:sz="4" w:space="0" w:color="auto"/>
            </w:tcBorders>
          </w:tcPr>
          <w:p w14:paraId="564E9EC5" w14:textId="77777777" w:rsidR="00704B58" w:rsidRPr="009A2CAE" w:rsidRDefault="00704B58" w:rsidP="00080495">
            <w:pPr>
              <w:rPr>
                <w:rFonts w:ascii="Arial" w:eastAsiaTheme="minorHAnsi" w:hAnsi="Arial" w:cs="Arial"/>
                <w:sz w:val="18"/>
                <w:szCs w:val="18"/>
              </w:rPr>
            </w:pPr>
          </w:p>
        </w:tc>
        <w:tc>
          <w:tcPr>
            <w:tcW w:w="1505" w:type="dxa"/>
            <w:tcBorders>
              <w:left w:val="single" w:sz="4" w:space="0" w:color="auto"/>
              <w:bottom w:val="single" w:sz="4" w:space="0" w:color="auto"/>
            </w:tcBorders>
            <w:vAlign w:val="center"/>
          </w:tcPr>
          <w:p w14:paraId="212DE04F" w14:textId="77777777" w:rsidR="00704B58" w:rsidRPr="00735726" w:rsidRDefault="00704B58" w:rsidP="00080495">
            <w:pPr>
              <w:jc w:val="center"/>
              <w:rPr>
                <w:rFonts w:ascii="Arial" w:eastAsiaTheme="minorHAnsi" w:hAnsi="Arial" w:cs="Arial"/>
                <w:b/>
                <w:bCs/>
                <w:sz w:val="18"/>
                <w:szCs w:val="18"/>
              </w:rPr>
            </w:pPr>
            <w:r w:rsidRPr="00735726">
              <w:rPr>
                <w:rFonts w:ascii="Arial" w:hAnsi="Arial" w:cs="Arial"/>
                <w:b/>
                <w:bCs/>
                <w:sz w:val="18"/>
                <w:szCs w:val="18"/>
              </w:rPr>
              <w:t>2025/26</w:t>
            </w:r>
          </w:p>
        </w:tc>
        <w:tc>
          <w:tcPr>
            <w:tcW w:w="1505" w:type="dxa"/>
            <w:tcBorders>
              <w:bottom w:val="single" w:sz="4" w:space="0" w:color="auto"/>
              <w:right w:val="single" w:sz="4" w:space="0" w:color="auto"/>
            </w:tcBorders>
            <w:vAlign w:val="center"/>
          </w:tcPr>
          <w:p w14:paraId="7802EA06" w14:textId="77777777" w:rsidR="00704B58" w:rsidRPr="00735726" w:rsidRDefault="00704B58" w:rsidP="00080495">
            <w:pPr>
              <w:jc w:val="center"/>
              <w:rPr>
                <w:rFonts w:ascii="Arial" w:eastAsiaTheme="minorHAnsi" w:hAnsi="Arial" w:cs="Arial"/>
                <w:b/>
                <w:bCs/>
                <w:sz w:val="18"/>
                <w:szCs w:val="18"/>
              </w:rPr>
            </w:pPr>
            <w:r w:rsidRPr="00735726">
              <w:rPr>
                <w:rFonts w:ascii="Arial" w:hAnsi="Arial" w:cs="Arial"/>
                <w:b/>
                <w:bCs/>
                <w:sz w:val="18"/>
                <w:szCs w:val="18"/>
              </w:rPr>
              <w:t>2024/25</w:t>
            </w:r>
          </w:p>
        </w:tc>
        <w:tc>
          <w:tcPr>
            <w:tcW w:w="1505" w:type="dxa"/>
            <w:tcBorders>
              <w:left w:val="single" w:sz="4" w:space="0" w:color="auto"/>
              <w:bottom w:val="single" w:sz="4" w:space="0" w:color="auto"/>
            </w:tcBorders>
            <w:vAlign w:val="center"/>
          </w:tcPr>
          <w:p w14:paraId="22D8D248" w14:textId="77777777" w:rsidR="00704B58" w:rsidRPr="00735726" w:rsidRDefault="00704B58" w:rsidP="00080495">
            <w:pPr>
              <w:jc w:val="center"/>
              <w:rPr>
                <w:rFonts w:ascii="Arial" w:eastAsiaTheme="minorHAnsi" w:hAnsi="Arial" w:cs="Arial"/>
                <w:b/>
                <w:bCs/>
                <w:sz w:val="18"/>
                <w:szCs w:val="18"/>
              </w:rPr>
            </w:pPr>
            <w:r w:rsidRPr="00735726">
              <w:rPr>
                <w:rFonts w:ascii="Arial" w:hAnsi="Arial" w:cs="Arial"/>
                <w:b/>
                <w:bCs/>
                <w:sz w:val="18"/>
                <w:szCs w:val="18"/>
              </w:rPr>
              <w:t>2025/26</w:t>
            </w:r>
          </w:p>
        </w:tc>
        <w:tc>
          <w:tcPr>
            <w:tcW w:w="1498" w:type="dxa"/>
            <w:tcBorders>
              <w:bottom w:val="single" w:sz="4" w:space="0" w:color="auto"/>
              <w:right w:val="single" w:sz="4" w:space="0" w:color="auto"/>
            </w:tcBorders>
            <w:vAlign w:val="center"/>
          </w:tcPr>
          <w:p w14:paraId="7307CF6C" w14:textId="77777777" w:rsidR="00704B58" w:rsidRPr="00735726" w:rsidRDefault="00704B58" w:rsidP="00080495">
            <w:pPr>
              <w:jc w:val="center"/>
              <w:rPr>
                <w:rFonts w:ascii="Arial" w:eastAsiaTheme="minorHAnsi" w:hAnsi="Arial" w:cs="Arial"/>
                <w:b/>
                <w:bCs/>
                <w:sz w:val="18"/>
                <w:szCs w:val="18"/>
              </w:rPr>
            </w:pPr>
            <w:r w:rsidRPr="00735726">
              <w:rPr>
                <w:rFonts w:ascii="Arial" w:hAnsi="Arial" w:cs="Arial"/>
                <w:b/>
                <w:bCs/>
                <w:sz w:val="18"/>
                <w:szCs w:val="18"/>
              </w:rPr>
              <w:t>2024/25</w:t>
            </w:r>
          </w:p>
        </w:tc>
      </w:tr>
      <w:tr w:rsidR="00704B58" w:rsidRPr="00735726" w14:paraId="02595184" w14:textId="77777777" w:rsidTr="00080495">
        <w:trPr>
          <w:trHeight w:val="434"/>
        </w:trPr>
        <w:tc>
          <w:tcPr>
            <w:tcW w:w="2991" w:type="dxa"/>
            <w:tcBorders>
              <w:top w:val="single" w:sz="4" w:space="0" w:color="auto"/>
              <w:left w:val="single" w:sz="4" w:space="0" w:color="auto"/>
              <w:right w:val="single" w:sz="4" w:space="0" w:color="auto"/>
            </w:tcBorders>
          </w:tcPr>
          <w:p w14:paraId="4DCBE9D9" w14:textId="77777777" w:rsidR="00704B58" w:rsidRPr="00735726" w:rsidRDefault="00704B58" w:rsidP="00080495">
            <w:pPr>
              <w:rPr>
                <w:rFonts w:ascii="Arial" w:eastAsiaTheme="minorHAnsi" w:hAnsi="Arial" w:cs="Arial"/>
                <w:sz w:val="18"/>
                <w:szCs w:val="18"/>
              </w:rPr>
            </w:pPr>
            <w:r w:rsidRPr="00735726">
              <w:rPr>
                <w:rFonts w:ascii="Arial" w:hAnsi="Arial" w:cs="Arial"/>
                <w:b/>
                <w:sz w:val="18"/>
                <w:szCs w:val="18"/>
              </w:rPr>
              <w:t>Base salary</w:t>
            </w:r>
          </w:p>
        </w:tc>
        <w:tc>
          <w:tcPr>
            <w:tcW w:w="1505" w:type="dxa"/>
            <w:tcBorders>
              <w:top w:val="single" w:sz="4" w:space="0" w:color="auto"/>
              <w:left w:val="single" w:sz="4" w:space="0" w:color="auto"/>
            </w:tcBorders>
          </w:tcPr>
          <w:p w14:paraId="22D70698"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341</w:t>
            </w:r>
          </w:p>
        </w:tc>
        <w:tc>
          <w:tcPr>
            <w:tcW w:w="1505" w:type="dxa"/>
            <w:tcBorders>
              <w:top w:val="single" w:sz="4" w:space="0" w:color="auto"/>
              <w:right w:val="single" w:sz="4" w:space="0" w:color="auto"/>
            </w:tcBorders>
          </w:tcPr>
          <w:p w14:paraId="2E24CA1D"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223</w:t>
            </w:r>
          </w:p>
        </w:tc>
        <w:tc>
          <w:tcPr>
            <w:tcW w:w="1505" w:type="dxa"/>
            <w:tcBorders>
              <w:top w:val="single" w:sz="4" w:space="0" w:color="auto"/>
              <w:left w:val="single" w:sz="4" w:space="0" w:color="auto"/>
            </w:tcBorders>
          </w:tcPr>
          <w:p w14:paraId="546A8CA8"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279</w:t>
            </w:r>
          </w:p>
        </w:tc>
        <w:tc>
          <w:tcPr>
            <w:tcW w:w="1498" w:type="dxa"/>
            <w:tcBorders>
              <w:top w:val="single" w:sz="4" w:space="0" w:color="auto"/>
              <w:right w:val="single" w:sz="4" w:space="0" w:color="auto"/>
            </w:tcBorders>
          </w:tcPr>
          <w:p w14:paraId="16A2E5DF"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358</w:t>
            </w:r>
          </w:p>
        </w:tc>
      </w:tr>
      <w:tr w:rsidR="00704B58" w:rsidRPr="00735726" w14:paraId="2B53A1A8" w14:textId="77777777" w:rsidTr="00080495">
        <w:trPr>
          <w:trHeight w:val="434"/>
        </w:trPr>
        <w:tc>
          <w:tcPr>
            <w:tcW w:w="2991" w:type="dxa"/>
            <w:tcBorders>
              <w:top w:val="single" w:sz="4" w:space="0" w:color="auto"/>
              <w:left w:val="single" w:sz="4" w:space="0" w:color="auto"/>
              <w:right w:val="single" w:sz="4" w:space="0" w:color="auto"/>
            </w:tcBorders>
          </w:tcPr>
          <w:p w14:paraId="3798DC97" w14:textId="77777777" w:rsidR="00704B58" w:rsidRPr="00735726" w:rsidRDefault="00704B58" w:rsidP="00080495">
            <w:pPr>
              <w:rPr>
                <w:rFonts w:ascii="Arial" w:hAnsi="Arial" w:cs="Arial"/>
                <w:b/>
                <w:sz w:val="18"/>
                <w:szCs w:val="18"/>
              </w:rPr>
            </w:pPr>
            <w:r w:rsidRPr="00735726">
              <w:rPr>
                <w:rFonts w:ascii="Arial" w:hAnsi="Arial" w:cs="Arial"/>
                <w:b/>
                <w:sz w:val="18"/>
                <w:szCs w:val="18"/>
              </w:rPr>
              <w:t>Benefits</w:t>
            </w:r>
            <w:r w:rsidRPr="00735726">
              <w:rPr>
                <w:rFonts w:ascii="Arial" w:hAnsi="Arial" w:cs="Arial"/>
                <w:b/>
                <w:position w:val="7"/>
                <w:sz w:val="12"/>
                <w:szCs w:val="12"/>
              </w:rPr>
              <w:t>3</w:t>
            </w:r>
            <w:r w:rsidRPr="00735726">
              <w:rPr>
                <w:rFonts w:ascii="Arial" w:hAnsi="Arial" w:cs="Arial"/>
                <w:b/>
                <w:position w:val="7"/>
                <w:sz w:val="18"/>
                <w:szCs w:val="18"/>
              </w:rPr>
              <w:t xml:space="preserve"> </w:t>
            </w:r>
            <w:r w:rsidRPr="00735726">
              <w:rPr>
                <w:rFonts w:ascii="Arial" w:hAnsi="Arial" w:cs="Arial"/>
                <w:sz w:val="18"/>
                <w:szCs w:val="18"/>
              </w:rPr>
              <w:t>(including Sharesave)</w:t>
            </w:r>
          </w:p>
        </w:tc>
        <w:tc>
          <w:tcPr>
            <w:tcW w:w="1505" w:type="dxa"/>
            <w:tcBorders>
              <w:top w:val="single" w:sz="4" w:space="0" w:color="auto"/>
              <w:left w:val="single" w:sz="4" w:space="0" w:color="auto"/>
            </w:tcBorders>
          </w:tcPr>
          <w:p w14:paraId="7E536A11" w14:textId="77777777" w:rsidR="00704B58" w:rsidRPr="00735726" w:rsidRDefault="00704B58" w:rsidP="00080495">
            <w:pPr>
              <w:jc w:val="center"/>
              <w:rPr>
                <w:rFonts w:ascii="Arial" w:hAnsi="Arial" w:cs="Arial"/>
                <w:sz w:val="18"/>
                <w:szCs w:val="18"/>
              </w:rPr>
            </w:pPr>
            <w:r w:rsidRPr="00735726">
              <w:rPr>
                <w:rFonts w:ascii="Arial" w:hAnsi="Arial" w:cs="Arial"/>
                <w:sz w:val="18"/>
                <w:szCs w:val="18"/>
              </w:rPr>
              <w:t>13</w:t>
            </w:r>
          </w:p>
        </w:tc>
        <w:tc>
          <w:tcPr>
            <w:tcW w:w="1505" w:type="dxa"/>
            <w:tcBorders>
              <w:top w:val="single" w:sz="4" w:space="0" w:color="auto"/>
              <w:right w:val="single" w:sz="4" w:space="0" w:color="auto"/>
            </w:tcBorders>
          </w:tcPr>
          <w:p w14:paraId="6118FD84" w14:textId="77777777" w:rsidR="00704B58" w:rsidRPr="00735726" w:rsidRDefault="00704B58" w:rsidP="00080495">
            <w:pPr>
              <w:jc w:val="center"/>
              <w:rPr>
                <w:rFonts w:ascii="Arial" w:hAnsi="Arial" w:cs="Arial"/>
                <w:sz w:val="18"/>
                <w:szCs w:val="18"/>
              </w:rPr>
            </w:pPr>
            <w:r w:rsidRPr="00735726">
              <w:rPr>
                <w:rFonts w:ascii="Arial" w:eastAsiaTheme="minorHAnsi" w:hAnsi="Arial" w:cs="Arial"/>
                <w:sz w:val="18"/>
                <w:szCs w:val="18"/>
              </w:rPr>
              <w:t>10</w:t>
            </w:r>
          </w:p>
        </w:tc>
        <w:tc>
          <w:tcPr>
            <w:tcW w:w="1505" w:type="dxa"/>
            <w:tcBorders>
              <w:top w:val="single" w:sz="4" w:space="0" w:color="auto"/>
              <w:left w:val="single" w:sz="4" w:space="0" w:color="auto"/>
            </w:tcBorders>
          </w:tcPr>
          <w:p w14:paraId="16C2AE29" w14:textId="77777777" w:rsidR="00704B58" w:rsidRPr="00735726" w:rsidRDefault="00704B58" w:rsidP="00080495">
            <w:pPr>
              <w:jc w:val="center"/>
              <w:rPr>
                <w:rFonts w:ascii="Arial" w:hAnsi="Arial" w:cs="Arial"/>
                <w:sz w:val="18"/>
                <w:szCs w:val="18"/>
              </w:rPr>
            </w:pPr>
            <w:r w:rsidRPr="00735726">
              <w:rPr>
                <w:rFonts w:ascii="Arial" w:hAnsi="Arial" w:cs="Arial"/>
                <w:sz w:val="18"/>
                <w:szCs w:val="18"/>
              </w:rPr>
              <w:t>53</w:t>
            </w:r>
          </w:p>
        </w:tc>
        <w:tc>
          <w:tcPr>
            <w:tcW w:w="1498" w:type="dxa"/>
            <w:tcBorders>
              <w:top w:val="single" w:sz="4" w:space="0" w:color="auto"/>
              <w:right w:val="single" w:sz="4" w:space="0" w:color="auto"/>
            </w:tcBorders>
          </w:tcPr>
          <w:p w14:paraId="45A02260" w14:textId="77777777" w:rsidR="00704B58" w:rsidRPr="00735726" w:rsidRDefault="00704B58" w:rsidP="00080495">
            <w:pPr>
              <w:jc w:val="center"/>
              <w:rPr>
                <w:rFonts w:ascii="Arial" w:hAnsi="Arial" w:cs="Arial"/>
                <w:sz w:val="18"/>
                <w:szCs w:val="18"/>
              </w:rPr>
            </w:pPr>
            <w:r w:rsidRPr="00735726">
              <w:rPr>
                <w:rFonts w:ascii="Arial" w:eastAsiaTheme="minorHAnsi" w:hAnsi="Arial" w:cs="Arial"/>
                <w:sz w:val="18"/>
                <w:szCs w:val="18"/>
              </w:rPr>
              <w:t>34</w:t>
            </w:r>
          </w:p>
        </w:tc>
      </w:tr>
      <w:tr w:rsidR="00704B58" w:rsidRPr="00735726" w14:paraId="00E6DA74" w14:textId="77777777" w:rsidTr="00080495">
        <w:trPr>
          <w:trHeight w:val="337"/>
        </w:trPr>
        <w:tc>
          <w:tcPr>
            <w:tcW w:w="2991" w:type="dxa"/>
            <w:tcBorders>
              <w:left w:val="single" w:sz="4" w:space="0" w:color="auto"/>
              <w:right w:val="single" w:sz="4" w:space="0" w:color="auto"/>
            </w:tcBorders>
          </w:tcPr>
          <w:p w14:paraId="426D6945" w14:textId="77777777" w:rsidR="00704B58" w:rsidRPr="00735726" w:rsidRDefault="00704B58" w:rsidP="00080495">
            <w:pPr>
              <w:rPr>
                <w:rFonts w:ascii="Arial" w:eastAsiaTheme="minorHAnsi" w:hAnsi="Arial" w:cs="Arial"/>
                <w:sz w:val="18"/>
                <w:szCs w:val="18"/>
              </w:rPr>
            </w:pPr>
            <w:r w:rsidRPr="00735726">
              <w:rPr>
                <w:rFonts w:ascii="Arial" w:hAnsi="Arial" w:cs="Arial"/>
                <w:b/>
                <w:sz w:val="18"/>
                <w:szCs w:val="18"/>
              </w:rPr>
              <w:t xml:space="preserve">Pension-related </w:t>
            </w:r>
            <w:proofErr w:type="gramStart"/>
            <w:r w:rsidRPr="00735726">
              <w:rPr>
                <w:rFonts w:ascii="Arial" w:hAnsi="Arial" w:cs="Arial"/>
                <w:b/>
                <w:sz w:val="18"/>
                <w:szCs w:val="18"/>
              </w:rPr>
              <w:t>benefits</w:t>
            </w:r>
            <w:r w:rsidRPr="00735726">
              <w:rPr>
                <w:rFonts w:ascii="Arial" w:hAnsi="Arial" w:cs="Arial"/>
                <w:b/>
                <w:position w:val="7"/>
                <w:sz w:val="12"/>
                <w:szCs w:val="12"/>
              </w:rPr>
              <w:t>(</w:t>
            </w:r>
            <w:proofErr w:type="gramEnd"/>
            <w:r w:rsidRPr="00735726">
              <w:rPr>
                <w:rFonts w:ascii="Arial" w:hAnsi="Arial" w:cs="Arial"/>
                <w:b/>
                <w:position w:val="7"/>
                <w:sz w:val="12"/>
                <w:szCs w:val="12"/>
              </w:rPr>
              <w:t>4)</w:t>
            </w:r>
          </w:p>
        </w:tc>
        <w:tc>
          <w:tcPr>
            <w:tcW w:w="1505" w:type="dxa"/>
            <w:tcBorders>
              <w:left w:val="single" w:sz="4" w:space="0" w:color="auto"/>
            </w:tcBorders>
          </w:tcPr>
          <w:p w14:paraId="7A6C6197"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34</w:t>
            </w:r>
          </w:p>
        </w:tc>
        <w:tc>
          <w:tcPr>
            <w:tcW w:w="1505" w:type="dxa"/>
            <w:tcBorders>
              <w:right w:val="single" w:sz="4" w:space="0" w:color="auto"/>
            </w:tcBorders>
          </w:tcPr>
          <w:p w14:paraId="2AE8E2C8"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22</w:t>
            </w:r>
          </w:p>
        </w:tc>
        <w:tc>
          <w:tcPr>
            <w:tcW w:w="1505" w:type="dxa"/>
            <w:tcBorders>
              <w:left w:val="single" w:sz="4" w:space="0" w:color="auto"/>
            </w:tcBorders>
          </w:tcPr>
          <w:p w14:paraId="4350CF20"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28</w:t>
            </w:r>
          </w:p>
        </w:tc>
        <w:tc>
          <w:tcPr>
            <w:tcW w:w="1498" w:type="dxa"/>
            <w:tcBorders>
              <w:right w:val="single" w:sz="4" w:space="0" w:color="auto"/>
            </w:tcBorders>
          </w:tcPr>
          <w:p w14:paraId="0E26C882"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36</w:t>
            </w:r>
          </w:p>
        </w:tc>
      </w:tr>
      <w:tr w:rsidR="00704B58" w:rsidRPr="00735726" w14:paraId="5980A9BA" w14:textId="77777777" w:rsidTr="00080495">
        <w:trPr>
          <w:trHeight w:val="434"/>
        </w:trPr>
        <w:tc>
          <w:tcPr>
            <w:tcW w:w="2991" w:type="dxa"/>
            <w:tcBorders>
              <w:top w:val="single" w:sz="4" w:space="0" w:color="auto"/>
              <w:left w:val="single" w:sz="4" w:space="0" w:color="auto"/>
              <w:right w:val="single" w:sz="4" w:space="0" w:color="auto"/>
            </w:tcBorders>
          </w:tcPr>
          <w:p w14:paraId="33574299" w14:textId="77777777" w:rsidR="00704B58" w:rsidRPr="00735726" w:rsidRDefault="00704B58" w:rsidP="00080495">
            <w:pPr>
              <w:pStyle w:val="TableParagraph"/>
              <w:spacing w:before="31"/>
              <w:ind w:left="5"/>
              <w:jc w:val="left"/>
              <w:rPr>
                <w:rFonts w:ascii="Arial" w:eastAsiaTheme="minorHAnsi" w:hAnsi="Arial" w:cs="Arial"/>
                <w:sz w:val="18"/>
                <w:szCs w:val="18"/>
              </w:rPr>
            </w:pPr>
            <w:r w:rsidRPr="00735726">
              <w:rPr>
                <w:rFonts w:ascii="Arial" w:hAnsi="Arial" w:cs="Arial"/>
                <w:b/>
                <w:sz w:val="18"/>
                <w:szCs w:val="18"/>
              </w:rPr>
              <w:t>Total fixed pay</w:t>
            </w:r>
          </w:p>
        </w:tc>
        <w:tc>
          <w:tcPr>
            <w:tcW w:w="1505" w:type="dxa"/>
            <w:tcBorders>
              <w:top w:val="single" w:sz="4" w:space="0" w:color="auto"/>
              <w:left w:val="single" w:sz="4" w:space="0" w:color="auto"/>
            </w:tcBorders>
          </w:tcPr>
          <w:p w14:paraId="35A2B2BD" w14:textId="5CBC1BBC"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388</w:t>
            </w:r>
          </w:p>
        </w:tc>
        <w:tc>
          <w:tcPr>
            <w:tcW w:w="1505" w:type="dxa"/>
            <w:tcBorders>
              <w:top w:val="single" w:sz="4" w:space="0" w:color="auto"/>
              <w:right w:val="single" w:sz="4" w:space="0" w:color="auto"/>
            </w:tcBorders>
          </w:tcPr>
          <w:p w14:paraId="3DAFC2C2"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255</w:t>
            </w:r>
          </w:p>
        </w:tc>
        <w:tc>
          <w:tcPr>
            <w:tcW w:w="1505" w:type="dxa"/>
            <w:tcBorders>
              <w:top w:val="single" w:sz="4" w:space="0" w:color="auto"/>
              <w:left w:val="single" w:sz="4" w:space="0" w:color="auto"/>
            </w:tcBorders>
          </w:tcPr>
          <w:p w14:paraId="1ACF5037"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360</w:t>
            </w:r>
          </w:p>
        </w:tc>
        <w:tc>
          <w:tcPr>
            <w:tcW w:w="1498" w:type="dxa"/>
            <w:tcBorders>
              <w:top w:val="single" w:sz="4" w:space="0" w:color="auto"/>
              <w:right w:val="single" w:sz="4" w:space="0" w:color="auto"/>
            </w:tcBorders>
          </w:tcPr>
          <w:p w14:paraId="1E450940"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428</w:t>
            </w:r>
          </w:p>
        </w:tc>
      </w:tr>
      <w:tr w:rsidR="00704B58" w:rsidRPr="00735726" w14:paraId="16EAA702" w14:textId="77777777" w:rsidTr="00080495">
        <w:trPr>
          <w:trHeight w:val="868"/>
        </w:trPr>
        <w:tc>
          <w:tcPr>
            <w:tcW w:w="2991" w:type="dxa"/>
            <w:tcBorders>
              <w:left w:val="single" w:sz="4" w:space="0" w:color="auto"/>
              <w:right w:val="single" w:sz="4" w:space="0" w:color="auto"/>
            </w:tcBorders>
          </w:tcPr>
          <w:p w14:paraId="37FC175E" w14:textId="77777777" w:rsidR="00704B58" w:rsidRPr="00735726" w:rsidRDefault="00704B58" w:rsidP="00080495">
            <w:pPr>
              <w:pStyle w:val="TableParagraph"/>
              <w:spacing w:before="17"/>
              <w:ind w:left="5"/>
              <w:jc w:val="left"/>
              <w:rPr>
                <w:rFonts w:ascii="Arial" w:eastAsiaTheme="minorHAnsi" w:hAnsi="Arial" w:cs="Arial"/>
                <w:sz w:val="18"/>
                <w:szCs w:val="18"/>
                <w:vertAlign w:val="superscript"/>
              </w:rPr>
            </w:pPr>
            <w:r w:rsidRPr="00735726">
              <w:rPr>
                <w:rFonts w:ascii="Arial" w:hAnsi="Arial" w:cs="Arial"/>
                <w:b/>
                <w:sz w:val="18"/>
                <w:szCs w:val="18"/>
              </w:rPr>
              <w:t xml:space="preserve">Annual bonus </w:t>
            </w:r>
            <w:r w:rsidRPr="00735726">
              <w:rPr>
                <w:rFonts w:ascii="Arial" w:hAnsi="Arial" w:cs="Arial"/>
                <w:sz w:val="18"/>
                <w:szCs w:val="18"/>
              </w:rPr>
              <w:t>(cash and deferred shares)</w:t>
            </w:r>
            <w:r w:rsidRPr="00735726">
              <w:rPr>
                <w:rFonts w:ascii="Arial" w:hAnsi="Arial" w:cs="Arial"/>
                <w:sz w:val="18"/>
                <w:szCs w:val="18"/>
                <w:vertAlign w:val="superscript"/>
              </w:rPr>
              <w:t>4</w:t>
            </w:r>
          </w:p>
        </w:tc>
        <w:tc>
          <w:tcPr>
            <w:tcW w:w="1505" w:type="dxa"/>
            <w:tcBorders>
              <w:left w:val="single" w:sz="4" w:space="0" w:color="auto"/>
            </w:tcBorders>
          </w:tcPr>
          <w:p w14:paraId="5D193FF9"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c>
          <w:tcPr>
            <w:tcW w:w="1505" w:type="dxa"/>
            <w:tcBorders>
              <w:right w:val="single" w:sz="4" w:space="0" w:color="auto"/>
            </w:tcBorders>
          </w:tcPr>
          <w:p w14:paraId="2CB81098"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c>
          <w:tcPr>
            <w:tcW w:w="1505" w:type="dxa"/>
            <w:tcBorders>
              <w:left w:val="single" w:sz="4" w:space="0" w:color="auto"/>
            </w:tcBorders>
          </w:tcPr>
          <w:p w14:paraId="2C616898"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c>
          <w:tcPr>
            <w:tcW w:w="1498" w:type="dxa"/>
            <w:tcBorders>
              <w:right w:val="single" w:sz="4" w:space="0" w:color="auto"/>
            </w:tcBorders>
          </w:tcPr>
          <w:p w14:paraId="2FF64CBC"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r>
      <w:tr w:rsidR="00704B58" w:rsidRPr="00735726" w14:paraId="6CED17B3" w14:textId="77777777" w:rsidTr="00080495">
        <w:trPr>
          <w:trHeight w:val="433"/>
        </w:trPr>
        <w:tc>
          <w:tcPr>
            <w:tcW w:w="2991" w:type="dxa"/>
            <w:tcBorders>
              <w:left w:val="single" w:sz="4" w:space="0" w:color="auto"/>
              <w:bottom w:val="single" w:sz="4" w:space="0" w:color="auto"/>
              <w:right w:val="single" w:sz="4" w:space="0" w:color="auto"/>
            </w:tcBorders>
          </w:tcPr>
          <w:p w14:paraId="4315C1FB" w14:textId="77777777" w:rsidR="00704B58" w:rsidRPr="00735726" w:rsidRDefault="00704B58" w:rsidP="00080495">
            <w:pPr>
              <w:rPr>
                <w:rFonts w:ascii="Arial" w:eastAsiaTheme="minorHAnsi" w:hAnsi="Arial" w:cs="Arial"/>
                <w:sz w:val="18"/>
                <w:szCs w:val="18"/>
                <w:vertAlign w:val="superscript"/>
              </w:rPr>
            </w:pPr>
            <w:r w:rsidRPr="00735726">
              <w:rPr>
                <w:rFonts w:ascii="Arial" w:hAnsi="Arial" w:cs="Arial"/>
                <w:b/>
                <w:sz w:val="18"/>
                <w:szCs w:val="18"/>
              </w:rPr>
              <w:t>Long-Term Incentive Plan</w:t>
            </w:r>
            <w:r w:rsidRPr="00735726">
              <w:rPr>
                <w:rFonts w:ascii="Arial" w:hAnsi="Arial" w:cs="Arial"/>
                <w:bCs/>
                <w:sz w:val="18"/>
                <w:szCs w:val="18"/>
                <w:vertAlign w:val="superscript"/>
              </w:rPr>
              <w:t>4</w:t>
            </w:r>
          </w:p>
        </w:tc>
        <w:tc>
          <w:tcPr>
            <w:tcW w:w="1505" w:type="dxa"/>
            <w:tcBorders>
              <w:left w:val="single" w:sz="4" w:space="0" w:color="auto"/>
              <w:bottom w:val="single" w:sz="4" w:space="0" w:color="auto"/>
            </w:tcBorders>
          </w:tcPr>
          <w:p w14:paraId="34BF9440"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c>
          <w:tcPr>
            <w:tcW w:w="1505" w:type="dxa"/>
            <w:tcBorders>
              <w:bottom w:val="single" w:sz="4" w:space="0" w:color="auto"/>
              <w:right w:val="single" w:sz="4" w:space="0" w:color="auto"/>
            </w:tcBorders>
          </w:tcPr>
          <w:p w14:paraId="34A71B77"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c>
          <w:tcPr>
            <w:tcW w:w="1505" w:type="dxa"/>
            <w:tcBorders>
              <w:left w:val="single" w:sz="4" w:space="0" w:color="auto"/>
              <w:bottom w:val="single" w:sz="4" w:space="0" w:color="auto"/>
            </w:tcBorders>
          </w:tcPr>
          <w:p w14:paraId="09D57143"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c>
          <w:tcPr>
            <w:tcW w:w="1498" w:type="dxa"/>
            <w:tcBorders>
              <w:bottom w:val="single" w:sz="4" w:space="0" w:color="auto"/>
              <w:right w:val="single" w:sz="4" w:space="0" w:color="auto"/>
            </w:tcBorders>
          </w:tcPr>
          <w:p w14:paraId="5C66C053"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r>
      <w:tr w:rsidR="00704B58" w:rsidRPr="00735726" w14:paraId="028395B0" w14:textId="77777777" w:rsidTr="00080495">
        <w:trPr>
          <w:trHeight w:val="434"/>
        </w:trPr>
        <w:tc>
          <w:tcPr>
            <w:tcW w:w="2991" w:type="dxa"/>
            <w:tcBorders>
              <w:top w:val="single" w:sz="4" w:space="0" w:color="auto"/>
              <w:left w:val="single" w:sz="4" w:space="0" w:color="auto"/>
              <w:bottom w:val="single" w:sz="4" w:space="0" w:color="auto"/>
              <w:right w:val="single" w:sz="4" w:space="0" w:color="auto"/>
            </w:tcBorders>
          </w:tcPr>
          <w:p w14:paraId="5EB32F47" w14:textId="77777777" w:rsidR="00704B58" w:rsidRPr="00735726" w:rsidRDefault="00704B58" w:rsidP="00080495">
            <w:pPr>
              <w:rPr>
                <w:rFonts w:ascii="Arial" w:hAnsi="Arial" w:cs="Arial"/>
                <w:b/>
                <w:sz w:val="18"/>
                <w:szCs w:val="18"/>
              </w:rPr>
            </w:pPr>
            <w:r w:rsidRPr="00735726">
              <w:rPr>
                <w:rFonts w:ascii="Arial" w:hAnsi="Arial" w:cs="Arial"/>
                <w:b/>
                <w:sz w:val="18"/>
                <w:szCs w:val="18"/>
              </w:rPr>
              <w:t xml:space="preserve">Total </w:t>
            </w:r>
            <w:proofErr w:type="gramStart"/>
            <w:r w:rsidRPr="00735726">
              <w:rPr>
                <w:rFonts w:ascii="Arial" w:hAnsi="Arial" w:cs="Arial"/>
                <w:b/>
                <w:sz w:val="18"/>
                <w:szCs w:val="18"/>
              </w:rPr>
              <w:t>variable</w:t>
            </w:r>
            <w:proofErr w:type="gramEnd"/>
            <w:r w:rsidRPr="00735726">
              <w:rPr>
                <w:rFonts w:ascii="Arial" w:hAnsi="Arial" w:cs="Arial"/>
                <w:b/>
                <w:sz w:val="18"/>
                <w:szCs w:val="18"/>
              </w:rPr>
              <w:t xml:space="preserve"> pay</w:t>
            </w:r>
          </w:p>
        </w:tc>
        <w:tc>
          <w:tcPr>
            <w:tcW w:w="1505" w:type="dxa"/>
            <w:tcBorders>
              <w:top w:val="single" w:sz="4" w:space="0" w:color="auto"/>
              <w:left w:val="single" w:sz="4" w:space="0" w:color="auto"/>
              <w:bottom w:val="single" w:sz="4" w:space="0" w:color="auto"/>
            </w:tcBorders>
          </w:tcPr>
          <w:p w14:paraId="1B299D5F"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c>
          <w:tcPr>
            <w:tcW w:w="1505" w:type="dxa"/>
            <w:tcBorders>
              <w:top w:val="single" w:sz="4" w:space="0" w:color="auto"/>
              <w:bottom w:val="single" w:sz="4" w:space="0" w:color="auto"/>
              <w:right w:val="single" w:sz="4" w:space="0" w:color="auto"/>
            </w:tcBorders>
          </w:tcPr>
          <w:p w14:paraId="2687128A"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c>
          <w:tcPr>
            <w:tcW w:w="1505" w:type="dxa"/>
            <w:tcBorders>
              <w:top w:val="single" w:sz="4" w:space="0" w:color="auto"/>
              <w:left w:val="single" w:sz="4" w:space="0" w:color="auto"/>
              <w:bottom w:val="single" w:sz="4" w:space="0" w:color="auto"/>
            </w:tcBorders>
          </w:tcPr>
          <w:p w14:paraId="26DF077C"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c>
          <w:tcPr>
            <w:tcW w:w="1498" w:type="dxa"/>
            <w:tcBorders>
              <w:top w:val="single" w:sz="4" w:space="0" w:color="auto"/>
              <w:bottom w:val="single" w:sz="4" w:space="0" w:color="auto"/>
              <w:right w:val="single" w:sz="4" w:space="0" w:color="auto"/>
            </w:tcBorders>
          </w:tcPr>
          <w:p w14:paraId="552EE13C"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Nil</w:t>
            </w:r>
          </w:p>
        </w:tc>
      </w:tr>
      <w:tr w:rsidR="00704B58" w:rsidRPr="00735726" w14:paraId="5D25EFC9" w14:textId="77777777" w:rsidTr="00080495">
        <w:trPr>
          <w:trHeight w:val="658"/>
        </w:trPr>
        <w:tc>
          <w:tcPr>
            <w:tcW w:w="2991" w:type="dxa"/>
            <w:tcBorders>
              <w:top w:val="single" w:sz="4" w:space="0" w:color="auto"/>
              <w:left w:val="single" w:sz="4" w:space="0" w:color="auto"/>
              <w:bottom w:val="single" w:sz="4" w:space="0" w:color="auto"/>
              <w:right w:val="single" w:sz="4" w:space="0" w:color="auto"/>
            </w:tcBorders>
          </w:tcPr>
          <w:p w14:paraId="0D124114" w14:textId="77777777" w:rsidR="00704B58" w:rsidRPr="00735726" w:rsidRDefault="00704B58" w:rsidP="00080495">
            <w:pPr>
              <w:rPr>
                <w:rFonts w:ascii="Arial" w:hAnsi="Arial" w:cs="Arial"/>
                <w:b/>
                <w:sz w:val="18"/>
                <w:szCs w:val="18"/>
              </w:rPr>
            </w:pPr>
            <w:r w:rsidRPr="00735726">
              <w:rPr>
                <w:rFonts w:ascii="Arial" w:hAnsi="Arial" w:cs="Arial"/>
                <w:b/>
                <w:sz w:val="18"/>
                <w:szCs w:val="18"/>
              </w:rPr>
              <w:t>Total remuneration</w:t>
            </w:r>
          </w:p>
        </w:tc>
        <w:tc>
          <w:tcPr>
            <w:tcW w:w="1505" w:type="dxa"/>
            <w:tcBorders>
              <w:top w:val="single" w:sz="4" w:space="0" w:color="auto"/>
              <w:left w:val="single" w:sz="4" w:space="0" w:color="auto"/>
              <w:bottom w:val="single" w:sz="4" w:space="0" w:color="auto"/>
            </w:tcBorders>
          </w:tcPr>
          <w:p w14:paraId="10576254" w14:textId="3780D42A"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388</w:t>
            </w:r>
          </w:p>
        </w:tc>
        <w:tc>
          <w:tcPr>
            <w:tcW w:w="1505" w:type="dxa"/>
            <w:tcBorders>
              <w:top w:val="single" w:sz="4" w:space="0" w:color="auto"/>
              <w:bottom w:val="single" w:sz="4" w:space="0" w:color="auto"/>
              <w:right w:val="single" w:sz="4" w:space="0" w:color="auto"/>
            </w:tcBorders>
          </w:tcPr>
          <w:p w14:paraId="0363F49F"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255</w:t>
            </w:r>
          </w:p>
        </w:tc>
        <w:tc>
          <w:tcPr>
            <w:tcW w:w="1505" w:type="dxa"/>
            <w:tcBorders>
              <w:top w:val="single" w:sz="4" w:space="0" w:color="auto"/>
              <w:left w:val="single" w:sz="4" w:space="0" w:color="auto"/>
              <w:bottom w:val="single" w:sz="4" w:space="0" w:color="auto"/>
            </w:tcBorders>
          </w:tcPr>
          <w:p w14:paraId="2CAC2043" w14:textId="64581E88"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360</w:t>
            </w:r>
          </w:p>
        </w:tc>
        <w:tc>
          <w:tcPr>
            <w:tcW w:w="1498" w:type="dxa"/>
            <w:tcBorders>
              <w:top w:val="single" w:sz="4" w:space="0" w:color="auto"/>
              <w:bottom w:val="single" w:sz="4" w:space="0" w:color="auto"/>
              <w:right w:val="single" w:sz="4" w:space="0" w:color="auto"/>
            </w:tcBorders>
          </w:tcPr>
          <w:p w14:paraId="625E77C7" w14:textId="77777777" w:rsidR="00704B58" w:rsidRPr="00735726" w:rsidRDefault="00704B58" w:rsidP="00080495">
            <w:pPr>
              <w:jc w:val="center"/>
              <w:rPr>
                <w:rFonts w:ascii="Arial" w:eastAsiaTheme="minorHAnsi" w:hAnsi="Arial" w:cs="Arial"/>
                <w:sz w:val="18"/>
                <w:szCs w:val="18"/>
              </w:rPr>
            </w:pPr>
            <w:r w:rsidRPr="00735726">
              <w:rPr>
                <w:rFonts w:ascii="Arial" w:eastAsiaTheme="minorHAnsi" w:hAnsi="Arial" w:cs="Arial"/>
                <w:sz w:val="18"/>
                <w:szCs w:val="18"/>
              </w:rPr>
              <w:t>428</w:t>
            </w:r>
          </w:p>
        </w:tc>
      </w:tr>
    </w:tbl>
    <w:p w14:paraId="136CD620" w14:textId="6A2646C3" w:rsidR="00704B58" w:rsidRPr="009A2CAE" w:rsidRDefault="00704B58" w:rsidP="00704B58">
      <w:pPr>
        <w:pStyle w:val="ListParagraph"/>
        <w:widowControl w:val="0"/>
        <w:numPr>
          <w:ilvl w:val="0"/>
          <w:numId w:val="121"/>
        </w:numPr>
        <w:tabs>
          <w:tab w:val="left" w:pos="851"/>
        </w:tabs>
        <w:autoSpaceDE w:val="0"/>
        <w:autoSpaceDN w:val="0"/>
        <w:spacing w:before="49" w:after="0" w:line="240" w:lineRule="auto"/>
        <w:ind w:right="95"/>
        <w:rPr>
          <w:rFonts w:ascii="Arial" w:hAnsi="Arial" w:cs="Arial"/>
          <w:sz w:val="16"/>
          <w:szCs w:val="28"/>
        </w:rPr>
      </w:pPr>
      <w:r w:rsidRPr="00735726">
        <w:rPr>
          <w:rFonts w:ascii="Arial" w:hAnsi="Arial" w:cs="Arial"/>
          <w:sz w:val="16"/>
          <w:szCs w:val="28"/>
        </w:rPr>
        <w:t xml:space="preserve">Laura Flowerdew was appointed as Chief Financial Officer of Pennon Group plc on 11 July 2024 and </w:t>
      </w:r>
      <w:proofErr w:type="gramStart"/>
      <w:r w:rsidRPr="00735726">
        <w:rPr>
          <w:rFonts w:ascii="Arial" w:hAnsi="Arial" w:cs="Arial"/>
          <w:sz w:val="16"/>
          <w:szCs w:val="28"/>
        </w:rPr>
        <w:t>South West</w:t>
      </w:r>
      <w:proofErr w:type="gramEnd"/>
      <w:r w:rsidRPr="00735726">
        <w:rPr>
          <w:rFonts w:ascii="Arial" w:hAnsi="Arial" w:cs="Arial"/>
          <w:sz w:val="16"/>
          <w:szCs w:val="28"/>
        </w:rPr>
        <w:t xml:space="preserve"> Water from the same date</w:t>
      </w:r>
      <w:r w:rsidR="00094D24" w:rsidRPr="00735726">
        <w:rPr>
          <w:rFonts w:ascii="Arial" w:hAnsi="Arial" w:cs="Arial"/>
          <w:sz w:val="16"/>
          <w:szCs w:val="28"/>
        </w:rPr>
        <w:t>.</w:t>
      </w:r>
      <w:r w:rsidRPr="00735726">
        <w:rPr>
          <w:rFonts w:ascii="Arial" w:hAnsi="Arial" w:cs="Arial"/>
          <w:sz w:val="16"/>
          <w:szCs w:val="28"/>
        </w:rPr>
        <w:t xml:space="preserve"> The fixed pay figures shown in the table are </w:t>
      </w:r>
      <w:proofErr w:type="gramStart"/>
      <w:r w:rsidRPr="00735726">
        <w:rPr>
          <w:rFonts w:ascii="Arial" w:hAnsi="Arial" w:cs="Arial"/>
          <w:sz w:val="16"/>
          <w:szCs w:val="28"/>
        </w:rPr>
        <w:t>those re-chargeable</w:t>
      </w:r>
      <w:proofErr w:type="gramEnd"/>
      <w:r w:rsidRPr="00735726">
        <w:rPr>
          <w:rFonts w:ascii="Arial" w:hAnsi="Arial" w:cs="Arial"/>
          <w:sz w:val="16"/>
          <w:szCs w:val="28"/>
        </w:rPr>
        <w:t xml:space="preserve"> to </w:t>
      </w:r>
      <w:proofErr w:type="gramStart"/>
      <w:r w:rsidRPr="00735726">
        <w:rPr>
          <w:rFonts w:ascii="Arial" w:hAnsi="Arial" w:cs="Arial"/>
          <w:sz w:val="16"/>
          <w:szCs w:val="28"/>
        </w:rPr>
        <w:t>South West</w:t>
      </w:r>
      <w:proofErr w:type="gramEnd"/>
      <w:r w:rsidRPr="00735726">
        <w:rPr>
          <w:rFonts w:ascii="Arial" w:hAnsi="Arial" w:cs="Arial"/>
          <w:sz w:val="16"/>
          <w:szCs w:val="28"/>
        </w:rPr>
        <w:t xml:space="preserve"> Water through Group re-charges (70% of fixed remuneration). Reflecting the nature of their Group position all subsidiaries receive a cross-charge for fixed remuneration. All variable incentives are fully funded by Pennon Group. The full single total figure of remuneration table is shown on page </w:t>
      </w:r>
      <w:r w:rsidR="000D5F17" w:rsidRPr="009A2CAE">
        <w:rPr>
          <w:rFonts w:ascii="Arial" w:hAnsi="Arial" w:cs="Arial"/>
          <w:sz w:val="16"/>
          <w:szCs w:val="28"/>
        </w:rPr>
        <w:t>137</w:t>
      </w:r>
      <w:r w:rsidRPr="009A2CAE">
        <w:rPr>
          <w:rFonts w:ascii="Arial" w:hAnsi="Arial" w:cs="Arial"/>
          <w:sz w:val="16"/>
          <w:szCs w:val="28"/>
        </w:rPr>
        <w:t xml:space="preserve"> </w:t>
      </w:r>
      <w:r w:rsidRPr="00735726">
        <w:rPr>
          <w:rFonts w:ascii="Arial" w:hAnsi="Arial" w:cs="Arial"/>
          <w:sz w:val="16"/>
          <w:szCs w:val="28"/>
        </w:rPr>
        <w:t>of the Pennon Group plc Annual Report and Accounts 2026</w:t>
      </w:r>
      <w:r w:rsidR="007B3943" w:rsidRPr="00735726">
        <w:rPr>
          <w:rFonts w:ascii="Arial" w:hAnsi="Arial" w:cs="Arial"/>
          <w:sz w:val="16"/>
          <w:szCs w:val="28"/>
        </w:rPr>
        <w:t>.</w:t>
      </w:r>
      <w:r w:rsidRPr="00735726">
        <w:rPr>
          <w:rFonts w:ascii="Arial" w:hAnsi="Arial" w:cs="Arial"/>
          <w:sz w:val="16"/>
          <w:szCs w:val="28"/>
        </w:rPr>
        <w:t xml:space="preserve"> </w:t>
      </w:r>
    </w:p>
    <w:p w14:paraId="515F56E0" w14:textId="533CF9F2" w:rsidR="00704B58" w:rsidRPr="00735726" w:rsidRDefault="00704B58" w:rsidP="00704B58">
      <w:pPr>
        <w:pStyle w:val="ListParagraph"/>
        <w:widowControl w:val="0"/>
        <w:numPr>
          <w:ilvl w:val="0"/>
          <w:numId w:val="121"/>
        </w:numPr>
        <w:tabs>
          <w:tab w:val="left" w:pos="851"/>
        </w:tabs>
        <w:autoSpaceDE w:val="0"/>
        <w:autoSpaceDN w:val="0"/>
        <w:spacing w:before="49" w:after="0" w:line="240" w:lineRule="auto"/>
        <w:ind w:right="95"/>
        <w:contextualSpacing w:val="0"/>
        <w:rPr>
          <w:rFonts w:ascii="Arial" w:hAnsi="Arial" w:cs="Arial"/>
          <w:sz w:val="16"/>
          <w:szCs w:val="28"/>
        </w:rPr>
      </w:pPr>
      <w:r w:rsidRPr="00735726">
        <w:rPr>
          <w:rFonts w:ascii="Arial" w:hAnsi="Arial" w:cs="Arial"/>
          <w:sz w:val="16"/>
          <w:szCs w:val="28"/>
        </w:rPr>
        <w:t xml:space="preserve">Susan Davy stepped down from the </w:t>
      </w:r>
      <w:r w:rsidR="007B3943" w:rsidRPr="00735726">
        <w:rPr>
          <w:rFonts w:ascii="Arial" w:hAnsi="Arial" w:cs="Arial"/>
          <w:sz w:val="16"/>
          <w:szCs w:val="28"/>
        </w:rPr>
        <w:t>B</w:t>
      </w:r>
      <w:r w:rsidRPr="00735726">
        <w:rPr>
          <w:rFonts w:ascii="Arial" w:hAnsi="Arial" w:cs="Arial"/>
          <w:sz w:val="16"/>
          <w:szCs w:val="28"/>
        </w:rPr>
        <w:t>oard and retired as Chief Executive Officer on 31 December 2025. Her departure arrangements are detailed</w:t>
      </w:r>
      <w:r w:rsidR="000D5F17" w:rsidRPr="00735726">
        <w:rPr>
          <w:rFonts w:ascii="Arial" w:hAnsi="Arial" w:cs="Arial"/>
          <w:sz w:val="16"/>
          <w:szCs w:val="28"/>
        </w:rPr>
        <w:t xml:space="preserve"> in the Pennon Group plc Annual Report and Accounts</w:t>
      </w:r>
      <w:r w:rsidRPr="00735726">
        <w:rPr>
          <w:rFonts w:ascii="Arial" w:hAnsi="Arial" w:cs="Arial"/>
          <w:sz w:val="16"/>
          <w:szCs w:val="28"/>
        </w:rPr>
        <w:t xml:space="preserve"> on page </w:t>
      </w:r>
      <w:r w:rsidR="000D5F17" w:rsidRPr="009A2CAE">
        <w:rPr>
          <w:rFonts w:ascii="Arial" w:hAnsi="Arial" w:cs="Arial"/>
          <w:sz w:val="16"/>
          <w:szCs w:val="28"/>
        </w:rPr>
        <w:t>142</w:t>
      </w:r>
      <w:r w:rsidRPr="009A2CAE">
        <w:rPr>
          <w:rFonts w:ascii="Arial" w:hAnsi="Arial" w:cs="Arial"/>
          <w:sz w:val="16"/>
          <w:szCs w:val="28"/>
        </w:rPr>
        <w:t xml:space="preserve">, </w:t>
      </w:r>
      <w:r w:rsidRPr="00735726">
        <w:rPr>
          <w:rFonts w:ascii="Arial" w:hAnsi="Arial" w:cs="Arial"/>
          <w:sz w:val="16"/>
          <w:szCs w:val="28"/>
        </w:rPr>
        <w:t xml:space="preserve">and these arrangements are funded by Pennon Group. The fixed pay figures shown in the table are </w:t>
      </w:r>
      <w:proofErr w:type="gramStart"/>
      <w:r w:rsidRPr="00735726">
        <w:rPr>
          <w:rFonts w:ascii="Arial" w:hAnsi="Arial" w:cs="Arial"/>
          <w:sz w:val="16"/>
          <w:szCs w:val="28"/>
        </w:rPr>
        <w:t>those re-chargeable</w:t>
      </w:r>
      <w:proofErr w:type="gramEnd"/>
      <w:r w:rsidRPr="00735726">
        <w:rPr>
          <w:rFonts w:ascii="Arial" w:hAnsi="Arial" w:cs="Arial"/>
          <w:sz w:val="16"/>
          <w:szCs w:val="28"/>
        </w:rPr>
        <w:t xml:space="preserve"> to </w:t>
      </w:r>
      <w:proofErr w:type="gramStart"/>
      <w:r w:rsidRPr="00735726">
        <w:rPr>
          <w:rFonts w:ascii="Arial" w:hAnsi="Arial" w:cs="Arial"/>
          <w:sz w:val="16"/>
          <w:szCs w:val="28"/>
        </w:rPr>
        <w:t>South West</w:t>
      </w:r>
      <w:proofErr w:type="gramEnd"/>
      <w:r w:rsidRPr="00735726">
        <w:rPr>
          <w:rFonts w:ascii="Arial" w:hAnsi="Arial" w:cs="Arial"/>
          <w:sz w:val="16"/>
          <w:szCs w:val="28"/>
        </w:rPr>
        <w:t xml:space="preserve"> Water through Group re-charges (70% of fixed remuneration). Reflecting the nature of their Group position all subsidiaries receive a cross-charge for fixed remuneration. All variable incentives are fully funded by Pennon Group. The full single total figure of remuneration table is shown on page </w:t>
      </w:r>
      <w:r w:rsidR="000D5F17" w:rsidRPr="009A2CAE">
        <w:rPr>
          <w:rFonts w:ascii="Arial" w:hAnsi="Arial" w:cs="Arial"/>
          <w:sz w:val="16"/>
          <w:szCs w:val="28"/>
        </w:rPr>
        <w:t>137</w:t>
      </w:r>
      <w:r w:rsidRPr="009A2CAE">
        <w:rPr>
          <w:rFonts w:ascii="Arial" w:hAnsi="Arial" w:cs="Arial"/>
          <w:sz w:val="16"/>
          <w:szCs w:val="28"/>
        </w:rPr>
        <w:t xml:space="preserve"> </w:t>
      </w:r>
      <w:r w:rsidRPr="00735726">
        <w:rPr>
          <w:rFonts w:ascii="Arial" w:hAnsi="Arial" w:cs="Arial"/>
          <w:sz w:val="16"/>
          <w:szCs w:val="28"/>
        </w:rPr>
        <w:t xml:space="preserve">of the Pennon Group plc Annual Report and Accounts 2026. Keith Haslett joined Pennon on 1 April 2026 as Chief Executive Officer, and his joining arrangements are detailed on page </w:t>
      </w:r>
      <w:r w:rsidR="000D5F17" w:rsidRPr="009A2CAE">
        <w:rPr>
          <w:rFonts w:ascii="Arial" w:hAnsi="Arial" w:cs="Arial"/>
          <w:sz w:val="16"/>
          <w:szCs w:val="28"/>
        </w:rPr>
        <w:t>142</w:t>
      </w:r>
      <w:r w:rsidRPr="00735726">
        <w:rPr>
          <w:rFonts w:ascii="Arial" w:hAnsi="Arial" w:cs="Arial"/>
          <w:sz w:val="16"/>
          <w:szCs w:val="28"/>
        </w:rPr>
        <w:t xml:space="preserve"> of the Pennon Group plc Annual Report and Accounts 2026. These arrangements are funded by Pennon Group.</w:t>
      </w:r>
    </w:p>
    <w:p w14:paraId="5194B3A1" w14:textId="77777777" w:rsidR="00704B58" w:rsidRPr="00735726" w:rsidRDefault="00704B58" w:rsidP="00704B58">
      <w:pPr>
        <w:pStyle w:val="ListParagraph"/>
        <w:widowControl w:val="0"/>
        <w:numPr>
          <w:ilvl w:val="0"/>
          <w:numId w:val="121"/>
        </w:numPr>
        <w:tabs>
          <w:tab w:val="left" w:pos="851"/>
        </w:tabs>
        <w:autoSpaceDE w:val="0"/>
        <w:autoSpaceDN w:val="0"/>
        <w:spacing w:before="49" w:after="0" w:line="240" w:lineRule="auto"/>
        <w:ind w:left="714" w:right="95" w:hanging="357"/>
        <w:contextualSpacing w:val="0"/>
        <w:rPr>
          <w:rFonts w:ascii="Arial" w:hAnsi="Arial" w:cs="Arial"/>
          <w:sz w:val="16"/>
          <w:szCs w:val="28"/>
        </w:rPr>
      </w:pPr>
      <w:r w:rsidRPr="00735726">
        <w:rPr>
          <w:rFonts w:ascii="Arial" w:hAnsi="Arial" w:cs="Arial"/>
          <w:sz w:val="16"/>
          <w:szCs w:val="28"/>
        </w:rPr>
        <w:t xml:space="preserve">Benefits comprise a car allowance, fuel allowance and medical insurance. Following a risk assessment of personal security for Susan Davy, the Committee determined that additional security measures were necessary. To facilitate this, the Committee approved a personal security related allowance to be paid in two instalments, the first tranche is included above. </w:t>
      </w:r>
    </w:p>
    <w:p w14:paraId="50BC02AD" w14:textId="24F13423" w:rsidR="00704B58" w:rsidRPr="00735726" w:rsidRDefault="00704B58" w:rsidP="00704B58">
      <w:pPr>
        <w:pStyle w:val="ListParagraph"/>
        <w:widowControl w:val="0"/>
        <w:numPr>
          <w:ilvl w:val="0"/>
          <w:numId w:val="121"/>
        </w:numPr>
        <w:tabs>
          <w:tab w:val="left" w:pos="851"/>
        </w:tabs>
        <w:autoSpaceDE w:val="0"/>
        <w:autoSpaceDN w:val="0"/>
        <w:spacing w:before="49" w:after="0" w:line="240" w:lineRule="auto"/>
        <w:ind w:left="714" w:hanging="357"/>
        <w:contextualSpacing w:val="0"/>
        <w:rPr>
          <w:rFonts w:ascii="Arial" w:hAnsi="Arial" w:cs="Arial"/>
          <w:sz w:val="16"/>
          <w:szCs w:val="28"/>
        </w:rPr>
      </w:pPr>
      <w:r w:rsidRPr="00735726">
        <w:rPr>
          <w:rFonts w:ascii="Arial" w:hAnsi="Arial" w:cs="Arial"/>
          <w:sz w:val="16"/>
          <w:szCs w:val="28"/>
        </w:rPr>
        <w:t xml:space="preserve">For 2024/25, the Committee delayed the bonus payments until there was further clarity on how the Water (Special Measures) Act would be operated in practice. Following further guidance being published by Ofwat, in July the Committee determined it would be appropriate to release these payments. For 2025/26 the Committee determined that a bonus was due, and the LTIP 2023 vested. Further details of the annual bonus and LTIP awarded to the Pennon Group Executive Directors are shown on page </w:t>
      </w:r>
      <w:r w:rsidR="000D5F17" w:rsidRPr="009A2CAE">
        <w:rPr>
          <w:rFonts w:ascii="Arial" w:hAnsi="Arial" w:cs="Arial"/>
          <w:sz w:val="16"/>
          <w:szCs w:val="28"/>
        </w:rPr>
        <w:t>138</w:t>
      </w:r>
      <w:r w:rsidRPr="009A2CAE">
        <w:rPr>
          <w:rFonts w:ascii="Arial" w:hAnsi="Arial" w:cs="Arial"/>
          <w:sz w:val="16"/>
          <w:szCs w:val="28"/>
        </w:rPr>
        <w:t xml:space="preserve"> to </w:t>
      </w:r>
      <w:r w:rsidR="000D5F17" w:rsidRPr="009A2CAE">
        <w:rPr>
          <w:rFonts w:ascii="Arial" w:hAnsi="Arial" w:cs="Arial"/>
          <w:sz w:val="16"/>
          <w:szCs w:val="28"/>
        </w:rPr>
        <w:t>140</w:t>
      </w:r>
      <w:r w:rsidR="004933EF" w:rsidRPr="00735726">
        <w:rPr>
          <w:rFonts w:ascii="Arial" w:hAnsi="Arial" w:cs="Arial"/>
          <w:sz w:val="16"/>
          <w:szCs w:val="28"/>
        </w:rPr>
        <w:t xml:space="preserve"> </w:t>
      </w:r>
      <w:r w:rsidRPr="00735726">
        <w:rPr>
          <w:rFonts w:ascii="Arial" w:hAnsi="Arial" w:cs="Arial"/>
          <w:sz w:val="16"/>
          <w:szCs w:val="28"/>
        </w:rPr>
        <w:t xml:space="preserve">of the Pennon Group plc Annual Report and Accounts 2026. </w:t>
      </w:r>
    </w:p>
    <w:p w14:paraId="175CEC3B" w14:textId="10CA314E" w:rsidR="00704B58" w:rsidRPr="00735726" w:rsidRDefault="00056765" w:rsidP="00704B58">
      <w:pPr>
        <w:spacing w:after="160"/>
        <w:rPr>
          <w:rFonts w:ascii="Arial" w:eastAsia="Times New Roman" w:hAnsi="Arial" w:cs="DINOT-Light"/>
          <w:sz w:val="18"/>
          <w:szCs w:val="18"/>
        </w:rPr>
      </w:pPr>
      <w:r w:rsidRPr="00735726">
        <w:rPr>
          <w:rFonts w:ascii="Arial" w:hAnsi="Arial" w:cs="Arial"/>
          <w:b/>
          <w:bCs/>
          <w:sz w:val="18"/>
          <w:szCs w:val="18"/>
        </w:rPr>
        <w:br/>
      </w:r>
      <w:r w:rsidR="00704B58" w:rsidRPr="00735726">
        <w:rPr>
          <w:rFonts w:ascii="Arial" w:eastAsia="Times New Roman" w:hAnsi="Arial" w:cs="DINOT-Light"/>
          <w:sz w:val="18"/>
          <w:szCs w:val="18"/>
        </w:rPr>
        <w:t>How does the Committee ensure incentives are linked to stretching targets?</w:t>
      </w:r>
    </w:p>
    <w:p w14:paraId="62DF5DFC" w14:textId="29A275D6" w:rsidR="00704B58" w:rsidRPr="00735726" w:rsidRDefault="00704B58" w:rsidP="002B4432">
      <w:pPr>
        <w:pStyle w:val="ListParagraph"/>
        <w:numPr>
          <w:ilvl w:val="0"/>
          <w:numId w:val="123"/>
        </w:numPr>
        <w:spacing w:after="160"/>
        <w:rPr>
          <w:rFonts w:ascii="Arial" w:hAnsi="Arial" w:cs="Arial"/>
          <w:sz w:val="18"/>
          <w:szCs w:val="18"/>
        </w:rPr>
      </w:pPr>
      <w:r w:rsidRPr="00735726">
        <w:rPr>
          <w:rFonts w:ascii="Arial" w:hAnsi="Arial" w:cs="Arial"/>
          <w:b/>
          <w:bCs/>
          <w:sz w:val="18"/>
          <w:szCs w:val="18"/>
        </w:rPr>
        <w:t>Rounded assessment</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 xml:space="preserve">incentive metrics linked to a basket of measures including financial, operational, customer and environmental measures. This means that full payouts require outperformance across all aspects of performance. </w:t>
      </w:r>
    </w:p>
    <w:p w14:paraId="2E25827C" w14:textId="588F5D4B" w:rsidR="00704B58" w:rsidRPr="00735726" w:rsidRDefault="00704B58" w:rsidP="002B4432">
      <w:pPr>
        <w:pStyle w:val="ListParagraph"/>
        <w:numPr>
          <w:ilvl w:val="0"/>
          <w:numId w:val="123"/>
        </w:numPr>
        <w:spacing w:after="160"/>
        <w:rPr>
          <w:rFonts w:ascii="Arial" w:hAnsi="Arial" w:cs="Arial"/>
          <w:sz w:val="18"/>
          <w:szCs w:val="18"/>
        </w:rPr>
      </w:pPr>
      <w:r w:rsidRPr="00735726">
        <w:rPr>
          <w:rFonts w:ascii="Arial" w:hAnsi="Arial" w:cs="Arial"/>
          <w:b/>
          <w:bCs/>
          <w:sz w:val="18"/>
          <w:szCs w:val="18"/>
        </w:rPr>
        <w:t>Link to Ofwat approved business plans</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 xml:space="preserve">incentive targets linked to the regulated entities are derived from the stretching business plans approved by Ofwat. For AMP8, Ofwat once again rated our business plan as “outstanding”. </w:t>
      </w:r>
    </w:p>
    <w:p w14:paraId="700BA523" w14:textId="0EFAFC30" w:rsidR="00704B58" w:rsidRPr="00735726" w:rsidRDefault="00704B58" w:rsidP="00E2265F">
      <w:pPr>
        <w:pStyle w:val="ListParagraph"/>
        <w:numPr>
          <w:ilvl w:val="0"/>
          <w:numId w:val="123"/>
        </w:numPr>
        <w:autoSpaceDE w:val="0"/>
        <w:autoSpaceDN w:val="0"/>
        <w:adjustRightInd w:val="0"/>
        <w:spacing w:after="16"/>
        <w:rPr>
          <w:rFonts w:ascii="Arial" w:hAnsi="Arial" w:cs="Arial"/>
          <w:sz w:val="18"/>
          <w:szCs w:val="18"/>
        </w:rPr>
      </w:pPr>
      <w:r w:rsidRPr="00735726">
        <w:rPr>
          <w:rFonts w:ascii="Arial" w:hAnsi="Arial" w:cs="Arial"/>
          <w:b/>
          <w:bCs/>
          <w:sz w:val="18"/>
          <w:szCs w:val="18"/>
        </w:rPr>
        <w:t>Combination of absolute and relative metrics</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 xml:space="preserve">in addition to the absolute operating metrics, the customer related metrics in the LTIP are assessed on a relative basis, with full vesting requiring upper-quartile performance. </w:t>
      </w:r>
    </w:p>
    <w:p w14:paraId="09CB249B" w14:textId="77CDD925" w:rsidR="00704B58" w:rsidRPr="009A1FFD" w:rsidRDefault="00704B58" w:rsidP="00E2265F">
      <w:pPr>
        <w:pStyle w:val="ListParagraph"/>
        <w:numPr>
          <w:ilvl w:val="0"/>
          <w:numId w:val="123"/>
        </w:numPr>
        <w:autoSpaceDE w:val="0"/>
        <w:autoSpaceDN w:val="0"/>
        <w:adjustRightInd w:val="0"/>
        <w:spacing w:after="0"/>
        <w:rPr>
          <w:rFonts w:ascii="Arial" w:hAnsi="Arial" w:cs="Arial"/>
          <w:sz w:val="18"/>
          <w:szCs w:val="18"/>
        </w:rPr>
      </w:pPr>
      <w:r w:rsidRPr="009A1FFD">
        <w:rPr>
          <w:rFonts w:ascii="Arial" w:hAnsi="Arial" w:cs="Arial"/>
          <w:b/>
          <w:bCs/>
          <w:sz w:val="18"/>
          <w:szCs w:val="18"/>
        </w:rPr>
        <w:lastRenderedPageBreak/>
        <w:t>Financial resilience</w:t>
      </w:r>
      <w:r w:rsidRPr="009A1FFD">
        <w:rPr>
          <w:rFonts w:ascii="Arial" w:hAnsi="Arial" w:cs="Arial"/>
          <w:sz w:val="18"/>
          <w:szCs w:val="18"/>
        </w:rPr>
        <w:t xml:space="preserve"> </w:t>
      </w:r>
      <w:r w:rsidR="006C1BA9">
        <w:rPr>
          <w:rFonts w:ascii="Arial" w:hAnsi="Arial" w:cs="Arial"/>
          <w:sz w:val="18"/>
          <w:szCs w:val="18"/>
        </w:rPr>
        <w:t>-</w:t>
      </w:r>
      <w:r w:rsidR="006C1BA9" w:rsidRPr="009A1FFD">
        <w:rPr>
          <w:rFonts w:ascii="Arial" w:hAnsi="Arial" w:cs="Arial"/>
          <w:sz w:val="18"/>
          <w:szCs w:val="18"/>
        </w:rPr>
        <w:t xml:space="preserve"> </w:t>
      </w:r>
      <w:r w:rsidRPr="009A1FFD">
        <w:rPr>
          <w:rFonts w:ascii="Arial" w:hAnsi="Arial" w:cs="Arial"/>
          <w:sz w:val="18"/>
          <w:szCs w:val="18"/>
        </w:rPr>
        <w:t xml:space="preserve">financial metrics are essential as they enable the </w:t>
      </w:r>
      <w:r w:rsidR="002B4432">
        <w:rPr>
          <w:rFonts w:ascii="Arial" w:hAnsi="Arial" w:cs="Arial"/>
          <w:sz w:val="18"/>
          <w:szCs w:val="18"/>
        </w:rPr>
        <w:t>Company</w:t>
      </w:r>
      <w:r w:rsidR="002B4432" w:rsidRPr="009A1FFD">
        <w:rPr>
          <w:rFonts w:ascii="Arial" w:hAnsi="Arial" w:cs="Arial"/>
          <w:sz w:val="18"/>
          <w:szCs w:val="18"/>
        </w:rPr>
        <w:t xml:space="preserve"> </w:t>
      </w:r>
      <w:r w:rsidRPr="009A1FFD">
        <w:rPr>
          <w:rFonts w:ascii="Arial" w:hAnsi="Arial" w:cs="Arial"/>
          <w:sz w:val="18"/>
          <w:szCs w:val="18"/>
        </w:rPr>
        <w:t xml:space="preserve">to invest in the future and deliver robust and sustainable performance for </w:t>
      </w:r>
      <w:proofErr w:type="gramStart"/>
      <w:r w:rsidRPr="009A1FFD">
        <w:rPr>
          <w:rFonts w:ascii="Arial" w:hAnsi="Arial" w:cs="Arial"/>
          <w:sz w:val="18"/>
          <w:szCs w:val="18"/>
        </w:rPr>
        <w:t>all of</w:t>
      </w:r>
      <w:proofErr w:type="gramEnd"/>
      <w:r w:rsidRPr="009A1FFD">
        <w:rPr>
          <w:rFonts w:ascii="Arial" w:hAnsi="Arial" w:cs="Arial"/>
          <w:sz w:val="18"/>
          <w:szCs w:val="18"/>
        </w:rPr>
        <w:t xml:space="preserve"> our stakeholders. Full payouts on financial metrics require delivery of stretching goals. </w:t>
      </w:r>
    </w:p>
    <w:p w14:paraId="408B8AD5" w14:textId="77777777" w:rsidR="00704B58" w:rsidRPr="00D636C2" w:rsidRDefault="00704B58" w:rsidP="00D636C2">
      <w:pPr>
        <w:pStyle w:val="BodyText"/>
        <w:spacing w:before="59" w:line="276" w:lineRule="auto"/>
        <w:ind w:right="-46"/>
        <w:rPr>
          <w:rFonts w:eastAsia="Times New Roman"/>
          <w:b/>
          <w:bCs/>
          <w:caps/>
          <w:color w:val="000000"/>
        </w:rPr>
      </w:pPr>
    </w:p>
    <w:p w14:paraId="698417BC" w14:textId="77777777" w:rsidR="00E46DAC" w:rsidRPr="00735726" w:rsidRDefault="00E46DAC" w:rsidP="00D636C2">
      <w:pPr>
        <w:pStyle w:val="BodyText"/>
      </w:pPr>
      <w:r w:rsidRPr="00735726">
        <w:rPr>
          <w:rFonts w:ascii="Arial" w:eastAsia="Times New Roman" w:hAnsi="Arial" w:cs="Arial"/>
          <w:b/>
          <w:bCs/>
          <w:caps/>
          <w:color w:val="000000"/>
          <w:spacing w:val="0"/>
          <w:lang w:eastAsia="en-US"/>
        </w:rPr>
        <w:t>WIDER WORKFORCE REMUNERATION</w:t>
      </w:r>
    </w:p>
    <w:p w14:paraId="0B8F68C8" w14:textId="77777777" w:rsidR="00E46DAC"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We continue to prioritise fair and competitive pay for our front-line colleagues, particularly at a time when the financial environment remains challenging. We believe this is the right approach, both for our people and for the long-term success of the business. </w:t>
      </w:r>
    </w:p>
    <w:p w14:paraId="17B38033" w14:textId="77777777" w:rsidR="00E46DAC" w:rsidRPr="00735726" w:rsidRDefault="00E46DAC" w:rsidP="00E46DAC">
      <w:pPr>
        <w:pStyle w:val="Headinglevel4"/>
        <w:spacing w:line="276" w:lineRule="auto"/>
        <w:outlineLvl w:val="0"/>
        <w:rPr>
          <w:rFonts w:eastAsiaTheme="minorHAnsi"/>
          <w:b w:val="0"/>
          <w:bCs w:val="0"/>
          <w:caps w:val="0"/>
          <w:color w:val="auto"/>
        </w:rPr>
      </w:pPr>
    </w:p>
    <w:p w14:paraId="5C49D933" w14:textId="77777777" w:rsidR="00E46DAC"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We are proud to be an accredited Living Wage Foundation employer, with </w:t>
      </w:r>
      <w:proofErr w:type="gramStart"/>
      <w:r w:rsidRPr="00735726">
        <w:rPr>
          <w:rFonts w:eastAsiaTheme="minorHAnsi"/>
          <w:b w:val="0"/>
          <w:bCs w:val="0"/>
          <w:caps w:val="0"/>
          <w:color w:val="auto"/>
        </w:rPr>
        <w:t>the majority of</w:t>
      </w:r>
      <w:proofErr w:type="gramEnd"/>
      <w:r w:rsidRPr="00735726">
        <w:rPr>
          <w:rFonts w:eastAsiaTheme="minorHAnsi"/>
          <w:b w:val="0"/>
          <w:bCs w:val="0"/>
          <w:caps w:val="0"/>
          <w:color w:val="auto"/>
        </w:rPr>
        <w:t xml:space="preserve"> our workforce covered since 2021. In 2026, most colleagues received a pay increase of 4.5%, and our minimum hourly rate has increased to £13.95 around £1,000 per year higher than the real Living Wage. This reflects our ambition to remain an employer of choice.</w:t>
      </w:r>
    </w:p>
    <w:p w14:paraId="181E6DF8" w14:textId="77777777" w:rsidR="00E46DAC" w:rsidRPr="00735726" w:rsidRDefault="00E46DAC" w:rsidP="00E46DAC">
      <w:pPr>
        <w:pStyle w:val="Headinglevel4"/>
        <w:spacing w:line="276" w:lineRule="auto"/>
        <w:outlineLvl w:val="0"/>
        <w:rPr>
          <w:rFonts w:eastAsiaTheme="minorHAnsi"/>
          <w:b w:val="0"/>
          <w:bCs w:val="0"/>
          <w:caps w:val="0"/>
          <w:color w:val="auto"/>
        </w:rPr>
      </w:pPr>
    </w:p>
    <w:p w14:paraId="626D80E8" w14:textId="26D5BFE5" w:rsidR="00E46DAC"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Our overall approach to reward continues to evolve alongside the </w:t>
      </w:r>
      <w:r w:rsidR="00287C58" w:rsidRPr="00735726">
        <w:rPr>
          <w:rFonts w:eastAsiaTheme="minorHAnsi"/>
          <w:b w:val="0"/>
          <w:bCs w:val="0"/>
          <w:caps w:val="0"/>
          <w:color w:val="auto"/>
        </w:rPr>
        <w:t>Company</w:t>
      </w:r>
      <w:r w:rsidRPr="00735726">
        <w:rPr>
          <w:rFonts w:eastAsiaTheme="minorHAnsi"/>
          <w:b w:val="0"/>
          <w:bCs w:val="0"/>
          <w:caps w:val="0"/>
          <w:color w:val="auto"/>
        </w:rPr>
        <w:t xml:space="preserve">. As the business has grown through acquisitions and now operates across more locations, we have focused on ensuring our reward offering remains relevant, competitive and inclusive. This year, we have: </w:t>
      </w:r>
    </w:p>
    <w:p w14:paraId="1DF73EDE" w14:textId="77777777" w:rsidR="00E46DAC" w:rsidRPr="00735726" w:rsidRDefault="00E46DAC" w:rsidP="00E46DAC">
      <w:pPr>
        <w:pStyle w:val="Headinglevel4"/>
        <w:spacing w:line="276" w:lineRule="auto"/>
        <w:outlineLvl w:val="0"/>
        <w:rPr>
          <w:rFonts w:eastAsiaTheme="minorHAnsi"/>
          <w:b w:val="0"/>
          <w:bCs w:val="0"/>
          <w:caps w:val="0"/>
          <w:color w:val="auto"/>
        </w:rPr>
      </w:pPr>
    </w:p>
    <w:p w14:paraId="3133846B" w14:textId="77777777" w:rsidR="00E46DAC" w:rsidRPr="00735726" w:rsidRDefault="00E46DAC" w:rsidP="00E46DAC">
      <w:pPr>
        <w:pStyle w:val="Headinglevel4"/>
        <w:numPr>
          <w:ilvl w:val="0"/>
          <w:numId w:val="122"/>
        </w:numPr>
        <w:spacing w:line="276" w:lineRule="auto"/>
        <w:outlineLvl w:val="0"/>
        <w:rPr>
          <w:rFonts w:eastAsiaTheme="minorHAnsi"/>
          <w:b w:val="0"/>
          <w:bCs w:val="0"/>
          <w:caps w:val="0"/>
          <w:color w:val="auto"/>
        </w:rPr>
      </w:pPr>
      <w:r w:rsidRPr="00735726">
        <w:rPr>
          <w:rFonts w:eastAsiaTheme="minorHAnsi"/>
          <w:b w:val="0"/>
          <w:bCs w:val="0"/>
          <w:caps w:val="0"/>
          <w:color w:val="auto"/>
        </w:rPr>
        <w:t xml:space="preserve">Refreshed our reward and recognition programmes </w:t>
      </w:r>
    </w:p>
    <w:p w14:paraId="206BD870" w14:textId="77777777" w:rsidR="00E46DAC" w:rsidRPr="00735726" w:rsidRDefault="00E46DAC" w:rsidP="00E46DAC">
      <w:pPr>
        <w:pStyle w:val="Headinglevel4"/>
        <w:numPr>
          <w:ilvl w:val="0"/>
          <w:numId w:val="122"/>
        </w:numPr>
        <w:spacing w:line="276" w:lineRule="auto"/>
        <w:outlineLvl w:val="0"/>
        <w:rPr>
          <w:rFonts w:eastAsiaTheme="minorHAnsi"/>
          <w:b w:val="0"/>
          <w:bCs w:val="0"/>
          <w:caps w:val="0"/>
          <w:color w:val="auto"/>
        </w:rPr>
      </w:pPr>
      <w:r w:rsidRPr="00735726">
        <w:rPr>
          <w:rFonts w:eastAsiaTheme="minorHAnsi"/>
          <w:b w:val="0"/>
          <w:bCs w:val="0"/>
          <w:caps w:val="0"/>
          <w:color w:val="auto"/>
        </w:rPr>
        <w:t xml:space="preserve">Enhanced our all-employee share plans by introducing matching shares </w:t>
      </w:r>
    </w:p>
    <w:p w14:paraId="645AF2D0" w14:textId="77777777" w:rsidR="00E46DAC" w:rsidRPr="00735726" w:rsidRDefault="00E46DAC" w:rsidP="00E46DAC">
      <w:pPr>
        <w:pStyle w:val="Headinglevel4"/>
        <w:numPr>
          <w:ilvl w:val="0"/>
          <w:numId w:val="122"/>
        </w:numPr>
        <w:spacing w:line="276" w:lineRule="auto"/>
        <w:outlineLvl w:val="0"/>
        <w:rPr>
          <w:rFonts w:eastAsiaTheme="minorHAnsi"/>
          <w:b w:val="0"/>
          <w:bCs w:val="0"/>
          <w:caps w:val="0"/>
          <w:color w:val="auto"/>
        </w:rPr>
      </w:pPr>
      <w:r w:rsidRPr="00735726">
        <w:rPr>
          <w:rFonts w:eastAsiaTheme="minorHAnsi"/>
          <w:b w:val="0"/>
          <w:bCs w:val="0"/>
          <w:caps w:val="0"/>
          <w:color w:val="auto"/>
        </w:rPr>
        <w:t xml:space="preserve">Increased flexibility in benefits, giving colleagues more choice over options that suit their lifestyles </w:t>
      </w:r>
    </w:p>
    <w:p w14:paraId="18503110" w14:textId="77777777" w:rsidR="00056765" w:rsidRPr="00735726" w:rsidRDefault="00056765" w:rsidP="00056765">
      <w:pPr>
        <w:pStyle w:val="Headinglevel4"/>
        <w:spacing w:line="276" w:lineRule="auto"/>
        <w:outlineLvl w:val="0"/>
        <w:rPr>
          <w:rFonts w:eastAsiaTheme="minorHAnsi"/>
          <w:b w:val="0"/>
          <w:bCs w:val="0"/>
          <w:caps w:val="0"/>
          <w:color w:val="auto"/>
        </w:rPr>
      </w:pPr>
    </w:p>
    <w:p w14:paraId="10220343" w14:textId="30571869" w:rsidR="00E46DAC" w:rsidRPr="00735726" w:rsidRDefault="00E46DAC" w:rsidP="00D636C2">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We also continue to offer strong pension provision and enhanced life assurance benefits. </w:t>
      </w:r>
    </w:p>
    <w:p w14:paraId="03E3D1D3" w14:textId="77777777" w:rsidR="00E46DAC" w:rsidRPr="00735726" w:rsidRDefault="00E46DAC" w:rsidP="00E46DAC">
      <w:pPr>
        <w:pStyle w:val="Headinglevel4"/>
        <w:spacing w:line="276" w:lineRule="auto"/>
        <w:ind w:left="720"/>
        <w:outlineLvl w:val="0"/>
        <w:rPr>
          <w:rFonts w:eastAsiaTheme="minorHAnsi"/>
          <w:b w:val="0"/>
          <w:bCs w:val="0"/>
          <w:caps w:val="0"/>
          <w:color w:val="auto"/>
        </w:rPr>
      </w:pPr>
    </w:p>
    <w:p w14:paraId="55F52CC5" w14:textId="40FA6F96" w:rsidR="00E46DAC"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We are committed to ensuring that performance-related pay is meaningful and clearly linked to outcomes. This means rewarding colleagues when they deliver for our customers, communities</w:t>
      </w:r>
      <w:r w:rsidR="00287C58" w:rsidRPr="00735726">
        <w:rPr>
          <w:rFonts w:eastAsiaTheme="minorHAnsi"/>
          <w:b w:val="0"/>
          <w:bCs w:val="0"/>
          <w:caps w:val="0"/>
          <w:color w:val="auto"/>
        </w:rPr>
        <w:t xml:space="preserve"> </w:t>
      </w:r>
      <w:r w:rsidRPr="00735726">
        <w:rPr>
          <w:rFonts w:eastAsiaTheme="minorHAnsi"/>
          <w:b w:val="0"/>
          <w:bCs w:val="0"/>
          <w:caps w:val="0"/>
          <w:color w:val="auto"/>
        </w:rPr>
        <w:t xml:space="preserve">and the environment all aligned with our </w:t>
      </w:r>
      <w:r w:rsidR="00287C58" w:rsidRPr="00735726">
        <w:rPr>
          <w:rFonts w:eastAsiaTheme="minorHAnsi"/>
          <w:b w:val="0"/>
          <w:bCs w:val="0"/>
          <w:caps w:val="0"/>
          <w:color w:val="auto"/>
        </w:rPr>
        <w:t>Company</w:t>
      </w:r>
      <w:r w:rsidRPr="00735726">
        <w:rPr>
          <w:rFonts w:eastAsiaTheme="minorHAnsi"/>
          <w:b w:val="0"/>
          <w:bCs w:val="0"/>
          <w:caps w:val="0"/>
          <w:color w:val="auto"/>
        </w:rPr>
        <w:t xml:space="preserve"> values. For senior managers, there is also a continued focus on building share ownership, strengthening alignment with the long-term success of the business. </w:t>
      </w:r>
    </w:p>
    <w:p w14:paraId="39C36658" w14:textId="77777777" w:rsidR="00E46DAC" w:rsidRPr="00735726" w:rsidRDefault="00E46DAC" w:rsidP="00E46DAC">
      <w:pPr>
        <w:pStyle w:val="Headinglevel4"/>
        <w:spacing w:line="276" w:lineRule="auto"/>
        <w:outlineLvl w:val="0"/>
        <w:rPr>
          <w:rFonts w:eastAsiaTheme="minorHAnsi"/>
          <w:b w:val="0"/>
          <w:bCs w:val="0"/>
          <w:caps w:val="0"/>
          <w:color w:val="auto"/>
        </w:rPr>
      </w:pPr>
    </w:p>
    <w:p w14:paraId="183A2393" w14:textId="184AEED8" w:rsidR="00E46DAC"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Encouragingly, our share schemes remain popular, with around </w:t>
      </w:r>
      <w:r w:rsidR="00287C58" w:rsidRPr="00735726">
        <w:rPr>
          <w:rFonts w:eastAsiaTheme="minorHAnsi"/>
          <w:b w:val="0"/>
          <w:bCs w:val="0"/>
          <w:caps w:val="0"/>
          <w:color w:val="auto"/>
        </w:rPr>
        <w:t>34</w:t>
      </w:r>
      <w:r w:rsidRPr="00735726">
        <w:rPr>
          <w:rFonts w:eastAsiaTheme="minorHAnsi"/>
          <w:b w:val="0"/>
          <w:bCs w:val="0"/>
          <w:caps w:val="0"/>
          <w:color w:val="auto"/>
        </w:rPr>
        <w:t xml:space="preserve">% of colleagues participating in either </w:t>
      </w:r>
      <w:proofErr w:type="spellStart"/>
      <w:r w:rsidRPr="00735726">
        <w:rPr>
          <w:rFonts w:eastAsiaTheme="minorHAnsi"/>
          <w:b w:val="0"/>
          <w:bCs w:val="0"/>
          <w:caps w:val="0"/>
          <w:color w:val="auto"/>
        </w:rPr>
        <w:t>ShareSave</w:t>
      </w:r>
      <w:proofErr w:type="spellEnd"/>
      <w:r w:rsidRPr="00735726">
        <w:rPr>
          <w:rFonts w:eastAsiaTheme="minorHAnsi"/>
          <w:b w:val="0"/>
          <w:bCs w:val="0"/>
          <w:caps w:val="0"/>
          <w:color w:val="auto"/>
        </w:rPr>
        <w:t xml:space="preserve"> or our enhanced share plan, </w:t>
      </w:r>
      <w:proofErr w:type="spellStart"/>
      <w:r w:rsidRPr="00735726">
        <w:rPr>
          <w:rFonts w:eastAsiaTheme="minorHAnsi"/>
          <w:b w:val="0"/>
          <w:bCs w:val="0"/>
          <w:caps w:val="0"/>
          <w:color w:val="auto"/>
        </w:rPr>
        <w:t>ExtraShare</w:t>
      </w:r>
      <w:proofErr w:type="spellEnd"/>
      <w:r w:rsidRPr="00735726">
        <w:rPr>
          <w:rFonts w:eastAsiaTheme="minorHAnsi"/>
          <w:b w:val="0"/>
          <w:bCs w:val="0"/>
          <w:caps w:val="0"/>
          <w:color w:val="auto"/>
        </w:rPr>
        <w:t>.</w:t>
      </w:r>
    </w:p>
    <w:p w14:paraId="09737D92" w14:textId="77777777" w:rsidR="00E46DAC" w:rsidRPr="009A2CAE" w:rsidRDefault="00E46DAC" w:rsidP="00E46DAC">
      <w:pPr>
        <w:pStyle w:val="Headinglevel4"/>
        <w:spacing w:line="276" w:lineRule="auto"/>
        <w:outlineLvl w:val="0"/>
      </w:pPr>
    </w:p>
    <w:p w14:paraId="2EA5023D" w14:textId="77777777" w:rsidR="00E46DAC" w:rsidRPr="00735726" w:rsidRDefault="00E46DAC" w:rsidP="00E46DAC">
      <w:pPr>
        <w:pStyle w:val="Headinglevel4"/>
        <w:spacing w:line="276" w:lineRule="auto"/>
        <w:outlineLvl w:val="0"/>
      </w:pPr>
      <w:r w:rsidRPr="00735726">
        <w:t xml:space="preserve">Gender and Ethnicity pay reporting </w:t>
      </w:r>
    </w:p>
    <w:p w14:paraId="0E5BDC48" w14:textId="77777777" w:rsidR="00056765"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We recognise our duty to contribute positively to society by cultivating an environment that promotes social mobility, prioritises diversity and inclusion, and ensures equitable treatment for all employees. Our aspiration is to become the Employer of Choice across our region, where trust is paramount, and every individual is valued for their contributions. Transparency lies at the heart of our commitment to diversity and inclusion. </w:t>
      </w:r>
    </w:p>
    <w:p w14:paraId="7C5B6B9B" w14:textId="77777777" w:rsidR="00056765" w:rsidRPr="00735726" w:rsidRDefault="00056765" w:rsidP="00E46DAC">
      <w:pPr>
        <w:pStyle w:val="Headinglevel4"/>
        <w:spacing w:line="276" w:lineRule="auto"/>
        <w:outlineLvl w:val="0"/>
        <w:rPr>
          <w:rFonts w:eastAsiaTheme="minorHAnsi"/>
          <w:b w:val="0"/>
          <w:bCs w:val="0"/>
          <w:caps w:val="0"/>
          <w:color w:val="auto"/>
        </w:rPr>
      </w:pPr>
    </w:p>
    <w:p w14:paraId="0B539A7B" w14:textId="673BCE04" w:rsidR="00E46DAC"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Reporting serves as a vital instrument in our journey towards openness, allowing us to candidly assess the gender and ethnic diversity within our workforce. Moreover, it enables us to share the proactive measures we have implemented and will continue to pursue to enhance diversity across all levels and roles within our organisation. We understand that fostering an inclusive workplace is imperative not only for attracting talent but also for retaining our valued colleagues and because it is the right thing to do.</w:t>
      </w:r>
    </w:p>
    <w:p w14:paraId="215A1CA1" w14:textId="77777777" w:rsidR="00E46DAC" w:rsidRPr="00735726" w:rsidRDefault="00E46DAC" w:rsidP="00E46DAC">
      <w:pPr>
        <w:pStyle w:val="Headinglevel4"/>
        <w:spacing w:line="276" w:lineRule="auto"/>
        <w:outlineLvl w:val="0"/>
        <w:rPr>
          <w:rFonts w:eastAsiaTheme="minorHAnsi"/>
          <w:b w:val="0"/>
          <w:bCs w:val="0"/>
          <w:caps w:val="0"/>
          <w:color w:val="auto"/>
        </w:rPr>
      </w:pPr>
    </w:p>
    <w:p w14:paraId="19090BF5" w14:textId="77777777" w:rsidR="00E46DAC"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We have voluntarily published our Ethnicity Pay Gap data since 2023. The results reflect our journey in building representation of ethnic minority groups and gender diversity, noting that the </w:t>
      </w:r>
      <w:proofErr w:type="gramStart"/>
      <w:r w:rsidRPr="00735726">
        <w:rPr>
          <w:rFonts w:eastAsiaTheme="minorHAnsi"/>
          <w:b w:val="0"/>
          <w:bCs w:val="0"/>
          <w:caps w:val="0"/>
          <w:color w:val="auto"/>
        </w:rPr>
        <w:t>South West</w:t>
      </w:r>
      <w:proofErr w:type="gramEnd"/>
      <w:r w:rsidRPr="00735726">
        <w:rPr>
          <w:rFonts w:eastAsiaTheme="minorHAnsi"/>
          <w:b w:val="0"/>
          <w:bCs w:val="0"/>
          <w:caps w:val="0"/>
          <w:color w:val="auto"/>
        </w:rPr>
        <w:t xml:space="preserve">, has a lower diversity mix than other parts of the UK. </w:t>
      </w:r>
    </w:p>
    <w:p w14:paraId="0B1C63B7" w14:textId="77777777" w:rsidR="00E46DAC" w:rsidRPr="00735726" w:rsidRDefault="00E46DAC" w:rsidP="00E46DAC">
      <w:pPr>
        <w:pStyle w:val="Headinglevel4"/>
        <w:spacing w:line="276" w:lineRule="auto"/>
        <w:outlineLvl w:val="0"/>
        <w:rPr>
          <w:rFonts w:eastAsiaTheme="minorHAnsi"/>
          <w:b w:val="0"/>
          <w:bCs w:val="0"/>
          <w:caps w:val="0"/>
          <w:color w:val="auto"/>
        </w:rPr>
      </w:pPr>
    </w:p>
    <w:p w14:paraId="5B2A0F50" w14:textId="77777777" w:rsidR="00E46DAC"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Further details on the gender and ethnicity pay reporting can be found in the Pennon Annual Report and Accounts 2026, or on the Pennon website. </w:t>
      </w:r>
    </w:p>
    <w:p w14:paraId="779A53DD" w14:textId="77777777" w:rsidR="00E46DAC" w:rsidRPr="00735726" w:rsidRDefault="00E46DAC" w:rsidP="00E46DAC">
      <w:pPr>
        <w:pStyle w:val="Headinglevel4"/>
        <w:spacing w:line="276" w:lineRule="auto"/>
        <w:outlineLvl w:val="0"/>
        <w:rPr>
          <w:rFonts w:eastAsiaTheme="minorHAnsi"/>
          <w:b w:val="0"/>
          <w:bCs w:val="0"/>
          <w:caps w:val="0"/>
          <w:color w:val="auto"/>
        </w:rPr>
      </w:pPr>
    </w:p>
    <w:p w14:paraId="76904363" w14:textId="77777777" w:rsidR="00E46DAC" w:rsidRPr="00735726" w:rsidRDefault="00E46DAC" w:rsidP="00E46DAC">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We are committed to deliver on our ambitions to build diversity and inclusion across the Company and the water industry.</w:t>
      </w:r>
    </w:p>
    <w:p w14:paraId="177621C8" w14:textId="77777777" w:rsidR="00E46DAC" w:rsidRPr="00735726" w:rsidRDefault="00E46DAC" w:rsidP="00E46DAC">
      <w:pPr>
        <w:spacing w:after="160" w:line="278" w:lineRule="auto"/>
        <w:rPr>
          <w:rFonts w:ascii="Arial" w:hAnsi="Arial" w:cs="Arial"/>
          <w:sz w:val="18"/>
          <w:szCs w:val="18"/>
        </w:rPr>
      </w:pPr>
      <w:r w:rsidRPr="00735726">
        <w:rPr>
          <w:rFonts w:ascii="Arial" w:hAnsi="Arial" w:cs="Arial"/>
          <w:sz w:val="18"/>
          <w:szCs w:val="18"/>
        </w:rPr>
        <w:br w:type="page"/>
      </w:r>
    </w:p>
    <w:p w14:paraId="454F3B6A" w14:textId="25E84F51" w:rsidR="00E46DAC" w:rsidRPr="00735726" w:rsidRDefault="00E46DAC" w:rsidP="00E46DAC">
      <w:pPr>
        <w:spacing w:after="160"/>
        <w:rPr>
          <w:rFonts w:ascii="Arial" w:hAnsi="Arial" w:cs="Arial"/>
          <w:sz w:val="18"/>
          <w:szCs w:val="18"/>
        </w:rPr>
      </w:pPr>
      <w:r w:rsidRPr="00735726">
        <w:rPr>
          <w:rFonts w:ascii="Arial" w:eastAsia="Times New Roman" w:hAnsi="Arial" w:cs="Arial"/>
          <w:b/>
          <w:bCs/>
          <w:caps/>
          <w:color w:val="000000"/>
          <w:sz w:val="18"/>
          <w:szCs w:val="18"/>
        </w:rPr>
        <w:lastRenderedPageBreak/>
        <w:t>ANNUAL BONUS OUTTURN FOR 2025/26</w:t>
      </w:r>
      <w:r w:rsidR="00057D91" w:rsidRPr="00735726">
        <w:rPr>
          <w:rFonts w:ascii="Arial" w:eastAsia="Times New Roman" w:hAnsi="Arial" w:cs="Arial"/>
          <w:b/>
          <w:bCs/>
          <w:caps/>
          <w:color w:val="000000"/>
          <w:sz w:val="18"/>
          <w:szCs w:val="18"/>
        </w:rPr>
        <w:br/>
      </w:r>
      <w:r w:rsidRPr="00735726">
        <w:rPr>
          <w:rFonts w:ascii="Arial" w:hAnsi="Arial" w:cs="Arial"/>
          <w:sz w:val="18"/>
          <w:szCs w:val="18"/>
        </w:rPr>
        <w:t xml:space="preserve">A summary of the process the Committee undertakes before agreeing to any incentive outturns is below. </w:t>
      </w:r>
    </w:p>
    <w:p w14:paraId="0BA7219C" w14:textId="77777777" w:rsidR="00E46DAC" w:rsidRPr="00735726" w:rsidRDefault="00E46DAC" w:rsidP="00E46DAC">
      <w:pPr>
        <w:spacing w:after="160"/>
        <w:rPr>
          <w:rFonts w:ascii="Arial" w:hAnsi="Arial" w:cs="Arial"/>
          <w:sz w:val="18"/>
          <w:szCs w:val="18"/>
        </w:rPr>
      </w:pPr>
      <w:r w:rsidRPr="00735726">
        <w:rPr>
          <w:rFonts w:ascii="Arial" w:hAnsi="Arial" w:cs="Arial"/>
          <w:sz w:val="18"/>
          <w:szCs w:val="18"/>
        </w:rPr>
        <w:t xml:space="preserve">The performance under the different elements of the bonus (including performance against the scorecard for the business area) is reviewed and forms the formulaic outcome. </w:t>
      </w:r>
    </w:p>
    <w:p w14:paraId="581234EA" w14:textId="77777777" w:rsidR="00147058" w:rsidRPr="00735726" w:rsidRDefault="00E46DAC" w:rsidP="00E46DAC">
      <w:pPr>
        <w:spacing w:after="160"/>
        <w:rPr>
          <w:rFonts w:ascii="Arial" w:hAnsi="Arial" w:cs="Arial"/>
          <w:sz w:val="18"/>
          <w:szCs w:val="18"/>
        </w:rPr>
      </w:pPr>
      <w:r w:rsidRPr="00735726">
        <w:rPr>
          <w:rFonts w:ascii="Arial" w:hAnsi="Arial" w:cs="Arial"/>
          <w:sz w:val="18"/>
          <w:szCs w:val="18"/>
        </w:rPr>
        <w:t xml:space="preserve">The Committee then considered whether there were any events in the year which would trigger Ofwat’s performance-related executive pay prohibition rule, including certain events for which assessments by external bodies had not been fully concluded at the time of decision-making. </w:t>
      </w:r>
    </w:p>
    <w:p w14:paraId="58EBB0B9" w14:textId="5C378C39" w:rsidR="00147058" w:rsidRPr="00735726" w:rsidRDefault="00E46DAC" w:rsidP="00E46DAC">
      <w:pPr>
        <w:spacing w:after="160"/>
        <w:rPr>
          <w:rFonts w:ascii="Arial" w:hAnsi="Arial" w:cs="Arial"/>
          <w:sz w:val="18"/>
          <w:szCs w:val="18"/>
        </w:rPr>
      </w:pPr>
      <w:r w:rsidRPr="00735726">
        <w:rPr>
          <w:rFonts w:ascii="Arial" w:hAnsi="Arial" w:cs="Arial"/>
          <w:sz w:val="18"/>
          <w:szCs w:val="18"/>
        </w:rPr>
        <w:t>The Committee also undertook a holistic assessment of performance to determine whether the bonus outturn remains appropriate in the context of broader performance (as illustrated below)</w:t>
      </w:r>
      <w:r w:rsidR="00147058" w:rsidRPr="00735726">
        <w:rPr>
          <w:rFonts w:ascii="Arial" w:hAnsi="Arial" w:cs="Arial"/>
          <w:sz w:val="18"/>
          <w:szCs w:val="18"/>
        </w:rPr>
        <w:t xml:space="preserve"> and further detail is found in the Pennon Group plc Annual Report and accounts on this holistic approach.</w:t>
      </w:r>
    </w:p>
    <w:tbl>
      <w:tblPr>
        <w:tblStyle w:val="TableGrid"/>
        <w:tblW w:w="0" w:type="auto"/>
        <w:tblLook w:val="04A0" w:firstRow="1" w:lastRow="0" w:firstColumn="1" w:lastColumn="0" w:noHBand="0" w:noVBand="1"/>
      </w:tblPr>
      <w:tblGrid>
        <w:gridCol w:w="1007"/>
        <w:gridCol w:w="322"/>
        <w:gridCol w:w="5612"/>
        <w:gridCol w:w="322"/>
        <w:gridCol w:w="1753"/>
      </w:tblGrid>
      <w:tr w:rsidR="00E46DAC" w:rsidRPr="00735726" w14:paraId="0F158878" w14:textId="77777777" w:rsidTr="00277639">
        <w:tc>
          <w:tcPr>
            <w:tcW w:w="1007" w:type="dxa"/>
            <w:vAlign w:val="center"/>
          </w:tcPr>
          <w:p w14:paraId="7BBB84F7" w14:textId="77777777" w:rsidR="00E46DAC" w:rsidRPr="00735726" w:rsidRDefault="00E46DAC" w:rsidP="00380082">
            <w:pPr>
              <w:spacing w:after="160"/>
              <w:rPr>
                <w:rFonts w:ascii="Arial" w:hAnsi="Arial" w:cs="Arial"/>
                <w:sz w:val="18"/>
                <w:szCs w:val="18"/>
              </w:rPr>
            </w:pPr>
            <w:r w:rsidRPr="00735726">
              <w:rPr>
                <w:rFonts w:ascii="Arial" w:hAnsi="Arial" w:cs="Arial"/>
                <w:sz w:val="18"/>
                <w:szCs w:val="18"/>
              </w:rPr>
              <w:t>Formulaic outcome</w:t>
            </w:r>
          </w:p>
        </w:tc>
        <w:tc>
          <w:tcPr>
            <w:tcW w:w="322" w:type="dxa"/>
            <w:vAlign w:val="center"/>
          </w:tcPr>
          <w:p w14:paraId="63E8E1FA" w14:textId="77777777" w:rsidR="00E46DAC" w:rsidRPr="00735726" w:rsidRDefault="00E46DAC" w:rsidP="00380082">
            <w:pPr>
              <w:spacing w:after="160"/>
              <w:rPr>
                <w:rFonts w:ascii="Arial" w:hAnsi="Arial" w:cs="Arial"/>
                <w:b/>
                <w:bCs/>
                <w:sz w:val="18"/>
                <w:szCs w:val="18"/>
              </w:rPr>
            </w:pPr>
            <w:r w:rsidRPr="00735726">
              <w:rPr>
                <w:rFonts w:ascii="Arial" w:hAnsi="Arial" w:cs="Arial"/>
                <w:b/>
                <w:bCs/>
                <w:sz w:val="18"/>
                <w:szCs w:val="18"/>
              </w:rPr>
              <w:t>+</w:t>
            </w:r>
          </w:p>
        </w:tc>
        <w:tc>
          <w:tcPr>
            <w:tcW w:w="5612" w:type="dxa"/>
          </w:tcPr>
          <w:p w14:paraId="78322389" w14:textId="2A397DC6" w:rsidR="00E46DAC" w:rsidRPr="00735726" w:rsidRDefault="00E46DAC" w:rsidP="00C242AC">
            <w:pPr>
              <w:spacing w:after="160"/>
              <w:rPr>
                <w:rFonts w:ascii="Arial" w:hAnsi="Arial" w:cs="Arial"/>
                <w:sz w:val="18"/>
                <w:szCs w:val="18"/>
              </w:rPr>
            </w:pPr>
            <w:r w:rsidRPr="00735726">
              <w:rPr>
                <w:rFonts w:ascii="Arial" w:hAnsi="Arial" w:cs="Arial"/>
                <w:sz w:val="18"/>
                <w:szCs w:val="18"/>
              </w:rPr>
              <w:t>Holistic performance assessment</w:t>
            </w:r>
            <w:r w:rsidR="00380082" w:rsidRPr="00735726">
              <w:rPr>
                <w:rFonts w:ascii="Arial" w:hAnsi="Arial" w:cs="Arial"/>
                <w:sz w:val="18"/>
                <w:szCs w:val="18"/>
              </w:rPr>
              <w:t>:</w:t>
            </w:r>
          </w:p>
          <w:p w14:paraId="368A384E" w14:textId="2F104812" w:rsidR="00E46DAC" w:rsidRPr="00735726" w:rsidRDefault="00E46DAC" w:rsidP="00C242AC">
            <w:pPr>
              <w:spacing w:after="160"/>
              <w:rPr>
                <w:rFonts w:ascii="Arial" w:hAnsi="Arial" w:cs="Arial"/>
                <w:sz w:val="18"/>
                <w:szCs w:val="18"/>
              </w:rPr>
            </w:pPr>
            <w:r w:rsidRPr="00735726">
              <w:rPr>
                <w:rFonts w:ascii="Arial" w:hAnsi="Arial" w:cs="Arial"/>
                <w:b/>
                <w:bCs/>
                <w:sz w:val="18"/>
                <w:szCs w:val="18"/>
              </w:rPr>
              <w:t>Culture and conduct</w:t>
            </w:r>
            <w:r w:rsidRPr="00735726">
              <w:rPr>
                <w:rFonts w:ascii="Arial" w:hAnsi="Arial" w:cs="Arial"/>
                <w:sz w:val="18"/>
                <w:szCs w:val="18"/>
              </w:rPr>
              <w:t xml:space="preserve"> </w:t>
            </w:r>
            <w:r w:rsidR="006C1BA9" w:rsidRPr="00735726">
              <w:rPr>
                <w:rFonts w:ascii="Arial" w:hAnsi="Arial" w:cs="Arial"/>
                <w:sz w:val="18"/>
                <w:szCs w:val="18"/>
              </w:rPr>
              <w:t xml:space="preserve">- </w:t>
            </w:r>
            <w:r w:rsidRPr="00735726">
              <w:rPr>
                <w:rFonts w:ascii="Arial" w:hAnsi="Arial" w:cs="Arial"/>
                <w:sz w:val="18"/>
                <w:szCs w:val="18"/>
              </w:rPr>
              <w:t>focus on significant health and safety, culture and operational events</w:t>
            </w:r>
          </w:p>
          <w:p w14:paraId="6F9ED3C9" w14:textId="77777777" w:rsidR="00E46DAC" w:rsidRPr="00735726" w:rsidRDefault="00E46DAC" w:rsidP="00C242AC">
            <w:pPr>
              <w:pStyle w:val="Pa6"/>
              <w:rPr>
                <w:rFonts w:ascii="Arial" w:hAnsi="Arial" w:cs="Arial"/>
                <w:sz w:val="18"/>
                <w:szCs w:val="18"/>
                <w14:ligatures w14:val="none"/>
              </w:rPr>
            </w:pPr>
            <w:r w:rsidRPr="00735726">
              <w:rPr>
                <w:rFonts w:ascii="Arial" w:hAnsi="Arial" w:cs="Arial"/>
                <w:b/>
                <w:bCs/>
                <w:sz w:val="18"/>
                <w:szCs w:val="18"/>
                <w14:ligatures w14:val="none"/>
              </w:rPr>
              <w:t>Alignment with customers, communities and the environment</w:t>
            </w:r>
            <w:r w:rsidRPr="00735726">
              <w:rPr>
                <w:rFonts w:ascii="Arial" w:hAnsi="Arial" w:cs="Arial"/>
                <w:sz w:val="18"/>
                <w:szCs w:val="18"/>
                <w14:ligatures w14:val="none"/>
              </w:rPr>
              <w:t xml:space="preserve"> - </w:t>
            </w:r>
          </w:p>
          <w:p w14:paraId="3B2FC2DA" w14:textId="77777777" w:rsidR="00E46DAC" w:rsidRPr="00735726" w:rsidRDefault="00E46DAC" w:rsidP="00C242AC">
            <w:pPr>
              <w:pStyle w:val="Pa2"/>
              <w:spacing w:after="80"/>
              <w:rPr>
                <w:rFonts w:ascii="Arial" w:hAnsi="Arial" w:cs="Arial"/>
                <w:sz w:val="18"/>
                <w:szCs w:val="18"/>
              </w:rPr>
            </w:pPr>
            <w:r w:rsidRPr="00735726">
              <w:rPr>
                <w:rFonts w:ascii="Arial" w:hAnsi="Arial" w:cs="Arial"/>
                <w:sz w:val="18"/>
                <w:szCs w:val="18"/>
              </w:rPr>
              <w:t>Including customer experience, water quality and resilience, pollution incidents/EPA and emissions reduction</w:t>
            </w:r>
          </w:p>
          <w:p w14:paraId="3252F059" w14:textId="77777777" w:rsidR="00E46DAC" w:rsidRPr="00735726" w:rsidRDefault="00E46DAC" w:rsidP="00C242AC">
            <w:pPr>
              <w:pStyle w:val="Pa6"/>
              <w:rPr>
                <w:rFonts w:ascii="Arial" w:hAnsi="Arial" w:cs="Arial"/>
                <w:sz w:val="18"/>
                <w:szCs w:val="18"/>
                <w14:ligatures w14:val="none"/>
              </w:rPr>
            </w:pPr>
          </w:p>
          <w:p w14:paraId="32DB674A" w14:textId="3D3CBF97" w:rsidR="00E46DAC" w:rsidRPr="00735726" w:rsidRDefault="00E46DAC" w:rsidP="00C242AC">
            <w:pPr>
              <w:pStyle w:val="Pa6"/>
              <w:rPr>
                <w:rFonts w:ascii="Arial" w:hAnsi="Arial" w:cs="Arial"/>
                <w:sz w:val="18"/>
                <w:szCs w:val="18"/>
                <w14:ligatures w14:val="none"/>
              </w:rPr>
            </w:pPr>
            <w:r w:rsidRPr="00735726">
              <w:rPr>
                <w:rFonts w:ascii="Arial" w:hAnsi="Arial" w:cs="Arial"/>
                <w:b/>
                <w:bCs/>
                <w:sz w:val="18"/>
                <w:szCs w:val="18"/>
                <w14:ligatures w14:val="none"/>
              </w:rPr>
              <w:t>Consideration of external environment</w:t>
            </w:r>
            <w:r w:rsidRPr="00735726">
              <w:rPr>
                <w:rFonts w:ascii="Arial" w:hAnsi="Arial" w:cs="Arial"/>
                <w:sz w:val="18"/>
                <w:szCs w:val="18"/>
                <w14:ligatures w14:val="none"/>
              </w:rPr>
              <w:t xml:space="preserve"> - Including the employee and wider stakeholder experience</w:t>
            </w:r>
          </w:p>
          <w:p w14:paraId="26165D5F" w14:textId="77777777" w:rsidR="00E46DAC" w:rsidRPr="00735726" w:rsidRDefault="00E46DAC" w:rsidP="00C242AC">
            <w:pPr>
              <w:pStyle w:val="Pa6"/>
              <w:rPr>
                <w:rFonts w:ascii="Arial" w:hAnsi="Arial" w:cs="Arial"/>
                <w:sz w:val="18"/>
                <w:szCs w:val="18"/>
                <w14:ligatures w14:val="none"/>
              </w:rPr>
            </w:pPr>
          </w:p>
          <w:p w14:paraId="4308D709" w14:textId="5A0B5094" w:rsidR="00E46DAC" w:rsidRPr="00735726" w:rsidRDefault="00E46DAC" w:rsidP="00C242AC">
            <w:pPr>
              <w:pStyle w:val="Pa6"/>
              <w:rPr>
                <w:rFonts w:ascii="Arial" w:hAnsi="Arial" w:cs="Arial"/>
                <w:sz w:val="18"/>
                <w:szCs w:val="18"/>
                <w14:ligatures w14:val="none"/>
              </w:rPr>
            </w:pPr>
            <w:r w:rsidRPr="00735726">
              <w:rPr>
                <w:rFonts w:ascii="Arial" w:hAnsi="Arial" w:cs="Arial"/>
                <w:b/>
                <w:bCs/>
                <w:sz w:val="18"/>
                <w:szCs w:val="18"/>
                <w14:ligatures w14:val="none"/>
              </w:rPr>
              <w:t>Input from other Board Committees</w:t>
            </w:r>
            <w:r w:rsidRPr="00735726">
              <w:rPr>
                <w:rFonts w:ascii="Arial" w:hAnsi="Arial" w:cs="Arial"/>
                <w:sz w:val="18"/>
                <w:szCs w:val="18"/>
                <w14:ligatures w14:val="none"/>
              </w:rPr>
              <w:t xml:space="preserve"> - Including ESG and Health and Safety Committees, HR, Compliance, Internal Audit and </w:t>
            </w:r>
            <w:proofErr w:type="spellStart"/>
            <w:r w:rsidRPr="00735726">
              <w:rPr>
                <w:rFonts w:ascii="Arial" w:hAnsi="Arial" w:cs="Arial"/>
                <w:sz w:val="18"/>
                <w:szCs w:val="18"/>
                <w14:ligatures w14:val="none"/>
              </w:rPr>
              <w:t>WaterShare</w:t>
            </w:r>
            <w:proofErr w:type="spellEnd"/>
            <w:r w:rsidRPr="00735726">
              <w:rPr>
                <w:rFonts w:ascii="Arial" w:hAnsi="Arial" w:cs="Arial"/>
                <w:sz w:val="18"/>
                <w:szCs w:val="18"/>
                <w14:ligatures w14:val="none"/>
              </w:rPr>
              <w:t>+ panel</w:t>
            </w:r>
          </w:p>
          <w:p w14:paraId="452E3FB9" w14:textId="77777777" w:rsidR="00E46DAC" w:rsidRPr="00735726" w:rsidRDefault="00E46DAC" w:rsidP="00C242AC">
            <w:pPr>
              <w:pStyle w:val="Pa6"/>
              <w:rPr>
                <w:rFonts w:ascii="Arial" w:hAnsi="Arial" w:cs="Arial"/>
                <w:sz w:val="18"/>
                <w:szCs w:val="18"/>
                <w14:ligatures w14:val="none"/>
              </w:rPr>
            </w:pPr>
          </w:p>
          <w:p w14:paraId="1A4F72AD" w14:textId="77777777" w:rsidR="00E46DAC" w:rsidRPr="00735726" w:rsidRDefault="00E46DAC" w:rsidP="00C242AC">
            <w:pPr>
              <w:pStyle w:val="Pa6"/>
              <w:rPr>
                <w:rFonts w:ascii="Arial" w:hAnsi="Arial" w:cs="Arial"/>
                <w:sz w:val="18"/>
                <w:szCs w:val="18"/>
                <w14:ligatures w14:val="none"/>
              </w:rPr>
            </w:pPr>
            <w:r w:rsidRPr="00735726">
              <w:rPr>
                <w:rFonts w:ascii="Arial" w:hAnsi="Arial" w:cs="Arial"/>
                <w:b/>
                <w:bCs/>
                <w:sz w:val="18"/>
                <w:szCs w:val="18"/>
                <w14:ligatures w14:val="none"/>
              </w:rPr>
              <w:t>Broader financial, operating and strategic performance</w:t>
            </w:r>
            <w:r w:rsidRPr="00735726">
              <w:rPr>
                <w:rFonts w:ascii="Arial" w:hAnsi="Arial" w:cs="Arial"/>
                <w:sz w:val="18"/>
                <w:szCs w:val="18"/>
                <w14:ligatures w14:val="none"/>
              </w:rPr>
              <w:t xml:space="preserve"> - Including impact of exceptional and one-off events</w:t>
            </w:r>
          </w:p>
          <w:p w14:paraId="74EF21D9" w14:textId="77777777" w:rsidR="00E46DAC" w:rsidRPr="00735726" w:rsidRDefault="00E46DAC" w:rsidP="00C242AC">
            <w:pPr>
              <w:pStyle w:val="Pa6"/>
              <w:rPr>
                <w:rFonts w:ascii="Arial" w:hAnsi="Arial" w:cs="Arial"/>
                <w:sz w:val="18"/>
                <w:szCs w:val="18"/>
                <w14:ligatures w14:val="none"/>
              </w:rPr>
            </w:pPr>
          </w:p>
          <w:p w14:paraId="14F27B38" w14:textId="77777777" w:rsidR="00E46DAC" w:rsidRPr="00735726" w:rsidRDefault="00E46DAC" w:rsidP="00C242AC">
            <w:pPr>
              <w:pStyle w:val="Pa6"/>
              <w:rPr>
                <w:rFonts w:ascii="Arial" w:hAnsi="Arial" w:cs="Arial"/>
                <w:sz w:val="18"/>
                <w:szCs w:val="18"/>
                <w14:ligatures w14:val="none"/>
              </w:rPr>
            </w:pPr>
            <w:r w:rsidRPr="00735726">
              <w:rPr>
                <w:rFonts w:ascii="Arial" w:hAnsi="Arial" w:cs="Arial"/>
                <w:b/>
                <w:bCs/>
                <w:sz w:val="18"/>
                <w:szCs w:val="18"/>
                <w14:ligatures w14:val="none"/>
              </w:rPr>
              <w:t>Sector best practice principles and regulatory guidance</w:t>
            </w:r>
            <w:r w:rsidRPr="00735726">
              <w:rPr>
                <w:rFonts w:ascii="Arial" w:hAnsi="Arial" w:cs="Arial"/>
                <w:sz w:val="18"/>
                <w:szCs w:val="18"/>
                <w14:ligatures w14:val="none"/>
              </w:rPr>
              <w:t xml:space="preserve"> - Assessment versus best practice principles developed by sector</w:t>
            </w:r>
          </w:p>
          <w:p w14:paraId="356DD0B6" w14:textId="77777777" w:rsidR="00E46DAC" w:rsidRPr="00735726" w:rsidRDefault="00E46DAC" w:rsidP="00C242AC">
            <w:pPr>
              <w:pStyle w:val="Default"/>
            </w:pPr>
          </w:p>
        </w:tc>
        <w:tc>
          <w:tcPr>
            <w:tcW w:w="322" w:type="dxa"/>
            <w:vAlign w:val="center"/>
          </w:tcPr>
          <w:p w14:paraId="50ECA6E4" w14:textId="77777777" w:rsidR="00E46DAC" w:rsidRPr="00735726" w:rsidRDefault="00E46DAC" w:rsidP="00380082">
            <w:pPr>
              <w:spacing w:after="160"/>
              <w:rPr>
                <w:rFonts w:ascii="Arial" w:hAnsi="Arial" w:cs="Arial"/>
                <w:b/>
                <w:bCs/>
                <w:sz w:val="18"/>
                <w:szCs w:val="18"/>
              </w:rPr>
            </w:pPr>
            <w:r w:rsidRPr="00735726">
              <w:rPr>
                <w:rFonts w:ascii="Arial" w:hAnsi="Arial" w:cs="Arial"/>
                <w:b/>
                <w:bCs/>
                <w:sz w:val="18"/>
                <w:szCs w:val="18"/>
              </w:rPr>
              <w:t>=</w:t>
            </w:r>
          </w:p>
        </w:tc>
        <w:tc>
          <w:tcPr>
            <w:tcW w:w="1753" w:type="dxa"/>
            <w:vAlign w:val="center"/>
          </w:tcPr>
          <w:p w14:paraId="21CB4B54" w14:textId="77777777" w:rsidR="00E46DAC" w:rsidRPr="00735726" w:rsidRDefault="00E46DAC" w:rsidP="00380082">
            <w:pPr>
              <w:spacing w:after="160"/>
              <w:rPr>
                <w:rFonts w:ascii="Arial" w:hAnsi="Arial" w:cs="Arial"/>
                <w:sz w:val="18"/>
                <w:szCs w:val="18"/>
              </w:rPr>
            </w:pPr>
            <w:r w:rsidRPr="00735726">
              <w:rPr>
                <w:rFonts w:ascii="Arial" w:hAnsi="Arial" w:cs="Arial"/>
                <w:sz w:val="18"/>
                <w:szCs w:val="18"/>
              </w:rPr>
              <w:t>Determination of performance outcome</w:t>
            </w:r>
          </w:p>
        </w:tc>
      </w:tr>
    </w:tbl>
    <w:p w14:paraId="48212ADA" w14:textId="77777777" w:rsidR="00E46DAC" w:rsidRPr="009A2CAE" w:rsidRDefault="00E46DAC" w:rsidP="00E46DAC">
      <w:pPr>
        <w:spacing w:after="160"/>
        <w:rPr>
          <w:rFonts w:ascii="Arial" w:hAnsi="Arial" w:cs="Arial"/>
          <w:sz w:val="18"/>
          <w:szCs w:val="18"/>
        </w:rPr>
      </w:pPr>
    </w:p>
    <w:p w14:paraId="3B75BD12" w14:textId="00444E2F" w:rsidR="00E46DAC" w:rsidRPr="00735726" w:rsidRDefault="00E46DAC" w:rsidP="00E46DAC">
      <w:pPr>
        <w:spacing w:after="160"/>
        <w:rPr>
          <w:rFonts w:ascii="Arial" w:hAnsi="Arial" w:cs="Arial"/>
          <w:sz w:val="18"/>
          <w:szCs w:val="18"/>
        </w:rPr>
      </w:pPr>
      <w:r w:rsidRPr="00735726">
        <w:rPr>
          <w:rFonts w:ascii="Arial" w:hAnsi="Arial" w:cs="Arial"/>
          <w:sz w:val="18"/>
          <w:szCs w:val="18"/>
        </w:rPr>
        <w:t xml:space="preserve">On the assumption that the incident at </w:t>
      </w:r>
      <w:proofErr w:type="spellStart"/>
      <w:r w:rsidRPr="00735726">
        <w:rPr>
          <w:rFonts w:ascii="Arial" w:hAnsi="Arial" w:cs="Arial"/>
          <w:sz w:val="18"/>
          <w:szCs w:val="18"/>
        </w:rPr>
        <w:t>Men</w:t>
      </w:r>
      <w:r w:rsidR="00A43CC1" w:rsidRPr="00735726">
        <w:rPr>
          <w:rFonts w:ascii="Arial" w:hAnsi="Arial" w:cs="Arial"/>
          <w:sz w:val="18"/>
          <w:szCs w:val="18"/>
        </w:rPr>
        <w:t>a</w:t>
      </w:r>
      <w:r w:rsidRPr="00735726">
        <w:rPr>
          <w:rFonts w:ascii="Arial" w:hAnsi="Arial" w:cs="Arial"/>
          <w:sz w:val="18"/>
          <w:szCs w:val="18"/>
        </w:rPr>
        <w:t>gwins</w:t>
      </w:r>
      <w:proofErr w:type="spellEnd"/>
      <w:r w:rsidRPr="00735726">
        <w:rPr>
          <w:rFonts w:ascii="Arial" w:hAnsi="Arial" w:cs="Arial"/>
          <w:sz w:val="18"/>
          <w:szCs w:val="18"/>
        </w:rPr>
        <w:t xml:space="preserve"> in June 2025 (see page </w:t>
      </w:r>
      <w:r w:rsidR="000D5F17" w:rsidRPr="009A2CAE">
        <w:rPr>
          <w:rFonts w:ascii="Arial" w:hAnsi="Arial" w:cs="Arial"/>
          <w:sz w:val="18"/>
          <w:szCs w:val="18"/>
        </w:rPr>
        <w:t>42</w:t>
      </w:r>
      <w:r w:rsidRPr="00735726">
        <w:rPr>
          <w:rFonts w:ascii="Arial" w:hAnsi="Arial" w:cs="Arial"/>
          <w:sz w:val="18"/>
          <w:szCs w:val="18"/>
        </w:rPr>
        <w:t xml:space="preserve"> for further details) will be classified as a Category 1 event, the Committee concluded that no bonus would be paid in respect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w:t>
      </w:r>
      <w:proofErr w:type="gramStart"/>
      <w:r w:rsidRPr="00735726">
        <w:rPr>
          <w:rFonts w:ascii="Arial" w:hAnsi="Arial" w:cs="Arial"/>
          <w:sz w:val="18"/>
          <w:szCs w:val="18"/>
        </w:rPr>
        <w:t>In the event that</w:t>
      </w:r>
      <w:proofErr w:type="gramEnd"/>
      <w:r w:rsidRPr="00735726">
        <w:rPr>
          <w:rFonts w:ascii="Arial" w:hAnsi="Arial" w:cs="Arial"/>
          <w:sz w:val="18"/>
          <w:szCs w:val="18"/>
        </w:rPr>
        <w:t xml:space="preserve"> both the </w:t>
      </w:r>
      <w:proofErr w:type="spellStart"/>
      <w:r w:rsidRPr="00735726">
        <w:rPr>
          <w:rFonts w:ascii="Arial" w:hAnsi="Arial" w:cs="Arial"/>
          <w:sz w:val="18"/>
          <w:szCs w:val="18"/>
        </w:rPr>
        <w:t>Men</w:t>
      </w:r>
      <w:r w:rsidR="00A43CC1" w:rsidRPr="00735726">
        <w:rPr>
          <w:rFonts w:ascii="Arial" w:hAnsi="Arial" w:cs="Arial"/>
          <w:sz w:val="18"/>
          <w:szCs w:val="18"/>
        </w:rPr>
        <w:t>a</w:t>
      </w:r>
      <w:r w:rsidRPr="00735726">
        <w:rPr>
          <w:rFonts w:ascii="Arial" w:hAnsi="Arial" w:cs="Arial"/>
          <w:sz w:val="18"/>
          <w:szCs w:val="18"/>
        </w:rPr>
        <w:t>gwins</w:t>
      </w:r>
      <w:proofErr w:type="spellEnd"/>
      <w:r w:rsidRPr="00735726">
        <w:rPr>
          <w:rFonts w:ascii="Arial" w:hAnsi="Arial" w:cs="Arial"/>
          <w:sz w:val="18"/>
          <w:szCs w:val="18"/>
        </w:rPr>
        <w:t xml:space="preserve"> incident is downgraded to a Category 2 event and the EPA is improved to 2*, the Committee would reconsider whether either of the Executive Directors should be eligible for a bonus in respect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performance. </w:t>
      </w:r>
    </w:p>
    <w:p w14:paraId="2EE32725" w14:textId="2D8311CE" w:rsidR="00E46DAC" w:rsidRPr="00735726" w:rsidRDefault="00E46DAC" w:rsidP="00E46DAC">
      <w:pPr>
        <w:spacing w:after="160"/>
        <w:rPr>
          <w:rFonts w:ascii="Arial" w:hAnsi="Arial" w:cs="Arial"/>
          <w:sz w:val="18"/>
          <w:szCs w:val="18"/>
        </w:rPr>
      </w:pPr>
      <w:r w:rsidRPr="00735726">
        <w:rPr>
          <w:rFonts w:ascii="Arial" w:hAnsi="Arial" w:cs="Arial"/>
          <w:sz w:val="18"/>
          <w:szCs w:val="18"/>
        </w:rPr>
        <w:t xml:space="preserve">In addition, enforcement undertakings agreed in August 2025, related to Ofwat’s wastewater investigation and the guilty plea lodged in respect of the EA prosecutions arose in periods when Laura Flowerdew was not an </w:t>
      </w:r>
      <w:r w:rsidR="00147058" w:rsidRPr="00735726">
        <w:rPr>
          <w:rFonts w:ascii="Arial" w:hAnsi="Arial" w:cs="Arial"/>
          <w:sz w:val="18"/>
          <w:szCs w:val="18"/>
        </w:rPr>
        <w:t>E</w:t>
      </w:r>
      <w:r w:rsidRPr="00735726">
        <w:rPr>
          <w:rFonts w:ascii="Arial" w:hAnsi="Arial" w:cs="Arial"/>
          <w:sz w:val="18"/>
          <w:szCs w:val="18"/>
        </w:rPr>
        <w:t xml:space="preserve">xecutive </w:t>
      </w:r>
      <w:r w:rsidR="00147058" w:rsidRPr="00735726">
        <w:rPr>
          <w:rFonts w:ascii="Arial" w:hAnsi="Arial" w:cs="Arial"/>
          <w:sz w:val="18"/>
          <w:szCs w:val="18"/>
        </w:rPr>
        <w:t>D</w:t>
      </w:r>
      <w:r w:rsidRPr="00735726">
        <w:rPr>
          <w:rFonts w:ascii="Arial" w:hAnsi="Arial" w:cs="Arial"/>
          <w:sz w:val="18"/>
          <w:szCs w:val="18"/>
        </w:rPr>
        <w:t xml:space="preserve">irector of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and therefore we believe that the prohibition rules would not apply. However, the former Chief Executive Officer, Susan Davy was an </w:t>
      </w:r>
      <w:r w:rsidR="00147058" w:rsidRPr="00735726">
        <w:rPr>
          <w:rFonts w:ascii="Arial" w:hAnsi="Arial" w:cs="Arial"/>
          <w:sz w:val="18"/>
          <w:szCs w:val="18"/>
        </w:rPr>
        <w:t>E</w:t>
      </w:r>
      <w:r w:rsidRPr="00735726">
        <w:rPr>
          <w:rFonts w:ascii="Arial" w:hAnsi="Arial" w:cs="Arial"/>
          <w:sz w:val="18"/>
          <w:szCs w:val="18"/>
        </w:rPr>
        <w:t xml:space="preserve">xecutive </w:t>
      </w:r>
      <w:r w:rsidR="00147058" w:rsidRPr="00735726">
        <w:rPr>
          <w:rFonts w:ascii="Arial" w:hAnsi="Arial" w:cs="Arial"/>
          <w:sz w:val="18"/>
          <w:szCs w:val="18"/>
        </w:rPr>
        <w:t>D</w:t>
      </w:r>
      <w:r w:rsidRPr="00735726">
        <w:rPr>
          <w:rFonts w:ascii="Arial" w:hAnsi="Arial" w:cs="Arial"/>
          <w:sz w:val="18"/>
          <w:szCs w:val="18"/>
        </w:rPr>
        <w:t xml:space="preserve">irector at the time of some of these events and these have already been </w:t>
      </w:r>
      <w:proofErr w:type="gramStart"/>
      <w:r w:rsidRPr="00735726">
        <w:rPr>
          <w:rFonts w:ascii="Arial" w:hAnsi="Arial" w:cs="Arial"/>
          <w:sz w:val="18"/>
          <w:szCs w:val="18"/>
        </w:rPr>
        <w:t>taken into account</w:t>
      </w:r>
      <w:proofErr w:type="gramEnd"/>
      <w:r w:rsidRPr="00735726">
        <w:rPr>
          <w:rFonts w:ascii="Arial" w:hAnsi="Arial" w:cs="Arial"/>
          <w:sz w:val="18"/>
          <w:szCs w:val="18"/>
        </w:rPr>
        <w:t xml:space="preserve"> with the relevant performance related pay outcomes for 2025/26. The Committee also noted that the Brixham water quality incident resulted in the cancellation of the 2023/24 bonus. </w:t>
      </w:r>
    </w:p>
    <w:p w14:paraId="5B61747B" w14:textId="184ED81E" w:rsidR="00E46DAC" w:rsidRPr="009A2CAE" w:rsidRDefault="00E46DAC" w:rsidP="00E46DAC">
      <w:pPr>
        <w:spacing w:after="160"/>
        <w:rPr>
          <w:rFonts w:ascii="Arial" w:hAnsi="Arial" w:cs="Arial"/>
          <w:sz w:val="18"/>
          <w:szCs w:val="18"/>
        </w:rPr>
      </w:pPr>
      <w:r w:rsidRPr="00735726">
        <w:rPr>
          <w:rFonts w:ascii="Arial" w:hAnsi="Arial" w:cs="Arial"/>
          <w:sz w:val="18"/>
          <w:szCs w:val="18"/>
        </w:rPr>
        <w:t xml:space="preserve">As a result of prohibition there was a zero outturn for Executive Directors for performance related to </w:t>
      </w:r>
      <w:proofErr w:type="gramStart"/>
      <w:r w:rsidRPr="00735726">
        <w:rPr>
          <w:rFonts w:ascii="Arial" w:hAnsi="Arial" w:cs="Arial"/>
          <w:sz w:val="18"/>
          <w:szCs w:val="18"/>
        </w:rPr>
        <w:t>South West</w:t>
      </w:r>
      <w:proofErr w:type="gramEnd"/>
      <w:r w:rsidRPr="00735726">
        <w:rPr>
          <w:rFonts w:ascii="Arial" w:hAnsi="Arial" w:cs="Arial"/>
          <w:sz w:val="18"/>
          <w:szCs w:val="18"/>
        </w:rPr>
        <w:t xml:space="preserve"> Water. A summary of the bonus outturn and the impact of the prohibition is shown </w:t>
      </w:r>
      <w:r w:rsidR="00147058" w:rsidRPr="00735726">
        <w:rPr>
          <w:rFonts w:ascii="Arial" w:hAnsi="Arial" w:cs="Arial"/>
          <w:sz w:val="18"/>
          <w:szCs w:val="18"/>
        </w:rPr>
        <w:t>on the following page</w:t>
      </w:r>
      <w:r w:rsidRPr="00735726">
        <w:rPr>
          <w:rFonts w:ascii="Arial" w:hAnsi="Arial" w:cs="Arial"/>
          <w:sz w:val="18"/>
          <w:szCs w:val="18"/>
        </w:rPr>
        <w:t>.</w:t>
      </w:r>
    </w:p>
    <w:p w14:paraId="34A05C3E" w14:textId="77777777" w:rsidR="00147058" w:rsidRPr="00735726" w:rsidRDefault="00147058">
      <w:pPr>
        <w:spacing w:after="160" w:line="259" w:lineRule="auto"/>
        <w:rPr>
          <w:rFonts w:ascii="Arial" w:eastAsia="Times New Roman" w:hAnsi="Arial" w:cs="Arial"/>
          <w:b/>
          <w:bCs/>
          <w:caps/>
          <w:color w:val="000000"/>
          <w:sz w:val="18"/>
          <w:szCs w:val="18"/>
        </w:rPr>
      </w:pPr>
      <w:r w:rsidRPr="00735726">
        <w:br w:type="page"/>
      </w:r>
    </w:p>
    <w:tbl>
      <w:tblPr>
        <w:tblStyle w:val="TableGrid"/>
        <w:tblW w:w="8886" w:type="dxa"/>
        <w:tblLook w:val="04A0" w:firstRow="1" w:lastRow="0" w:firstColumn="1" w:lastColumn="0" w:noHBand="0" w:noVBand="1"/>
      </w:tblPr>
      <w:tblGrid>
        <w:gridCol w:w="3059"/>
        <w:gridCol w:w="1103"/>
        <w:gridCol w:w="1360"/>
        <w:gridCol w:w="1924"/>
        <w:gridCol w:w="1440"/>
      </w:tblGrid>
      <w:tr w:rsidR="00E46DAC" w:rsidRPr="00735726" w14:paraId="1008509C" w14:textId="77777777" w:rsidTr="00D636C2">
        <w:tc>
          <w:tcPr>
            <w:tcW w:w="3059" w:type="dxa"/>
            <w:shd w:val="clear" w:color="auto" w:fill="002060"/>
            <w:vAlign w:val="center"/>
          </w:tcPr>
          <w:p w14:paraId="25D9FC43" w14:textId="77777777" w:rsidR="00E46DAC" w:rsidRPr="00735726" w:rsidRDefault="00E46DAC" w:rsidP="00C242AC">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lastRenderedPageBreak/>
              <w:t>Measure</w:t>
            </w:r>
          </w:p>
        </w:tc>
        <w:tc>
          <w:tcPr>
            <w:tcW w:w="1103" w:type="dxa"/>
            <w:shd w:val="clear" w:color="auto" w:fill="002060"/>
            <w:vAlign w:val="center"/>
          </w:tcPr>
          <w:p w14:paraId="36AF63F7" w14:textId="77777777" w:rsidR="00E46DAC" w:rsidRPr="00735726" w:rsidRDefault="00E46DAC" w:rsidP="00C242AC">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t>Sub-weighting</w:t>
            </w:r>
          </w:p>
        </w:tc>
        <w:tc>
          <w:tcPr>
            <w:tcW w:w="1360" w:type="dxa"/>
            <w:shd w:val="clear" w:color="auto" w:fill="002060"/>
            <w:vAlign w:val="center"/>
          </w:tcPr>
          <w:p w14:paraId="019ADB78" w14:textId="77777777" w:rsidR="00E46DAC" w:rsidRPr="00735726" w:rsidRDefault="00E46DAC" w:rsidP="00C242AC">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t>Targets</w:t>
            </w:r>
          </w:p>
        </w:tc>
        <w:tc>
          <w:tcPr>
            <w:tcW w:w="1924" w:type="dxa"/>
            <w:shd w:val="clear" w:color="auto" w:fill="002060"/>
            <w:vAlign w:val="center"/>
          </w:tcPr>
          <w:p w14:paraId="2CE22AD0" w14:textId="77777777" w:rsidR="00E46DAC" w:rsidRPr="00735726" w:rsidRDefault="00E46DAC" w:rsidP="00C242AC">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t xml:space="preserve">Actual </w:t>
            </w:r>
          </w:p>
        </w:tc>
        <w:tc>
          <w:tcPr>
            <w:tcW w:w="1440" w:type="dxa"/>
            <w:shd w:val="clear" w:color="auto" w:fill="002060"/>
            <w:vAlign w:val="center"/>
          </w:tcPr>
          <w:p w14:paraId="7B914B72" w14:textId="77777777" w:rsidR="00E46DAC" w:rsidRPr="00735726" w:rsidRDefault="00E46DAC" w:rsidP="00C242AC">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t>Outcome</w:t>
            </w:r>
          </w:p>
        </w:tc>
      </w:tr>
      <w:tr w:rsidR="00E46DAC" w:rsidRPr="00735726" w14:paraId="0976AD4B" w14:textId="77777777" w:rsidTr="00D636C2">
        <w:tc>
          <w:tcPr>
            <w:tcW w:w="3059" w:type="dxa"/>
          </w:tcPr>
          <w:p w14:paraId="22F61B8D" w14:textId="64D89DD3" w:rsidR="00E46DAC" w:rsidRPr="00735726"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Financial resilience - PBT</w:t>
            </w:r>
            <w:r w:rsidR="000724CA" w:rsidRPr="00735726">
              <w:rPr>
                <w:rStyle w:val="FootnoteReference"/>
                <w:rFonts w:ascii="Arial" w:hAnsi="Arial" w:cs="Arial"/>
                <w:color w:val="000000"/>
                <w:sz w:val="18"/>
                <w:szCs w:val="18"/>
                <w:lang w:eastAsia="en-GB"/>
              </w:rPr>
              <w:footnoteReference w:id="20"/>
            </w:r>
          </w:p>
        </w:tc>
        <w:tc>
          <w:tcPr>
            <w:tcW w:w="1103" w:type="dxa"/>
          </w:tcPr>
          <w:p w14:paraId="568BC378" w14:textId="77777777" w:rsidR="00E46DAC" w:rsidRPr="00735726"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20%</w:t>
            </w:r>
          </w:p>
        </w:tc>
        <w:tc>
          <w:tcPr>
            <w:tcW w:w="1360" w:type="dxa"/>
          </w:tcPr>
          <w:p w14:paraId="4AD6A4DD" w14:textId="3D9F9413" w:rsidR="00E46DAC" w:rsidRPr="00735726" w:rsidRDefault="00E46DAC" w:rsidP="00C242AC">
            <w:pPr>
              <w:spacing w:after="160" w:line="259" w:lineRule="auto"/>
              <w:rPr>
                <w:rFonts w:ascii="Arial" w:hAnsi="Arial" w:cs="DINOT-Light"/>
                <w:color w:val="000000"/>
              </w:rPr>
            </w:pPr>
            <w:r w:rsidRPr="00735726">
              <w:rPr>
                <w:rFonts w:ascii="Arial" w:hAnsi="Arial" w:cs="Arial"/>
                <w:sz w:val="18"/>
                <w:szCs w:val="18"/>
                <w:lang w:eastAsia="en-GB"/>
              </w:rPr>
              <w:t>£157.6</w:t>
            </w:r>
            <w:r w:rsidR="00DC77DD" w:rsidRPr="00735726">
              <w:rPr>
                <w:rFonts w:ascii="Arial" w:hAnsi="Arial" w:cs="Arial"/>
                <w:sz w:val="18"/>
                <w:szCs w:val="18"/>
                <w:lang w:eastAsia="en-GB"/>
              </w:rPr>
              <w:t>m</w:t>
            </w:r>
          </w:p>
        </w:tc>
        <w:tc>
          <w:tcPr>
            <w:tcW w:w="1924" w:type="dxa"/>
          </w:tcPr>
          <w:p w14:paraId="277F9D0F" w14:textId="628A8C2F" w:rsidR="00E46DAC" w:rsidRPr="00735726"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£139.6m</w:t>
            </w:r>
          </w:p>
        </w:tc>
        <w:tc>
          <w:tcPr>
            <w:tcW w:w="1440" w:type="dxa"/>
          </w:tcPr>
          <w:p w14:paraId="65B91C11" w14:textId="77777777" w:rsidR="00E46DAC" w:rsidRPr="00735726"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0.0%</w:t>
            </w:r>
          </w:p>
        </w:tc>
      </w:tr>
      <w:tr w:rsidR="00E46DAC" w:rsidRPr="00735726" w14:paraId="1E135A48" w14:textId="77777777" w:rsidTr="00D636C2">
        <w:tc>
          <w:tcPr>
            <w:tcW w:w="3059" w:type="dxa"/>
          </w:tcPr>
          <w:p w14:paraId="28E2C60D"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b/>
                <w:bCs/>
                <w:color w:val="000000"/>
                <w:sz w:val="18"/>
                <w:szCs w:val="18"/>
                <w:lang w:eastAsia="en-GB"/>
              </w:rPr>
              <w:t>Customer and Environmental measures</w:t>
            </w:r>
          </w:p>
        </w:tc>
        <w:tc>
          <w:tcPr>
            <w:tcW w:w="1103" w:type="dxa"/>
          </w:tcPr>
          <w:p w14:paraId="1ED4B638"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65%</w:t>
            </w:r>
          </w:p>
        </w:tc>
        <w:tc>
          <w:tcPr>
            <w:tcW w:w="4724" w:type="dxa"/>
            <w:gridSpan w:val="3"/>
          </w:tcPr>
          <w:p w14:paraId="615F3F7C" w14:textId="77777777" w:rsidR="00E46DAC" w:rsidRPr="00735726" w:rsidRDefault="00E46DAC" w:rsidP="00C242AC">
            <w:pPr>
              <w:spacing w:after="160" w:line="259" w:lineRule="auto"/>
              <w:rPr>
                <w:rFonts w:ascii="Arial" w:hAnsi="Arial" w:cs="Arial"/>
                <w:color w:val="000000"/>
                <w:sz w:val="18"/>
                <w:szCs w:val="18"/>
                <w:lang w:eastAsia="en-GB"/>
              </w:rPr>
            </w:pPr>
          </w:p>
        </w:tc>
      </w:tr>
      <w:tr w:rsidR="00E46DAC" w:rsidRPr="00735726" w14:paraId="7C9FC2DB" w14:textId="77777777" w:rsidTr="00C242AC">
        <w:trPr>
          <w:trHeight w:val="191"/>
        </w:trPr>
        <w:tc>
          <w:tcPr>
            <w:tcW w:w="8886" w:type="dxa"/>
            <w:gridSpan w:val="5"/>
          </w:tcPr>
          <w:p w14:paraId="677B34A6"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i/>
                <w:iCs/>
                <w:color w:val="000000"/>
                <w:sz w:val="18"/>
                <w:szCs w:val="18"/>
                <w:lang w:eastAsia="en-GB"/>
              </w:rPr>
              <w:t xml:space="preserve">Wastewater </w:t>
            </w:r>
          </w:p>
        </w:tc>
      </w:tr>
      <w:tr w:rsidR="00E46DAC" w:rsidRPr="00735726" w14:paraId="42D8558B" w14:textId="77777777" w:rsidTr="00D636C2">
        <w:trPr>
          <w:trHeight w:val="239"/>
        </w:trPr>
        <w:tc>
          <w:tcPr>
            <w:tcW w:w="3059" w:type="dxa"/>
          </w:tcPr>
          <w:p w14:paraId="180343BF"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Discharge permit compliance </w:t>
            </w:r>
          </w:p>
        </w:tc>
        <w:tc>
          <w:tcPr>
            <w:tcW w:w="1103" w:type="dxa"/>
          </w:tcPr>
          <w:p w14:paraId="504AB759"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5D68BDAD"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99%</w:t>
            </w:r>
          </w:p>
        </w:tc>
        <w:tc>
          <w:tcPr>
            <w:tcW w:w="1924" w:type="dxa"/>
          </w:tcPr>
          <w:p w14:paraId="164188B7"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98.1%</w:t>
            </w:r>
          </w:p>
        </w:tc>
        <w:tc>
          <w:tcPr>
            <w:tcW w:w="1440" w:type="dxa"/>
          </w:tcPr>
          <w:p w14:paraId="6B26996A"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72767D0C" w14:textId="77777777" w:rsidTr="00D636C2">
        <w:tc>
          <w:tcPr>
            <w:tcW w:w="3059" w:type="dxa"/>
          </w:tcPr>
          <w:p w14:paraId="00568DD7"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Internal flooding (per 10k </w:t>
            </w:r>
            <w:proofErr w:type="spellStart"/>
            <w:r w:rsidRPr="00735726">
              <w:rPr>
                <w:rFonts w:ascii="Arial" w:hAnsi="Arial" w:cs="Arial"/>
                <w:color w:val="000000"/>
                <w:sz w:val="18"/>
                <w:szCs w:val="18"/>
                <w:lang w:eastAsia="en-GB"/>
              </w:rPr>
              <w:t>cust</w:t>
            </w:r>
            <w:proofErr w:type="spellEnd"/>
            <w:r w:rsidRPr="00735726">
              <w:rPr>
                <w:rFonts w:ascii="Arial" w:hAnsi="Arial" w:cs="Arial"/>
                <w:color w:val="000000"/>
                <w:sz w:val="18"/>
                <w:szCs w:val="18"/>
                <w:lang w:eastAsia="en-GB"/>
              </w:rPr>
              <w:t xml:space="preserve">.) </w:t>
            </w:r>
          </w:p>
        </w:tc>
        <w:tc>
          <w:tcPr>
            <w:tcW w:w="1103" w:type="dxa"/>
          </w:tcPr>
          <w:p w14:paraId="138C2A81"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03474F97"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1.54</w:t>
            </w:r>
          </w:p>
        </w:tc>
        <w:tc>
          <w:tcPr>
            <w:tcW w:w="1924" w:type="dxa"/>
          </w:tcPr>
          <w:p w14:paraId="61C50297"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1.20</w:t>
            </w:r>
          </w:p>
        </w:tc>
        <w:tc>
          <w:tcPr>
            <w:tcW w:w="1440" w:type="dxa"/>
          </w:tcPr>
          <w:p w14:paraId="5E0149BB"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r>
      <w:tr w:rsidR="00E46DAC" w:rsidRPr="00735726" w14:paraId="01A6A05E" w14:textId="77777777" w:rsidTr="00D636C2">
        <w:tc>
          <w:tcPr>
            <w:tcW w:w="3059" w:type="dxa"/>
          </w:tcPr>
          <w:p w14:paraId="46A827B3"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External flooding </w:t>
            </w:r>
          </w:p>
        </w:tc>
        <w:tc>
          <w:tcPr>
            <w:tcW w:w="1103" w:type="dxa"/>
          </w:tcPr>
          <w:p w14:paraId="3C07DF0F"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150524E8"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15.29</w:t>
            </w:r>
          </w:p>
        </w:tc>
        <w:tc>
          <w:tcPr>
            <w:tcW w:w="1924" w:type="dxa"/>
          </w:tcPr>
          <w:p w14:paraId="0165A5B0"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18.04</w:t>
            </w:r>
          </w:p>
        </w:tc>
        <w:tc>
          <w:tcPr>
            <w:tcW w:w="1440" w:type="dxa"/>
          </w:tcPr>
          <w:p w14:paraId="3391F667"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226CE47D" w14:textId="77777777" w:rsidTr="00D636C2">
        <w:tc>
          <w:tcPr>
            <w:tcW w:w="3059" w:type="dxa"/>
          </w:tcPr>
          <w:p w14:paraId="7062F80C"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Sewer collapses </w:t>
            </w:r>
          </w:p>
        </w:tc>
        <w:tc>
          <w:tcPr>
            <w:tcW w:w="1103" w:type="dxa"/>
          </w:tcPr>
          <w:p w14:paraId="1FD2C7E8"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744BC6F3"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13.00</w:t>
            </w:r>
          </w:p>
        </w:tc>
        <w:tc>
          <w:tcPr>
            <w:tcW w:w="1924" w:type="dxa"/>
          </w:tcPr>
          <w:p w14:paraId="1A1C56E9"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5.06</w:t>
            </w:r>
          </w:p>
        </w:tc>
        <w:tc>
          <w:tcPr>
            <w:tcW w:w="1440" w:type="dxa"/>
          </w:tcPr>
          <w:p w14:paraId="4C3EDB39"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r>
      <w:tr w:rsidR="00E46DAC" w:rsidRPr="00735726" w14:paraId="02C9B1E0" w14:textId="77777777" w:rsidTr="00D636C2">
        <w:tc>
          <w:tcPr>
            <w:tcW w:w="3059" w:type="dxa"/>
          </w:tcPr>
          <w:p w14:paraId="46864D87"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Bathing water quality </w:t>
            </w:r>
          </w:p>
        </w:tc>
        <w:tc>
          <w:tcPr>
            <w:tcW w:w="1103" w:type="dxa"/>
          </w:tcPr>
          <w:p w14:paraId="2958FDC6"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560C6494"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100%</w:t>
            </w:r>
          </w:p>
        </w:tc>
        <w:tc>
          <w:tcPr>
            <w:tcW w:w="1924" w:type="dxa"/>
          </w:tcPr>
          <w:p w14:paraId="347B5ED4"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100%</w:t>
            </w:r>
          </w:p>
        </w:tc>
        <w:tc>
          <w:tcPr>
            <w:tcW w:w="1440" w:type="dxa"/>
          </w:tcPr>
          <w:p w14:paraId="7BF1B56B"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r>
      <w:tr w:rsidR="00E46DAC" w:rsidRPr="00735726" w14:paraId="30A3BCAD" w14:textId="77777777" w:rsidTr="00D636C2">
        <w:tc>
          <w:tcPr>
            <w:tcW w:w="3059" w:type="dxa"/>
          </w:tcPr>
          <w:p w14:paraId="0EB9965A" w14:textId="1EA9961C"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Normalised pollutions </w:t>
            </w:r>
            <w:r w:rsidR="006C1BA9" w:rsidRPr="00735726">
              <w:rPr>
                <w:rFonts w:ascii="Arial" w:hAnsi="Arial" w:cs="Arial"/>
                <w:color w:val="000000"/>
                <w:sz w:val="18"/>
                <w:szCs w:val="18"/>
                <w:lang w:eastAsia="en-GB"/>
              </w:rPr>
              <w:t xml:space="preserve">- </w:t>
            </w:r>
            <w:r w:rsidRPr="00735726">
              <w:rPr>
                <w:rFonts w:ascii="Arial" w:hAnsi="Arial" w:cs="Arial"/>
                <w:color w:val="000000"/>
                <w:sz w:val="18"/>
                <w:szCs w:val="18"/>
                <w:lang w:eastAsia="en-GB"/>
              </w:rPr>
              <w:t xml:space="preserve">category 1-3 </w:t>
            </w:r>
          </w:p>
        </w:tc>
        <w:tc>
          <w:tcPr>
            <w:tcW w:w="1103" w:type="dxa"/>
          </w:tcPr>
          <w:p w14:paraId="00C9A21D"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525CEB7B"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25.02</w:t>
            </w:r>
          </w:p>
        </w:tc>
        <w:tc>
          <w:tcPr>
            <w:tcW w:w="1924" w:type="dxa"/>
          </w:tcPr>
          <w:p w14:paraId="51C2A952"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51</w:t>
            </w:r>
          </w:p>
        </w:tc>
        <w:tc>
          <w:tcPr>
            <w:tcW w:w="1440" w:type="dxa"/>
          </w:tcPr>
          <w:p w14:paraId="33E699B6"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33791428" w14:textId="77777777" w:rsidTr="00D636C2">
        <w:tc>
          <w:tcPr>
            <w:tcW w:w="3059" w:type="dxa"/>
          </w:tcPr>
          <w:p w14:paraId="1489FF5C" w14:textId="6AF07328"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Storm overflow </w:t>
            </w:r>
            <w:r w:rsidR="006C1BA9" w:rsidRPr="00735726">
              <w:rPr>
                <w:rFonts w:ascii="Arial" w:hAnsi="Arial" w:cs="Arial"/>
                <w:color w:val="000000"/>
                <w:sz w:val="18"/>
                <w:szCs w:val="18"/>
                <w:lang w:eastAsia="en-GB"/>
              </w:rPr>
              <w:t xml:space="preserve">- </w:t>
            </w:r>
            <w:r w:rsidRPr="00735726">
              <w:rPr>
                <w:rFonts w:ascii="Arial" w:hAnsi="Arial" w:cs="Arial"/>
                <w:color w:val="000000"/>
                <w:sz w:val="18"/>
                <w:szCs w:val="18"/>
                <w:lang w:eastAsia="en-GB"/>
              </w:rPr>
              <w:t xml:space="preserve">average spills per overflow </w:t>
            </w:r>
          </w:p>
        </w:tc>
        <w:tc>
          <w:tcPr>
            <w:tcW w:w="1103" w:type="dxa"/>
          </w:tcPr>
          <w:p w14:paraId="0D161CFB"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24627146"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20</w:t>
            </w:r>
          </w:p>
        </w:tc>
        <w:tc>
          <w:tcPr>
            <w:tcW w:w="1924" w:type="dxa"/>
          </w:tcPr>
          <w:p w14:paraId="6FA044B9"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34</w:t>
            </w:r>
          </w:p>
        </w:tc>
        <w:tc>
          <w:tcPr>
            <w:tcW w:w="1440" w:type="dxa"/>
          </w:tcPr>
          <w:p w14:paraId="7279532F"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4E7C8FE2" w14:textId="77777777" w:rsidTr="00D636C2">
        <w:tc>
          <w:tcPr>
            <w:tcW w:w="3059" w:type="dxa"/>
          </w:tcPr>
          <w:p w14:paraId="47071387" w14:textId="77777777" w:rsidR="00E46DAC" w:rsidRPr="00735726" w:rsidRDefault="00E46DAC" w:rsidP="00C242AC">
            <w:pPr>
              <w:pStyle w:val="Pa2"/>
              <w:spacing w:after="80"/>
              <w:rPr>
                <w:rFonts w:cs="Calibre Light"/>
                <w:color w:val="000000"/>
                <w:sz w:val="16"/>
                <w:szCs w:val="16"/>
              </w:rPr>
            </w:pPr>
            <w:r w:rsidRPr="00735726">
              <w:rPr>
                <w:rFonts w:ascii="Arial" w:hAnsi="Arial" w:cs="Arial"/>
                <w:color w:val="000000"/>
                <w:sz w:val="18"/>
                <w:szCs w:val="18"/>
                <w:lang w:eastAsia="en-GB"/>
              </w:rPr>
              <w:t xml:space="preserve">Biodiversity </w:t>
            </w:r>
          </w:p>
        </w:tc>
        <w:tc>
          <w:tcPr>
            <w:tcW w:w="1103" w:type="dxa"/>
          </w:tcPr>
          <w:p w14:paraId="75850971"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0BC8275E"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On Track</w:t>
            </w:r>
          </w:p>
        </w:tc>
        <w:tc>
          <w:tcPr>
            <w:tcW w:w="1924" w:type="dxa"/>
          </w:tcPr>
          <w:p w14:paraId="189B099B"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On Track</w:t>
            </w:r>
          </w:p>
        </w:tc>
        <w:tc>
          <w:tcPr>
            <w:tcW w:w="1440" w:type="dxa"/>
          </w:tcPr>
          <w:p w14:paraId="0ECC4B97"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r>
      <w:tr w:rsidR="00E46DAC" w:rsidRPr="00735726" w14:paraId="332DF4A5" w14:textId="77777777" w:rsidTr="00C242AC">
        <w:tc>
          <w:tcPr>
            <w:tcW w:w="8886" w:type="dxa"/>
            <w:gridSpan w:val="5"/>
          </w:tcPr>
          <w:p w14:paraId="1BA8BB81" w14:textId="257EAE35" w:rsidR="00E46DAC" w:rsidRPr="00735726" w:rsidRDefault="00E46DAC" w:rsidP="00C242AC">
            <w:pPr>
              <w:spacing w:after="160" w:line="259" w:lineRule="auto"/>
              <w:rPr>
                <w:rFonts w:ascii="Arial" w:hAnsi="Arial" w:cs="DINOT-Light"/>
                <w:color w:val="000000"/>
              </w:rPr>
            </w:pPr>
            <w:proofErr w:type="gramStart"/>
            <w:r w:rsidRPr="00735726">
              <w:rPr>
                <w:rFonts w:ascii="Arial" w:hAnsi="Arial" w:cs="Arial"/>
                <w:i/>
                <w:iCs/>
                <w:color w:val="000000"/>
                <w:sz w:val="18"/>
                <w:szCs w:val="18"/>
                <w:lang w:eastAsia="en-GB"/>
              </w:rPr>
              <w:t>South West</w:t>
            </w:r>
            <w:proofErr w:type="gramEnd"/>
            <w:r w:rsidRPr="00735726">
              <w:rPr>
                <w:rFonts w:ascii="Arial" w:hAnsi="Arial" w:cs="Arial"/>
                <w:i/>
                <w:iCs/>
                <w:color w:val="000000"/>
                <w:sz w:val="18"/>
                <w:szCs w:val="18"/>
                <w:lang w:eastAsia="en-GB"/>
              </w:rPr>
              <w:t xml:space="preserve"> Water </w:t>
            </w:r>
            <w:r w:rsidR="006C1BA9" w:rsidRPr="00735726">
              <w:rPr>
                <w:rFonts w:ascii="Arial" w:hAnsi="Arial" w:cs="Arial"/>
                <w:i/>
                <w:iCs/>
                <w:color w:val="000000"/>
                <w:sz w:val="18"/>
                <w:szCs w:val="18"/>
                <w:lang w:eastAsia="en-GB"/>
              </w:rPr>
              <w:t xml:space="preserve">- </w:t>
            </w:r>
            <w:r w:rsidRPr="00735726">
              <w:rPr>
                <w:rFonts w:ascii="Arial" w:hAnsi="Arial" w:cs="Arial"/>
                <w:i/>
                <w:iCs/>
                <w:color w:val="000000"/>
                <w:sz w:val="18"/>
                <w:szCs w:val="18"/>
                <w:lang w:eastAsia="en-GB"/>
              </w:rPr>
              <w:t>Water Services</w:t>
            </w:r>
          </w:p>
        </w:tc>
      </w:tr>
      <w:tr w:rsidR="00E46DAC" w:rsidRPr="00735726" w14:paraId="098EDA2F" w14:textId="77777777" w:rsidTr="00D636C2">
        <w:tc>
          <w:tcPr>
            <w:tcW w:w="3059" w:type="dxa"/>
          </w:tcPr>
          <w:p w14:paraId="050F1AF0"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Water resources </w:t>
            </w:r>
          </w:p>
        </w:tc>
        <w:tc>
          <w:tcPr>
            <w:tcW w:w="1103" w:type="dxa"/>
          </w:tcPr>
          <w:p w14:paraId="2F89171F" w14:textId="77777777" w:rsidR="00E46DAC" w:rsidRPr="009A2CAE"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c>
          <w:tcPr>
            <w:tcW w:w="1360" w:type="dxa"/>
          </w:tcPr>
          <w:p w14:paraId="3948C100"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90%</w:t>
            </w:r>
          </w:p>
        </w:tc>
        <w:tc>
          <w:tcPr>
            <w:tcW w:w="1924" w:type="dxa"/>
          </w:tcPr>
          <w:p w14:paraId="3720F471"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97%</w:t>
            </w:r>
          </w:p>
        </w:tc>
        <w:tc>
          <w:tcPr>
            <w:tcW w:w="1440" w:type="dxa"/>
          </w:tcPr>
          <w:p w14:paraId="064E6BEB"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r>
      <w:tr w:rsidR="00E46DAC" w:rsidRPr="00735726" w14:paraId="14BD63C3" w14:textId="77777777" w:rsidTr="00D636C2">
        <w:tc>
          <w:tcPr>
            <w:tcW w:w="3059" w:type="dxa"/>
          </w:tcPr>
          <w:p w14:paraId="4854FF50"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CRI </w:t>
            </w:r>
          </w:p>
        </w:tc>
        <w:tc>
          <w:tcPr>
            <w:tcW w:w="1103" w:type="dxa"/>
          </w:tcPr>
          <w:p w14:paraId="7FD3696A" w14:textId="77777777" w:rsidR="00E46DAC" w:rsidRPr="009A2CAE"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c>
          <w:tcPr>
            <w:tcW w:w="1360" w:type="dxa"/>
          </w:tcPr>
          <w:p w14:paraId="6C80010A"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1.83</w:t>
            </w:r>
          </w:p>
        </w:tc>
        <w:tc>
          <w:tcPr>
            <w:tcW w:w="1924" w:type="dxa"/>
          </w:tcPr>
          <w:p w14:paraId="05B4CE74"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1.37</w:t>
            </w:r>
          </w:p>
        </w:tc>
        <w:tc>
          <w:tcPr>
            <w:tcW w:w="1440" w:type="dxa"/>
          </w:tcPr>
          <w:p w14:paraId="0460E853"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r>
      <w:tr w:rsidR="00E46DAC" w:rsidRPr="00735726" w14:paraId="54E78AC0" w14:textId="77777777" w:rsidTr="00D636C2">
        <w:tc>
          <w:tcPr>
            <w:tcW w:w="3059" w:type="dxa"/>
          </w:tcPr>
          <w:p w14:paraId="40A8FEBD"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Water quality contacts </w:t>
            </w:r>
          </w:p>
        </w:tc>
        <w:tc>
          <w:tcPr>
            <w:tcW w:w="1103" w:type="dxa"/>
          </w:tcPr>
          <w:p w14:paraId="2E417CC4" w14:textId="77777777" w:rsidR="00E46DAC" w:rsidRPr="009A2CAE"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c>
          <w:tcPr>
            <w:tcW w:w="1360" w:type="dxa"/>
          </w:tcPr>
          <w:p w14:paraId="215C3875"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1.33</w:t>
            </w:r>
          </w:p>
        </w:tc>
        <w:tc>
          <w:tcPr>
            <w:tcW w:w="1924" w:type="dxa"/>
          </w:tcPr>
          <w:p w14:paraId="69EE9E64"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1.55</w:t>
            </w:r>
          </w:p>
        </w:tc>
        <w:tc>
          <w:tcPr>
            <w:tcW w:w="1440" w:type="dxa"/>
          </w:tcPr>
          <w:p w14:paraId="023F63E2"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5E87A975" w14:textId="77777777" w:rsidTr="00D636C2">
        <w:tc>
          <w:tcPr>
            <w:tcW w:w="3059" w:type="dxa"/>
          </w:tcPr>
          <w:p w14:paraId="51C2C3B0"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Leakage (3-year rolling average) </w:t>
            </w:r>
          </w:p>
        </w:tc>
        <w:tc>
          <w:tcPr>
            <w:tcW w:w="1103" w:type="dxa"/>
          </w:tcPr>
          <w:p w14:paraId="37DA22E9" w14:textId="77777777" w:rsidR="00E46DAC" w:rsidRPr="009A2CAE"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c>
          <w:tcPr>
            <w:tcW w:w="1360" w:type="dxa"/>
          </w:tcPr>
          <w:p w14:paraId="467A14AB"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104.5</w:t>
            </w:r>
          </w:p>
        </w:tc>
        <w:tc>
          <w:tcPr>
            <w:tcW w:w="1924" w:type="dxa"/>
          </w:tcPr>
          <w:p w14:paraId="5477BDA9"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113.3</w:t>
            </w:r>
          </w:p>
        </w:tc>
        <w:tc>
          <w:tcPr>
            <w:tcW w:w="1440" w:type="dxa"/>
          </w:tcPr>
          <w:p w14:paraId="10B3D88F"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6542E899" w14:textId="77777777" w:rsidTr="00D636C2">
        <w:tc>
          <w:tcPr>
            <w:tcW w:w="3059" w:type="dxa"/>
          </w:tcPr>
          <w:p w14:paraId="157CE099"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Supply interruptions </w:t>
            </w:r>
          </w:p>
        </w:tc>
        <w:tc>
          <w:tcPr>
            <w:tcW w:w="1103" w:type="dxa"/>
          </w:tcPr>
          <w:p w14:paraId="72C1010E" w14:textId="77777777" w:rsidR="00E46DAC" w:rsidRPr="009A2CAE"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c>
          <w:tcPr>
            <w:tcW w:w="1360" w:type="dxa"/>
          </w:tcPr>
          <w:p w14:paraId="71526E1E"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05m 00s</w:t>
            </w:r>
          </w:p>
        </w:tc>
        <w:tc>
          <w:tcPr>
            <w:tcW w:w="1924" w:type="dxa"/>
          </w:tcPr>
          <w:p w14:paraId="025774CE"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1hr 9m 14s</w:t>
            </w:r>
          </w:p>
        </w:tc>
        <w:tc>
          <w:tcPr>
            <w:tcW w:w="1440" w:type="dxa"/>
          </w:tcPr>
          <w:p w14:paraId="7028B8B5"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1287EEB2" w14:textId="77777777" w:rsidTr="00D636C2">
        <w:tc>
          <w:tcPr>
            <w:tcW w:w="3059" w:type="dxa"/>
          </w:tcPr>
          <w:p w14:paraId="52E21544"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Mains repairs (per 1,000km) </w:t>
            </w:r>
          </w:p>
        </w:tc>
        <w:tc>
          <w:tcPr>
            <w:tcW w:w="1103" w:type="dxa"/>
          </w:tcPr>
          <w:p w14:paraId="4656A9D2" w14:textId="77777777" w:rsidR="00E46DAC" w:rsidRPr="009A2CAE"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c>
          <w:tcPr>
            <w:tcW w:w="1360" w:type="dxa"/>
          </w:tcPr>
          <w:p w14:paraId="05BDA825"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141.3</w:t>
            </w:r>
          </w:p>
        </w:tc>
        <w:tc>
          <w:tcPr>
            <w:tcW w:w="1924" w:type="dxa"/>
          </w:tcPr>
          <w:p w14:paraId="57E85886"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169.3</w:t>
            </w:r>
          </w:p>
        </w:tc>
        <w:tc>
          <w:tcPr>
            <w:tcW w:w="1440" w:type="dxa"/>
          </w:tcPr>
          <w:p w14:paraId="0798F8A8"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2CEF98B5" w14:textId="77777777" w:rsidTr="00D636C2">
        <w:tc>
          <w:tcPr>
            <w:tcW w:w="3059" w:type="dxa"/>
          </w:tcPr>
          <w:p w14:paraId="03DCD5D8"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Unplanned outage </w:t>
            </w:r>
          </w:p>
        </w:tc>
        <w:tc>
          <w:tcPr>
            <w:tcW w:w="1103" w:type="dxa"/>
          </w:tcPr>
          <w:p w14:paraId="4A047544" w14:textId="77777777" w:rsidR="00E46DAC" w:rsidRPr="009A2CAE"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c>
          <w:tcPr>
            <w:tcW w:w="1360" w:type="dxa"/>
          </w:tcPr>
          <w:p w14:paraId="28139B94"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2.14%</w:t>
            </w:r>
          </w:p>
        </w:tc>
        <w:tc>
          <w:tcPr>
            <w:tcW w:w="1924" w:type="dxa"/>
          </w:tcPr>
          <w:p w14:paraId="1344497F"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2.39%</w:t>
            </w:r>
          </w:p>
        </w:tc>
        <w:tc>
          <w:tcPr>
            <w:tcW w:w="1440" w:type="dxa"/>
          </w:tcPr>
          <w:p w14:paraId="3DC4409D"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5CC05753" w14:textId="77777777" w:rsidTr="00D636C2">
        <w:tc>
          <w:tcPr>
            <w:tcW w:w="3059" w:type="dxa"/>
          </w:tcPr>
          <w:p w14:paraId="7EC23124"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PCC (3-year rolling average) </w:t>
            </w:r>
          </w:p>
        </w:tc>
        <w:tc>
          <w:tcPr>
            <w:tcW w:w="1103" w:type="dxa"/>
          </w:tcPr>
          <w:p w14:paraId="7AE426AA" w14:textId="77777777" w:rsidR="00E46DAC" w:rsidRPr="009A2CAE"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c>
          <w:tcPr>
            <w:tcW w:w="1360" w:type="dxa"/>
          </w:tcPr>
          <w:p w14:paraId="1DAC39E0"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143.7</w:t>
            </w:r>
          </w:p>
        </w:tc>
        <w:tc>
          <w:tcPr>
            <w:tcW w:w="1924" w:type="dxa"/>
          </w:tcPr>
          <w:p w14:paraId="7335126D"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147.7</w:t>
            </w:r>
          </w:p>
        </w:tc>
        <w:tc>
          <w:tcPr>
            <w:tcW w:w="1440" w:type="dxa"/>
          </w:tcPr>
          <w:p w14:paraId="5610C772"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71FBC47C" w14:textId="77777777" w:rsidTr="00C242AC">
        <w:tc>
          <w:tcPr>
            <w:tcW w:w="8886" w:type="dxa"/>
            <w:gridSpan w:val="5"/>
          </w:tcPr>
          <w:p w14:paraId="59E2EF1B" w14:textId="77777777" w:rsidR="00E46DAC" w:rsidRPr="00735726" w:rsidRDefault="00E46DAC" w:rsidP="00C242AC">
            <w:pPr>
              <w:spacing w:after="160" w:line="259" w:lineRule="auto"/>
              <w:rPr>
                <w:rFonts w:ascii="Arial" w:hAnsi="Arial" w:cs="DINOT-Light"/>
                <w:color w:val="000000"/>
              </w:rPr>
            </w:pPr>
            <w:r w:rsidRPr="00735726">
              <w:rPr>
                <w:rFonts w:ascii="Arial" w:hAnsi="Arial" w:cs="Arial"/>
                <w:i/>
                <w:iCs/>
                <w:color w:val="000000"/>
                <w:sz w:val="18"/>
                <w:szCs w:val="18"/>
                <w:lang w:eastAsia="en-GB"/>
              </w:rPr>
              <w:t>Bristol</w:t>
            </w:r>
          </w:p>
        </w:tc>
      </w:tr>
      <w:tr w:rsidR="00E46DAC" w:rsidRPr="00735726" w14:paraId="007B88DD" w14:textId="77777777" w:rsidTr="00D636C2">
        <w:tc>
          <w:tcPr>
            <w:tcW w:w="3059" w:type="dxa"/>
          </w:tcPr>
          <w:p w14:paraId="62ADB58B"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Water resources </w:t>
            </w:r>
          </w:p>
        </w:tc>
        <w:tc>
          <w:tcPr>
            <w:tcW w:w="1103" w:type="dxa"/>
          </w:tcPr>
          <w:p w14:paraId="3D1A6FEF"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3A4506E1"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90%</w:t>
            </w:r>
          </w:p>
        </w:tc>
        <w:tc>
          <w:tcPr>
            <w:tcW w:w="1924" w:type="dxa"/>
          </w:tcPr>
          <w:p w14:paraId="0525C487"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95%</w:t>
            </w:r>
          </w:p>
        </w:tc>
        <w:tc>
          <w:tcPr>
            <w:tcW w:w="1440" w:type="dxa"/>
          </w:tcPr>
          <w:p w14:paraId="14F119E8"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r>
      <w:tr w:rsidR="00E46DAC" w:rsidRPr="00735726" w14:paraId="55F34156" w14:textId="77777777" w:rsidTr="00D636C2">
        <w:tc>
          <w:tcPr>
            <w:tcW w:w="3059" w:type="dxa"/>
          </w:tcPr>
          <w:p w14:paraId="1E3E46E0"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CRI </w:t>
            </w:r>
          </w:p>
        </w:tc>
        <w:tc>
          <w:tcPr>
            <w:tcW w:w="1103" w:type="dxa"/>
          </w:tcPr>
          <w:p w14:paraId="5631C8E1"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4EF44C59"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1.50</w:t>
            </w:r>
          </w:p>
        </w:tc>
        <w:tc>
          <w:tcPr>
            <w:tcW w:w="1924" w:type="dxa"/>
          </w:tcPr>
          <w:p w14:paraId="0D21C402"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3.95</w:t>
            </w:r>
          </w:p>
        </w:tc>
        <w:tc>
          <w:tcPr>
            <w:tcW w:w="1440" w:type="dxa"/>
          </w:tcPr>
          <w:p w14:paraId="636933C0"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2AEDD448" w14:textId="77777777" w:rsidTr="00D636C2">
        <w:tc>
          <w:tcPr>
            <w:tcW w:w="3059" w:type="dxa"/>
          </w:tcPr>
          <w:p w14:paraId="701E725B"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Water quality contacts </w:t>
            </w:r>
          </w:p>
        </w:tc>
        <w:tc>
          <w:tcPr>
            <w:tcW w:w="1103" w:type="dxa"/>
          </w:tcPr>
          <w:p w14:paraId="5B15FF66"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75F3CD15"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0.79</w:t>
            </w:r>
          </w:p>
        </w:tc>
        <w:tc>
          <w:tcPr>
            <w:tcW w:w="1924" w:type="dxa"/>
          </w:tcPr>
          <w:p w14:paraId="250FA773"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0.97</w:t>
            </w:r>
          </w:p>
        </w:tc>
        <w:tc>
          <w:tcPr>
            <w:tcW w:w="1440" w:type="dxa"/>
          </w:tcPr>
          <w:p w14:paraId="6497B454"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5DDE3E3F" w14:textId="77777777" w:rsidTr="00D636C2">
        <w:tc>
          <w:tcPr>
            <w:tcW w:w="3059" w:type="dxa"/>
          </w:tcPr>
          <w:p w14:paraId="00F598DD"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Leakage (3-year rolling average) </w:t>
            </w:r>
          </w:p>
        </w:tc>
        <w:tc>
          <w:tcPr>
            <w:tcW w:w="1103" w:type="dxa"/>
          </w:tcPr>
          <w:p w14:paraId="68F60D6E"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426E292D"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35</w:t>
            </w:r>
          </w:p>
        </w:tc>
        <w:tc>
          <w:tcPr>
            <w:tcW w:w="1924" w:type="dxa"/>
          </w:tcPr>
          <w:p w14:paraId="172E7E17"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35.2</w:t>
            </w:r>
          </w:p>
        </w:tc>
        <w:tc>
          <w:tcPr>
            <w:tcW w:w="1440" w:type="dxa"/>
          </w:tcPr>
          <w:p w14:paraId="6DA7EA8E"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7E590817" w14:textId="77777777" w:rsidTr="00D636C2">
        <w:tc>
          <w:tcPr>
            <w:tcW w:w="3059" w:type="dxa"/>
          </w:tcPr>
          <w:p w14:paraId="3206F00C"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Supply interruptions </w:t>
            </w:r>
          </w:p>
        </w:tc>
        <w:tc>
          <w:tcPr>
            <w:tcW w:w="1103" w:type="dxa"/>
          </w:tcPr>
          <w:p w14:paraId="4F33CB2F"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1106A737"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05m 00s</w:t>
            </w:r>
          </w:p>
        </w:tc>
        <w:tc>
          <w:tcPr>
            <w:tcW w:w="1924" w:type="dxa"/>
          </w:tcPr>
          <w:p w14:paraId="474993FD"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33m 42s</w:t>
            </w:r>
          </w:p>
        </w:tc>
        <w:tc>
          <w:tcPr>
            <w:tcW w:w="1440" w:type="dxa"/>
          </w:tcPr>
          <w:p w14:paraId="6CBF34CA"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34A5613A" w14:textId="77777777" w:rsidTr="00D636C2">
        <w:tc>
          <w:tcPr>
            <w:tcW w:w="3059" w:type="dxa"/>
          </w:tcPr>
          <w:p w14:paraId="38984AF9"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Mains repairs </w:t>
            </w:r>
          </w:p>
        </w:tc>
        <w:tc>
          <w:tcPr>
            <w:tcW w:w="1103" w:type="dxa"/>
          </w:tcPr>
          <w:p w14:paraId="45810C99"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02CD10C5"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140.2</w:t>
            </w:r>
          </w:p>
        </w:tc>
        <w:tc>
          <w:tcPr>
            <w:tcW w:w="1924" w:type="dxa"/>
          </w:tcPr>
          <w:p w14:paraId="1008F81D"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149.6</w:t>
            </w:r>
          </w:p>
        </w:tc>
        <w:tc>
          <w:tcPr>
            <w:tcW w:w="1440" w:type="dxa"/>
          </w:tcPr>
          <w:p w14:paraId="432319E6"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2353B758" w14:textId="77777777" w:rsidTr="00D636C2">
        <w:tc>
          <w:tcPr>
            <w:tcW w:w="3059" w:type="dxa"/>
          </w:tcPr>
          <w:p w14:paraId="478FAB49"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Unplanned outage </w:t>
            </w:r>
          </w:p>
        </w:tc>
        <w:tc>
          <w:tcPr>
            <w:tcW w:w="1103" w:type="dxa"/>
          </w:tcPr>
          <w:p w14:paraId="6DAAF8B7"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53148595"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2.78%</w:t>
            </w:r>
          </w:p>
        </w:tc>
        <w:tc>
          <w:tcPr>
            <w:tcW w:w="1924" w:type="dxa"/>
          </w:tcPr>
          <w:p w14:paraId="55557DC5"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1.93%</w:t>
            </w:r>
          </w:p>
        </w:tc>
        <w:tc>
          <w:tcPr>
            <w:tcW w:w="1440" w:type="dxa"/>
          </w:tcPr>
          <w:p w14:paraId="4BC6C3D6"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2.6%</w:t>
            </w:r>
          </w:p>
        </w:tc>
      </w:tr>
      <w:tr w:rsidR="00E46DAC" w:rsidRPr="00735726" w14:paraId="625A81A0" w14:textId="77777777" w:rsidTr="00D636C2">
        <w:tc>
          <w:tcPr>
            <w:tcW w:w="3059" w:type="dxa"/>
          </w:tcPr>
          <w:p w14:paraId="5DAD7333"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PCC (3-year rolling average) </w:t>
            </w:r>
          </w:p>
        </w:tc>
        <w:tc>
          <w:tcPr>
            <w:tcW w:w="1103" w:type="dxa"/>
          </w:tcPr>
          <w:p w14:paraId="62294943"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64EC7218"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w:t>
            </w:r>
          </w:p>
        </w:tc>
        <w:tc>
          <w:tcPr>
            <w:tcW w:w="1924" w:type="dxa"/>
          </w:tcPr>
          <w:p w14:paraId="5DE1EBFE"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148.3</w:t>
            </w:r>
          </w:p>
        </w:tc>
        <w:tc>
          <w:tcPr>
            <w:tcW w:w="1440" w:type="dxa"/>
          </w:tcPr>
          <w:p w14:paraId="3F2750FB"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3C443675" w14:textId="77777777" w:rsidTr="00C242AC">
        <w:tc>
          <w:tcPr>
            <w:tcW w:w="8886" w:type="dxa"/>
            <w:gridSpan w:val="5"/>
          </w:tcPr>
          <w:p w14:paraId="452BCC2A" w14:textId="77777777" w:rsidR="00E46DAC" w:rsidRPr="00735726" w:rsidRDefault="00E46DAC" w:rsidP="00C242AC">
            <w:pPr>
              <w:spacing w:after="160" w:line="259" w:lineRule="auto"/>
              <w:rPr>
                <w:rFonts w:ascii="Arial" w:hAnsi="Arial" w:cs="DINOT-Light"/>
                <w:color w:val="000000"/>
              </w:rPr>
            </w:pPr>
            <w:r w:rsidRPr="00735726">
              <w:rPr>
                <w:rFonts w:ascii="Arial" w:hAnsi="Arial" w:cs="Arial"/>
                <w:i/>
                <w:iCs/>
                <w:color w:val="000000"/>
                <w:sz w:val="18"/>
                <w:szCs w:val="18"/>
                <w:lang w:eastAsia="en-GB"/>
              </w:rPr>
              <w:t>Capital programme</w:t>
            </w:r>
            <w:r w:rsidRPr="00735726">
              <w:rPr>
                <w:rFonts w:ascii="Arial" w:hAnsi="Arial" w:cs="Arial"/>
                <w:color w:val="000000"/>
                <w:sz w:val="18"/>
                <w:szCs w:val="18"/>
                <w:lang w:eastAsia="en-GB"/>
              </w:rPr>
              <w:t xml:space="preserve"> </w:t>
            </w:r>
          </w:p>
        </w:tc>
      </w:tr>
      <w:tr w:rsidR="00E46DAC" w:rsidRPr="00735726" w14:paraId="5868F189" w14:textId="77777777" w:rsidTr="00D636C2">
        <w:tc>
          <w:tcPr>
            <w:tcW w:w="3059" w:type="dxa"/>
          </w:tcPr>
          <w:p w14:paraId="1FEA001F" w14:textId="77777777" w:rsidR="00E46DAC" w:rsidRPr="00735726" w:rsidRDefault="00E46DAC" w:rsidP="00C242A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PCD delivery </w:t>
            </w:r>
          </w:p>
        </w:tc>
        <w:tc>
          <w:tcPr>
            <w:tcW w:w="1103" w:type="dxa"/>
          </w:tcPr>
          <w:p w14:paraId="6F136207"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2.6%</w:t>
            </w:r>
          </w:p>
        </w:tc>
        <w:tc>
          <w:tcPr>
            <w:tcW w:w="1360" w:type="dxa"/>
          </w:tcPr>
          <w:p w14:paraId="55A48C4B"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100%</w:t>
            </w:r>
          </w:p>
        </w:tc>
        <w:tc>
          <w:tcPr>
            <w:tcW w:w="1924" w:type="dxa"/>
          </w:tcPr>
          <w:p w14:paraId="24A70CDD" w14:textId="7830E301"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100%</w:t>
            </w:r>
          </w:p>
        </w:tc>
        <w:tc>
          <w:tcPr>
            <w:tcW w:w="1440" w:type="dxa"/>
          </w:tcPr>
          <w:p w14:paraId="37A5382D"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w:t>
            </w:r>
          </w:p>
        </w:tc>
      </w:tr>
      <w:tr w:rsidR="00E46DAC" w:rsidRPr="00735726" w14:paraId="41A1DF96" w14:textId="77777777" w:rsidTr="00D636C2">
        <w:tc>
          <w:tcPr>
            <w:tcW w:w="3059" w:type="dxa"/>
          </w:tcPr>
          <w:p w14:paraId="4D06F0C8" w14:textId="77777777" w:rsidR="00E46DAC" w:rsidRPr="00735726" w:rsidRDefault="00E46DAC" w:rsidP="00C242AC">
            <w:pPr>
              <w:pStyle w:val="Pa2"/>
              <w:spacing w:after="80"/>
              <w:rPr>
                <w:rFonts w:cs="Calibre Light"/>
                <w:i/>
                <w:iCs/>
                <w:color w:val="000000"/>
                <w:sz w:val="16"/>
                <w:szCs w:val="16"/>
              </w:rPr>
            </w:pPr>
            <w:r w:rsidRPr="00735726">
              <w:rPr>
                <w:rFonts w:ascii="Arial" w:hAnsi="Arial" w:cs="Arial"/>
                <w:i/>
                <w:iCs/>
                <w:color w:val="000000"/>
                <w:sz w:val="18"/>
                <w:szCs w:val="18"/>
                <w:lang w:eastAsia="en-GB"/>
              </w:rPr>
              <w:lastRenderedPageBreak/>
              <w:t>ESG measure</w:t>
            </w:r>
          </w:p>
        </w:tc>
        <w:tc>
          <w:tcPr>
            <w:tcW w:w="1103" w:type="dxa"/>
          </w:tcPr>
          <w:p w14:paraId="1E500498" w14:textId="77777777" w:rsidR="00E46DAC" w:rsidRPr="009A2CAE" w:rsidRDefault="00E46DAC" w:rsidP="00C242AC">
            <w:pPr>
              <w:spacing w:after="160" w:line="259" w:lineRule="auto"/>
              <w:rPr>
                <w:rFonts w:ascii="Arial" w:hAnsi="Arial" w:cs="DINOT-Light"/>
                <w:color w:val="000000"/>
              </w:rPr>
            </w:pPr>
            <w:r w:rsidRPr="00735726">
              <w:rPr>
                <w:rFonts w:ascii="Arial" w:hAnsi="Arial" w:cs="Arial"/>
                <w:color w:val="000000"/>
                <w:sz w:val="18"/>
                <w:szCs w:val="18"/>
                <w:lang w:eastAsia="en-GB"/>
              </w:rPr>
              <w:t>15%</w:t>
            </w:r>
          </w:p>
        </w:tc>
        <w:tc>
          <w:tcPr>
            <w:tcW w:w="1360" w:type="dxa"/>
          </w:tcPr>
          <w:p w14:paraId="7ECD102F" w14:textId="1B5B3C4D" w:rsidR="00E46DAC" w:rsidRPr="009A2CAE"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 xml:space="preserve">See </w:t>
            </w:r>
            <w:r w:rsidR="00217E9F" w:rsidRPr="00735726">
              <w:rPr>
                <w:rFonts w:ascii="Arial" w:hAnsi="Arial" w:cs="Arial"/>
                <w:color w:val="000000"/>
                <w:sz w:val="18"/>
                <w:szCs w:val="18"/>
                <w:lang w:eastAsia="en-GB"/>
              </w:rPr>
              <w:t>below table</w:t>
            </w:r>
          </w:p>
        </w:tc>
        <w:tc>
          <w:tcPr>
            <w:tcW w:w="1924" w:type="dxa"/>
          </w:tcPr>
          <w:p w14:paraId="1BF2DA88"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11.8%</w:t>
            </w:r>
          </w:p>
        </w:tc>
        <w:tc>
          <w:tcPr>
            <w:tcW w:w="1440" w:type="dxa"/>
          </w:tcPr>
          <w:p w14:paraId="4EB645D5" w14:textId="77777777" w:rsidR="00E46DAC" w:rsidRPr="00735726" w:rsidRDefault="00E46DAC" w:rsidP="00C242A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11.8%</w:t>
            </w:r>
          </w:p>
        </w:tc>
      </w:tr>
      <w:tr w:rsidR="00E46DAC" w:rsidRPr="00735726" w14:paraId="5A1D5430" w14:textId="77777777" w:rsidTr="00D636C2">
        <w:tc>
          <w:tcPr>
            <w:tcW w:w="7446" w:type="dxa"/>
            <w:gridSpan w:val="4"/>
          </w:tcPr>
          <w:p w14:paraId="7A0B43D9" w14:textId="77777777" w:rsidR="00E46DAC" w:rsidRPr="009A2CAE" w:rsidRDefault="00E46DAC" w:rsidP="00C242AC">
            <w:pPr>
              <w:spacing w:after="160" w:line="259" w:lineRule="auto"/>
              <w:rPr>
                <w:rFonts w:ascii="Arial" w:hAnsi="Arial" w:cs="Arial"/>
                <w:b/>
                <w:bCs/>
                <w:color w:val="000000"/>
                <w:sz w:val="18"/>
                <w:szCs w:val="18"/>
                <w:lang w:eastAsia="en-GB"/>
              </w:rPr>
            </w:pPr>
            <w:r w:rsidRPr="00735726">
              <w:rPr>
                <w:rFonts w:ascii="Arial" w:hAnsi="Arial" w:cs="Arial"/>
                <w:b/>
                <w:bCs/>
                <w:color w:val="000000"/>
                <w:sz w:val="18"/>
                <w:szCs w:val="18"/>
                <w:lang w:eastAsia="en-GB"/>
              </w:rPr>
              <w:t>Overall total</w:t>
            </w:r>
          </w:p>
        </w:tc>
        <w:tc>
          <w:tcPr>
            <w:tcW w:w="1440" w:type="dxa"/>
          </w:tcPr>
          <w:p w14:paraId="1D36CB2E" w14:textId="7F685CBE" w:rsidR="00E46DAC" w:rsidRPr="009A2CAE" w:rsidRDefault="00E46DAC" w:rsidP="00C242AC">
            <w:pPr>
              <w:spacing w:after="160" w:line="259" w:lineRule="auto"/>
              <w:rPr>
                <w:rFonts w:ascii="Arial" w:hAnsi="Arial" w:cs="Arial"/>
                <w:color w:val="000000"/>
                <w:sz w:val="18"/>
                <w:szCs w:val="18"/>
                <w:vertAlign w:val="superscript"/>
                <w:lang w:eastAsia="en-GB"/>
              </w:rPr>
            </w:pPr>
            <w:r w:rsidRPr="00735726">
              <w:rPr>
                <w:rFonts w:ascii="Arial" w:hAnsi="Arial" w:cs="Arial"/>
                <w:b/>
                <w:bCs/>
                <w:color w:val="000000"/>
                <w:sz w:val="18"/>
                <w:szCs w:val="18"/>
                <w:lang w:eastAsia="en-GB"/>
              </w:rPr>
              <w:t>32.6%</w:t>
            </w:r>
          </w:p>
        </w:tc>
      </w:tr>
      <w:tr w:rsidR="00E46DAC" w:rsidRPr="00735726" w14:paraId="1D80E76E" w14:textId="77777777" w:rsidTr="00D636C2">
        <w:trPr>
          <w:trHeight w:val="390"/>
        </w:trPr>
        <w:tc>
          <w:tcPr>
            <w:tcW w:w="7446" w:type="dxa"/>
            <w:gridSpan w:val="4"/>
          </w:tcPr>
          <w:p w14:paraId="3233A349" w14:textId="77777777" w:rsidR="00E46DAC" w:rsidRPr="009A2CAE" w:rsidRDefault="00E46DAC" w:rsidP="00C242AC">
            <w:pPr>
              <w:spacing w:after="160" w:line="259" w:lineRule="auto"/>
              <w:rPr>
                <w:rFonts w:ascii="Arial" w:hAnsi="Arial" w:cs="Arial"/>
                <w:b/>
                <w:bCs/>
                <w:color w:val="000000"/>
                <w:sz w:val="18"/>
                <w:szCs w:val="18"/>
                <w:lang w:eastAsia="en-GB"/>
              </w:rPr>
            </w:pPr>
            <w:r w:rsidRPr="00735726">
              <w:rPr>
                <w:rFonts w:ascii="Arial" w:hAnsi="Arial" w:cs="Arial"/>
                <w:b/>
                <w:bCs/>
                <w:color w:val="000000"/>
                <w:sz w:val="18"/>
                <w:szCs w:val="18"/>
                <w:lang w:eastAsia="en-GB"/>
              </w:rPr>
              <w:t>Impact of prohibition</w:t>
            </w:r>
            <w:r w:rsidRPr="00735726">
              <w:rPr>
                <w:rFonts w:cs="Calibre Semibold"/>
                <w:b/>
                <w:bCs/>
                <w:color w:val="000000"/>
                <w:sz w:val="16"/>
                <w:szCs w:val="16"/>
              </w:rPr>
              <w:t xml:space="preserve"> </w:t>
            </w:r>
          </w:p>
        </w:tc>
        <w:tc>
          <w:tcPr>
            <w:tcW w:w="1440" w:type="dxa"/>
          </w:tcPr>
          <w:p w14:paraId="020BE5F0" w14:textId="77777777" w:rsidR="00E46DAC" w:rsidRPr="009A2CAE" w:rsidRDefault="00E46DAC" w:rsidP="00C242AC">
            <w:pPr>
              <w:spacing w:after="160" w:line="259" w:lineRule="auto"/>
              <w:rPr>
                <w:rFonts w:ascii="Arial" w:hAnsi="Arial" w:cs="Arial"/>
                <w:b/>
                <w:bCs/>
                <w:color w:val="000000"/>
                <w:sz w:val="18"/>
                <w:szCs w:val="18"/>
                <w:lang w:eastAsia="en-GB"/>
              </w:rPr>
            </w:pPr>
            <w:r w:rsidRPr="00735726">
              <w:rPr>
                <w:rFonts w:ascii="Arial" w:hAnsi="Arial" w:cs="Arial"/>
                <w:b/>
                <w:bCs/>
                <w:color w:val="000000"/>
                <w:sz w:val="18"/>
                <w:szCs w:val="18"/>
                <w:lang w:eastAsia="en-GB"/>
              </w:rPr>
              <w:t>0.0%</w:t>
            </w:r>
          </w:p>
        </w:tc>
      </w:tr>
    </w:tbl>
    <w:p w14:paraId="753B2620" w14:textId="77777777" w:rsidR="00E46DAC" w:rsidRPr="009A2CAE" w:rsidRDefault="00E46DAC" w:rsidP="00E46DAC">
      <w:pPr>
        <w:spacing w:after="160" w:line="259" w:lineRule="auto"/>
        <w:rPr>
          <w:rFonts w:ascii="Arial" w:hAnsi="Arial" w:cs="Arial"/>
          <w:b/>
          <w:bCs/>
          <w:sz w:val="18"/>
          <w:szCs w:val="18"/>
        </w:rPr>
      </w:pPr>
    </w:p>
    <w:tbl>
      <w:tblPr>
        <w:tblStyle w:val="TableGrid"/>
        <w:tblW w:w="8886" w:type="dxa"/>
        <w:tblLook w:val="04A0" w:firstRow="1" w:lastRow="0" w:firstColumn="1" w:lastColumn="0" w:noHBand="0" w:noVBand="1"/>
      </w:tblPr>
      <w:tblGrid>
        <w:gridCol w:w="2663"/>
        <w:gridCol w:w="1056"/>
        <w:gridCol w:w="1828"/>
        <w:gridCol w:w="1906"/>
        <w:gridCol w:w="61"/>
        <w:gridCol w:w="1372"/>
      </w:tblGrid>
      <w:tr w:rsidR="00366B7C" w:rsidRPr="00735726" w14:paraId="27314D3B" w14:textId="77777777" w:rsidTr="00366B7C">
        <w:tc>
          <w:tcPr>
            <w:tcW w:w="2663" w:type="dxa"/>
            <w:shd w:val="clear" w:color="auto" w:fill="002060"/>
            <w:vAlign w:val="center"/>
          </w:tcPr>
          <w:p w14:paraId="187CD33E" w14:textId="69F58B39" w:rsidR="00E87F83" w:rsidRPr="00735726" w:rsidRDefault="00E87F83" w:rsidP="00080495">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t>ESG Measure</w:t>
            </w:r>
          </w:p>
        </w:tc>
        <w:tc>
          <w:tcPr>
            <w:tcW w:w="1056" w:type="dxa"/>
            <w:shd w:val="clear" w:color="auto" w:fill="002060"/>
            <w:vAlign w:val="center"/>
          </w:tcPr>
          <w:p w14:paraId="07C0AC6C" w14:textId="77777777" w:rsidR="00E87F83" w:rsidRPr="00735726" w:rsidRDefault="00E87F83" w:rsidP="00080495">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t>Sub-weighting</w:t>
            </w:r>
          </w:p>
        </w:tc>
        <w:tc>
          <w:tcPr>
            <w:tcW w:w="1828" w:type="dxa"/>
            <w:shd w:val="clear" w:color="auto" w:fill="002060"/>
            <w:vAlign w:val="center"/>
          </w:tcPr>
          <w:p w14:paraId="05A355DF" w14:textId="77777777" w:rsidR="00E87F83" w:rsidRPr="00735726" w:rsidRDefault="00E87F83" w:rsidP="00080495">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t>Targets</w:t>
            </w:r>
          </w:p>
        </w:tc>
        <w:tc>
          <w:tcPr>
            <w:tcW w:w="1906" w:type="dxa"/>
            <w:shd w:val="clear" w:color="auto" w:fill="002060"/>
            <w:vAlign w:val="center"/>
          </w:tcPr>
          <w:p w14:paraId="66220D0C" w14:textId="77777777" w:rsidR="00E87F83" w:rsidRPr="00735726" w:rsidRDefault="00E87F83" w:rsidP="00080495">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t xml:space="preserve">Actual </w:t>
            </w:r>
          </w:p>
        </w:tc>
        <w:tc>
          <w:tcPr>
            <w:tcW w:w="1433" w:type="dxa"/>
            <w:gridSpan w:val="2"/>
            <w:shd w:val="clear" w:color="auto" w:fill="002060"/>
            <w:vAlign w:val="center"/>
          </w:tcPr>
          <w:p w14:paraId="435B78AD" w14:textId="77777777" w:rsidR="00E87F83" w:rsidRPr="00735726" w:rsidRDefault="00E87F83" w:rsidP="00080495">
            <w:pPr>
              <w:spacing w:after="160" w:line="259" w:lineRule="auto"/>
              <w:rPr>
                <w:rFonts w:ascii="Arial" w:hAnsi="Arial" w:cs="DINOT-Light"/>
                <w:color w:val="FFFFFF" w:themeColor="background1"/>
              </w:rPr>
            </w:pPr>
            <w:r w:rsidRPr="00735726">
              <w:rPr>
                <w:rFonts w:ascii="Arial" w:hAnsi="Arial" w:cs="Arial"/>
                <w:b/>
                <w:bCs/>
                <w:color w:val="FFFFFF" w:themeColor="background1"/>
                <w:sz w:val="18"/>
                <w:szCs w:val="18"/>
                <w:lang w:eastAsia="en-GB"/>
              </w:rPr>
              <w:t>Outcome</w:t>
            </w:r>
          </w:p>
        </w:tc>
      </w:tr>
      <w:tr w:rsidR="00E87F83" w:rsidRPr="00735726" w14:paraId="08272331" w14:textId="77777777" w:rsidTr="00F97FAA">
        <w:tc>
          <w:tcPr>
            <w:tcW w:w="8886" w:type="dxa"/>
            <w:gridSpan w:val="6"/>
          </w:tcPr>
          <w:p w14:paraId="0E26F8E5" w14:textId="2D346D3F" w:rsidR="00E87F83" w:rsidRPr="00735726" w:rsidRDefault="00E87F83" w:rsidP="00080495">
            <w:pPr>
              <w:spacing w:after="160" w:line="259" w:lineRule="auto"/>
              <w:rPr>
                <w:rFonts w:ascii="Arial" w:hAnsi="Arial" w:cs="DINOT-Light"/>
                <w:color w:val="000000"/>
              </w:rPr>
            </w:pPr>
            <w:r w:rsidRPr="00735726">
              <w:rPr>
                <w:rFonts w:ascii="Arial" w:hAnsi="Arial" w:cs="Arial"/>
                <w:i/>
                <w:iCs/>
                <w:color w:val="000000"/>
                <w:sz w:val="18"/>
                <w:szCs w:val="18"/>
                <w:lang w:eastAsia="en-GB"/>
              </w:rPr>
              <w:t>Environment, Social &amp; Governance</w:t>
            </w:r>
          </w:p>
        </w:tc>
      </w:tr>
      <w:tr w:rsidR="00E87F83" w:rsidRPr="00735726" w14:paraId="732CD196" w14:textId="77777777" w:rsidTr="00D636C2">
        <w:tc>
          <w:tcPr>
            <w:tcW w:w="2663" w:type="dxa"/>
          </w:tcPr>
          <w:p w14:paraId="5D6608C6" w14:textId="55FD82B1" w:rsidR="00E87F83" w:rsidRPr="00735726" w:rsidRDefault="00E87F83" w:rsidP="00D636C2">
            <w:pPr>
              <w:pStyle w:val="Pa2"/>
              <w:spacing w:after="80"/>
              <w:rPr>
                <w:rFonts w:cs="Calibre Light"/>
                <w:color w:val="000000"/>
                <w:sz w:val="16"/>
                <w:szCs w:val="16"/>
              </w:rPr>
            </w:pPr>
            <w:r w:rsidRPr="00735726">
              <w:rPr>
                <w:rFonts w:ascii="Arial" w:hAnsi="Arial" w:cs="Arial"/>
                <w:color w:val="000000"/>
                <w:sz w:val="18"/>
                <w:szCs w:val="18"/>
                <w:lang w:eastAsia="en-GB"/>
              </w:rPr>
              <w:t>Renewable electricity (%)</w:t>
            </w:r>
            <w:r w:rsidRPr="00735726">
              <w:rPr>
                <w:rFonts w:cs="Calibre Light"/>
                <w:color w:val="000000"/>
                <w:sz w:val="16"/>
                <w:szCs w:val="16"/>
              </w:rPr>
              <w:t xml:space="preserve"> </w:t>
            </w:r>
          </w:p>
        </w:tc>
        <w:tc>
          <w:tcPr>
            <w:tcW w:w="1056" w:type="dxa"/>
          </w:tcPr>
          <w:p w14:paraId="2E6B7F74" w14:textId="2E7683E3" w:rsidR="00E87F83" w:rsidRPr="00735726" w:rsidRDefault="00E87F83" w:rsidP="00080495">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6D0551B7" w14:textId="26FDF55F" w:rsidR="00E87F83" w:rsidRPr="00735726" w:rsidRDefault="00366B7C" w:rsidP="00080495">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16.1%</w:t>
            </w:r>
          </w:p>
        </w:tc>
        <w:tc>
          <w:tcPr>
            <w:tcW w:w="1967" w:type="dxa"/>
            <w:gridSpan w:val="2"/>
          </w:tcPr>
          <w:p w14:paraId="001CCBC0" w14:textId="37B9F1E3" w:rsidR="00E87F83" w:rsidRPr="00735726" w:rsidRDefault="00366B7C" w:rsidP="00080495">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8.6%</w:t>
            </w:r>
          </w:p>
        </w:tc>
        <w:tc>
          <w:tcPr>
            <w:tcW w:w="1372" w:type="dxa"/>
          </w:tcPr>
          <w:p w14:paraId="19B5EC09" w14:textId="308117F2" w:rsidR="00E87F83" w:rsidRPr="00735726" w:rsidRDefault="00366B7C" w:rsidP="00080495">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0.00%</w:t>
            </w:r>
          </w:p>
        </w:tc>
      </w:tr>
      <w:tr w:rsidR="00E87F83" w:rsidRPr="00735726" w14:paraId="6257342B" w14:textId="77777777" w:rsidTr="00D636C2">
        <w:tc>
          <w:tcPr>
            <w:tcW w:w="2663" w:type="dxa"/>
          </w:tcPr>
          <w:p w14:paraId="78E78654" w14:textId="32890EA9" w:rsidR="00E87F83" w:rsidRPr="00735726" w:rsidRDefault="00E87F83" w:rsidP="00D636C2">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Reduction in GHG emissions (%)</w:t>
            </w:r>
          </w:p>
        </w:tc>
        <w:tc>
          <w:tcPr>
            <w:tcW w:w="1056" w:type="dxa"/>
          </w:tcPr>
          <w:p w14:paraId="65194730" w14:textId="535A8B69"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15CCF440" w14:textId="538B28E8"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49%</w:t>
            </w:r>
          </w:p>
        </w:tc>
        <w:tc>
          <w:tcPr>
            <w:tcW w:w="1967" w:type="dxa"/>
            <w:gridSpan w:val="2"/>
          </w:tcPr>
          <w:p w14:paraId="72C2FFBB" w14:textId="41070CE6"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52%</w:t>
            </w:r>
          </w:p>
        </w:tc>
        <w:tc>
          <w:tcPr>
            <w:tcW w:w="1372" w:type="dxa"/>
          </w:tcPr>
          <w:p w14:paraId="3DD9A9E3" w14:textId="2340C760"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E87F83" w:rsidRPr="00735726" w14:paraId="0A6A8A6F" w14:textId="77777777" w:rsidTr="00D636C2">
        <w:tc>
          <w:tcPr>
            <w:tcW w:w="2663" w:type="dxa"/>
          </w:tcPr>
          <w:p w14:paraId="34180537" w14:textId="4113333E" w:rsidR="00E87F83" w:rsidRPr="00735726" w:rsidRDefault="00E87F83" w:rsidP="00D636C2">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Tree Planting</w:t>
            </w:r>
          </w:p>
        </w:tc>
        <w:tc>
          <w:tcPr>
            <w:tcW w:w="1056" w:type="dxa"/>
          </w:tcPr>
          <w:p w14:paraId="188CDA49" w14:textId="53A32B76"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6E9EEB0C" w14:textId="48969CDC"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400,000</w:t>
            </w:r>
          </w:p>
        </w:tc>
        <w:tc>
          <w:tcPr>
            <w:tcW w:w="1967" w:type="dxa"/>
            <w:gridSpan w:val="2"/>
          </w:tcPr>
          <w:p w14:paraId="61AC24F7" w14:textId="47512C0D"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421,199</w:t>
            </w:r>
          </w:p>
        </w:tc>
        <w:tc>
          <w:tcPr>
            <w:tcW w:w="1372" w:type="dxa"/>
          </w:tcPr>
          <w:p w14:paraId="24131071" w14:textId="59667052"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E87F83" w:rsidRPr="00735726" w14:paraId="13932A37" w14:textId="77777777" w:rsidTr="00D636C2">
        <w:tc>
          <w:tcPr>
            <w:tcW w:w="2663" w:type="dxa"/>
          </w:tcPr>
          <w:p w14:paraId="731D1CA7" w14:textId="17448BB6" w:rsidR="00E87F83"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Peatland Restoration (Ha) </w:t>
            </w:r>
          </w:p>
        </w:tc>
        <w:tc>
          <w:tcPr>
            <w:tcW w:w="1056" w:type="dxa"/>
          </w:tcPr>
          <w:p w14:paraId="3EE12347" w14:textId="35C7326C"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5E1325A5" w14:textId="49D468A7"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5,000</w:t>
            </w:r>
          </w:p>
        </w:tc>
        <w:tc>
          <w:tcPr>
            <w:tcW w:w="1967" w:type="dxa"/>
            <w:gridSpan w:val="2"/>
          </w:tcPr>
          <w:p w14:paraId="1F981664" w14:textId="6C0C7EDC"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5,1</w:t>
            </w:r>
            <w:r w:rsidR="00D31D67" w:rsidRPr="00735726">
              <w:rPr>
                <w:rFonts w:ascii="Arial" w:hAnsi="Arial" w:cs="Arial"/>
                <w:color w:val="000000"/>
                <w:sz w:val="18"/>
                <w:szCs w:val="18"/>
                <w:lang w:eastAsia="en-GB"/>
              </w:rPr>
              <w:t>3</w:t>
            </w:r>
            <w:r w:rsidRPr="00735726">
              <w:rPr>
                <w:rFonts w:ascii="Arial" w:hAnsi="Arial" w:cs="Arial"/>
                <w:color w:val="000000"/>
                <w:sz w:val="18"/>
                <w:szCs w:val="18"/>
                <w:lang w:eastAsia="en-GB"/>
              </w:rPr>
              <w:t>8</w:t>
            </w:r>
          </w:p>
        </w:tc>
        <w:tc>
          <w:tcPr>
            <w:tcW w:w="1372" w:type="dxa"/>
          </w:tcPr>
          <w:p w14:paraId="289FBFF0" w14:textId="65BBE121"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E87F83" w:rsidRPr="00735726" w14:paraId="02EEDA7C" w14:textId="77777777" w:rsidTr="00D636C2">
        <w:tc>
          <w:tcPr>
            <w:tcW w:w="2663" w:type="dxa"/>
          </w:tcPr>
          <w:p w14:paraId="69961BAD" w14:textId="56C99C56" w:rsidR="00E87F83"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Diversity of workforce </w:t>
            </w:r>
          </w:p>
        </w:tc>
        <w:tc>
          <w:tcPr>
            <w:tcW w:w="1056" w:type="dxa"/>
          </w:tcPr>
          <w:p w14:paraId="3EB0A8CB" w14:textId="35E629EF"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1A4851A2" w14:textId="535DB12E"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33%</w:t>
            </w:r>
          </w:p>
        </w:tc>
        <w:tc>
          <w:tcPr>
            <w:tcW w:w="1967" w:type="dxa"/>
            <w:gridSpan w:val="2"/>
          </w:tcPr>
          <w:p w14:paraId="63707E2E" w14:textId="256C1F30"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34%</w:t>
            </w:r>
          </w:p>
        </w:tc>
        <w:tc>
          <w:tcPr>
            <w:tcW w:w="1372" w:type="dxa"/>
          </w:tcPr>
          <w:p w14:paraId="6DA58BBE" w14:textId="736EA232"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E87F83" w:rsidRPr="00735726" w14:paraId="21FEF4DC" w14:textId="77777777" w:rsidTr="00D636C2">
        <w:tc>
          <w:tcPr>
            <w:tcW w:w="2663" w:type="dxa"/>
          </w:tcPr>
          <w:p w14:paraId="45EB1857" w14:textId="11EB2581" w:rsidR="00E87F83"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5% Club accreditation status (Grade)</w:t>
            </w:r>
          </w:p>
        </w:tc>
        <w:tc>
          <w:tcPr>
            <w:tcW w:w="1056" w:type="dxa"/>
          </w:tcPr>
          <w:p w14:paraId="6711A6D5" w14:textId="59E3815A"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2B3A226E" w14:textId="2B4BEB2F"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Platinum</w:t>
            </w:r>
          </w:p>
        </w:tc>
        <w:tc>
          <w:tcPr>
            <w:tcW w:w="1967" w:type="dxa"/>
            <w:gridSpan w:val="2"/>
          </w:tcPr>
          <w:p w14:paraId="7047A2C3" w14:textId="2611F453"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Platinum</w:t>
            </w:r>
          </w:p>
        </w:tc>
        <w:tc>
          <w:tcPr>
            <w:tcW w:w="1372" w:type="dxa"/>
          </w:tcPr>
          <w:p w14:paraId="073BF3A7" w14:textId="2B549CCB"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E87F83" w:rsidRPr="00735726" w14:paraId="3B537D3B" w14:textId="77777777" w:rsidTr="00D636C2">
        <w:tc>
          <w:tcPr>
            <w:tcW w:w="2663" w:type="dxa"/>
          </w:tcPr>
          <w:p w14:paraId="34716743" w14:textId="1D7F7799" w:rsidR="00E87F83"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Glassdoor Score (average) </w:t>
            </w:r>
          </w:p>
        </w:tc>
        <w:tc>
          <w:tcPr>
            <w:tcW w:w="1056" w:type="dxa"/>
          </w:tcPr>
          <w:p w14:paraId="7D934C54" w14:textId="07E63722"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16E42E4D" w14:textId="448CBA5C"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4.0</w:t>
            </w:r>
          </w:p>
        </w:tc>
        <w:tc>
          <w:tcPr>
            <w:tcW w:w="1967" w:type="dxa"/>
            <w:gridSpan w:val="2"/>
          </w:tcPr>
          <w:p w14:paraId="4AD0F625" w14:textId="3C2649AB"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3.5</w:t>
            </w:r>
          </w:p>
        </w:tc>
        <w:tc>
          <w:tcPr>
            <w:tcW w:w="1372" w:type="dxa"/>
          </w:tcPr>
          <w:p w14:paraId="4D7FCFCB" w14:textId="55B1D5A3"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0.00%</w:t>
            </w:r>
          </w:p>
        </w:tc>
      </w:tr>
      <w:tr w:rsidR="00E87F83" w:rsidRPr="00735726" w14:paraId="0E71984B" w14:textId="77777777" w:rsidTr="00D636C2">
        <w:tc>
          <w:tcPr>
            <w:tcW w:w="2663" w:type="dxa"/>
          </w:tcPr>
          <w:p w14:paraId="39CA4861" w14:textId="44DC9789" w:rsidR="00E87F83"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Lost Time Injury (LTIFR) </w:t>
            </w:r>
          </w:p>
        </w:tc>
        <w:tc>
          <w:tcPr>
            <w:tcW w:w="1056" w:type="dxa"/>
          </w:tcPr>
          <w:p w14:paraId="204779B2" w14:textId="7902A710"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71146DF0" w14:textId="19AF1230"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0.2</w:t>
            </w:r>
          </w:p>
        </w:tc>
        <w:tc>
          <w:tcPr>
            <w:tcW w:w="1967" w:type="dxa"/>
            <w:gridSpan w:val="2"/>
          </w:tcPr>
          <w:p w14:paraId="37CA8CF2" w14:textId="39F4E2DA"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w:t>
            </w:r>
            <w:r w:rsidR="00D31D67" w:rsidRPr="00735726">
              <w:rPr>
                <w:rFonts w:ascii="Arial" w:hAnsi="Arial" w:cs="Arial"/>
                <w:color w:val="000000"/>
                <w:sz w:val="18"/>
                <w:szCs w:val="18"/>
                <w:lang w:eastAsia="en-GB"/>
              </w:rPr>
              <w:t>43</w:t>
            </w:r>
          </w:p>
        </w:tc>
        <w:tc>
          <w:tcPr>
            <w:tcW w:w="1372" w:type="dxa"/>
          </w:tcPr>
          <w:p w14:paraId="708DE405" w14:textId="10B45B26"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0.00%</w:t>
            </w:r>
          </w:p>
        </w:tc>
      </w:tr>
      <w:tr w:rsidR="00E87F83" w:rsidRPr="00735726" w14:paraId="5734BF5F" w14:textId="77777777" w:rsidTr="00D636C2">
        <w:tc>
          <w:tcPr>
            <w:tcW w:w="2663" w:type="dxa"/>
          </w:tcPr>
          <w:p w14:paraId="5C66320E" w14:textId="0EAD4E59" w:rsidR="00E87F83"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ESG rating (Score) </w:t>
            </w:r>
          </w:p>
        </w:tc>
        <w:tc>
          <w:tcPr>
            <w:tcW w:w="1056" w:type="dxa"/>
          </w:tcPr>
          <w:p w14:paraId="579B3B45" w14:textId="75D00EB1"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793DAD64" w14:textId="4C7517F5"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Top 10%</w:t>
            </w:r>
          </w:p>
        </w:tc>
        <w:tc>
          <w:tcPr>
            <w:tcW w:w="1967" w:type="dxa"/>
            <w:gridSpan w:val="2"/>
          </w:tcPr>
          <w:p w14:paraId="4E31C1AD" w14:textId="76DDB5E4"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Top 1%</w:t>
            </w:r>
          </w:p>
        </w:tc>
        <w:tc>
          <w:tcPr>
            <w:tcW w:w="1372" w:type="dxa"/>
          </w:tcPr>
          <w:p w14:paraId="65DFD67F" w14:textId="3CBDB9AB"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E87F83" w:rsidRPr="00735726" w14:paraId="13D0A372" w14:textId="77777777" w:rsidTr="00D636C2">
        <w:tc>
          <w:tcPr>
            <w:tcW w:w="2663" w:type="dxa"/>
          </w:tcPr>
          <w:p w14:paraId="0820CA93" w14:textId="65A04911" w:rsidR="00E87F83"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Sustainable Financing (£m) </w:t>
            </w:r>
          </w:p>
        </w:tc>
        <w:tc>
          <w:tcPr>
            <w:tcW w:w="1056" w:type="dxa"/>
          </w:tcPr>
          <w:p w14:paraId="6D08274A" w14:textId="2886A958"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6CD8436E" w14:textId="1973B09A"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£400m</w:t>
            </w:r>
          </w:p>
        </w:tc>
        <w:tc>
          <w:tcPr>
            <w:tcW w:w="1967" w:type="dxa"/>
            <w:gridSpan w:val="2"/>
          </w:tcPr>
          <w:p w14:paraId="3F9FD569" w14:textId="04AE6608"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£490m</w:t>
            </w:r>
          </w:p>
        </w:tc>
        <w:tc>
          <w:tcPr>
            <w:tcW w:w="1372" w:type="dxa"/>
          </w:tcPr>
          <w:p w14:paraId="71CB001F" w14:textId="4B70DE90"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E87F83" w:rsidRPr="00735726" w14:paraId="0DD52A03" w14:textId="77777777" w:rsidTr="00D636C2">
        <w:tc>
          <w:tcPr>
            <w:tcW w:w="2663" w:type="dxa"/>
          </w:tcPr>
          <w:p w14:paraId="6D4473AF" w14:textId="40C86059" w:rsidR="00E87F83"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ESG Tender Evaluations (%) </w:t>
            </w:r>
          </w:p>
        </w:tc>
        <w:tc>
          <w:tcPr>
            <w:tcW w:w="1056" w:type="dxa"/>
          </w:tcPr>
          <w:p w14:paraId="7616ED11" w14:textId="511B4E10" w:rsidR="00E87F83" w:rsidRPr="00735726" w:rsidRDefault="00E87F83"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6891A5FA" w14:textId="7DC9E649"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75%</w:t>
            </w:r>
          </w:p>
        </w:tc>
        <w:tc>
          <w:tcPr>
            <w:tcW w:w="1967" w:type="dxa"/>
            <w:gridSpan w:val="2"/>
          </w:tcPr>
          <w:p w14:paraId="36994AF4" w14:textId="76123607"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95%</w:t>
            </w:r>
          </w:p>
        </w:tc>
        <w:tc>
          <w:tcPr>
            <w:tcW w:w="1372" w:type="dxa"/>
          </w:tcPr>
          <w:p w14:paraId="31DD3208" w14:textId="4A5BD20A" w:rsidR="00E87F83" w:rsidRPr="00735726" w:rsidRDefault="00366B7C" w:rsidP="00E87F83">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366B7C" w:rsidRPr="00735726" w14:paraId="66213286" w14:textId="77777777" w:rsidTr="00366B7C">
        <w:tc>
          <w:tcPr>
            <w:tcW w:w="2663" w:type="dxa"/>
          </w:tcPr>
          <w:p w14:paraId="72A9F0FB" w14:textId="7E477305" w:rsidR="00366B7C"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Supply Chain (Grade) </w:t>
            </w:r>
          </w:p>
        </w:tc>
        <w:tc>
          <w:tcPr>
            <w:tcW w:w="1056" w:type="dxa"/>
          </w:tcPr>
          <w:p w14:paraId="7C8ED061" w14:textId="223E3086"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0DDD1B8B" w14:textId="4A18182F"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Silver</w:t>
            </w:r>
          </w:p>
        </w:tc>
        <w:tc>
          <w:tcPr>
            <w:tcW w:w="1967" w:type="dxa"/>
            <w:gridSpan w:val="2"/>
          </w:tcPr>
          <w:p w14:paraId="7676522C" w14:textId="5C024C35"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Gold</w:t>
            </w:r>
          </w:p>
        </w:tc>
        <w:tc>
          <w:tcPr>
            <w:tcW w:w="1372" w:type="dxa"/>
          </w:tcPr>
          <w:p w14:paraId="343B6868" w14:textId="106245BF"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366B7C" w:rsidRPr="00735726" w14:paraId="346CF832" w14:textId="77777777" w:rsidTr="00366B7C">
        <w:tc>
          <w:tcPr>
            <w:tcW w:w="2663" w:type="dxa"/>
          </w:tcPr>
          <w:p w14:paraId="607593F0" w14:textId="3AD1C313" w:rsidR="00366B7C"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Customer affordability</w:t>
            </w:r>
          </w:p>
        </w:tc>
        <w:tc>
          <w:tcPr>
            <w:tcW w:w="1056" w:type="dxa"/>
          </w:tcPr>
          <w:p w14:paraId="19B95613" w14:textId="46D84FAF"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7627E25A" w14:textId="1F41A924"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95%</w:t>
            </w:r>
          </w:p>
        </w:tc>
        <w:tc>
          <w:tcPr>
            <w:tcW w:w="1967" w:type="dxa"/>
            <w:gridSpan w:val="2"/>
          </w:tcPr>
          <w:p w14:paraId="73239386" w14:textId="0D61647C"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99.4%</w:t>
            </w:r>
          </w:p>
        </w:tc>
        <w:tc>
          <w:tcPr>
            <w:tcW w:w="1372" w:type="dxa"/>
          </w:tcPr>
          <w:p w14:paraId="36DF6D32" w14:textId="6BA57527"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366B7C" w:rsidRPr="00735726" w14:paraId="21890F84" w14:textId="77777777" w:rsidTr="00D636C2">
        <w:tc>
          <w:tcPr>
            <w:tcW w:w="2663" w:type="dxa"/>
          </w:tcPr>
          <w:p w14:paraId="57B4EE5D" w14:textId="2AFBEBC7" w:rsidR="00366B7C" w:rsidRPr="00735726" w:rsidRDefault="00366B7C" w:rsidP="00366B7C">
            <w:pPr>
              <w:pStyle w:val="Pa2"/>
              <w:spacing w:after="80"/>
              <w:rPr>
                <w:rFonts w:ascii="Arial" w:hAnsi="Arial" w:cs="Arial"/>
                <w:color w:val="000000"/>
                <w:sz w:val="18"/>
                <w:szCs w:val="18"/>
                <w:lang w:eastAsia="en-GB"/>
              </w:rPr>
            </w:pPr>
            <w:r w:rsidRPr="00735726">
              <w:rPr>
                <w:rFonts w:ascii="Arial" w:hAnsi="Arial" w:cs="Arial"/>
                <w:color w:val="000000"/>
                <w:sz w:val="18"/>
                <w:szCs w:val="18"/>
                <w:lang w:eastAsia="en-GB"/>
              </w:rPr>
              <w:t xml:space="preserve">Increase in social impact </w:t>
            </w:r>
          </w:p>
        </w:tc>
        <w:tc>
          <w:tcPr>
            <w:tcW w:w="1056" w:type="dxa"/>
          </w:tcPr>
          <w:p w14:paraId="5329549A" w14:textId="7375BF98"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c>
          <w:tcPr>
            <w:tcW w:w="1828" w:type="dxa"/>
          </w:tcPr>
          <w:p w14:paraId="739F8A95" w14:textId="7C0BEAC2"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£1m</w:t>
            </w:r>
          </w:p>
        </w:tc>
        <w:tc>
          <w:tcPr>
            <w:tcW w:w="1967" w:type="dxa"/>
            <w:gridSpan w:val="2"/>
          </w:tcPr>
          <w:p w14:paraId="4A9472E2" w14:textId="260206F2"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£1.2m</w:t>
            </w:r>
          </w:p>
        </w:tc>
        <w:tc>
          <w:tcPr>
            <w:tcW w:w="1372" w:type="dxa"/>
          </w:tcPr>
          <w:p w14:paraId="3C083293" w14:textId="42B14A0B" w:rsidR="00366B7C" w:rsidRPr="00735726" w:rsidRDefault="00366B7C" w:rsidP="00366B7C">
            <w:pPr>
              <w:spacing w:after="160" w:line="259" w:lineRule="auto"/>
              <w:rPr>
                <w:rFonts w:ascii="Arial" w:hAnsi="Arial" w:cs="Arial"/>
                <w:color w:val="000000"/>
                <w:sz w:val="18"/>
                <w:szCs w:val="18"/>
                <w:lang w:eastAsia="en-GB"/>
              </w:rPr>
            </w:pPr>
            <w:r w:rsidRPr="00735726">
              <w:rPr>
                <w:rFonts w:ascii="Arial" w:hAnsi="Arial" w:cs="Arial"/>
                <w:color w:val="000000"/>
                <w:sz w:val="18"/>
                <w:szCs w:val="18"/>
                <w:lang w:eastAsia="en-GB"/>
              </w:rPr>
              <w:t>1.07%</w:t>
            </w:r>
          </w:p>
        </w:tc>
      </w:tr>
      <w:tr w:rsidR="00366B7C" w:rsidRPr="00735726" w14:paraId="055BD562" w14:textId="77777777" w:rsidTr="009436D7">
        <w:tc>
          <w:tcPr>
            <w:tcW w:w="2663" w:type="dxa"/>
          </w:tcPr>
          <w:p w14:paraId="180D2E75" w14:textId="330737BE" w:rsidR="00366B7C" w:rsidRPr="00735726" w:rsidRDefault="00366B7C" w:rsidP="00E87F83">
            <w:pPr>
              <w:spacing w:after="160" w:line="259" w:lineRule="auto"/>
              <w:rPr>
                <w:rFonts w:ascii="Arial" w:hAnsi="Arial" w:cs="Arial"/>
                <w:b/>
                <w:bCs/>
                <w:color w:val="000000"/>
                <w:sz w:val="18"/>
                <w:szCs w:val="18"/>
                <w:lang w:eastAsia="en-GB"/>
              </w:rPr>
            </w:pPr>
            <w:r w:rsidRPr="00735726">
              <w:rPr>
                <w:rFonts w:ascii="Arial" w:hAnsi="Arial" w:cs="Arial"/>
                <w:b/>
                <w:bCs/>
                <w:color w:val="000000"/>
                <w:sz w:val="18"/>
                <w:szCs w:val="18"/>
                <w:lang w:eastAsia="en-GB"/>
              </w:rPr>
              <w:t>ESG Total</w:t>
            </w:r>
          </w:p>
        </w:tc>
        <w:tc>
          <w:tcPr>
            <w:tcW w:w="4851" w:type="dxa"/>
            <w:gridSpan w:val="4"/>
          </w:tcPr>
          <w:p w14:paraId="5436A6C2" w14:textId="77777777" w:rsidR="00366B7C" w:rsidRPr="00735726" w:rsidRDefault="00366B7C" w:rsidP="00E87F83">
            <w:pPr>
              <w:spacing w:after="160" w:line="259" w:lineRule="auto"/>
              <w:rPr>
                <w:rFonts w:ascii="Arial" w:hAnsi="Arial" w:cs="Arial"/>
                <w:color w:val="000000"/>
                <w:sz w:val="18"/>
                <w:szCs w:val="18"/>
                <w:lang w:eastAsia="en-GB"/>
              </w:rPr>
            </w:pPr>
          </w:p>
        </w:tc>
        <w:tc>
          <w:tcPr>
            <w:tcW w:w="1372" w:type="dxa"/>
          </w:tcPr>
          <w:p w14:paraId="4FA84495" w14:textId="2CB83155" w:rsidR="00366B7C" w:rsidRPr="00735726" w:rsidRDefault="00366B7C" w:rsidP="00E87F83">
            <w:pPr>
              <w:spacing w:after="160" w:line="259" w:lineRule="auto"/>
              <w:rPr>
                <w:rFonts w:ascii="Arial" w:hAnsi="Arial" w:cs="Arial"/>
                <w:b/>
                <w:bCs/>
                <w:color w:val="000000"/>
                <w:sz w:val="18"/>
                <w:szCs w:val="18"/>
                <w:lang w:eastAsia="en-GB"/>
              </w:rPr>
            </w:pPr>
            <w:r w:rsidRPr="00735726">
              <w:rPr>
                <w:rFonts w:ascii="Arial" w:hAnsi="Arial" w:cs="Arial"/>
                <w:b/>
                <w:bCs/>
                <w:color w:val="000000"/>
                <w:sz w:val="18"/>
                <w:szCs w:val="18"/>
                <w:lang w:eastAsia="en-GB"/>
              </w:rPr>
              <w:t>11.8%</w:t>
            </w:r>
          </w:p>
        </w:tc>
      </w:tr>
    </w:tbl>
    <w:p w14:paraId="4A71246D" w14:textId="77777777" w:rsidR="00217E9F" w:rsidRPr="00735726" w:rsidRDefault="00217E9F" w:rsidP="00147058">
      <w:pPr>
        <w:pStyle w:val="Headinglevel4"/>
        <w:spacing w:line="276" w:lineRule="auto"/>
        <w:outlineLvl w:val="0"/>
      </w:pPr>
    </w:p>
    <w:p w14:paraId="7D2320A9" w14:textId="3E6933EE" w:rsidR="00147058" w:rsidRPr="00735726" w:rsidRDefault="00147058" w:rsidP="00147058">
      <w:pPr>
        <w:pStyle w:val="Headinglevel4"/>
        <w:spacing w:line="276" w:lineRule="auto"/>
        <w:outlineLvl w:val="0"/>
        <w:rPr>
          <w:b w:val="0"/>
          <w:bCs w:val="0"/>
        </w:rPr>
      </w:pPr>
      <w:r w:rsidRPr="00735726">
        <w:t>Long-term incentive outturn for 2025/26</w:t>
      </w:r>
    </w:p>
    <w:p w14:paraId="47A8E223" w14:textId="76395ECE" w:rsidR="00147058" w:rsidRPr="00735726" w:rsidRDefault="00147058" w:rsidP="00147058">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The Executive Directors are members of the Pennon Group Long Term Incentive Plan (LTIP). The cost of this is not cross charged to </w:t>
      </w:r>
      <w:proofErr w:type="gramStart"/>
      <w:r w:rsidRPr="00735726">
        <w:rPr>
          <w:rFonts w:eastAsiaTheme="minorHAnsi"/>
          <w:b w:val="0"/>
          <w:bCs w:val="0"/>
          <w:caps w:val="0"/>
          <w:color w:val="auto"/>
        </w:rPr>
        <w:t>South West</w:t>
      </w:r>
      <w:proofErr w:type="gramEnd"/>
      <w:r w:rsidRPr="00735726">
        <w:rPr>
          <w:rFonts w:eastAsiaTheme="minorHAnsi"/>
          <w:b w:val="0"/>
          <w:bCs w:val="0"/>
          <w:caps w:val="0"/>
          <w:color w:val="auto"/>
        </w:rPr>
        <w:t xml:space="preserve"> Water and is met in full b</w:t>
      </w:r>
      <w:r w:rsidR="007E561A">
        <w:rPr>
          <w:rFonts w:eastAsiaTheme="minorHAnsi"/>
          <w:b w:val="0"/>
          <w:bCs w:val="0"/>
          <w:caps w:val="0"/>
          <w:color w:val="auto"/>
        </w:rPr>
        <w:t>y</w:t>
      </w:r>
      <w:r w:rsidRPr="00735726">
        <w:rPr>
          <w:rFonts w:eastAsiaTheme="minorHAnsi"/>
          <w:b w:val="0"/>
          <w:bCs w:val="0"/>
          <w:caps w:val="0"/>
          <w:color w:val="auto"/>
        </w:rPr>
        <w:t xml:space="preserve"> Pennon. </w:t>
      </w:r>
    </w:p>
    <w:p w14:paraId="34F8448A" w14:textId="77777777" w:rsidR="00147058" w:rsidRPr="00735726" w:rsidRDefault="00147058" w:rsidP="00147058">
      <w:pPr>
        <w:pStyle w:val="Headinglevel4"/>
        <w:spacing w:line="276" w:lineRule="auto"/>
        <w:outlineLvl w:val="0"/>
        <w:rPr>
          <w:rFonts w:eastAsiaTheme="minorHAnsi"/>
          <w:b w:val="0"/>
          <w:bCs w:val="0"/>
          <w:caps w:val="0"/>
          <w:color w:val="auto"/>
        </w:rPr>
      </w:pPr>
    </w:p>
    <w:p w14:paraId="336A2438" w14:textId="77777777" w:rsidR="00147058" w:rsidRPr="00735726" w:rsidRDefault="00147058" w:rsidP="00147058">
      <w:pPr>
        <w:pStyle w:val="Headinglevel4"/>
        <w:spacing w:line="276" w:lineRule="auto"/>
        <w:outlineLvl w:val="0"/>
        <w:rPr>
          <w:rFonts w:eastAsiaTheme="minorHAnsi"/>
          <w:b w:val="0"/>
          <w:bCs w:val="0"/>
          <w:caps w:val="0"/>
          <w:color w:val="auto"/>
        </w:rPr>
      </w:pPr>
      <w:r w:rsidRPr="000853D1">
        <w:rPr>
          <w:rFonts w:eastAsiaTheme="minorHAnsi"/>
          <w:b w:val="0"/>
          <w:bCs w:val="0"/>
          <w:caps w:val="0"/>
          <w:color w:val="auto"/>
        </w:rPr>
        <w:t xml:space="preserve">The 2023 LTIP outturn is disclosed thoroughly in the Pennon Group plc Annual Report and Accounts 2026. The performance measures applicable to these awards reflect the nature of their Group roles and are based on </w:t>
      </w:r>
      <w:proofErr w:type="spellStart"/>
      <w:r w:rsidRPr="000853D1">
        <w:rPr>
          <w:rFonts w:eastAsiaTheme="minorHAnsi"/>
          <w:b w:val="0"/>
          <w:bCs w:val="0"/>
          <w:caps w:val="0"/>
          <w:color w:val="auto"/>
        </w:rPr>
        <w:t>RoRE</w:t>
      </w:r>
      <w:proofErr w:type="spellEnd"/>
      <w:r w:rsidRPr="000853D1">
        <w:rPr>
          <w:rFonts w:eastAsiaTheme="minorHAnsi"/>
          <w:b w:val="0"/>
          <w:bCs w:val="0"/>
          <w:caps w:val="0"/>
          <w:color w:val="auto"/>
        </w:rPr>
        <w:t xml:space="preserve"> (50%), operational measures (30%) and a basket of customer measures (20%).</w:t>
      </w:r>
      <w:r w:rsidRPr="00735726">
        <w:rPr>
          <w:rFonts w:eastAsiaTheme="minorHAnsi"/>
          <w:b w:val="0"/>
          <w:bCs w:val="0"/>
          <w:caps w:val="0"/>
          <w:color w:val="auto"/>
        </w:rPr>
        <w:t xml:space="preserve"> </w:t>
      </w:r>
    </w:p>
    <w:p w14:paraId="09FC5A21" w14:textId="77777777" w:rsidR="00147058" w:rsidRPr="00735726" w:rsidRDefault="00147058" w:rsidP="00147058">
      <w:pPr>
        <w:pStyle w:val="Headinglevel4"/>
        <w:spacing w:line="276" w:lineRule="auto"/>
        <w:outlineLvl w:val="0"/>
        <w:rPr>
          <w:rFonts w:eastAsiaTheme="minorHAnsi"/>
          <w:b w:val="0"/>
          <w:bCs w:val="0"/>
          <w:caps w:val="0"/>
          <w:color w:val="auto"/>
        </w:rPr>
      </w:pPr>
    </w:p>
    <w:p w14:paraId="2AF7E2F5" w14:textId="77777777" w:rsidR="00C51FAF" w:rsidRPr="00735726" w:rsidRDefault="00147058" w:rsidP="00147058">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The Committee specifically considered the EPA rating of </w:t>
      </w:r>
      <w:proofErr w:type="gramStart"/>
      <w:r w:rsidRPr="00735726">
        <w:rPr>
          <w:rFonts w:eastAsiaTheme="minorHAnsi"/>
          <w:b w:val="0"/>
          <w:bCs w:val="0"/>
          <w:caps w:val="0"/>
          <w:color w:val="auto"/>
        </w:rPr>
        <w:t>South West</w:t>
      </w:r>
      <w:proofErr w:type="gramEnd"/>
      <w:r w:rsidRPr="00735726">
        <w:rPr>
          <w:rFonts w:eastAsiaTheme="minorHAnsi"/>
          <w:b w:val="0"/>
          <w:bCs w:val="0"/>
          <w:caps w:val="0"/>
          <w:color w:val="auto"/>
        </w:rPr>
        <w:t xml:space="preserve"> Water when considering incentive outturns. </w:t>
      </w:r>
    </w:p>
    <w:p w14:paraId="16271824" w14:textId="77777777" w:rsidR="00C51FAF" w:rsidRPr="00735726" w:rsidRDefault="00C51FAF" w:rsidP="00147058">
      <w:pPr>
        <w:pStyle w:val="Headinglevel4"/>
        <w:spacing w:line="276" w:lineRule="auto"/>
        <w:outlineLvl w:val="0"/>
        <w:rPr>
          <w:rFonts w:eastAsiaTheme="minorHAnsi"/>
          <w:b w:val="0"/>
          <w:bCs w:val="0"/>
          <w:caps w:val="0"/>
          <w:color w:val="auto"/>
        </w:rPr>
      </w:pPr>
    </w:p>
    <w:p w14:paraId="311A590A" w14:textId="4600576F" w:rsidR="00147058" w:rsidRPr="00735726" w:rsidRDefault="00147058" w:rsidP="00147058">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The Committee noted that a portion of the LTIP is directly linked to EPA ratings over the three-year period, with a four-star average required for maximum payout. This element of the 2023 LTIP lapsed in full, and therefore the outcomes were already reduced to zero based on the EPA ratings achieved. </w:t>
      </w:r>
    </w:p>
    <w:p w14:paraId="5AD69F2F" w14:textId="77777777" w:rsidR="00147058" w:rsidRPr="00735726" w:rsidRDefault="00147058" w:rsidP="00147058">
      <w:pPr>
        <w:pStyle w:val="Headinglevel4"/>
        <w:spacing w:line="276" w:lineRule="auto"/>
        <w:outlineLvl w:val="0"/>
        <w:rPr>
          <w:rFonts w:eastAsiaTheme="minorHAnsi"/>
          <w:b w:val="0"/>
          <w:bCs w:val="0"/>
          <w:caps w:val="0"/>
          <w:color w:val="auto"/>
        </w:rPr>
      </w:pPr>
    </w:p>
    <w:p w14:paraId="76A5C402" w14:textId="77777777" w:rsidR="00147058" w:rsidRPr="00735726" w:rsidRDefault="00147058" w:rsidP="00147058">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The vesting level for the Pennon LTIP is 35.4% of maximum. </w:t>
      </w:r>
    </w:p>
    <w:p w14:paraId="505D7D2F" w14:textId="77777777" w:rsidR="00147058" w:rsidRPr="00735726" w:rsidRDefault="00147058" w:rsidP="00147058">
      <w:pPr>
        <w:pStyle w:val="Headinglevel4"/>
        <w:spacing w:line="276" w:lineRule="auto"/>
        <w:outlineLvl w:val="0"/>
        <w:rPr>
          <w:rFonts w:eastAsiaTheme="minorHAnsi"/>
          <w:b w:val="0"/>
          <w:bCs w:val="0"/>
          <w:caps w:val="0"/>
          <w:color w:val="auto"/>
        </w:rPr>
      </w:pPr>
    </w:p>
    <w:p w14:paraId="2D9842AD" w14:textId="77777777" w:rsidR="00147058" w:rsidRPr="00735726" w:rsidRDefault="00147058" w:rsidP="00147058">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t xml:space="preserve">Consistent with Ofwat guidance the performance-related pay prohibition rules do not apply retrospectively to the 2023 LTIP award. </w:t>
      </w:r>
    </w:p>
    <w:p w14:paraId="4542AF14" w14:textId="77777777" w:rsidR="00147058" w:rsidRPr="00735726" w:rsidRDefault="00147058" w:rsidP="00147058">
      <w:pPr>
        <w:pStyle w:val="Headinglevel4"/>
        <w:spacing w:line="276" w:lineRule="auto"/>
        <w:outlineLvl w:val="0"/>
        <w:rPr>
          <w:rFonts w:eastAsiaTheme="minorHAnsi"/>
          <w:b w:val="0"/>
          <w:bCs w:val="0"/>
          <w:caps w:val="0"/>
          <w:color w:val="auto"/>
        </w:rPr>
      </w:pPr>
    </w:p>
    <w:p w14:paraId="1EECFDCE" w14:textId="77777777" w:rsidR="000724CA" w:rsidRPr="00735726" w:rsidRDefault="000724CA" w:rsidP="00147058">
      <w:pPr>
        <w:pStyle w:val="Headinglevel4"/>
        <w:spacing w:line="276" w:lineRule="auto"/>
        <w:outlineLvl w:val="0"/>
        <w:rPr>
          <w:rFonts w:eastAsiaTheme="minorHAnsi"/>
          <w:b w:val="0"/>
          <w:bCs w:val="0"/>
          <w:caps w:val="0"/>
          <w:color w:val="auto"/>
        </w:rPr>
      </w:pPr>
    </w:p>
    <w:p w14:paraId="2A437001" w14:textId="2C6E4F82" w:rsidR="00147058" w:rsidRPr="00735726" w:rsidRDefault="00147058" w:rsidP="00147058">
      <w:pPr>
        <w:pStyle w:val="Headinglevel4"/>
        <w:spacing w:line="276" w:lineRule="auto"/>
        <w:outlineLvl w:val="0"/>
        <w:rPr>
          <w:rFonts w:eastAsiaTheme="minorHAnsi"/>
          <w:b w:val="0"/>
          <w:bCs w:val="0"/>
          <w:caps w:val="0"/>
          <w:color w:val="auto"/>
        </w:rPr>
      </w:pPr>
      <w:r w:rsidRPr="00735726">
        <w:rPr>
          <w:rFonts w:eastAsiaTheme="minorHAnsi"/>
          <w:b w:val="0"/>
          <w:bCs w:val="0"/>
          <w:caps w:val="0"/>
          <w:color w:val="auto"/>
        </w:rPr>
        <w:lastRenderedPageBreak/>
        <w:t>However, the Remuneration Committee is mindful that the in-flight 2024 and 2025 LTIP awards are subject to Ofwat’s pay prohibition rules. The Committee will consider how the rules should be applied and any impact on payment of each of these awards following the end of the relevant performance period.</w:t>
      </w:r>
    </w:p>
    <w:p w14:paraId="48C5761E" w14:textId="37067C63" w:rsidR="00C51FAF" w:rsidRPr="009A2CAE" w:rsidRDefault="00C51FAF" w:rsidP="00C51FAF">
      <w:pPr>
        <w:spacing w:after="160" w:line="259" w:lineRule="auto"/>
        <w:rPr>
          <w:rFonts w:ascii="Arial" w:eastAsia="Times New Roman" w:hAnsi="Arial" w:cs="DINOT-Light"/>
          <w:color w:val="000000"/>
          <w:kern w:val="2"/>
          <w:sz w:val="18"/>
          <w:szCs w:val="18"/>
          <w14:ligatures w14:val="standardContextual"/>
        </w:rPr>
      </w:pPr>
      <w:r w:rsidRPr="00735726">
        <w:rPr>
          <w:rFonts w:ascii="Arial" w:eastAsia="Times New Roman" w:hAnsi="Arial" w:cs="Arial"/>
          <w:b/>
          <w:bCs/>
          <w:caps/>
          <w:color w:val="000000"/>
          <w:sz w:val="18"/>
          <w:szCs w:val="18"/>
        </w:rPr>
        <w:br/>
        <w:t xml:space="preserve">Additional contextual information </w:t>
      </w:r>
      <w:r w:rsidRPr="00735726">
        <w:rPr>
          <w:rFonts w:ascii="Arial" w:eastAsia="Times New Roman" w:hAnsi="Arial" w:cs="Arial"/>
          <w:b/>
          <w:bCs/>
          <w:caps/>
          <w:color w:val="000000"/>
          <w:sz w:val="18"/>
          <w:szCs w:val="18"/>
        </w:rPr>
        <w:br/>
      </w:r>
      <w:r w:rsidRPr="00735726">
        <w:rPr>
          <w:rFonts w:ascii="Arial" w:eastAsia="Times New Roman" w:hAnsi="Arial" w:cs="DINOT-Light"/>
          <w:color w:val="000000"/>
          <w:kern w:val="2"/>
          <w:sz w:val="18"/>
          <w:szCs w:val="18"/>
          <w14:ligatures w14:val="standardContextual"/>
        </w:rPr>
        <w:t xml:space="preserve">Other information including share holdings and share awards made to Directors, Chief Executive Officer pay ratio, and details on </w:t>
      </w:r>
      <w:proofErr w:type="gramStart"/>
      <w:r w:rsidRPr="00735726">
        <w:rPr>
          <w:rFonts w:ascii="Arial" w:eastAsia="Times New Roman" w:hAnsi="Arial" w:cs="DINOT-Light"/>
          <w:color w:val="000000"/>
          <w:kern w:val="2"/>
          <w:sz w:val="18"/>
          <w:szCs w:val="18"/>
          <w14:ligatures w14:val="standardContextual"/>
        </w:rPr>
        <w:t>Directors</w:t>
      </w:r>
      <w:proofErr w:type="gramEnd"/>
      <w:r w:rsidRPr="00735726">
        <w:rPr>
          <w:rFonts w:ascii="Arial" w:eastAsia="Times New Roman" w:hAnsi="Arial" w:cs="DINOT-Light"/>
          <w:color w:val="000000"/>
          <w:kern w:val="2"/>
          <w:sz w:val="18"/>
          <w:szCs w:val="18"/>
          <w14:ligatures w14:val="standardContextual"/>
        </w:rPr>
        <w:t xml:space="preserve"> service contracts are detailed in the Pennon Group plc Annual Report and Accounts on pages </w:t>
      </w:r>
      <w:r w:rsidR="000D5F17" w:rsidRPr="009A2CAE">
        <w:rPr>
          <w:rFonts w:ascii="Arial" w:eastAsia="Times New Roman" w:hAnsi="Arial" w:cs="DINOT-Light"/>
          <w:color w:val="000000"/>
          <w:kern w:val="2"/>
          <w:sz w:val="18"/>
          <w:szCs w:val="18"/>
          <w14:ligatures w14:val="standardContextual"/>
        </w:rPr>
        <w:t>143</w:t>
      </w:r>
      <w:r w:rsidRPr="009A2CAE">
        <w:rPr>
          <w:rFonts w:ascii="Arial" w:eastAsia="Times New Roman" w:hAnsi="Arial" w:cs="DINOT-Light"/>
          <w:color w:val="000000"/>
          <w:kern w:val="2"/>
          <w:sz w:val="18"/>
          <w:szCs w:val="18"/>
          <w14:ligatures w14:val="standardContextual"/>
        </w:rPr>
        <w:t xml:space="preserve"> to </w:t>
      </w:r>
      <w:r w:rsidR="000D5F17" w:rsidRPr="009A2CAE">
        <w:rPr>
          <w:rFonts w:ascii="Arial" w:eastAsia="Times New Roman" w:hAnsi="Arial" w:cs="DINOT-Light"/>
          <w:color w:val="000000"/>
          <w:kern w:val="2"/>
          <w:sz w:val="18"/>
          <w:szCs w:val="18"/>
          <w14:ligatures w14:val="standardContextual"/>
        </w:rPr>
        <w:t>149</w:t>
      </w:r>
      <w:r w:rsidRPr="009A2CAE">
        <w:rPr>
          <w:rFonts w:ascii="Arial" w:eastAsia="Times New Roman" w:hAnsi="Arial" w:cs="DINOT-Light"/>
          <w:color w:val="000000"/>
          <w:kern w:val="2"/>
          <w:sz w:val="18"/>
          <w:szCs w:val="18"/>
          <w14:ligatures w14:val="standardContextual"/>
        </w:rPr>
        <w:t xml:space="preserve">. </w:t>
      </w:r>
    </w:p>
    <w:p w14:paraId="23ABFE21" w14:textId="0E0EEB18" w:rsidR="00E46DAC" w:rsidRPr="009A2CAE" w:rsidRDefault="00E46DAC" w:rsidP="00E46DAC">
      <w:pPr>
        <w:spacing w:after="160" w:line="259" w:lineRule="auto"/>
        <w:rPr>
          <w:rFonts w:ascii="Arial" w:eastAsia="Times New Roman" w:hAnsi="Arial" w:cs="DINOT-Light"/>
          <w:color w:val="000000"/>
          <w:kern w:val="2"/>
          <w:sz w:val="18"/>
          <w:szCs w:val="18"/>
          <w14:ligatures w14:val="standardContextual"/>
        </w:rPr>
      </w:pPr>
      <w:r w:rsidRPr="00735726">
        <w:rPr>
          <w:rFonts w:ascii="Arial" w:eastAsia="Times New Roman" w:hAnsi="Arial" w:cs="Arial"/>
          <w:b/>
          <w:bCs/>
          <w:caps/>
          <w:color w:val="000000"/>
          <w:sz w:val="18"/>
          <w:szCs w:val="18"/>
        </w:rPr>
        <w:t>Arrangements for the incoming Chief Executive Officer</w:t>
      </w:r>
      <w:r w:rsidR="00057D91" w:rsidRPr="00735726">
        <w:rPr>
          <w:rFonts w:ascii="Arial" w:eastAsia="Times New Roman" w:hAnsi="Arial" w:cs="Arial"/>
          <w:b/>
          <w:bCs/>
          <w:caps/>
          <w:color w:val="000000"/>
          <w:sz w:val="18"/>
          <w:szCs w:val="18"/>
        </w:rPr>
        <w:br/>
      </w:r>
      <w:r w:rsidRPr="00735726">
        <w:rPr>
          <w:rFonts w:ascii="Arial" w:eastAsia="Times New Roman" w:hAnsi="Arial" w:cs="DINOT-Light"/>
          <w:color w:val="000000"/>
          <w:kern w:val="2"/>
          <w:sz w:val="18"/>
          <w:szCs w:val="18"/>
          <w14:ligatures w14:val="standardContextual"/>
        </w:rPr>
        <w:t xml:space="preserve">Arrangements for the incoming Executive Director, Keith Haslett, are detailed on page </w:t>
      </w:r>
      <w:r w:rsidR="000D5F17" w:rsidRPr="009A2CAE">
        <w:rPr>
          <w:rFonts w:ascii="Arial" w:eastAsia="Times New Roman" w:hAnsi="Arial" w:cs="DINOT-Light"/>
          <w:color w:val="000000"/>
          <w:kern w:val="2"/>
          <w:sz w:val="18"/>
          <w:szCs w:val="18"/>
          <w14:ligatures w14:val="standardContextual"/>
        </w:rPr>
        <w:t>142</w:t>
      </w:r>
      <w:r w:rsidRPr="00735726">
        <w:rPr>
          <w:rFonts w:ascii="Arial" w:eastAsia="Times New Roman" w:hAnsi="Arial" w:cs="DINOT-Light"/>
          <w:color w:val="000000"/>
          <w:kern w:val="2"/>
          <w:sz w:val="18"/>
          <w:szCs w:val="18"/>
          <w14:ligatures w14:val="standardContextual"/>
        </w:rPr>
        <w:t xml:space="preserve"> of the Pennon Group plc Annual Report and Accounts 2026</w:t>
      </w:r>
      <w:r w:rsidR="000D5F17" w:rsidRPr="00735726">
        <w:rPr>
          <w:rFonts w:ascii="Arial" w:eastAsia="Times New Roman" w:hAnsi="Arial" w:cs="DINOT-Light"/>
          <w:color w:val="000000"/>
          <w:kern w:val="2"/>
          <w:sz w:val="18"/>
          <w:szCs w:val="18"/>
          <w14:ligatures w14:val="standardContextual"/>
        </w:rPr>
        <w:t>.</w:t>
      </w:r>
      <w:r w:rsidRPr="00735726">
        <w:rPr>
          <w:rFonts w:ascii="Arial" w:eastAsia="Times New Roman" w:hAnsi="Arial" w:cs="DINOT-Light"/>
          <w:color w:val="000000"/>
          <w:kern w:val="2"/>
          <w:sz w:val="18"/>
          <w:szCs w:val="18"/>
          <w14:ligatures w14:val="standardContextual"/>
        </w:rPr>
        <w:t xml:space="preserve"> </w:t>
      </w:r>
    </w:p>
    <w:p w14:paraId="2948E853" w14:textId="5A30CF8B" w:rsidR="00BB2F25" w:rsidRPr="00735726" w:rsidRDefault="00E46DAC" w:rsidP="00E46DAC">
      <w:pPr>
        <w:spacing w:after="160" w:line="259" w:lineRule="auto"/>
        <w:rPr>
          <w:rFonts w:ascii="Arial" w:eastAsia="Times New Roman" w:hAnsi="Arial" w:cs="DINOT-Light"/>
          <w:color w:val="000000"/>
          <w:kern w:val="2"/>
          <w:sz w:val="18"/>
          <w:szCs w:val="18"/>
          <w14:ligatures w14:val="standardContextual"/>
        </w:rPr>
      </w:pPr>
      <w:r w:rsidRPr="00735726">
        <w:rPr>
          <w:rFonts w:ascii="Arial" w:eastAsia="Times New Roman" w:hAnsi="Arial" w:cs="DINOT-Light"/>
          <w:color w:val="000000"/>
          <w:kern w:val="2"/>
          <w:sz w:val="18"/>
          <w:szCs w:val="18"/>
          <w14:ligatures w14:val="standardContextual"/>
        </w:rPr>
        <w:t xml:space="preserve">We are delighted to appoint Keith Haslett as our new Chief Executive Officer (CEO) </w:t>
      </w:r>
      <w:r w:rsidR="006C1BA9" w:rsidRPr="00735726">
        <w:rPr>
          <w:rFonts w:ascii="Arial" w:eastAsia="Times New Roman" w:hAnsi="Arial" w:cs="DINOT-Light"/>
          <w:color w:val="000000"/>
          <w:kern w:val="2"/>
          <w:sz w:val="18"/>
          <w:szCs w:val="18"/>
          <w14:ligatures w14:val="standardContextual"/>
        </w:rPr>
        <w:t xml:space="preserve">- </w:t>
      </w:r>
      <w:r w:rsidRPr="00735726">
        <w:rPr>
          <w:rFonts w:ascii="Arial" w:eastAsia="Times New Roman" w:hAnsi="Arial" w:cs="DINOT-Light"/>
          <w:color w:val="000000"/>
          <w:kern w:val="2"/>
          <w:sz w:val="18"/>
          <w:szCs w:val="18"/>
          <w14:ligatures w14:val="standardContextual"/>
        </w:rPr>
        <w:t xml:space="preserve">with Keith joining the Pennon Group on 1 April 2026, and subsequently the </w:t>
      </w:r>
      <w:proofErr w:type="gramStart"/>
      <w:r w:rsidRPr="00735726">
        <w:rPr>
          <w:rFonts w:ascii="Arial" w:eastAsia="Times New Roman" w:hAnsi="Arial" w:cs="DINOT-Light"/>
          <w:color w:val="000000"/>
          <w:kern w:val="2"/>
          <w:sz w:val="18"/>
          <w:szCs w:val="18"/>
          <w14:ligatures w14:val="standardContextual"/>
        </w:rPr>
        <w:t>South West</w:t>
      </w:r>
      <w:proofErr w:type="gramEnd"/>
      <w:r w:rsidRPr="00735726">
        <w:rPr>
          <w:rFonts w:ascii="Arial" w:eastAsia="Times New Roman" w:hAnsi="Arial" w:cs="DINOT-Light"/>
          <w:color w:val="000000"/>
          <w:kern w:val="2"/>
          <w:sz w:val="18"/>
          <w:szCs w:val="18"/>
          <w14:ligatures w14:val="standardContextual"/>
        </w:rPr>
        <w:t xml:space="preserve"> Water Board on 19 May 2026 following Ofwat’s approval. Keith is a seasoned leader in the UK water sector, brin</w:t>
      </w:r>
      <w:r w:rsidR="007E561A">
        <w:rPr>
          <w:rFonts w:ascii="Arial" w:eastAsia="Times New Roman" w:hAnsi="Arial" w:cs="DINOT-Light"/>
          <w:color w:val="000000"/>
          <w:kern w:val="2"/>
          <w:sz w:val="18"/>
          <w:szCs w:val="18"/>
          <w14:ligatures w14:val="standardContextual"/>
        </w:rPr>
        <w:t>g</w:t>
      </w:r>
      <w:r w:rsidRPr="00735726">
        <w:rPr>
          <w:rFonts w:ascii="Arial" w:eastAsia="Times New Roman" w:hAnsi="Arial" w:cs="DINOT-Light"/>
          <w:color w:val="000000"/>
          <w:kern w:val="2"/>
          <w:sz w:val="18"/>
          <w:szCs w:val="18"/>
          <w14:ligatures w14:val="standardContextual"/>
        </w:rPr>
        <w:t xml:space="preserve">ing over 25 years of experience across regulated utilities, with a strong track record of delivering for customers by driving operational excellence, delivering complex capital programmes, and increasing shareholder value. </w:t>
      </w:r>
    </w:p>
    <w:p w14:paraId="1840FBCD" w14:textId="4D900627" w:rsidR="00E46DAC" w:rsidRPr="00735726" w:rsidRDefault="00E46DAC" w:rsidP="00E46DAC">
      <w:pPr>
        <w:spacing w:after="160" w:line="259" w:lineRule="auto"/>
        <w:rPr>
          <w:rFonts w:ascii="Arial" w:eastAsia="Times New Roman" w:hAnsi="Arial" w:cs="DINOT-Light"/>
          <w:color w:val="000000"/>
          <w:kern w:val="2"/>
          <w:sz w:val="18"/>
          <w:szCs w:val="18"/>
          <w14:ligatures w14:val="standardContextual"/>
        </w:rPr>
      </w:pPr>
      <w:r w:rsidRPr="00735726">
        <w:rPr>
          <w:rFonts w:ascii="Arial" w:eastAsia="Times New Roman" w:hAnsi="Arial" w:cs="DINOT-Light"/>
          <w:color w:val="000000"/>
          <w:kern w:val="2"/>
          <w:sz w:val="18"/>
          <w:szCs w:val="18"/>
          <w14:ligatures w14:val="standardContextual"/>
        </w:rPr>
        <w:t xml:space="preserve">He most recently served as the CEO of Affinity Water </w:t>
      </w:r>
      <w:proofErr w:type="gramStart"/>
      <w:r w:rsidRPr="00735726">
        <w:rPr>
          <w:rFonts w:ascii="Arial" w:eastAsia="Times New Roman" w:hAnsi="Arial" w:cs="DINOT-Light"/>
          <w:color w:val="000000"/>
          <w:kern w:val="2"/>
          <w:sz w:val="18"/>
          <w:szCs w:val="18"/>
          <w14:ligatures w14:val="standardContextual"/>
        </w:rPr>
        <w:t>and also</w:t>
      </w:r>
      <w:proofErr w:type="gramEnd"/>
      <w:r w:rsidRPr="00735726">
        <w:rPr>
          <w:rFonts w:ascii="Arial" w:eastAsia="Times New Roman" w:hAnsi="Arial" w:cs="DINOT-Light"/>
          <w:color w:val="000000"/>
          <w:kern w:val="2"/>
          <w:sz w:val="18"/>
          <w:szCs w:val="18"/>
          <w14:ligatures w14:val="standardContextual"/>
        </w:rPr>
        <w:t xml:space="preserve"> held senior executive roles at Northumbrian Water Group and United Utilities. </w:t>
      </w:r>
    </w:p>
    <w:p w14:paraId="37637479" w14:textId="3E94424B" w:rsidR="00E46DAC" w:rsidRPr="009A2CAE" w:rsidRDefault="00E46DAC" w:rsidP="00E46DAC">
      <w:pPr>
        <w:spacing w:after="160" w:line="259" w:lineRule="auto"/>
        <w:rPr>
          <w:rFonts w:ascii="Arial" w:eastAsia="Times New Roman" w:hAnsi="Arial" w:cs="DINOT-Light"/>
          <w:color w:val="000000"/>
          <w:kern w:val="2"/>
          <w:sz w:val="18"/>
          <w:szCs w:val="18"/>
          <w14:ligatures w14:val="standardContextual"/>
        </w:rPr>
      </w:pPr>
      <w:r w:rsidRPr="00735726">
        <w:rPr>
          <w:rFonts w:ascii="Arial" w:eastAsia="Times New Roman" w:hAnsi="Arial" w:cs="Arial"/>
          <w:b/>
          <w:bCs/>
          <w:caps/>
          <w:color w:val="000000"/>
          <w:sz w:val="18"/>
          <w:szCs w:val="18"/>
        </w:rPr>
        <w:t xml:space="preserve">Arrangements for the outgoing Chief Executive Director </w:t>
      </w:r>
      <w:r w:rsidR="00057D91" w:rsidRPr="00735726">
        <w:rPr>
          <w:rFonts w:ascii="Arial" w:eastAsia="Times New Roman" w:hAnsi="Arial" w:cs="Arial"/>
          <w:b/>
          <w:bCs/>
          <w:caps/>
          <w:color w:val="000000"/>
          <w:sz w:val="18"/>
          <w:szCs w:val="18"/>
        </w:rPr>
        <w:br/>
      </w:r>
      <w:r w:rsidRPr="00735726">
        <w:rPr>
          <w:rFonts w:ascii="Arial" w:eastAsia="Times New Roman" w:hAnsi="Arial" w:cs="DINOT-Light"/>
          <w:color w:val="000000"/>
          <w:kern w:val="2"/>
          <w:sz w:val="18"/>
          <w:szCs w:val="18"/>
          <w14:ligatures w14:val="standardContextual"/>
        </w:rPr>
        <w:t xml:space="preserve">Arrangements for the outgoing Executive Director, Susan Davy, are detailed on </w:t>
      </w:r>
      <w:r w:rsidR="000D5F17" w:rsidRPr="009A2CAE">
        <w:rPr>
          <w:rFonts w:ascii="Arial" w:eastAsia="Times New Roman" w:hAnsi="Arial" w:cs="DINOT-Light"/>
          <w:color w:val="000000"/>
          <w:kern w:val="2"/>
          <w:sz w:val="18"/>
          <w:szCs w:val="18"/>
          <w14:ligatures w14:val="standardContextual"/>
        </w:rPr>
        <w:t>142</w:t>
      </w:r>
      <w:r w:rsidRPr="00735726">
        <w:rPr>
          <w:rFonts w:ascii="Arial" w:eastAsia="Times New Roman" w:hAnsi="Arial" w:cs="DINOT-Light"/>
          <w:color w:val="000000"/>
          <w:kern w:val="2"/>
          <w:sz w:val="18"/>
          <w:szCs w:val="18"/>
          <w14:ligatures w14:val="standardContextual"/>
        </w:rPr>
        <w:t xml:space="preserve"> of the Pennon Group plc Annual Report and Accounts 2026.  Remuneration arrangements in relation to Susan’s departure were determined in accordance with the Remuneration Policy. </w:t>
      </w:r>
    </w:p>
    <w:p w14:paraId="31147156" w14:textId="4273E9B4" w:rsidR="00BB2F25" w:rsidRPr="00735726" w:rsidRDefault="00BB2F25" w:rsidP="00D636C2">
      <w:pPr>
        <w:spacing w:after="160" w:line="259" w:lineRule="auto"/>
        <w:rPr>
          <w:iCs/>
        </w:rPr>
      </w:pPr>
      <w:r w:rsidRPr="00735726">
        <w:rPr>
          <w:rFonts w:ascii="Arial" w:eastAsia="Times New Roman" w:hAnsi="Arial" w:cs="Arial"/>
          <w:b/>
          <w:bCs/>
          <w:caps/>
          <w:color w:val="000000"/>
          <w:sz w:val="18"/>
          <w:szCs w:val="18"/>
        </w:rPr>
        <w:t>NON-EXECUTIVE DIRECTORS’ REMUNERATION</w:t>
      </w:r>
      <w:r w:rsidRPr="00735726">
        <w:rPr>
          <w:rFonts w:ascii="Arial" w:eastAsia="Times New Roman" w:hAnsi="Arial" w:cs="Arial"/>
          <w:b/>
          <w:bCs/>
          <w:caps/>
          <w:color w:val="000000"/>
          <w:sz w:val="18"/>
          <w:szCs w:val="18"/>
        </w:rPr>
        <w:br/>
      </w:r>
      <w:r w:rsidRPr="00735726">
        <w:rPr>
          <w:iCs/>
          <w:caps/>
        </w:rPr>
        <w:t>Single total figure of remuneration tables (Audited information)</w:t>
      </w:r>
      <w:r w:rsidRPr="00735726">
        <w:rPr>
          <w:b/>
          <w:bCs/>
          <w:iCs/>
          <w:caps/>
        </w:rPr>
        <w:t xml:space="preserve"> </w:t>
      </w:r>
    </w:p>
    <w:tbl>
      <w:tblPr>
        <w:tblStyle w:val="TableGrid"/>
        <w:tblW w:w="9209" w:type="dxa"/>
        <w:tblLook w:val="04A0" w:firstRow="1" w:lastRow="0" w:firstColumn="1" w:lastColumn="0" w:noHBand="0" w:noVBand="1"/>
      </w:tblPr>
      <w:tblGrid>
        <w:gridCol w:w="1965"/>
        <w:gridCol w:w="849"/>
        <w:gridCol w:w="1548"/>
        <w:gridCol w:w="1266"/>
        <w:gridCol w:w="907"/>
        <w:gridCol w:w="1544"/>
        <w:gridCol w:w="1130"/>
      </w:tblGrid>
      <w:tr w:rsidR="00BB2F25" w:rsidRPr="00735726" w14:paraId="48C8E555" w14:textId="77777777" w:rsidTr="00080495">
        <w:tc>
          <w:tcPr>
            <w:tcW w:w="1965" w:type="dxa"/>
            <w:shd w:val="clear" w:color="auto" w:fill="002060"/>
          </w:tcPr>
          <w:p w14:paraId="5265CA1C" w14:textId="77777777" w:rsidR="00BB2F25" w:rsidRPr="00735726" w:rsidRDefault="00BB2F25" w:rsidP="00080495">
            <w:pPr>
              <w:spacing w:line="360" w:lineRule="auto"/>
              <w:rPr>
                <w:rFonts w:ascii="Arial" w:hAnsi="Arial" w:cs="Arial"/>
                <w:b/>
                <w:bCs/>
                <w:iCs/>
                <w:color w:val="FFFFFF" w:themeColor="background1"/>
                <w:sz w:val="18"/>
              </w:rPr>
            </w:pPr>
          </w:p>
        </w:tc>
        <w:tc>
          <w:tcPr>
            <w:tcW w:w="3663" w:type="dxa"/>
            <w:gridSpan w:val="3"/>
            <w:shd w:val="clear" w:color="auto" w:fill="002060"/>
          </w:tcPr>
          <w:p w14:paraId="26078072" w14:textId="7311AF2A" w:rsidR="00BB2F25" w:rsidRPr="00735726" w:rsidRDefault="007472C5" w:rsidP="00080495">
            <w:pPr>
              <w:spacing w:line="360" w:lineRule="auto"/>
              <w:jc w:val="center"/>
              <w:rPr>
                <w:rFonts w:ascii="Arial" w:hAnsi="Arial" w:cs="Arial"/>
                <w:b/>
                <w:bCs/>
                <w:iCs/>
                <w:color w:val="FFFFFF" w:themeColor="background1"/>
                <w:sz w:val="18"/>
              </w:rPr>
            </w:pPr>
            <w:r w:rsidRPr="00735726">
              <w:rPr>
                <w:rFonts w:ascii="Arial" w:hAnsi="Arial" w:cs="Arial"/>
                <w:b/>
                <w:bCs/>
                <w:iCs/>
                <w:color w:val="FFFFFF" w:themeColor="background1"/>
                <w:sz w:val="18"/>
              </w:rPr>
              <w:t>2025/26</w:t>
            </w:r>
          </w:p>
        </w:tc>
        <w:tc>
          <w:tcPr>
            <w:tcW w:w="3581" w:type="dxa"/>
            <w:gridSpan w:val="3"/>
            <w:shd w:val="clear" w:color="auto" w:fill="002060"/>
          </w:tcPr>
          <w:p w14:paraId="08D75AF4" w14:textId="403F81C6" w:rsidR="00BB2F25" w:rsidRPr="00735726" w:rsidRDefault="00BB2F25" w:rsidP="00080495">
            <w:pPr>
              <w:spacing w:line="360" w:lineRule="auto"/>
              <w:jc w:val="center"/>
              <w:rPr>
                <w:rFonts w:ascii="Arial" w:hAnsi="Arial" w:cs="Arial"/>
                <w:b/>
                <w:bCs/>
                <w:iCs/>
                <w:color w:val="FFFFFF" w:themeColor="background1"/>
                <w:sz w:val="18"/>
              </w:rPr>
            </w:pPr>
            <w:r w:rsidRPr="00735726">
              <w:rPr>
                <w:rFonts w:ascii="Arial" w:hAnsi="Arial" w:cs="Arial"/>
                <w:b/>
                <w:bCs/>
                <w:iCs/>
                <w:color w:val="FFFFFF" w:themeColor="background1"/>
                <w:sz w:val="18"/>
              </w:rPr>
              <w:t>2024/25</w:t>
            </w:r>
          </w:p>
        </w:tc>
      </w:tr>
      <w:tr w:rsidR="00BB2F25" w:rsidRPr="00735726" w14:paraId="253BCA94" w14:textId="77777777" w:rsidTr="00080495">
        <w:trPr>
          <w:trHeight w:val="680"/>
        </w:trPr>
        <w:tc>
          <w:tcPr>
            <w:tcW w:w="1965" w:type="dxa"/>
            <w:shd w:val="clear" w:color="auto" w:fill="002060"/>
          </w:tcPr>
          <w:p w14:paraId="5E12CB8A" w14:textId="77777777" w:rsidR="00BB2F25" w:rsidRPr="009A2CAE" w:rsidRDefault="00BB2F25" w:rsidP="00080495">
            <w:pPr>
              <w:spacing w:line="360" w:lineRule="auto"/>
              <w:rPr>
                <w:rFonts w:ascii="Arial" w:hAnsi="Arial" w:cs="Arial"/>
                <w:b/>
                <w:bCs/>
                <w:iCs/>
                <w:color w:val="FFFFFF" w:themeColor="background1"/>
                <w:sz w:val="18"/>
              </w:rPr>
            </w:pPr>
          </w:p>
        </w:tc>
        <w:tc>
          <w:tcPr>
            <w:tcW w:w="849" w:type="dxa"/>
            <w:shd w:val="clear" w:color="auto" w:fill="002060"/>
          </w:tcPr>
          <w:p w14:paraId="121748EC" w14:textId="5EB07033" w:rsidR="00BB2F25" w:rsidRPr="00735726" w:rsidRDefault="00BB2F25" w:rsidP="00080495">
            <w:pPr>
              <w:spacing w:line="360" w:lineRule="auto"/>
              <w:jc w:val="center"/>
              <w:rPr>
                <w:rFonts w:ascii="Arial" w:hAnsi="Arial" w:cs="Arial"/>
                <w:b/>
                <w:bCs/>
                <w:iCs/>
                <w:color w:val="FFFFFF" w:themeColor="background1"/>
                <w:sz w:val="18"/>
              </w:rPr>
            </w:pPr>
            <w:r w:rsidRPr="00735726">
              <w:rPr>
                <w:rFonts w:ascii="Arial" w:hAnsi="Arial" w:cs="Arial"/>
                <w:b/>
                <w:bCs/>
                <w:iCs/>
                <w:color w:val="FFFFFF" w:themeColor="background1"/>
                <w:sz w:val="18"/>
              </w:rPr>
              <w:t>Fees</w:t>
            </w:r>
            <w:r w:rsidRPr="00735726">
              <w:rPr>
                <w:rFonts w:ascii="Arial" w:hAnsi="Arial" w:cs="Arial"/>
                <w:b/>
                <w:bCs/>
                <w:iCs/>
                <w:color w:val="FFFFFF" w:themeColor="background1"/>
                <w:sz w:val="18"/>
                <w:vertAlign w:val="superscript"/>
              </w:rPr>
              <w:t>1</w:t>
            </w:r>
            <w:r w:rsidRPr="00735726">
              <w:rPr>
                <w:rFonts w:ascii="Arial" w:hAnsi="Arial" w:cs="Arial"/>
                <w:b/>
                <w:bCs/>
                <w:iCs/>
                <w:color w:val="FFFFFF" w:themeColor="background1"/>
                <w:sz w:val="18"/>
              </w:rPr>
              <w:t xml:space="preserve"> (£000)</w:t>
            </w:r>
          </w:p>
        </w:tc>
        <w:tc>
          <w:tcPr>
            <w:tcW w:w="1548" w:type="dxa"/>
            <w:shd w:val="clear" w:color="auto" w:fill="002060"/>
          </w:tcPr>
          <w:p w14:paraId="22554CC5" w14:textId="77777777" w:rsidR="00BB2F25" w:rsidRPr="00735726" w:rsidRDefault="00BB2F25" w:rsidP="00080495">
            <w:pPr>
              <w:spacing w:line="360" w:lineRule="auto"/>
              <w:jc w:val="center"/>
              <w:rPr>
                <w:rFonts w:ascii="Arial" w:hAnsi="Arial" w:cs="Arial"/>
                <w:b/>
                <w:bCs/>
                <w:iCs/>
                <w:color w:val="FFFFFF" w:themeColor="background1"/>
                <w:sz w:val="18"/>
              </w:rPr>
            </w:pPr>
            <w:r w:rsidRPr="00735726">
              <w:rPr>
                <w:rFonts w:ascii="Arial" w:hAnsi="Arial" w:cs="Arial"/>
                <w:b/>
                <w:bCs/>
                <w:iCs/>
                <w:color w:val="FFFFFF" w:themeColor="background1"/>
                <w:sz w:val="18"/>
              </w:rPr>
              <w:t>Taxable benefits (£000)</w:t>
            </w:r>
          </w:p>
        </w:tc>
        <w:tc>
          <w:tcPr>
            <w:tcW w:w="1266" w:type="dxa"/>
            <w:shd w:val="clear" w:color="auto" w:fill="002060"/>
          </w:tcPr>
          <w:p w14:paraId="3D6EDC89" w14:textId="77777777" w:rsidR="00BB2F25" w:rsidRPr="00735726" w:rsidRDefault="00BB2F25" w:rsidP="00080495">
            <w:pPr>
              <w:spacing w:line="360" w:lineRule="auto"/>
              <w:jc w:val="center"/>
              <w:rPr>
                <w:rFonts w:ascii="Arial" w:hAnsi="Arial" w:cs="Arial"/>
                <w:b/>
                <w:bCs/>
                <w:iCs/>
                <w:color w:val="FFFFFF" w:themeColor="background1"/>
                <w:sz w:val="18"/>
              </w:rPr>
            </w:pPr>
            <w:r w:rsidRPr="00735726">
              <w:rPr>
                <w:rFonts w:ascii="Arial" w:hAnsi="Arial" w:cs="Arial"/>
                <w:b/>
                <w:bCs/>
                <w:iCs/>
                <w:color w:val="FFFFFF" w:themeColor="background1"/>
                <w:sz w:val="18"/>
              </w:rPr>
              <w:t>Total Fees (£000)</w:t>
            </w:r>
          </w:p>
        </w:tc>
        <w:tc>
          <w:tcPr>
            <w:tcW w:w="907" w:type="dxa"/>
            <w:shd w:val="clear" w:color="auto" w:fill="002060"/>
          </w:tcPr>
          <w:p w14:paraId="610F4BBC" w14:textId="6FBE06C6" w:rsidR="00BB2F25" w:rsidRPr="009A2CAE" w:rsidRDefault="00BB2F25" w:rsidP="00080495">
            <w:pPr>
              <w:spacing w:line="360" w:lineRule="auto"/>
              <w:rPr>
                <w:rFonts w:ascii="Arial" w:hAnsi="Arial" w:cs="Arial"/>
                <w:b/>
                <w:bCs/>
                <w:iCs/>
                <w:color w:val="FFFFFF" w:themeColor="background1"/>
                <w:sz w:val="18"/>
              </w:rPr>
            </w:pPr>
            <w:r w:rsidRPr="00735726">
              <w:rPr>
                <w:rFonts w:ascii="Arial" w:hAnsi="Arial" w:cs="Arial"/>
                <w:b/>
                <w:bCs/>
                <w:iCs/>
                <w:color w:val="FFFFFF" w:themeColor="background1"/>
                <w:sz w:val="18"/>
              </w:rPr>
              <w:t>Fees</w:t>
            </w:r>
            <w:r w:rsidRPr="00735726">
              <w:rPr>
                <w:rFonts w:ascii="Arial" w:hAnsi="Arial" w:cs="Arial"/>
                <w:b/>
                <w:bCs/>
                <w:iCs/>
                <w:color w:val="FFFFFF" w:themeColor="background1"/>
                <w:sz w:val="18"/>
                <w:vertAlign w:val="superscript"/>
              </w:rPr>
              <w:t>1</w:t>
            </w:r>
            <w:r w:rsidRPr="00735726">
              <w:rPr>
                <w:rFonts w:ascii="Arial" w:hAnsi="Arial" w:cs="Arial"/>
                <w:b/>
                <w:bCs/>
                <w:iCs/>
                <w:color w:val="FFFFFF" w:themeColor="background1"/>
                <w:sz w:val="18"/>
              </w:rPr>
              <w:t xml:space="preserve"> (£000)</w:t>
            </w:r>
          </w:p>
        </w:tc>
        <w:tc>
          <w:tcPr>
            <w:tcW w:w="1544" w:type="dxa"/>
            <w:shd w:val="clear" w:color="auto" w:fill="002060"/>
          </w:tcPr>
          <w:p w14:paraId="22D94E94" w14:textId="77777777" w:rsidR="00BB2F25" w:rsidRPr="00735726" w:rsidRDefault="00BB2F25" w:rsidP="00080495">
            <w:pPr>
              <w:spacing w:line="360" w:lineRule="auto"/>
              <w:jc w:val="center"/>
              <w:rPr>
                <w:rFonts w:ascii="Arial" w:hAnsi="Arial" w:cs="Arial"/>
                <w:b/>
                <w:bCs/>
                <w:iCs/>
                <w:color w:val="FFFFFF" w:themeColor="background1"/>
                <w:sz w:val="18"/>
              </w:rPr>
            </w:pPr>
            <w:r w:rsidRPr="00735726">
              <w:rPr>
                <w:rFonts w:ascii="Arial" w:hAnsi="Arial" w:cs="Arial"/>
                <w:b/>
                <w:bCs/>
                <w:iCs/>
                <w:color w:val="FFFFFF" w:themeColor="background1"/>
                <w:sz w:val="18"/>
              </w:rPr>
              <w:t>Taxable benefits (£000)</w:t>
            </w:r>
          </w:p>
        </w:tc>
        <w:tc>
          <w:tcPr>
            <w:tcW w:w="1130" w:type="dxa"/>
            <w:shd w:val="clear" w:color="auto" w:fill="002060"/>
          </w:tcPr>
          <w:p w14:paraId="05A85118" w14:textId="77777777" w:rsidR="00BB2F25" w:rsidRPr="00735726" w:rsidRDefault="00BB2F25" w:rsidP="00080495">
            <w:pPr>
              <w:spacing w:line="360" w:lineRule="auto"/>
              <w:jc w:val="center"/>
              <w:rPr>
                <w:rFonts w:ascii="Arial" w:hAnsi="Arial" w:cs="Arial"/>
                <w:b/>
                <w:bCs/>
                <w:iCs/>
                <w:color w:val="FFFFFF" w:themeColor="background1"/>
                <w:sz w:val="18"/>
              </w:rPr>
            </w:pPr>
            <w:r w:rsidRPr="00735726">
              <w:rPr>
                <w:rFonts w:ascii="Arial" w:hAnsi="Arial" w:cs="Arial"/>
                <w:b/>
                <w:bCs/>
                <w:iCs/>
                <w:color w:val="FFFFFF" w:themeColor="background1"/>
                <w:sz w:val="18"/>
              </w:rPr>
              <w:t xml:space="preserve">Total </w:t>
            </w:r>
            <w:proofErr w:type="gramStart"/>
            <w:r w:rsidRPr="00735726">
              <w:rPr>
                <w:rFonts w:ascii="Arial" w:hAnsi="Arial" w:cs="Arial"/>
                <w:b/>
                <w:bCs/>
                <w:iCs/>
                <w:color w:val="FFFFFF" w:themeColor="background1"/>
                <w:sz w:val="18"/>
              </w:rPr>
              <w:t>Fees  (</w:t>
            </w:r>
            <w:proofErr w:type="gramEnd"/>
            <w:r w:rsidRPr="00735726">
              <w:rPr>
                <w:rFonts w:ascii="Arial" w:hAnsi="Arial" w:cs="Arial"/>
                <w:b/>
                <w:bCs/>
                <w:iCs/>
                <w:color w:val="FFFFFF" w:themeColor="background1"/>
                <w:sz w:val="18"/>
              </w:rPr>
              <w:t>£000)</w:t>
            </w:r>
          </w:p>
        </w:tc>
      </w:tr>
      <w:tr w:rsidR="00BB2F25" w:rsidRPr="00735726" w14:paraId="1F43D25E" w14:textId="77777777" w:rsidTr="00080495">
        <w:tc>
          <w:tcPr>
            <w:tcW w:w="1965" w:type="dxa"/>
          </w:tcPr>
          <w:p w14:paraId="24034CF1" w14:textId="7C67DC10" w:rsidR="00BB2F25" w:rsidRPr="00735726" w:rsidRDefault="00BB2F25" w:rsidP="00BB2F25">
            <w:pPr>
              <w:spacing w:line="360" w:lineRule="auto"/>
              <w:rPr>
                <w:rFonts w:ascii="Arial" w:hAnsi="Arial" w:cs="Arial"/>
                <w:sz w:val="18"/>
              </w:rPr>
            </w:pPr>
            <w:r w:rsidRPr="00735726">
              <w:rPr>
                <w:rFonts w:ascii="Arial" w:hAnsi="Arial" w:cs="Arial"/>
                <w:sz w:val="18"/>
              </w:rPr>
              <w:t>David Sproul</w:t>
            </w:r>
            <w:r w:rsidR="007472C5" w:rsidRPr="00735726">
              <w:rPr>
                <w:rFonts w:ascii="Arial" w:hAnsi="Arial" w:cs="Arial"/>
                <w:sz w:val="18"/>
                <w:vertAlign w:val="superscript"/>
              </w:rPr>
              <w:t>2</w:t>
            </w:r>
          </w:p>
        </w:tc>
        <w:tc>
          <w:tcPr>
            <w:tcW w:w="849" w:type="dxa"/>
          </w:tcPr>
          <w:p w14:paraId="2DAB866E" w14:textId="2E057E78" w:rsidR="00BB2F25" w:rsidRPr="00735726" w:rsidRDefault="007472C5" w:rsidP="00BB2F25">
            <w:pPr>
              <w:spacing w:line="360" w:lineRule="auto"/>
              <w:jc w:val="center"/>
              <w:rPr>
                <w:rFonts w:ascii="Arial" w:hAnsi="Arial" w:cs="Arial"/>
                <w:iCs/>
                <w:sz w:val="18"/>
              </w:rPr>
            </w:pPr>
            <w:r w:rsidRPr="00735726">
              <w:rPr>
                <w:rFonts w:ascii="Arial" w:hAnsi="Arial" w:cs="Arial"/>
                <w:iCs/>
                <w:sz w:val="18"/>
              </w:rPr>
              <w:t>218</w:t>
            </w:r>
          </w:p>
        </w:tc>
        <w:tc>
          <w:tcPr>
            <w:tcW w:w="1548" w:type="dxa"/>
          </w:tcPr>
          <w:p w14:paraId="2850EB60" w14:textId="1785338A" w:rsidR="00BB2F25" w:rsidRPr="00735726" w:rsidRDefault="007472C5" w:rsidP="00BB2F25">
            <w:pPr>
              <w:spacing w:line="360" w:lineRule="auto"/>
              <w:jc w:val="center"/>
              <w:rPr>
                <w:rFonts w:ascii="Arial" w:hAnsi="Arial" w:cs="Arial"/>
                <w:iCs/>
                <w:sz w:val="18"/>
              </w:rPr>
            </w:pPr>
            <w:r w:rsidRPr="00735726">
              <w:rPr>
                <w:rFonts w:ascii="Arial" w:hAnsi="Arial" w:cs="Arial"/>
                <w:iCs/>
                <w:sz w:val="18"/>
              </w:rPr>
              <w:t>-</w:t>
            </w:r>
          </w:p>
        </w:tc>
        <w:tc>
          <w:tcPr>
            <w:tcW w:w="1266" w:type="dxa"/>
          </w:tcPr>
          <w:p w14:paraId="43628B4E" w14:textId="23B60ECB" w:rsidR="00BB2F25" w:rsidRPr="00735726" w:rsidRDefault="007472C5" w:rsidP="00BB2F25">
            <w:pPr>
              <w:spacing w:line="360" w:lineRule="auto"/>
              <w:jc w:val="center"/>
              <w:rPr>
                <w:rFonts w:ascii="Arial" w:hAnsi="Arial" w:cs="Arial"/>
                <w:b/>
                <w:bCs/>
                <w:iCs/>
                <w:sz w:val="18"/>
              </w:rPr>
            </w:pPr>
            <w:r w:rsidRPr="00735726">
              <w:rPr>
                <w:rFonts w:ascii="Arial" w:hAnsi="Arial" w:cs="Arial"/>
                <w:b/>
                <w:bCs/>
                <w:iCs/>
                <w:sz w:val="18"/>
              </w:rPr>
              <w:t>218</w:t>
            </w:r>
          </w:p>
        </w:tc>
        <w:tc>
          <w:tcPr>
            <w:tcW w:w="907" w:type="dxa"/>
          </w:tcPr>
          <w:p w14:paraId="3687097A" w14:textId="025E152A" w:rsidR="00BB2F25" w:rsidRPr="00735726" w:rsidRDefault="00BB2F25" w:rsidP="00BB2F25">
            <w:pPr>
              <w:spacing w:line="360" w:lineRule="auto"/>
              <w:jc w:val="center"/>
              <w:rPr>
                <w:rFonts w:ascii="Arial" w:hAnsi="Arial" w:cs="Arial"/>
                <w:iCs/>
                <w:sz w:val="18"/>
              </w:rPr>
            </w:pPr>
            <w:r w:rsidRPr="00735726">
              <w:rPr>
                <w:rFonts w:ascii="Arial" w:hAnsi="Arial" w:cs="Arial"/>
                <w:iCs/>
                <w:sz w:val="18"/>
              </w:rPr>
              <w:t>131</w:t>
            </w:r>
          </w:p>
        </w:tc>
        <w:tc>
          <w:tcPr>
            <w:tcW w:w="1544" w:type="dxa"/>
          </w:tcPr>
          <w:p w14:paraId="75835480" w14:textId="6E5E8E7F" w:rsidR="00BB2F25" w:rsidRPr="00735726" w:rsidRDefault="00BB2F25" w:rsidP="00BB2F25">
            <w:pPr>
              <w:spacing w:line="360" w:lineRule="auto"/>
              <w:jc w:val="center"/>
              <w:rPr>
                <w:rFonts w:ascii="Arial" w:hAnsi="Arial" w:cs="Arial"/>
                <w:iCs/>
                <w:sz w:val="18"/>
              </w:rPr>
            </w:pPr>
          </w:p>
        </w:tc>
        <w:tc>
          <w:tcPr>
            <w:tcW w:w="1130" w:type="dxa"/>
          </w:tcPr>
          <w:p w14:paraId="4A4DA1C5" w14:textId="200EB7B6" w:rsidR="00BB2F25" w:rsidRPr="00735726" w:rsidRDefault="00BB2F25" w:rsidP="00BB2F25">
            <w:pPr>
              <w:spacing w:line="360" w:lineRule="auto"/>
              <w:jc w:val="center"/>
              <w:rPr>
                <w:rFonts w:ascii="Arial" w:hAnsi="Arial" w:cs="Arial"/>
                <w:iCs/>
                <w:sz w:val="18"/>
              </w:rPr>
            </w:pPr>
            <w:r w:rsidRPr="00735726">
              <w:rPr>
                <w:rFonts w:ascii="Arial" w:hAnsi="Arial" w:cs="Arial"/>
                <w:b/>
                <w:bCs/>
                <w:iCs/>
                <w:sz w:val="18"/>
              </w:rPr>
              <w:t>131</w:t>
            </w:r>
          </w:p>
        </w:tc>
      </w:tr>
      <w:tr w:rsidR="00BB2F25" w:rsidRPr="00735726" w14:paraId="513AB8CB" w14:textId="77777777" w:rsidTr="00080495">
        <w:tc>
          <w:tcPr>
            <w:tcW w:w="1965" w:type="dxa"/>
          </w:tcPr>
          <w:p w14:paraId="07EA24C9" w14:textId="23B64FFC" w:rsidR="00BB2F25" w:rsidRPr="00735726" w:rsidRDefault="00BB2F25" w:rsidP="00BB2F25">
            <w:pPr>
              <w:spacing w:line="360" w:lineRule="auto"/>
              <w:rPr>
                <w:rFonts w:ascii="Arial" w:hAnsi="Arial" w:cs="Arial"/>
                <w:iCs/>
                <w:sz w:val="18"/>
                <w:szCs w:val="22"/>
              </w:rPr>
            </w:pPr>
            <w:r w:rsidRPr="00735726">
              <w:rPr>
                <w:rFonts w:ascii="Arial" w:hAnsi="Arial" w:cs="Arial"/>
                <w:sz w:val="18"/>
                <w:szCs w:val="22"/>
              </w:rPr>
              <w:t>Iain Evans</w:t>
            </w:r>
            <w:r w:rsidR="007472C5" w:rsidRPr="00735726">
              <w:rPr>
                <w:rFonts w:ascii="Arial" w:hAnsi="Arial" w:cs="Arial"/>
                <w:sz w:val="18"/>
                <w:vertAlign w:val="superscript"/>
              </w:rPr>
              <w:t>3</w:t>
            </w:r>
          </w:p>
        </w:tc>
        <w:tc>
          <w:tcPr>
            <w:tcW w:w="849" w:type="dxa"/>
          </w:tcPr>
          <w:p w14:paraId="3C91F52F" w14:textId="6F21D068" w:rsidR="00BB2F25" w:rsidRPr="00735726" w:rsidRDefault="007472C5" w:rsidP="00BB2F25">
            <w:pPr>
              <w:spacing w:line="360" w:lineRule="auto"/>
              <w:jc w:val="center"/>
              <w:rPr>
                <w:rFonts w:ascii="Arial" w:hAnsi="Arial" w:cs="Arial"/>
                <w:iCs/>
                <w:sz w:val="18"/>
              </w:rPr>
            </w:pPr>
            <w:r w:rsidRPr="00735726">
              <w:rPr>
                <w:rFonts w:ascii="Arial" w:hAnsi="Arial" w:cs="Arial"/>
                <w:iCs/>
                <w:sz w:val="18"/>
              </w:rPr>
              <w:t>66</w:t>
            </w:r>
          </w:p>
        </w:tc>
        <w:tc>
          <w:tcPr>
            <w:tcW w:w="1548" w:type="dxa"/>
          </w:tcPr>
          <w:p w14:paraId="4677CE76" w14:textId="06BF19A8" w:rsidR="00BB2F25" w:rsidRPr="00735726" w:rsidRDefault="007472C5" w:rsidP="00BB2F25">
            <w:pPr>
              <w:spacing w:line="360" w:lineRule="auto"/>
              <w:jc w:val="center"/>
              <w:rPr>
                <w:rFonts w:ascii="Arial" w:hAnsi="Arial" w:cs="Arial"/>
                <w:iCs/>
                <w:sz w:val="18"/>
              </w:rPr>
            </w:pPr>
            <w:r w:rsidRPr="00735726">
              <w:rPr>
                <w:rFonts w:ascii="Arial" w:hAnsi="Arial" w:cs="Arial"/>
                <w:iCs/>
                <w:sz w:val="18"/>
              </w:rPr>
              <w:t>-</w:t>
            </w:r>
          </w:p>
        </w:tc>
        <w:tc>
          <w:tcPr>
            <w:tcW w:w="1266" w:type="dxa"/>
          </w:tcPr>
          <w:p w14:paraId="7D385C28" w14:textId="4388584E" w:rsidR="00BB2F25" w:rsidRPr="00735726" w:rsidRDefault="007472C5" w:rsidP="00BB2F25">
            <w:pPr>
              <w:spacing w:line="360" w:lineRule="auto"/>
              <w:jc w:val="center"/>
              <w:rPr>
                <w:rFonts w:ascii="Arial" w:hAnsi="Arial" w:cs="Arial"/>
                <w:b/>
                <w:bCs/>
                <w:iCs/>
                <w:sz w:val="18"/>
              </w:rPr>
            </w:pPr>
            <w:r w:rsidRPr="00735726">
              <w:rPr>
                <w:rFonts w:ascii="Arial" w:hAnsi="Arial" w:cs="Arial"/>
                <w:b/>
                <w:bCs/>
                <w:iCs/>
                <w:sz w:val="18"/>
              </w:rPr>
              <w:t>66</w:t>
            </w:r>
          </w:p>
        </w:tc>
        <w:tc>
          <w:tcPr>
            <w:tcW w:w="907" w:type="dxa"/>
          </w:tcPr>
          <w:p w14:paraId="76345BD2" w14:textId="7B8F42A2" w:rsidR="00BB2F25" w:rsidRPr="00735726" w:rsidRDefault="00BB2F25" w:rsidP="00BB2F25">
            <w:pPr>
              <w:spacing w:line="360" w:lineRule="auto"/>
              <w:jc w:val="center"/>
              <w:rPr>
                <w:rFonts w:ascii="Arial" w:hAnsi="Arial" w:cs="Arial"/>
                <w:iCs/>
                <w:sz w:val="18"/>
              </w:rPr>
            </w:pPr>
            <w:r w:rsidRPr="00735726">
              <w:rPr>
                <w:rFonts w:ascii="Arial" w:hAnsi="Arial" w:cs="Arial"/>
                <w:iCs/>
                <w:sz w:val="18"/>
              </w:rPr>
              <w:t>65</w:t>
            </w:r>
          </w:p>
        </w:tc>
        <w:tc>
          <w:tcPr>
            <w:tcW w:w="1544" w:type="dxa"/>
          </w:tcPr>
          <w:p w14:paraId="51B379B4" w14:textId="0666BBAE" w:rsidR="00BB2F25" w:rsidRPr="00735726" w:rsidRDefault="00BB2F25" w:rsidP="00BB2F25">
            <w:pPr>
              <w:spacing w:line="360" w:lineRule="auto"/>
              <w:jc w:val="center"/>
              <w:rPr>
                <w:rFonts w:ascii="Arial" w:hAnsi="Arial" w:cs="Arial"/>
                <w:iCs/>
                <w:sz w:val="18"/>
              </w:rPr>
            </w:pPr>
            <w:r w:rsidRPr="00735726">
              <w:rPr>
                <w:rFonts w:ascii="Arial" w:hAnsi="Arial" w:cs="Arial"/>
                <w:iCs/>
                <w:sz w:val="18"/>
              </w:rPr>
              <w:t>-</w:t>
            </w:r>
          </w:p>
        </w:tc>
        <w:tc>
          <w:tcPr>
            <w:tcW w:w="1130" w:type="dxa"/>
          </w:tcPr>
          <w:p w14:paraId="6D50D650" w14:textId="1DC34DD4" w:rsidR="00BB2F25" w:rsidRPr="00735726" w:rsidRDefault="00BB2F25" w:rsidP="00BB2F25">
            <w:pPr>
              <w:spacing w:line="360" w:lineRule="auto"/>
              <w:jc w:val="center"/>
              <w:rPr>
                <w:rFonts w:ascii="Arial" w:hAnsi="Arial" w:cs="Arial"/>
                <w:b/>
                <w:bCs/>
                <w:iCs/>
                <w:sz w:val="18"/>
              </w:rPr>
            </w:pPr>
            <w:r w:rsidRPr="00735726">
              <w:rPr>
                <w:rFonts w:ascii="Arial" w:hAnsi="Arial" w:cs="Arial"/>
                <w:b/>
                <w:bCs/>
                <w:iCs/>
                <w:sz w:val="18"/>
              </w:rPr>
              <w:t>65</w:t>
            </w:r>
          </w:p>
        </w:tc>
      </w:tr>
      <w:tr w:rsidR="007472C5" w:rsidRPr="00735726" w14:paraId="1A7CE03D" w14:textId="77777777" w:rsidTr="00080495">
        <w:tc>
          <w:tcPr>
            <w:tcW w:w="1965" w:type="dxa"/>
          </w:tcPr>
          <w:p w14:paraId="47462752" w14:textId="393323D7" w:rsidR="007472C5" w:rsidRPr="00735726" w:rsidRDefault="007472C5" w:rsidP="007472C5">
            <w:pPr>
              <w:spacing w:line="360" w:lineRule="auto"/>
              <w:rPr>
                <w:rFonts w:ascii="Arial" w:hAnsi="Arial" w:cs="Arial"/>
                <w:sz w:val="18"/>
              </w:rPr>
            </w:pPr>
            <w:r w:rsidRPr="00735726">
              <w:rPr>
                <w:rFonts w:ascii="Arial" w:hAnsi="Arial" w:cs="Arial"/>
                <w:sz w:val="18"/>
              </w:rPr>
              <w:t>Jon Butterworth</w:t>
            </w:r>
          </w:p>
        </w:tc>
        <w:tc>
          <w:tcPr>
            <w:tcW w:w="849" w:type="dxa"/>
          </w:tcPr>
          <w:p w14:paraId="695F615C" w14:textId="287872B3"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53</w:t>
            </w:r>
          </w:p>
        </w:tc>
        <w:tc>
          <w:tcPr>
            <w:tcW w:w="1548" w:type="dxa"/>
          </w:tcPr>
          <w:p w14:paraId="0B26E7D5" w14:textId="6E98A5AD"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266" w:type="dxa"/>
          </w:tcPr>
          <w:p w14:paraId="6E988EF2" w14:textId="6524D093"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53</w:t>
            </w:r>
          </w:p>
        </w:tc>
        <w:tc>
          <w:tcPr>
            <w:tcW w:w="907" w:type="dxa"/>
          </w:tcPr>
          <w:p w14:paraId="6DB0DF6F" w14:textId="5DF5198B"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51</w:t>
            </w:r>
          </w:p>
        </w:tc>
        <w:tc>
          <w:tcPr>
            <w:tcW w:w="1544" w:type="dxa"/>
          </w:tcPr>
          <w:p w14:paraId="3578998A" w14:textId="1EE1CDD4"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130" w:type="dxa"/>
          </w:tcPr>
          <w:p w14:paraId="6EA7127B" w14:textId="57A1F9CF"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51</w:t>
            </w:r>
          </w:p>
        </w:tc>
      </w:tr>
      <w:tr w:rsidR="007472C5" w:rsidRPr="00735726" w14:paraId="5B8178CE" w14:textId="77777777" w:rsidTr="00080495">
        <w:tc>
          <w:tcPr>
            <w:tcW w:w="1965" w:type="dxa"/>
          </w:tcPr>
          <w:p w14:paraId="171594BC" w14:textId="0A1B4C8D" w:rsidR="007472C5" w:rsidRPr="00735726" w:rsidRDefault="007472C5" w:rsidP="007472C5">
            <w:pPr>
              <w:spacing w:line="360" w:lineRule="auto"/>
              <w:rPr>
                <w:rFonts w:ascii="Arial" w:hAnsi="Arial" w:cs="Arial"/>
                <w:sz w:val="18"/>
              </w:rPr>
            </w:pPr>
            <w:r w:rsidRPr="00735726">
              <w:rPr>
                <w:rFonts w:ascii="Arial" w:hAnsi="Arial" w:cs="Arial"/>
                <w:sz w:val="18"/>
              </w:rPr>
              <w:t>Loraine Woodhouse</w:t>
            </w:r>
          </w:p>
        </w:tc>
        <w:tc>
          <w:tcPr>
            <w:tcW w:w="849" w:type="dxa"/>
          </w:tcPr>
          <w:p w14:paraId="31F7AC9E" w14:textId="5B1AB89D"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61</w:t>
            </w:r>
          </w:p>
        </w:tc>
        <w:tc>
          <w:tcPr>
            <w:tcW w:w="1548" w:type="dxa"/>
          </w:tcPr>
          <w:p w14:paraId="05A5E558" w14:textId="662BD9B8"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266" w:type="dxa"/>
          </w:tcPr>
          <w:p w14:paraId="485C206F" w14:textId="63709DDC"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61</w:t>
            </w:r>
          </w:p>
        </w:tc>
        <w:tc>
          <w:tcPr>
            <w:tcW w:w="907" w:type="dxa"/>
          </w:tcPr>
          <w:p w14:paraId="11551666" w14:textId="7A076B25"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59</w:t>
            </w:r>
          </w:p>
        </w:tc>
        <w:tc>
          <w:tcPr>
            <w:tcW w:w="1544" w:type="dxa"/>
          </w:tcPr>
          <w:p w14:paraId="0848F2E4" w14:textId="09A663AE"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130" w:type="dxa"/>
          </w:tcPr>
          <w:p w14:paraId="719AD244" w14:textId="4F4AB9CA"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59</w:t>
            </w:r>
          </w:p>
        </w:tc>
      </w:tr>
      <w:tr w:rsidR="007472C5" w:rsidRPr="00735726" w14:paraId="29561B0A" w14:textId="77777777" w:rsidTr="00080495">
        <w:tc>
          <w:tcPr>
            <w:tcW w:w="1965" w:type="dxa"/>
          </w:tcPr>
          <w:p w14:paraId="4C5EB42B" w14:textId="3243FEE8" w:rsidR="007472C5" w:rsidRPr="00735726" w:rsidRDefault="007472C5" w:rsidP="007472C5">
            <w:pPr>
              <w:spacing w:line="360" w:lineRule="auto"/>
              <w:rPr>
                <w:rFonts w:ascii="Arial" w:hAnsi="Arial" w:cs="Arial"/>
                <w:sz w:val="18"/>
                <w:vertAlign w:val="superscript"/>
              </w:rPr>
            </w:pPr>
            <w:r w:rsidRPr="00735726">
              <w:rPr>
                <w:rFonts w:ascii="Arial" w:hAnsi="Arial" w:cs="Arial"/>
                <w:sz w:val="18"/>
              </w:rPr>
              <w:t>Dorothy Burwell</w:t>
            </w:r>
            <w:r w:rsidRPr="00735726">
              <w:rPr>
                <w:rFonts w:ascii="Arial" w:hAnsi="Arial" w:cs="Arial"/>
                <w:sz w:val="18"/>
                <w:vertAlign w:val="superscript"/>
              </w:rPr>
              <w:t>4</w:t>
            </w:r>
          </w:p>
        </w:tc>
        <w:tc>
          <w:tcPr>
            <w:tcW w:w="849" w:type="dxa"/>
          </w:tcPr>
          <w:p w14:paraId="6832B77A" w14:textId="1EE62343"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59</w:t>
            </w:r>
          </w:p>
        </w:tc>
        <w:tc>
          <w:tcPr>
            <w:tcW w:w="1548" w:type="dxa"/>
          </w:tcPr>
          <w:p w14:paraId="7CB5A5B3" w14:textId="775A5E1B"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266" w:type="dxa"/>
          </w:tcPr>
          <w:p w14:paraId="5FA2B0D2" w14:textId="4494C623"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59</w:t>
            </w:r>
          </w:p>
        </w:tc>
        <w:tc>
          <w:tcPr>
            <w:tcW w:w="907" w:type="dxa"/>
          </w:tcPr>
          <w:p w14:paraId="7F665E99" w14:textId="072CB12B"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47</w:t>
            </w:r>
          </w:p>
        </w:tc>
        <w:tc>
          <w:tcPr>
            <w:tcW w:w="1544" w:type="dxa"/>
          </w:tcPr>
          <w:p w14:paraId="15480C85" w14:textId="58957611"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130" w:type="dxa"/>
          </w:tcPr>
          <w:p w14:paraId="08150464" w14:textId="78DF53E5"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47</w:t>
            </w:r>
          </w:p>
        </w:tc>
      </w:tr>
      <w:tr w:rsidR="007472C5" w:rsidRPr="00735726" w14:paraId="5ACB6473" w14:textId="77777777" w:rsidTr="00080495">
        <w:tc>
          <w:tcPr>
            <w:tcW w:w="1965" w:type="dxa"/>
          </w:tcPr>
          <w:p w14:paraId="54D015CB" w14:textId="31ED386F" w:rsidR="007472C5" w:rsidRPr="00735726" w:rsidRDefault="007472C5" w:rsidP="007472C5">
            <w:pPr>
              <w:spacing w:line="360" w:lineRule="auto"/>
              <w:rPr>
                <w:rFonts w:ascii="Arial" w:hAnsi="Arial" w:cs="Arial"/>
                <w:iCs/>
                <w:sz w:val="18"/>
                <w:szCs w:val="22"/>
                <w:vertAlign w:val="superscript"/>
              </w:rPr>
            </w:pPr>
            <w:r w:rsidRPr="00735726">
              <w:rPr>
                <w:rFonts w:ascii="Arial" w:hAnsi="Arial" w:cs="Arial"/>
                <w:sz w:val="18"/>
              </w:rPr>
              <w:t>Andrea Blance</w:t>
            </w:r>
            <w:r w:rsidRPr="00735726">
              <w:rPr>
                <w:rFonts w:ascii="Arial" w:hAnsi="Arial" w:cs="Arial"/>
                <w:sz w:val="18"/>
                <w:vertAlign w:val="superscript"/>
              </w:rPr>
              <w:t>5</w:t>
            </w:r>
          </w:p>
        </w:tc>
        <w:tc>
          <w:tcPr>
            <w:tcW w:w="849" w:type="dxa"/>
          </w:tcPr>
          <w:p w14:paraId="4DE0E29D" w14:textId="67002D05"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58</w:t>
            </w:r>
          </w:p>
        </w:tc>
        <w:tc>
          <w:tcPr>
            <w:tcW w:w="1548" w:type="dxa"/>
          </w:tcPr>
          <w:p w14:paraId="47628105" w14:textId="16C64F34"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266" w:type="dxa"/>
          </w:tcPr>
          <w:p w14:paraId="28FC6A72" w14:textId="075D23A5"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58</w:t>
            </w:r>
          </w:p>
        </w:tc>
        <w:tc>
          <w:tcPr>
            <w:tcW w:w="907" w:type="dxa"/>
          </w:tcPr>
          <w:p w14:paraId="768C51C8" w14:textId="03ACAA44"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Nil</w:t>
            </w:r>
          </w:p>
        </w:tc>
        <w:tc>
          <w:tcPr>
            <w:tcW w:w="1544" w:type="dxa"/>
          </w:tcPr>
          <w:p w14:paraId="002A529B" w14:textId="1A936E82"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130" w:type="dxa"/>
          </w:tcPr>
          <w:p w14:paraId="72AFBBFA" w14:textId="0194F637"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Nil</w:t>
            </w:r>
          </w:p>
        </w:tc>
      </w:tr>
      <w:tr w:rsidR="007472C5" w:rsidRPr="00735726" w14:paraId="2AE4AD0D" w14:textId="77777777" w:rsidTr="00080495">
        <w:tc>
          <w:tcPr>
            <w:tcW w:w="1965" w:type="dxa"/>
          </w:tcPr>
          <w:p w14:paraId="47D976F4" w14:textId="708044F4" w:rsidR="007472C5" w:rsidRPr="00735726" w:rsidRDefault="007472C5" w:rsidP="007472C5">
            <w:pPr>
              <w:spacing w:line="360" w:lineRule="auto"/>
              <w:rPr>
                <w:rFonts w:ascii="Arial" w:hAnsi="Arial" w:cs="Arial"/>
                <w:iCs/>
                <w:sz w:val="18"/>
                <w:szCs w:val="22"/>
                <w:vertAlign w:val="superscript"/>
              </w:rPr>
            </w:pPr>
            <w:r w:rsidRPr="00735726">
              <w:rPr>
                <w:rFonts w:ascii="Arial" w:hAnsi="Arial" w:cs="Arial"/>
                <w:iCs/>
                <w:sz w:val="18"/>
              </w:rPr>
              <w:t>Sir Andrew Haines</w:t>
            </w:r>
            <w:r w:rsidRPr="00735726">
              <w:rPr>
                <w:rFonts w:ascii="Arial" w:hAnsi="Arial" w:cs="Arial"/>
                <w:iCs/>
                <w:sz w:val="18"/>
                <w:vertAlign w:val="superscript"/>
              </w:rPr>
              <w:t>6</w:t>
            </w:r>
          </w:p>
        </w:tc>
        <w:tc>
          <w:tcPr>
            <w:tcW w:w="849" w:type="dxa"/>
          </w:tcPr>
          <w:p w14:paraId="7CB54D0C" w14:textId="10B60B4F"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20</w:t>
            </w:r>
          </w:p>
        </w:tc>
        <w:tc>
          <w:tcPr>
            <w:tcW w:w="1548" w:type="dxa"/>
          </w:tcPr>
          <w:p w14:paraId="5259C077" w14:textId="7D56FAF3"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266" w:type="dxa"/>
          </w:tcPr>
          <w:p w14:paraId="58397FDA" w14:textId="666665A9"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20</w:t>
            </w:r>
          </w:p>
        </w:tc>
        <w:tc>
          <w:tcPr>
            <w:tcW w:w="907" w:type="dxa"/>
          </w:tcPr>
          <w:p w14:paraId="30EABA3E" w14:textId="23F35730"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Nil</w:t>
            </w:r>
          </w:p>
        </w:tc>
        <w:tc>
          <w:tcPr>
            <w:tcW w:w="1544" w:type="dxa"/>
          </w:tcPr>
          <w:p w14:paraId="37F7B384" w14:textId="49648C93" w:rsidR="007472C5" w:rsidRPr="00735726" w:rsidRDefault="007472C5" w:rsidP="007472C5">
            <w:pPr>
              <w:spacing w:line="360" w:lineRule="auto"/>
              <w:jc w:val="center"/>
              <w:rPr>
                <w:rFonts w:ascii="Arial" w:hAnsi="Arial" w:cs="Arial"/>
                <w:iCs/>
                <w:sz w:val="18"/>
              </w:rPr>
            </w:pPr>
            <w:r w:rsidRPr="00735726">
              <w:rPr>
                <w:rFonts w:ascii="Arial" w:hAnsi="Arial" w:cs="Arial"/>
                <w:iCs/>
                <w:sz w:val="18"/>
              </w:rPr>
              <w:t>-</w:t>
            </w:r>
          </w:p>
        </w:tc>
        <w:tc>
          <w:tcPr>
            <w:tcW w:w="1130" w:type="dxa"/>
          </w:tcPr>
          <w:p w14:paraId="34AEA45F" w14:textId="3171CFD3" w:rsidR="007472C5" w:rsidRPr="00735726" w:rsidRDefault="007472C5" w:rsidP="007472C5">
            <w:pPr>
              <w:spacing w:line="360" w:lineRule="auto"/>
              <w:jc w:val="center"/>
              <w:rPr>
                <w:rFonts w:ascii="Arial" w:hAnsi="Arial" w:cs="Arial"/>
                <w:b/>
                <w:bCs/>
                <w:iCs/>
                <w:sz w:val="18"/>
              </w:rPr>
            </w:pPr>
            <w:r w:rsidRPr="00735726">
              <w:rPr>
                <w:rFonts w:ascii="Arial" w:hAnsi="Arial" w:cs="Arial"/>
                <w:b/>
                <w:bCs/>
                <w:iCs/>
                <w:sz w:val="18"/>
              </w:rPr>
              <w:t>Nil</w:t>
            </w:r>
          </w:p>
        </w:tc>
      </w:tr>
    </w:tbl>
    <w:p w14:paraId="664AA961" w14:textId="54E745DA" w:rsidR="007472C5" w:rsidRPr="00735726" w:rsidRDefault="007472C5" w:rsidP="00D636C2">
      <w:pPr>
        <w:pStyle w:val="ListParagraph"/>
        <w:numPr>
          <w:ilvl w:val="0"/>
          <w:numId w:val="126"/>
        </w:numPr>
        <w:spacing w:after="160" w:line="259" w:lineRule="auto"/>
        <w:rPr>
          <w:rFonts w:ascii="Arial" w:eastAsia="Times New Roman" w:hAnsi="Arial" w:cs="DINOT-Light"/>
          <w:color w:val="000000"/>
          <w:kern w:val="2"/>
          <w:sz w:val="18"/>
          <w:szCs w:val="18"/>
          <w14:ligatures w14:val="standardContextual"/>
        </w:rPr>
      </w:pPr>
      <w:r w:rsidRPr="00735726">
        <w:rPr>
          <w:rFonts w:ascii="Arial" w:hAnsi="Arial" w:cs="Arial"/>
          <w:sz w:val="16"/>
          <w:szCs w:val="28"/>
        </w:rPr>
        <w:t xml:space="preserve">70% of fees are recharged through Pennon Group plc. </w:t>
      </w:r>
    </w:p>
    <w:p w14:paraId="31DB7887" w14:textId="2A482334" w:rsidR="00BB2F25" w:rsidRPr="00735726" w:rsidRDefault="007472C5" w:rsidP="007472C5">
      <w:pPr>
        <w:pStyle w:val="ListParagraph"/>
        <w:numPr>
          <w:ilvl w:val="0"/>
          <w:numId w:val="126"/>
        </w:numPr>
        <w:rPr>
          <w:rFonts w:ascii="Arial" w:hAnsi="Arial" w:cs="Arial"/>
          <w:sz w:val="16"/>
          <w:szCs w:val="28"/>
        </w:rPr>
      </w:pPr>
      <w:r w:rsidRPr="00735726">
        <w:rPr>
          <w:rFonts w:ascii="Arial" w:hAnsi="Arial" w:cs="Arial"/>
          <w:sz w:val="16"/>
          <w:szCs w:val="28"/>
        </w:rPr>
        <w:t>David Sproul received an additional fee due to taking on the role of Executive Chair from 1 January 2026 to 31 March 2026 during the period of CEO transition.</w:t>
      </w:r>
    </w:p>
    <w:p w14:paraId="52F4199E" w14:textId="72E012E2" w:rsidR="007472C5" w:rsidRPr="00735726" w:rsidRDefault="007472C5" w:rsidP="007472C5">
      <w:pPr>
        <w:pStyle w:val="ListParagraph"/>
        <w:numPr>
          <w:ilvl w:val="0"/>
          <w:numId w:val="126"/>
        </w:numPr>
        <w:rPr>
          <w:rFonts w:ascii="Arial" w:hAnsi="Arial" w:cs="Arial"/>
          <w:sz w:val="16"/>
          <w:szCs w:val="28"/>
        </w:rPr>
      </w:pPr>
      <w:r w:rsidRPr="00735726">
        <w:rPr>
          <w:rFonts w:ascii="Arial" w:hAnsi="Arial" w:cs="Arial"/>
          <w:sz w:val="16"/>
          <w:szCs w:val="28"/>
        </w:rPr>
        <w:t>Iain Evans resigned from the Board on 31 March 2026.</w:t>
      </w:r>
    </w:p>
    <w:p w14:paraId="465B83FB" w14:textId="036D3492" w:rsidR="007472C5" w:rsidRPr="00735726" w:rsidRDefault="007472C5" w:rsidP="007472C5">
      <w:pPr>
        <w:pStyle w:val="ListParagraph"/>
        <w:numPr>
          <w:ilvl w:val="0"/>
          <w:numId w:val="126"/>
        </w:numPr>
        <w:rPr>
          <w:rFonts w:ascii="Arial" w:hAnsi="Arial" w:cs="Arial"/>
          <w:sz w:val="16"/>
          <w:szCs w:val="28"/>
        </w:rPr>
      </w:pPr>
      <w:r w:rsidRPr="00735726">
        <w:rPr>
          <w:rFonts w:ascii="Arial" w:hAnsi="Arial" w:cs="Arial"/>
          <w:sz w:val="16"/>
          <w:szCs w:val="28"/>
        </w:rPr>
        <w:t>Dorothy Burwell was appointed ESG Chair on 1 April 2025.</w:t>
      </w:r>
    </w:p>
    <w:p w14:paraId="1B835211" w14:textId="1FE9C9C4" w:rsidR="007472C5" w:rsidRPr="00735726" w:rsidRDefault="007472C5" w:rsidP="007472C5">
      <w:pPr>
        <w:pStyle w:val="ListParagraph"/>
        <w:numPr>
          <w:ilvl w:val="0"/>
          <w:numId w:val="126"/>
        </w:numPr>
        <w:rPr>
          <w:rFonts w:ascii="Arial" w:hAnsi="Arial" w:cs="Arial"/>
          <w:sz w:val="16"/>
          <w:szCs w:val="28"/>
        </w:rPr>
      </w:pPr>
      <w:r w:rsidRPr="00735726">
        <w:rPr>
          <w:rFonts w:ascii="Arial" w:hAnsi="Arial" w:cs="Arial"/>
          <w:sz w:val="16"/>
          <w:szCs w:val="28"/>
        </w:rPr>
        <w:t xml:space="preserve">Andrea </w:t>
      </w:r>
      <w:proofErr w:type="spellStart"/>
      <w:r w:rsidRPr="00735726">
        <w:rPr>
          <w:rFonts w:ascii="Arial" w:hAnsi="Arial" w:cs="Arial"/>
          <w:sz w:val="16"/>
          <w:szCs w:val="28"/>
        </w:rPr>
        <w:t>Blance</w:t>
      </w:r>
      <w:proofErr w:type="spellEnd"/>
      <w:r w:rsidRPr="00735726">
        <w:rPr>
          <w:rFonts w:ascii="Arial" w:hAnsi="Arial" w:cs="Arial"/>
          <w:sz w:val="16"/>
          <w:szCs w:val="28"/>
        </w:rPr>
        <w:t xml:space="preserve"> was appointed as Remuneration Committee Chair effective 8 April 2025.</w:t>
      </w:r>
    </w:p>
    <w:p w14:paraId="7EE4123D" w14:textId="5EB13F70" w:rsidR="007472C5" w:rsidRPr="00735726" w:rsidRDefault="007472C5" w:rsidP="00D636C2">
      <w:pPr>
        <w:pStyle w:val="ListParagraph"/>
        <w:numPr>
          <w:ilvl w:val="0"/>
          <w:numId w:val="126"/>
        </w:numPr>
        <w:rPr>
          <w:rFonts w:ascii="Arial" w:hAnsi="Arial" w:cs="Arial"/>
          <w:sz w:val="16"/>
          <w:szCs w:val="28"/>
        </w:rPr>
      </w:pPr>
      <w:r w:rsidRPr="00735726">
        <w:rPr>
          <w:rFonts w:ascii="Arial" w:hAnsi="Arial" w:cs="Arial"/>
          <w:sz w:val="16"/>
          <w:szCs w:val="28"/>
        </w:rPr>
        <w:t>Sir Andrew Haines was appointed to the Board on 1 November 2025.</w:t>
      </w:r>
    </w:p>
    <w:p w14:paraId="1FD78BCE" w14:textId="58E3E71D" w:rsidR="00B30658" w:rsidRPr="00735726" w:rsidRDefault="00B30658">
      <w:pPr>
        <w:spacing w:after="160" w:line="259" w:lineRule="auto"/>
        <w:rPr>
          <w:rFonts w:ascii="Arial" w:eastAsia="Times New Roman" w:hAnsi="Arial" w:cs="Arial"/>
          <w:b/>
          <w:bCs/>
          <w:caps/>
          <w:color w:val="000000"/>
          <w:sz w:val="18"/>
          <w:szCs w:val="18"/>
        </w:rPr>
      </w:pPr>
      <w:r w:rsidRPr="00735726">
        <w:rPr>
          <w:rFonts w:ascii="Arial" w:eastAsia="Times New Roman" w:hAnsi="Arial" w:cs="DINOT-Light"/>
          <w:color w:val="000000"/>
          <w:kern w:val="2"/>
          <w:sz w:val="18"/>
          <w:szCs w:val="18"/>
          <w14:ligatures w14:val="standardContextual"/>
        </w:rPr>
        <w:t xml:space="preserve">Non-Executive Director fee information is disclosed in the Pennon Group Annual Report and Accounts on page </w:t>
      </w:r>
      <w:r w:rsidR="000D5F17" w:rsidRPr="009A2CAE">
        <w:rPr>
          <w:rFonts w:ascii="Arial" w:eastAsia="Times New Roman" w:hAnsi="Arial" w:cs="DINOT-Light"/>
          <w:color w:val="000000"/>
          <w:kern w:val="2"/>
          <w:sz w:val="18"/>
          <w:szCs w:val="18"/>
          <w14:ligatures w14:val="standardContextual"/>
        </w:rPr>
        <w:t>142</w:t>
      </w:r>
      <w:r w:rsidRPr="009A2CAE">
        <w:rPr>
          <w:rFonts w:ascii="Arial" w:eastAsia="Times New Roman" w:hAnsi="Arial" w:cs="DINOT-Light"/>
          <w:color w:val="000000"/>
          <w:kern w:val="2"/>
          <w:sz w:val="18"/>
          <w:szCs w:val="18"/>
          <w14:ligatures w14:val="standardContextual"/>
        </w:rPr>
        <w:t>.</w:t>
      </w:r>
      <w:r w:rsidRPr="00735726">
        <w:rPr>
          <w:rFonts w:cs="DINOT-Light"/>
          <w:kern w:val="2"/>
          <w14:ligatures w14:val="standardContextual"/>
        </w:rPr>
        <w:t xml:space="preserve"> </w:t>
      </w:r>
      <w:r w:rsidRPr="00735726">
        <w:rPr>
          <w:rFonts w:ascii="Arial" w:eastAsia="Times New Roman" w:hAnsi="Arial" w:cs="Arial"/>
          <w:b/>
          <w:bCs/>
          <w:caps/>
          <w:color w:val="000000"/>
          <w:sz w:val="18"/>
          <w:szCs w:val="18"/>
        </w:rPr>
        <w:br w:type="page"/>
      </w:r>
    </w:p>
    <w:p w14:paraId="040CE24C" w14:textId="2988BDDD" w:rsidR="00E46DAC" w:rsidRPr="00735726" w:rsidRDefault="00E46DAC" w:rsidP="00E46DAC">
      <w:pPr>
        <w:spacing w:after="160" w:line="259" w:lineRule="auto"/>
        <w:rPr>
          <w:rFonts w:ascii="Arial" w:eastAsia="Times New Roman" w:hAnsi="Arial" w:cs="DINOT-Light"/>
          <w:color w:val="000000"/>
          <w:kern w:val="2"/>
          <w:sz w:val="18"/>
          <w:szCs w:val="18"/>
          <w14:ligatures w14:val="standardContextual"/>
        </w:rPr>
      </w:pPr>
      <w:r w:rsidRPr="00735726">
        <w:rPr>
          <w:rFonts w:ascii="Arial" w:eastAsia="Times New Roman" w:hAnsi="Arial" w:cs="Arial"/>
          <w:b/>
          <w:bCs/>
          <w:caps/>
          <w:color w:val="000000"/>
          <w:sz w:val="18"/>
          <w:szCs w:val="18"/>
        </w:rPr>
        <w:lastRenderedPageBreak/>
        <w:t>Malus and Clawback</w:t>
      </w:r>
      <w:r w:rsidR="00057D91" w:rsidRPr="00735726">
        <w:rPr>
          <w:rFonts w:ascii="Arial" w:eastAsia="Times New Roman" w:hAnsi="Arial" w:cs="Arial"/>
          <w:b/>
          <w:bCs/>
          <w:caps/>
          <w:color w:val="000000"/>
          <w:sz w:val="18"/>
          <w:szCs w:val="18"/>
        </w:rPr>
        <w:br/>
      </w:r>
      <w:r w:rsidRPr="00735726">
        <w:rPr>
          <w:rFonts w:ascii="Arial" w:eastAsia="Times New Roman" w:hAnsi="Arial" w:cs="DINOT-Light"/>
          <w:color w:val="000000"/>
          <w:kern w:val="2"/>
          <w:sz w:val="18"/>
          <w:szCs w:val="18"/>
          <w14:ligatures w14:val="standardContextual"/>
        </w:rPr>
        <w:t xml:space="preserve">Malus and Clawback provisions are embedded in the employment contracts of Executive Directors and relevant scheme documentation. Malus and clawback provisions apply to all incentive awards. These provisions enable awards to either be forfeited prior to delivery, repaid or made subject to further conditions where the Committee considers it appropriate in the event of any significant adverse circumstances. For awards granted under the term of this policy, the circumstances in which malus and clawback may be applied include a financial misstatement, error in calculation, material failure of risk management, serious reputational damage, serious corporate failure or misconduct. </w:t>
      </w:r>
    </w:p>
    <w:p w14:paraId="7D524264" w14:textId="77777777" w:rsidR="00E46DAC" w:rsidRPr="00735726" w:rsidRDefault="00E46DAC" w:rsidP="00E46DAC">
      <w:pPr>
        <w:spacing w:after="160" w:line="259" w:lineRule="auto"/>
        <w:rPr>
          <w:rFonts w:ascii="Arial" w:eastAsia="Times New Roman" w:hAnsi="Arial" w:cs="DINOT-Light"/>
          <w:color w:val="000000"/>
          <w:kern w:val="2"/>
          <w:sz w:val="18"/>
          <w:szCs w:val="18"/>
          <w14:ligatures w14:val="standardContextual"/>
        </w:rPr>
      </w:pPr>
      <w:r w:rsidRPr="00735726">
        <w:rPr>
          <w:rFonts w:ascii="Arial" w:eastAsia="Times New Roman" w:hAnsi="Arial" w:cs="DINOT-Light"/>
          <w:color w:val="000000"/>
          <w:kern w:val="2"/>
          <w:sz w:val="18"/>
          <w:szCs w:val="18"/>
          <w14:ligatures w14:val="standardContextual"/>
        </w:rPr>
        <w:t xml:space="preserve">In respect of the annual bonus, clawback may be applied for the period of three years following determination of the cash bonus. Under the LTIP, clawback may be applied until the end of the holding period. The Committee have not applied any action under the provisions of malus and clawback during 2025/26. </w:t>
      </w:r>
    </w:p>
    <w:p w14:paraId="788DE1F6" w14:textId="449B47BF" w:rsidR="00E46DAC" w:rsidRPr="00735726" w:rsidRDefault="00E46DAC" w:rsidP="00E46DAC">
      <w:pPr>
        <w:spacing w:after="160" w:line="259" w:lineRule="auto"/>
        <w:rPr>
          <w:rFonts w:ascii="Arial" w:eastAsia="Times New Roman" w:hAnsi="Arial" w:cs="DINOT-Light"/>
          <w:color w:val="000000"/>
          <w:kern w:val="2"/>
          <w:sz w:val="18"/>
          <w:szCs w:val="18"/>
          <w14:ligatures w14:val="standardContextual"/>
        </w:rPr>
      </w:pPr>
      <w:r w:rsidRPr="00735726">
        <w:rPr>
          <w:rFonts w:ascii="Arial" w:eastAsia="Times New Roman" w:hAnsi="Arial" w:cs="Arial"/>
          <w:b/>
          <w:bCs/>
          <w:caps/>
          <w:color w:val="000000"/>
          <w:sz w:val="18"/>
          <w:szCs w:val="18"/>
        </w:rPr>
        <w:t>The Remuneration Committee and its advisers</w:t>
      </w:r>
      <w:r w:rsidR="00057D91" w:rsidRPr="00735726">
        <w:rPr>
          <w:rFonts w:ascii="Arial" w:eastAsia="Times New Roman" w:hAnsi="Arial" w:cs="Arial"/>
          <w:b/>
          <w:bCs/>
          <w:caps/>
          <w:color w:val="000000"/>
          <w:sz w:val="18"/>
          <w:szCs w:val="18"/>
        </w:rPr>
        <w:br/>
      </w:r>
      <w:r w:rsidRPr="00735726">
        <w:rPr>
          <w:rFonts w:ascii="Arial" w:eastAsia="Times New Roman" w:hAnsi="Arial" w:cs="DINOT-Light"/>
          <w:color w:val="000000"/>
          <w:kern w:val="2"/>
          <w:sz w:val="18"/>
          <w:szCs w:val="18"/>
          <w14:ligatures w14:val="standardContextual"/>
        </w:rPr>
        <w:t xml:space="preserve">Andrea </w:t>
      </w:r>
      <w:proofErr w:type="spellStart"/>
      <w:r w:rsidRPr="00735726">
        <w:rPr>
          <w:rFonts w:ascii="Arial" w:eastAsia="Times New Roman" w:hAnsi="Arial" w:cs="DINOT-Light"/>
          <w:color w:val="000000"/>
          <w:kern w:val="2"/>
          <w:sz w:val="18"/>
          <w:szCs w:val="18"/>
          <w14:ligatures w14:val="standardContextual"/>
        </w:rPr>
        <w:t>Blance</w:t>
      </w:r>
      <w:proofErr w:type="spellEnd"/>
      <w:r w:rsidRPr="00735726">
        <w:rPr>
          <w:rFonts w:ascii="Arial" w:eastAsia="Times New Roman" w:hAnsi="Arial" w:cs="DINOT-Light"/>
          <w:color w:val="000000"/>
          <w:kern w:val="2"/>
          <w:sz w:val="18"/>
          <w:szCs w:val="18"/>
          <w14:ligatures w14:val="standardContextual"/>
        </w:rPr>
        <w:t>, Iain Evans and Dorothy Burwell were members of the Remuneration Committee through the year, with Iain Evans stepping down on 31 Mar</w:t>
      </w:r>
      <w:r w:rsidR="007E561A">
        <w:rPr>
          <w:rFonts w:ascii="Arial" w:eastAsia="Times New Roman" w:hAnsi="Arial" w:cs="DINOT-Light"/>
          <w:color w:val="000000"/>
          <w:kern w:val="2"/>
          <w:sz w:val="18"/>
          <w:szCs w:val="18"/>
          <w14:ligatures w14:val="standardContextual"/>
        </w:rPr>
        <w:t>c</w:t>
      </w:r>
      <w:r w:rsidRPr="00735726">
        <w:rPr>
          <w:rFonts w:ascii="Arial" w:eastAsia="Times New Roman" w:hAnsi="Arial" w:cs="DINOT-Light"/>
          <w:color w:val="000000"/>
          <w:kern w:val="2"/>
          <w:sz w:val="18"/>
          <w:szCs w:val="18"/>
          <w14:ligatures w14:val="standardContextual"/>
        </w:rPr>
        <w:t xml:space="preserve">h 2026. David Sproul, Jon Butterworth, Sir Andrew Haines and Susan Davy attended by invitation as required. </w:t>
      </w:r>
    </w:p>
    <w:p w14:paraId="76229FBD" w14:textId="77777777" w:rsidR="00E46DAC" w:rsidRPr="00735726" w:rsidRDefault="00E46DAC" w:rsidP="00E46DAC">
      <w:pPr>
        <w:spacing w:after="160" w:line="259" w:lineRule="auto"/>
      </w:pPr>
      <w:r w:rsidRPr="00735726">
        <w:rPr>
          <w:rFonts w:ascii="Arial" w:eastAsia="Times New Roman" w:hAnsi="Arial" w:cs="DINOT-Light"/>
          <w:color w:val="000000"/>
          <w:kern w:val="2"/>
          <w:sz w:val="18"/>
          <w:szCs w:val="18"/>
          <w14:ligatures w14:val="standardContextual"/>
        </w:rPr>
        <w:t>During 2018/19, Deloitte LLP was reappointed directly by the Committee with a refreshed advisory team, following a comprehensive retendering process. Deloitte LLP is a member of the Remuneration Consultants Group and as such voluntarily operates under the code of conduct in relation to executive remuneration consulting in the UK. The Committee is satisfied that the advice it has received from Deloitte LLP has been objective and independent.</w:t>
      </w:r>
      <w:r w:rsidRPr="00735726">
        <w:t xml:space="preserve"> </w:t>
      </w:r>
    </w:p>
    <w:p w14:paraId="2956FBCA" w14:textId="77777777" w:rsidR="00E46DAC" w:rsidRPr="009A2CAE" w:rsidRDefault="00E46DAC" w:rsidP="00E46DAC">
      <w:pPr>
        <w:spacing w:after="160" w:line="259" w:lineRule="auto"/>
        <w:rPr>
          <w:rFonts w:ascii="Arial" w:eastAsia="Times New Roman" w:hAnsi="Arial" w:cs="Arial"/>
          <w:b/>
          <w:bCs/>
          <w:caps/>
          <w:color w:val="000000"/>
          <w:sz w:val="18"/>
          <w:szCs w:val="18"/>
        </w:rPr>
      </w:pPr>
    </w:p>
    <w:p w14:paraId="0901A265" w14:textId="0DDAC30E" w:rsidR="00FE3201" w:rsidRPr="00735726" w:rsidRDefault="00FE3201">
      <w:pPr>
        <w:spacing w:after="160" w:line="259" w:lineRule="auto"/>
        <w:rPr>
          <w:rFonts w:ascii="Arial" w:hAnsi="Arial" w:cs="Arial"/>
          <w:sz w:val="32"/>
          <w:szCs w:val="32"/>
        </w:rPr>
      </w:pPr>
      <w:r w:rsidRPr="00735726">
        <w:rPr>
          <w:rFonts w:ascii="Arial" w:hAnsi="Arial" w:cs="Arial"/>
          <w:sz w:val="32"/>
          <w:szCs w:val="32"/>
        </w:rPr>
        <w:br w:type="page"/>
      </w:r>
    </w:p>
    <w:p w14:paraId="30FE8D38" w14:textId="77777777" w:rsidR="00B44352" w:rsidRPr="00735726" w:rsidRDefault="00B44352" w:rsidP="00B44352">
      <w:pPr>
        <w:spacing w:after="160" w:line="259" w:lineRule="auto"/>
        <w:rPr>
          <w:rFonts w:ascii="Arial" w:hAnsi="Arial" w:cs="Arial"/>
          <w:sz w:val="32"/>
          <w:szCs w:val="32"/>
        </w:rPr>
      </w:pPr>
      <w:r w:rsidRPr="00735726">
        <w:rPr>
          <w:rFonts w:ascii="Arial" w:hAnsi="Arial" w:cs="Arial"/>
          <w:sz w:val="32"/>
          <w:szCs w:val="32"/>
        </w:rPr>
        <w:lastRenderedPageBreak/>
        <w:t>BOARD OF DIRECTORS AND COMPANY INFORMATION</w:t>
      </w:r>
    </w:p>
    <w:p w14:paraId="307C75AF" w14:textId="77777777" w:rsidR="00B44352" w:rsidRPr="00735726" w:rsidRDefault="00B44352" w:rsidP="00B44352">
      <w:pPr>
        <w:spacing w:line="360" w:lineRule="auto"/>
        <w:rPr>
          <w:rFonts w:ascii="Arial" w:hAnsi="Arial" w:cs="Arial"/>
          <w:sz w:val="18"/>
          <w:szCs w:val="18"/>
        </w:rPr>
      </w:pPr>
      <w:r w:rsidRPr="00735726">
        <w:rPr>
          <w:rFonts w:ascii="Arial" w:eastAsia="Times New Roman" w:hAnsi="Arial" w:cs="Arial"/>
          <w:b/>
          <w:bCs/>
          <w:caps/>
          <w:color w:val="000000"/>
          <w:sz w:val="18"/>
          <w:szCs w:val="18"/>
        </w:rPr>
        <w:t>ChaiR</w:t>
      </w:r>
      <w:r w:rsidRPr="00735726">
        <w:rPr>
          <w:rFonts w:ascii="Arial" w:eastAsia="Times New Roman" w:hAnsi="Arial" w:cs="Arial"/>
          <w:b/>
          <w:bCs/>
          <w:caps/>
          <w:color w:val="000000"/>
          <w:sz w:val="18"/>
          <w:szCs w:val="18"/>
        </w:rPr>
        <w:tab/>
        <w:t xml:space="preserve"> </w:t>
      </w:r>
      <w:r w:rsidRPr="00735726">
        <w:rPr>
          <w:rFonts w:ascii="Arial" w:hAnsi="Arial" w:cs="Arial"/>
          <w:b/>
          <w:sz w:val="18"/>
          <w:szCs w:val="18"/>
        </w:rPr>
        <w:tab/>
      </w:r>
      <w:r w:rsidRPr="00735726">
        <w:rPr>
          <w:rFonts w:ascii="Arial" w:hAnsi="Arial" w:cs="Arial"/>
          <w:b/>
          <w:sz w:val="18"/>
          <w:szCs w:val="18"/>
        </w:rPr>
        <w:tab/>
      </w:r>
      <w:r w:rsidRPr="00735726">
        <w:rPr>
          <w:rFonts w:ascii="Arial" w:hAnsi="Arial" w:cs="Arial"/>
          <w:b/>
          <w:sz w:val="18"/>
          <w:szCs w:val="18"/>
        </w:rPr>
        <w:tab/>
      </w:r>
      <w:r w:rsidRPr="00735726">
        <w:rPr>
          <w:rFonts w:ascii="Arial" w:hAnsi="Arial" w:cs="Arial"/>
          <w:b/>
          <w:sz w:val="18"/>
          <w:szCs w:val="18"/>
        </w:rPr>
        <w:tab/>
      </w:r>
      <w:r w:rsidRPr="00735726">
        <w:rPr>
          <w:rFonts w:ascii="Arial" w:hAnsi="Arial" w:cs="Arial"/>
          <w:sz w:val="18"/>
          <w:szCs w:val="18"/>
        </w:rPr>
        <w:t>D Sproul</w:t>
      </w:r>
    </w:p>
    <w:p w14:paraId="31BB9A55" w14:textId="77777777" w:rsidR="00B44352" w:rsidRPr="00735726" w:rsidRDefault="00B44352" w:rsidP="00B44352">
      <w:pPr>
        <w:spacing w:line="360"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CHIEF EXECUTIVE OFFICER</w:t>
      </w:r>
      <w:r w:rsidRPr="00735726">
        <w:rPr>
          <w:rFonts w:ascii="Arial" w:eastAsia="Times New Roman" w:hAnsi="Arial" w:cs="Arial"/>
          <w:b/>
          <w:bCs/>
          <w:caps/>
          <w:color w:val="000000"/>
          <w:sz w:val="18"/>
          <w:szCs w:val="18"/>
        </w:rPr>
        <w:tab/>
      </w:r>
      <w:r w:rsidRPr="00735726">
        <w:rPr>
          <w:rFonts w:ascii="Arial" w:eastAsia="Times New Roman" w:hAnsi="Arial" w:cs="Arial"/>
          <w:b/>
          <w:bCs/>
          <w:caps/>
          <w:color w:val="000000"/>
          <w:sz w:val="18"/>
          <w:szCs w:val="18"/>
        </w:rPr>
        <w:tab/>
      </w:r>
      <w:r w:rsidRPr="00735726">
        <w:rPr>
          <w:rFonts w:ascii="Arial" w:hAnsi="Arial" w:cs="Arial"/>
          <w:sz w:val="18"/>
          <w:szCs w:val="18"/>
        </w:rPr>
        <w:t xml:space="preserve">K Haslett </w:t>
      </w:r>
    </w:p>
    <w:p w14:paraId="051C8DF8" w14:textId="77777777" w:rsidR="00B44352" w:rsidRPr="00735726" w:rsidRDefault="00B44352" w:rsidP="00B44352">
      <w:pPr>
        <w:spacing w:line="360" w:lineRule="auto"/>
        <w:rPr>
          <w:rFonts w:ascii="Arial" w:hAnsi="Arial" w:cs="Arial"/>
          <w:b/>
          <w:sz w:val="18"/>
          <w:szCs w:val="18"/>
        </w:rPr>
      </w:pPr>
      <w:r w:rsidRPr="00735726">
        <w:rPr>
          <w:rFonts w:ascii="Arial" w:eastAsia="Times New Roman" w:hAnsi="Arial" w:cs="Arial"/>
          <w:b/>
          <w:bCs/>
          <w:caps/>
          <w:color w:val="000000"/>
          <w:sz w:val="18"/>
          <w:szCs w:val="18"/>
        </w:rPr>
        <w:t>CHIEF FINANCIAL OFFICER</w:t>
      </w:r>
      <w:r w:rsidRPr="00735726">
        <w:rPr>
          <w:rFonts w:ascii="Arial" w:hAnsi="Arial" w:cs="Arial"/>
          <w:b/>
          <w:sz w:val="18"/>
          <w:szCs w:val="18"/>
        </w:rPr>
        <w:tab/>
      </w:r>
      <w:r w:rsidRPr="00735726">
        <w:rPr>
          <w:rFonts w:ascii="Arial" w:hAnsi="Arial" w:cs="Arial"/>
          <w:b/>
          <w:sz w:val="18"/>
          <w:szCs w:val="18"/>
        </w:rPr>
        <w:tab/>
      </w:r>
      <w:r w:rsidRPr="00735726">
        <w:rPr>
          <w:rFonts w:ascii="Arial" w:hAnsi="Arial" w:cs="Arial"/>
          <w:bCs/>
          <w:sz w:val="18"/>
          <w:szCs w:val="18"/>
        </w:rPr>
        <w:t xml:space="preserve">L Flowerdew </w:t>
      </w:r>
      <w:r w:rsidRPr="00735726">
        <w:rPr>
          <w:rFonts w:ascii="Arial" w:hAnsi="Arial" w:cs="Arial"/>
          <w:b/>
          <w:sz w:val="18"/>
          <w:szCs w:val="18"/>
        </w:rPr>
        <w:t xml:space="preserve"> </w:t>
      </w:r>
    </w:p>
    <w:p w14:paraId="337F0377" w14:textId="77777777" w:rsidR="00B44352" w:rsidRPr="00735726" w:rsidRDefault="00B44352" w:rsidP="00B44352">
      <w:pPr>
        <w:spacing w:line="360" w:lineRule="auto"/>
        <w:rPr>
          <w:rFonts w:ascii="Arial" w:hAnsi="Arial" w:cs="Arial"/>
          <w:b/>
          <w:sz w:val="18"/>
          <w:szCs w:val="18"/>
        </w:rPr>
      </w:pPr>
      <w:r w:rsidRPr="00735726">
        <w:rPr>
          <w:rFonts w:ascii="Arial" w:hAnsi="Arial" w:cs="Arial"/>
          <w:b/>
          <w:sz w:val="18"/>
          <w:szCs w:val="18"/>
        </w:rPr>
        <w:t>SENIOR INDEPENDENT DIRECTOR</w:t>
      </w:r>
      <w:r w:rsidRPr="00735726">
        <w:rPr>
          <w:rFonts w:ascii="Arial" w:hAnsi="Arial" w:cs="Arial"/>
          <w:b/>
          <w:sz w:val="18"/>
          <w:szCs w:val="18"/>
        </w:rPr>
        <w:tab/>
      </w:r>
      <w:r w:rsidRPr="00735726">
        <w:rPr>
          <w:rFonts w:ascii="Arial" w:hAnsi="Arial" w:cs="Arial"/>
          <w:sz w:val="18"/>
          <w:szCs w:val="18"/>
        </w:rPr>
        <w:t>Sir Andrew Haines (Non-Executive)</w:t>
      </w:r>
    </w:p>
    <w:p w14:paraId="2AB4B1B1" w14:textId="77777777" w:rsidR="00B44352" w:rsidRPr="00735726" w:rsidRDefault="00B44352" w:rsidP="00B44352">
      <w:pPr>
        <w:spacing w:after="0" w:line="360" w:lineRule="auto"/>
        <w:ind w:left="3600" w:hanging="3600"/>
        <w:rPr>
          <w:rFonts w:ascii="Arial" w:hAnsi="Arial" w:cs="Arial"/>
          <w:sz w:val="18"/>
          <w:szCs w:val="18"/>
        </w:rPr>
      </w:pPr>
      <w:r w:rsidRPr="00735726">
        <w:rPr>
          <w:rFonts w:ascii="Arial" w:eastAsia="Times New Roman" w:hAnsi="Arial" w:cs="Arial"/>
          <w:b/>
          <w:bCs/>
          <w:caps/>
          <w:color w:val="000000"/>
          <w:sz w:val="18"/>
          <w:szCs w:val="18"/>
        </w:rPr>
        <w:t>Non-executive Directors</w:t>
      </w:r>
      <w:r w:rsidRPr="00735726">
        <w:rPr>
          <w:rFonts w:ascii="Arial" w:hAnsi="Arial" w:cs="Arial"/>
          <w:b/>
          <w:sz w:val="18"/>
          <w:szCs w:val="18"/>
        </w:rPr>
        <w:t xml:space="preserve"> </w:t>
      </w:r>
      <w:r w:rsidRPr="00735726">
        <w:rPr>
          <w:rFonts w:ascii="Arial" w:hAnsi="Arial" w:cs="Arial"/>
          <w:b/>
          <w:sz w:val="18"/>
          <w:szCs w:val="18"/>
        </w:rPr>
        <w:tab/>
      </w:r>
      <w:r w:rsidRPr="00735726">
        <w:rPr>
          <w:rFonts w:ascii="Arial" w:hAnsi="Arial" w:cs="Arial"/>
          <w:sz w:val="18"/>
          <w:szCs w:val="18"/>
        </w:rPr>
        <w:t>D Burwell</w:t>
      </w:r>
    </w:p>
    <w:p w14:paraId="71119563" w14:textId="77777777" w:rsidR="00B44352" w:rsidRPr="00735726" w:rsidRDefault="00B44352" w:rsidP="00B44352">
      <w:pPr>
        <w:spacing w:after="0" w:line="360" w:lineRule="auto"/>
        <w:ind w:left="3600" w:hanging="3600"/>
        <w:rPr>
          <w:rFonts w:ascii="Arial" w:hAnsi="Arial" w:cs="Arial"/>
          <w:sz w:val="18"/>
          <w:szCs w:val="18"/>
        </w:rPr>
      </w:pPr>
      <w:r w:rsidRPr="00735726">
        <w:rPr>
          <w:rFonts w:ascii="Arial" w:eastAsia="Times New Roman" w:hAnsi="Arial" w:cs="Arial"/>
          <w:b/>
          <w:bCs/>
          <w:caps/>
          <w:color w:val="000000"/>
          <w:sz w:val="18"/>
          <w:szCs w:val="18"/>
        </w:rPr>
        <w:tab/>
      </w:r>
      <w:r w:rsidRPr="00735726">
        <w:rPr>
          <w:rFonts w:ascii="Arial" w:hAnsi="Arial" w:cs="Arial"/>
          <w:sz w:val="18"/>
          <w:szCs w:val="18"/>
        </w:rPr>
        <w:t xml:space="preserve">J Butterworth </w:t>
      </w:r>
    </w:p>
    <w:p w14:paraId="4A9CD8BF" w14:textId="77777777" w:rsidR="00B44352" w:rsidRPr="00735726" w:rsidRDefault="00B44352" w:rsidP="00B44352">
      <w:pPr>
        <w:spacing w:after="0" w:line="360" w:lineRule="auto"/>
        <w:ind w:left="3600"/>
        <w:rPr>
          <w:rFonts w:ascii="Arial" w:hAnsi="Arial" w:cs="Arial"/>
          <w:sz w:val="18"/>
          <w:szCs w:val="18"/>
        </w:rPr>
      </w:pPr>
      <w:r w:rsidRPr="00735726">
        <w:rPr>
          <w:rFonts w:ascii="Arial" w:hAnsi="Arial" w:cs="Arial"/>
          <w:sz w:val="18"/>
          <w:szCs w:val="18"/>
        </w:rPr>
        <w:t>L Woodhouse</w:t>
      </w:r>
    </w:p>
    <w:p w14:paraId="7E33F2DF" w14:textId="77777777" w:rsidR="00B44352" w:rsidRPr="00735726" w:rsidRDefault="00B44352" w:rsidP="00B44352">
      <w:pPr>
        <w:spacing w:after="0" w:line="360" w:lineRule="auto"/>
        <w:ind w:left="3600"/>
        <w:rPr>
          <w:rFonts w:ascii="Arial" w:hAnsi="Arial" w:cs="Arial"/>
          <w:sz w:val="18"/>
          <w:szCs w:val="18"/>
        </w:rPr>
      </w:pPr>
      <w:r w:rsidRPr="00735726">
        <w:rPr>
          <w:rFonts w:ascii="Arial" w:hAnsi="Arial" w:cs="Arial"/>
          <w:sz w:val="18"/>
          <w:szCs w:val="18"/>
        </w:rPr>
        <w:t xml:space="preserve">A </w:t>
      </w:r>
      <w:proofErr w:type="spellStart"/>
      <w:r w:rsidRPr="00735726">
        <w:rPr>
          <w:rFonts w:ascii="Arial" w:hAnsi="Arial" w:cs="Arial"/>
          <w:sz w:val="18"/>
          <w:szCs w:val="18"/>
        </w:rPr>
        <w:t>Blance</w:t>
      </w:r>
      <w:proofErr w:type="spellEnd"/>
      <w:r w:rsidRPr="00735726">
        <w:rPr>
          <w:rFonts w:ascii="Arial" w:hAnsi="Arial" w:cs="Arial"/>
          <w:sz w:val="18"/>
          <w:szCs w:val="18"/>
        </w:rPr>
        <w:br/>
      </w:r>
    </w:p>
    <w:p w14:paraId="29F94CE6" w14:textId="77777777" w:rsidR="00B44352" w:rsidRPr="00735726" w:rsidRDefault="00B44352" w:rsidP="00B44352">
      <w:pPr>
        <w:spacing w:line="360" w:lineRule="auto"/>
        <w:ind w:left="3600" w:hanging="3600"/>
        <w:rPr>
          <w:rFonts w:ascii="Arial" w:hAnsi="Arial" w:cs="Arial"/>
          <w:sz w:val="18"/>
          <w:szCs w:val="18"/>
        </w:rPr>
      </w:pPr>
      <w:r w:rsidRPr="00735726">
        <w:rPr>
          <w:rFonts w:ascii="Arial" w:eastAsia="Times New Roman" w:hAnsi="Arial" w:cs="Arial"/>
          <w:b/>
          <w:bCs/>
          <w:caps/>
          <w:color w:val="000000"/>
          <w:sz w:val="18"/>
          <w:szCs w:val="18"/>
        </w:rPr>
        <w:t>Company secretaries</w:t>
      </w:r>
      <w:r w:rsidRPr="00735726">
        <w:rPr>
          <w:rFonts w:ascii="Arial" w:hAnsi="Arial" w:cs="Arial"/>
          <w:b/>
          <w:sz w:val="18"/>
          <w:szCs w:val="18"/>
        </w:rPr>
        <w:t xml:space="preserve"> </w:t>
      </w:r>
      <w:r w:rsidRPr="00735726">
        <w:rPr>
          <w:rFonts w:ascii="Arial" w:hAnsi="Arial" w:cs="Arial"/>
          <w:b/>
          <w:sz w:val="18"/>
          <w:szCs w:val="18"/>
        </w:rPr>
        <w:tab/>
      </w:r>
      <w:r w:rsidRPr="00735726">
        <w:rPr>
          <w:rFonts w:ascii="Arial" w:hAnsi="Arial" w:cs="Arial"/>
          <w:sz w:val="18"/>
          <w:szCs w:val="18"/>
        </w:rPr>
        <w:t>A Garard</w:t>
      </w:r>
    </w:p>
    <w:p w14:paraId="5C07DF02" w14:textId="77777777" w:rsidR="00B44352" w:rsidRPr="00735726" w:rsidRDefault="00B44352" w:rsidP="00B44352">
      <w:pPr>
        <w:spacing w:line="360" w:lineRule="auto"/>
        <w:ind w:left="3600" w:hanging="3600"/>
        <w:rPr>
          <w:rFonts w:ascii="Arial" w:hAnsi="Arial" w:cs="Arial"/>
          <w:b/>
          <w:sz w:val="18"/>
          <w:szCs w:val="18"/>
        </w:rPr>
      </w:pPr>
      <w:r w:rsidRPr="00735726">
        <w:rPr>
          <w:rFonts w:ascii="Arial" w:eastAsia="Times New Roman" w:hAnsi="Arial" w:cs="Arial"/>
          <w:b/>
          <w:bCs/>
          <w:caps/>
          <w:color w:val="000000"/>
          <w:sz w:val="18"/>
          <w:szCs w:val="18"/>
        </w:rPr>
        <w:t>Registered office</w:t>
      </w:r>
      <w:r w:rsidRPr="00735726">
        <w:rPr>
          <w:rFonts w:ascii="Arial" w:hAnsi="Arial" w:cs="Arial"/>
          <w:b/>
          <w:sz w:val="18"/>
          <w:szCs w:val="18"/>
        </w:rPr>
        <w:t xml:space="preserve"> </w:t>
      </w:r>
      <w:r w:rsidRPr="00735726">
        <w:rPr>
          <w:rFonts w:ascii="Arial" w:hAnsi="Arial" w:cs="Arial"/>
          <w:b/>
          <w:sz w:val="18"/>
          <w:szCs w:val="18"/>
        </w:rPr>
        <w:tab/>
      </w:r>
      <w:r w:rsidRPr="00735726">
        <w:rPr>
          <w:rFonts w:ascii="Arial" w:hAnsi="Arial" w:cs="Arial"/>
          <w:sz w:val="18"/>
          <w:szCs w:val="18"/>
        </w:rPr>
        <w:t>Peninsula House</w:t>
      </w:r>
      <w:r w:rsidRPr="00735726">
        <w:rPr>
          <w:rFonts w:ascii="Arial" w:hAnsi="Arial" w:cs="Arial"/>
          <w:sz w:val="18"/>
          <w:szCs w:val="18"/>
        </w:rPr>
        <w:br/>
        <w:t>Rydon Lane</w:t>
      </w:r>
      <w:r w:rsidRPr="00735726">
        <w:rPr>
          <w:rFonts w:ascii="Arial" w:hAnsi="Arial" w:cs="Arial"/>
          <w:sz w:val="18"/>
          <w:szCs w:val="18"/>
        </w:rPr>
        <w:br/>
        <w:t>Exeter</w:t>
      </w:r>
      <w:r w:rsidRPr="00735726">
        <w:rPr>
          <w:rFonts w:ascii="Arial" w:hAnsi="Arial" w:cs="Arial"/>
          <w:sz w:val="18"/>
          <w:szCs w:val="18"/>
        </w:rPr>
        <w:br/>
        <w:t>Devon</w:t>
      </w:r>
      <w:r w:rsidRPr="00735726">
        <w:rPr>
          <w:rFonts w:ascii="Arial" w:hAnsi="Arial" w:cs="Arial"/>
          <w:sz w:val="18"/>
          <w:szCs w:val="18"/>
        </w:rPr>
        <w:br/>
        <w:t>EX2 7HR</w:t>
      </w:r>
    </w:p>
    <w:p w14:paraId="35032632" w14:textId="06823D77" w:rsidR="00B44352" w:rsidRPr="00735726" w:rsidRDefault="00B44352" w:rsidP="00B44352">
      <w:pPr>
        <w:spacing w:line="360" w:lineRule="auto"/>
        <w:ind w:left="3600" w:hanging="3600"/>
        <w:rPr>
          <w:rFonts w:ascii="Arial" w:hAnsi="Arial" w:cs="Arial"/>
          <w:sz w:val="18"/>
          <w:szCs w:val="18"/>
        </w:rPr>
      </w:pPr>
      <w:r w:rsidRPr="00735726">
        <w:rPr>
          <w:rFonts w:ascii="Arial" w:eastAsia="Times New Roman" w:hAnsi="Arial" w:cs="Arial"/>
          <w:b/>
          <w:bCs/>
          <w:caps/>
          <w:color w:val="000000"/>
          <w:sz w:val="18"/>
          <w:szCs w:val="18"/>
        </w:rPr>
        <w:t>Independent auditor</w:t>
      </w:r>
      <w:r w:rsidR="006B1746" w:rsidRPr="00735726">
        <w:rPr>
          <w:rFonts w:ascii="Arial" w:eastAsia="Times New Roman" w:hAnsi="Arial" w:cs="Arial"/>
          <w:b/>
          <w:bCs/>
          <w:caps/>
          <w:color w:val="000000"/>
          <w:sz w:val="18"/>
          <w:szCs w:val="18"/>
        </w:rPr>
        <w:t>S</w:t>
      </w:r>
      <w:r w:rsidRPr="00735726">
        <w:rPr>
          <w:rFonts w:ascii="Arial" w:hAnsi="Arial" w:cs="Arial"/>
          <w:b/>
          <w:sz w:val="18"/>
          <w:szCs w:val="18"/>
        </w:rPr>
        <w:t xml:space="preserve"> </w:t>
      </w:r>
      <w:r w:rsidRPr="00735726">
        <w:rPr>
          <w:rFonts w:ascii="Arial" w:hAnsi="Arial" w:cs="Arial"/>
          <w:b/>
          <w:sz w:val="18"/>
          <w:szCs w:val="18"/>
        </w:rPr>
        <w:tab/>
      </w:r>
      <w:r w:rsidRPr="00735726">
        <w:rPr>
          <w:rFonts w:ascii="Arial" w:hAnsi="Arial" w:cs="Arial"/>
          <w:sz w:val="18"/>
          <w:szCs w:val="18"/>
        </w:rPr>
        <w:t>PricewaterhouseCoopers LLP</w:t>
      </w:r>
      <w:r w:rsidRPr="00735726">
        <w:rPr>
          <w:rFonts w:ascii="Arial" w:hAnsi="Arial" w:cs="Arial"/>
          <w:sz w:val="18"/>
          <w:szCs w:val="18"/>
        </w:rPr>
        <w:br/>
        <w:t>2 Glass Wharf</w:t>
      </w:r>
      <w:r w:rsidRPr="00735726">
        <w:rPr>
          <w:rFonts w:ascii="Arial" w:hAnsi="Arial" w:cs="Arial"/>
          <w:sz w:val="18"/>
          <w:szCs w:val="18"/>
        </w:rPr>
        <w:br/>
        <w:t>Bristol</w:t>
      </w:r>
      <w:r w:rsidRPr="00735726">
        <w:rPr>
          <w:rFonts w:ascii="Arial" w:hAnsi="Arial" w:cs="Arial"/>
          <w:sz w:val="18"/>
          <w:szCs w:val="18"/>
        </w:rPr>
        <w:br/>
        <w:t>BS2 0FR</w:t>
      </w:r>
      <w:r w:rsidRPr="00735726">
        <w:rPr>
          <w:rFonts w:ascii="Arial" w:hAnsi="Arial" w:cs="Arial"/>
          <w:sz w:val="18"/>
          <w:szCs w:val="18"/>
        </w:rPr>
        <w:br/>
      </w:r>
    </w:p>
    <w:p w14:paraId="54DD172B" w14:textId="77777777" w:rsidR="00B44352" w:rsidRPr="00735726" w:rsidRDefault="00B44352" w:rsidP="00B44352">
      <w:pPr>
        <w:spacing w:line="360" w:lineRule="auto"/>
        <w:rPr>
          <w:rFonts w:ascii="Arial" w:hAnsi="Arial" w:cs="Arial"/>
          <w:b/>
          <w:sz w:val="18"/>
          <w:szCs w:val="18"/>
        </w:rPr>
      </w:pPr>
      <w:r w:rsidRPr="00735726">
        <w:rPr>
          <w:rFonts w:ascii="Arial" w:eastAsia="Times New Roman" w:hAnsi="Arial" w:cs="Arial"/>
          <w:b/>
          <w:bCs/>
          <w:caps/>
          <w:color w:val="000000"/>
          <w:sz w:val="18"/>
          <w:szCs w:val="18"/>
        </w:rPr>
        <w:t>Company’s registered number</w:t>
      </w:r>
      <w:r w:rsidRPr="00735726">
        <w:rPr>
          <w:rFonts w:ascii="Arial" w:hAnsi="Arial" w:cs="Arial"/>
          <w:b/>
          <w:sz w:val="18"/>
          <w:szCs w:val="18"/>
        </w:rPr>
        <w:t xml:space="preserve"> </w:t>
      </w:r>
      <w:r w:rsidRPr="00735726">
        <w:rPr>
          <w:rFonts w:ascii="Arial" w:hAnsi="Arial" w:cs="Arial"/>
          <w:b/>
          <w:sz w:val="18"/>
          <w:szCs w:val="18"/>
        </w:rPr>
        <w:tab/>
      </w:r>
      <w:r w:rsidRPr="00735726">
        <w:rPr>
          <w:rFonts w:ascii="Arial" w:hAnsi="Arial" w:cs="Arial"/>
          <w:sz w:val="18"/>
          <w:szCs w:val="18"/>
        </w:rPr>
        <w:t>02366665</w:t>
      </w:r>
    </w:p>
    <w:p w14:paraId="40CE9FA4" w14:textId="77777777" w:rsidR="00B44352" w:rsidRPr="00735726" w:rsidRDefault="00B44352" w:rsidP="00B44352">
      <w:pPr>
        <w:spacing w:line="360" w:lineRule="auto"/>
        <w:ind w:left="3600" w:hanging="3600"/>
        <w:rPr>
          <w:rFonts w:ascii="Arial" w:hAnsi="Arial" w:cs="Arial"/>
          <w:sz w:val="18"/>
          <w:szCs w:val="18"/>
        </w:rPr>
      </w:pPr>
      <w:r w:rsidRPr="00735726">
        <w:rPr>
          <w:rFonts w:ascii="Arial" w:eastAsia="Times New Roman" w:hAnsi="Arial" w:cs="Arial"/>
          <w:b/>
          <w:bCs/>
          <w:caps/>
          <w:color w:val="000000"/>
          <w:sz w:val="18"/>
          <w:szCs w:val="18"/>
        </w:rPr>
        <w:t>Principal activities</w:t>
      </w:r>
      <w:r w:rsidRPr="00735726">
        <w:rPr>
          <w:rFonts w:ascii="Arial" w:hAnsi="Arial" w:cs="Arial"/>
          <w:b/>
          <w:sz w:val="18"/>
          <w:szCs w:val="18"/>
        </w:rPr>
        <w:t xml:space="preserve"> </w:t>
      </w:r>
      <w:r w:rsidRPr="00735726">
        <w:rPr>
          <w:rFonts w:ascii="Arial" w:hAnsi="Arial" w:cs="Arial"/>
          <w:b/>
          <w:sz w:val="18"/>
          <w:szCs w:val="18"/>
        </w:rPr>
        <w:tab/>
      </w:r>
      <w:r w:rsidRPr="00735726">
        <w:rPr>
          <w:rFonts w:ascii="Arial" w:hAnsi="Arial" w:cs="Arial"/>
          <w:sz w:val="18"/>
          <w:szCs w:val="18"/>
        </w:rPr>
        <w:t>The principal activities of the Company are the provision of water</w:t>
      </w:r>
      <w:r w:rsidRPr="00735726">
        <w:rPr>
          <w:rFonts w:ascii="Arial" w:hAnsi="Arial" w:cs="Arial"/>
          <w:b/>
          <w:sz w:val="18"/>
          <w:szCs w:val="18"/>
        </w:rPr>
        <w:br/>
      </w:r>
      <w:r w:rsidRPr="00735726">
        <w:rPr>
          <w:rFonts w:ascii="Arial" w:hAnsi="Arial" w:cs="Arial"/>
          <w:sz w:val="18"/>
          <w:szCs w:val="18"/>
        </w:rPr>
        <w:t xml:space="preserve">and wastewater services in Devon, Cornwall and parts of Dorset and Somerset and Dorset and water only services in parts of Dorset, Hampshire, Wiltshire and Bristol. </w:t>
      </w:r>
    </w:p>
    <w:p w14:paraId="35340A91" w14:textId="77777777" w:rsidR="00B44352" w:rsidRPr="00735726" w:rsidRDefault="00B44352" w:rsidP="004F030D">
      <w:pPr>
        <w:rPr>
          <w:rFonts w:ascii="Arial" w:hAnsi="Arial" w:cs="Arial"/>
          <w:sz w:val="32"/>
          <w:szCs w:val="32"/>
        </w:rPr>
      </w:pPr>
      <w:r w:rsidRPr="00735726">
        <w:rPr>
          <w:rFonts w:ascii="Arial" w:hAnsi="Arial" w:cs="Arial"/>
          <w:sz w:val="32"/>
          <w:szCs w:val="32"/>
        </w:rPr>
        <w:br/>
      </w:r>
    </w:p>
    <w:p w14:paraId="2989DDFB" w14:textId="38482131" w:rsidR="004F030D" w:rsidRPr="00735726" w:rsidRDefault="00B44352" w:rsidP="00277639">
      <w:pPr>
        <w:spacing w:after="160" w:line="259" w:lineRule="auto"/>
        <w:rPr>
          <w:rFonts w:ascii="Arial" w:hAnsi="Arial" w:cs="Arial"/>
          <w:sz w:val="32"/>
          <w:szCs w:val="32"/>
        </w:rPr>
      </w:pPr>
      <w:r w:rsidRPr="00735726">
        <w:rPr>
          <w:rFonts w:ascii="Arial" w:hAnsi="Arial" w:cs="Arial"/>
          <w:sz w:val="32"/>
          <w:szCs w:val="32"/>
        </w:rPr>
        <w:br w:type="page"/>
      </w:r>
      <w:r w:rsidR="004F030D" w:rsidRPr="00735726">
        <w:rPr>
          <w:rFonts w:ascii="Arial" w:hAnsi="Arial" w:cs="Arial"/>
          <w:sz w:val="32"/>
          <w:szCs w:val="32"/>
        </w:rPr>
        <w:lastRenderedPageBreak/>
        <w:t xml:space="preserve">DIRECTORS’ REPORT </w:t>
      </w:r>
    </w:p>
    <w:p w14:paraId="29159E15" w14:textId="77777777" w:rsidR="004F030D" w:rsidRPr="00735726" w:rsidRDefault="004F030D" w:rsidP="005A5668">
      <w:pPr>
        <w:pStyle w:val="Headinglevel4"/>
        <w:spacing w:line="276" w:lineRule="auto"/>
        <w:outlineLvl w:val="0"/>
      </w:pPr>
      <w:r w:rsidRPr="00735726">
        <w:t>Introduction</w:t>
      </w:r>
    </w:p>
    <w:p w14:paraId="668D5F1D" w14:textId="4374F922" w:rsidR="004F030D" w:rsidRPr="00735726" w:rsidRDefault="00D54FFD" w:rsidP="00D54FFD">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Directors present their Annual Report and </w:t>
      </w:r>
      <w:r w:rsidR="00E362AD" w:rsidRPr="00735726">
        <w:rPr>
          <w:rFonts w:ascii="Arial" w:eastAsia="Times New Roman" w:hAnsi="Arial" w:cs="DINOT-Light"/>
          <w:color w:val="000000"/>
          <w:sz w:val="18"/>
          <w:szCs w:val="18"/>
        </w:rPr>
        <w:t xml:space="preserve">financial statements </w:t>
      </w:r>
      <w:r w:rsidRPr="00735726">
        <w:rPr>
          <w:rFonts w:ascii="Arial" w:eastAsia="Times New Roman" w:hAnsi="Arial" w:cs="DINOT-Light"/>
          <w:color w:val="000000"/>
          <w:sz w:val="18"/>
          <w:szCs w:val="18"/>
        </w:rPr>
        <w:t xml:space="preserve">for the year ending 31 March 2026. The Directors’ Report comprises this report and the entire Governance section including the Chair’s Governance Statement. It has been prepared in accordance with the provisions of the Companies Act 2006 and regulations made under it. In accordance with the Financial Conduct Authority Listing Rules, the information to be included in the 2026 Annual Report and </w:t>
      </w:r>
      <w:r w:rsidR="00E362AD" w:rsidRPr="00735726">
        <w:rPr>
          <w:rFonts w:ascii="Arial" w:eastAsia="Times New Roman" w:hAnsi="Arial" w:cs="DINOT-Light"/>
          <w:color w:val="000000"/>
          <w:sz w:val="18"/>
          <w:szCs w:val="18"/>
        </w:rPr>
        <w:t>financial statements</w:t>
      </w:r>
      <w:r w:rsidRPr="00735726">
        <w:rPr>
          <w:rFonts w:ascii="Arial" w:eastAsia="Times New Roman" w:hAnsi="Arial" w:cs="DINOT-Light"/>
          <w:color w:val="000000"/>
          <w:sz w:val="18"/>
          <w:szCs w:val="18"/>
        </w:rPr>
        <w:t>, where applicable (under Listing Rule 6.6.1), is set out in this Directors’ report. Other information relevant to this report, and which is incorporated by reference, can be located as follows:</w:t>
      </w:r>
    </w:p>
    <w:p w14:paraId="399DF867" w14:textId="77777777" w:rsidR="00D54FFD" w:rsidRPr="009A2CAE" w:rsidRDefault="00D54FFD" w:rsidP="00D54FFD">
      <w:pPr>
        <w:autoSpaceDE w:val="0"/>
        <w:autoSpaceDN w:val="0"/>
        <w:adjustRightInd w:val="0"/>
        <w:spacing w:after="0"/>
        <w:rPr>
          <w:rFonts w:ascii="Arial" w:eastAsia="Times New Roman" w:hAnsi="Arial" w:cs="DINOT-Light"/>
          <w:color w:val="000000"/>
          <w:sz w:val="18"/>
          <w:szCs w:val="18"/>
        </w:rPr>
      </w:pPr>
    </w:p>
    <w:tbl>
      <w:tblPr>
        <w:tblStyle w:val="TableGrid"/>
        <w:tblW w:w="0" w:type="auto"/>
        <w:tblLook w:val="04A0" w:firstRow="1" w:lastRow="0" w:firstColumn="1" w:lastColumn="0" w:noHBand="0" w:noVBand="1"/>
      </w:tblPr>
      <w:tblGrid>
        <w:gridCol w:w="5949"/>
        <w:gridCol w:w="3067"/>
      </w:tblGrid>
      <w:tr w:rsidR="004F030D" w:rsidRPr="00735726" w14:paraId="4CA2BDF1" w14:textId="77777777" w:rsidTr="00881565">
        <w:tc>
          <w:tcPr>
            <w:tcW w:w="5949" w:type="dxa"/>
            <w:shd w:val="clear" w:color="auto" w:fill="002060"/>
          </w:tcPr>
          <w:p w14:paraId="5886BFDD" w14:textId="77777777" w:rsidR="004F030D" w:rsidRPr="00735726" w:rsidRDefault="004F030D" w:rsidP="00881565">
            <w:pPr>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Information</w:t>
            </w:r>
          </w:p>
        </w:tc>
        <w:tc>
          <w:tcPr>
            <w:tcW w:w="3067" w:type="dxa"/>
            <w:shd w:val="clear" w:color="auto" w:fill="002060"/>
          </w:tcPr>
          <w:p w14:paraId="447B6371" w14:textId="77777777" w:rsidR="004F030D" w:rsidRPr="00735726" w:rsidRDefault="004F030D" w:rsidP="00881565">
            <w:pPr>
              <w:rPr>
                <w:rFonts w:ascii="Arial" w:hAnsi="Arial" w:cs="DINOT-Light"/>
                <w:b/>
                <w:bCs/>
                <w:color w:val="FFFFFF" w:themeColor="background1"/>
                <w:sz w:val="18"/>
                <w:szCs w:val="18"/>
              </w:rPr>
            </w:pPr>
            <w:r w:rsidRPr="00735726">
              <w:rPr>
                <w:rFonts w:ascii="Arial" w:hAnsi="Arial" w:cs="DINOT-Light"/>
                <w:b/>
                <w:bCs/>
                <w:color w:val="FFFFFF" w:themeColor="background1"/>
                <w:sz w:val="18"/>
                <w:szCs w:val="18"/>
              </w:rPr>
              <w:t>Page number</w:t>
            </w:r>
          </w:p>
        </w:tc>
      </w:tr>
      <w:tr w:rsidR="004F030D" w:rsidRPr="00735726" w14:paraId="7E70F5C7" w14:textId="77777777" w:rsidTr="00881565">
        <w:tc>
          <w:tcPr>
            <w:tcW w:w="5949" w:type="dxa"/>
          </w:tcPr>
          <w:p w14:paraId="1A5DA2DD" w14:textId="77777777" w:rsidR="004F030D" w:rsidRPr="00735726" w:rsidRDefault="004F030D" w:rsidP="00881565">
            <w:pPr>
              <w:autoSpaceDE w:val="0"/>
              <w:autoSpaceDN w:val="0"/>
              <w:adjustRightInd w:val="0"/>
              <w:spacing w:after="0"/>
              <w:rPr>
                <w:rFonts w:ascii="Arial" w:hAnsi="Arial" w:cs="DINOT-Light"/>
                <w:color w:val="000000"/>
                <w:sz w:val="18"/>
                <w:szCs w:val="18"/>
              </w:rPr>
            </w:pPr>
            <w:proofErr w:type="gramStart"/>
            <w:r w:rsidRPr="00735726">
              <w:rPr>
                <w:rFonts w:ascii="Arial" w:hAnsi="Arial" w:cs="DINOT-Light"/>
                <w:color w:val="000000"/>
                <w:sz w:val="18"/>
                <w:szCs w:val="18"/>
              </w:rPr>
              <w:t>Particulars of</w:t>
            </w:r>
            <w:proofErr w:type="gramEnd"/>
            <w:r w:rsidRPr="00735726">
              <w:rPr>
                <w:rFonts w:ascii="Arial" w:hAnsi="Arial" w:cs="DINOT-Light"/>
                <w:color w:val="000000"/>
                <w:sz w:val="18"/>
                <w:szCs w:val="18"/>
              </w:rPr>
              <w:t xml:space="preserve"> important events affecting the Company and/or its subsidiaries which have occurred since the year end</w:t>
            </w:r>
          </w:p>
        </w:tc>
        <w:tc>
          <w:tcPr>
            <w:tcW w:w="3067" w:type="dxa"/>
          </w:tcPr>
          <w:p w14:paraId="153DC9BC" w14:textId="66D3D46B" w:rsidR="004F030D" w:rsidRPr="009A2CAE" w:rsidRDefault="00C52378" w:rsidP="00881565">
            <w:pPr>
              <w:rPr>
                <w:rFonts w:ascii="Arial" w:hAnsi="Arial" w:cs="DINOT-Light"/>
                <w:color w:val="000000"/>
                <w:sz w:val="18"/>
                <w:szCs w:val="18"/>
              </w:rPr>
            </w:pPr>
            <w:r w:rsidRPr="009A2CAE">
              <w:rPr>
                <w:rFonts w:ascii="Arial" w:hAnsi="Arial" w:cs="DINOT-Light"/>
                <w:color w:val="000000"/>
                <w:sz w:val="18"/>
                <w:szCs w:val="18"/>
              </w:rPr>
              <w:t>226</w:t>
            </w:r>
          </w:p>
        </w:tc>
      </w:tr>
      <w:tr w:rsidR="000F68B2" w:rsidRPr="00735726" w14:paraId="44FC615E" w14:textId="77777777" w:rsidTr="00881565">
        <w:tc>
          <w:tcPr>
            <w:tcW w:w="5949" w:type="dxa"/>
          </w:tcPr>
          <w:p w14:paraId="4E91D43E" w14:textId="77777777" w:rsidR="000F68B2" w:rsidRPr="00735726" w:rsidRDefault="000F68B2" w:rsidP="000F68B2">
            <w:pPr>
              <w:rPr>
                <w:rFonts w:ascii="Arial" w:hAnsi="Arial" w:cs="DINOT-Light"/>
                <w:color w:val="000000"/>
                <w:sz w:val="18"/>
                <w:szCs w:val="18"/>
              </w:rPr>
            </w:pPr>
            <w:r w:rsidRPr="00735726">
              <w:rPr>
                <w:rFonts w:ascii="Arial" w:hAnsi="Arial" w:cs="DINOT-Light"/>
                <w:color w:val="000000"/>
                <w:sz w:val="18"/>
                <w:szCs w:val="18"/>
              </w:rPr>
              <w:t>Likely future developments of the Company</w:t>
            </w:r>
          </w:p>
        </w:tc>
        <w:tc>
          <w:tcPr>
            <w:tcW w:w="3067" w:type="dxa"/>
          </w:tcPr>
          <w:p w14:paraId="4B883F97" w14:textId="0ECA6EF5" w:rsidR="000F68B2" w:rsidRPr="009A2CAE" w:rsidRDefault="00C52378" w:rsidP="000F68B2">
            <w:pPr>
              <w:rPr>
                <w:rFonts w:ascii="Arial" w:hAnsi="Arial" w:cs="DINOT-Light"/>
                <w:color w:val="000000"/>
                <w:sz w:val="18"/>
                <w:szCs w:val="18"/>
              </w:rPr>
            </w:pPr>
            <w:r w:rsidRPr="009A2CAE">
              <w:rPr>
                <w:rFonts w:ascii="Arial" w:hAnsi="Arial" w:cs="DINOT-Light"/>
                <w:color w:val="000000"/>
                <w:sz w:val="18"/>
                <w:szCs w:val="18"/>
              </w:rPr>
              <w:t xml:space="preserve">14 </w:t>
            </w:r>
            <w:r w:rsidR="00D54FFD" w:rsidRPr="009A2CAE">
              <w:rPr>
                <w:rFonts w:ascii="Arial" w:hAnsi="Arial" w:cs="DINOT-Light"/>
                <w:color w:val="000000"/>
                <w:sz w:val="18"/>
                <w:szCs w:val="18"/>
              </w:rPr>
              <w:t xml:space="preserve">to </w:t>
            </w:r>
            <w:r w:rsidRPr="009A2CAE">
              <w:rPr>
                <w:rFonts w:ascii="Arial" w:hAnsi="Arial" w:cs="DINOT-Light"/>
                <w:color w:val="000000"/>
                <w:sz w:val="18"/>
                <w:szCs w:val="18"/>
              </w:rPr>
              <w:t>18</w:t>
            </w:r>
          </w:p>
        </w:tc>
      </w:tr>
      <w:tr w:rsidR="000F68B2" w:rsidRPr="00735726" w14:paraId="0B9F7A04" w14:textId="77777777" w:rsidTr="00881565">
        <w:tc>
          <w:tcPr>
            <w:tcW w:w="5949" w:type="dxa"/>
          </w:tcPr>
          <w:p w14:paraId="21302100" w14:textId="77777777" w:rsidR="000F68B2" w:rsidRPr="00735726" w:rsidRDefault="000F68B2" w:rsidP="000F68B2">
            <w:pPr>
              <w:rPr>
                <w:rFonts w:ascii="Arial" w:hAnsi="Arial" w:cs="DINOT-Light"/>
                <w:color w:val="000000"/>
                <w:sz w:val="18"/>
                <w:szCs w:val="18"/>
              </w:rPr>
            </w:pPr>
            <w:r w:rsidRPr="00735726">
              <w:rPr>
                <w:rFonts w:ascii="Arial" w:hAnsi="Arial" w:cs="DINOT-Light"/>
                <w:color w:val="000000"/>
                <w:sz w:val="18"/>
                <w:szCs w:val="18"/>
              </w:rPr>
              <w:t>Risk management systems</w:t>
            </w:r>
          </w:p>
        </w:tc>
        <w:tc>
          <w:tcPr>
            <w:tcW w:w="3067" w:type="dxa"/>
          </w:tcPr>
          <w:p w14:paraId="4E6ECC46" w14:textId="767EC320" w:rsidR="000F68B2" w:rsidRPr="009A2CAE" w:rsidRDefault="00C52378" w:rsidP="000F68B2">
            <w:pPr>
              <w:rPr>
                <w:rFonts w:ascii="Arial" w:hAnsi="Arial" w:cs="DINOT-Light"/>
                <w:color w:val="000000"/>
                <w:sz w:val="18"/>
                <w:szCs w:val="18"/>
              </w:rPr>
            </w:pPr>
            <w:r w:rsidRPr="009A2CAE">
              <w:rPr>
                <w:rFonts w:ascii="Arial" w:hAnsi="Arial" w:cs="DINOT-Light"/>
                <w:color w:val="000000"/>
                <w:sz w:val="18"/>
                <w:szCs w:val="18"/>
              </w:rPr>
              <w:t xml:space="preserve">62 </w:t>
            </w:r>
            <w:r w:rsidR="00D54FFD" w:rsidRPr="009A2CAE">
              <w:rPr>
                <w:rFonts w:ascii="Arial" w:hAnsi="Arial" w:cs="DINOT-Light"/>
                <w:color w:val="000000"/>
                <w:sz w:val="18"/>
                <w:szCs w:val="18"/>
              </w:rPr>
              <w:t xml:space="preserve">to </w:t>
            </w:r>
            <w:r w:rsidRPr="009A2CAE">
              <w:rPr>
                <w:rFonts w:ascii="Arial" w:hAnsi="Arial" w:cs="DINOT-Light"/>
                <w:color w:val="000000"/>
                <w:sz w:val="18"/>
                <w:szCs w:val="18"/>
              </w:rPr>
              <w:t>74</w:t>
            </w:r>
          </w:p>
        </w:tc>
      </w:tr>
      <w:tr w:rsidR="000F68B2" w:rsidRPr="00735726" w14:paraId="090B9634" w14:textId="77777777" w:rsidTr="00881565">
        <w:tc>
          <w:tcPr>
            <w:tcW w:w="5949" w:type="dxa"/>
          </w:tcPr>
          <w:p w14:paraId="0018A41A" w14:textId="77777777" w:rsidR="000F68B2" w:rsidRPr="00735726" w:rsidRDefault="000F68B2" w:rsidP="000F68B2">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Certain employee and employee engagement matters as well as the disclosures below</w:t>
            </w:r>
          </w:p>
        </w:tc>
        <w:tc>
          <w:tcPr>
            <w:tcW w:w="3067" w:type="dxa"/>
          </w:tcPr>
          <w:p w14:paraId="4C5C3935" w14:textId="2F9A03E7" w:rsidR="000F68B2" w:rsidRPr="009A2CAE" w:rsidRDefault="00C52378" w:rsidP="000F68B2">
            <w:pPr>
              <w:rPr>
                <w:rFonts w:ascii="Arial" w:hAnsi="Arial" w:cs="DINOT-Light"/>
                <w:color w:val="000000"/>
                <w:sz w:val="18"/>
                <w:szCs w:val="18"/>
              </w:rPr>
            </w:pPr>
            <w:r w:rsidRPr="009A2CAE">
              <w:rPr>
                <w:rFonts w:ascii="Arial" w:hAnsi="Arial" w:cs="DINOT-Light"/>
                <w:color w:val="000000"/>
                <w:sz w:val="18"/>
                <w:szCs w:val="18"/>
              </w:rPr>
              <w:t xml:space="preserve">19 </w:t>
            </w:r>
            <w:r w:rsidR="00D54FFD" w:rsidRPr="009A2CAE">
              <w:rPr>
                <w:rFonts w:ascii="Arial" w:hAnsi="Arial" w:cs="DINOT-Light"/>
                <w:color w:val="000000"/>
                <w:sz w:val="18"/>
                <w:szCs w:val="18"/>
              </w:rPr>
              <w:t xml:space="preserve">to </w:t>
            </w:r>
            <w:r w:rsidRPr="009A2CAE">
              <w:rPr>
                <w:rFonts w:ascii="Arial" w:hAnsi="Arial" w:cs="DINOT-Light"/>
                <w:color w:val="000000"/>
                <w:sz w:val="18"/>
                <w:szCs w:val="18"/>
              </w:rPr>
              <w:t>25 and 28 to 31</w:t>
            </w:r>
          </w:p>
        </w:tc>
      </w:tr>
      <w:tr w:rsidR="000F68B2" w:rsidRPr="00735726" w14:paraId="28B0E263" w14:textId="77777777" w:rsidTr="00881565">
        <w:tc>
          <w:tcPr>
            <w:tcW w:w="5949" w:type="dxa"/>
          </w:tcPr>
          <w:p w14:paraId="6071852F" w14:textId="37713B33" w:rsidR="000F68B2" w:rsidRPr="00735726" w:rsidRDefault="000F68B2" w:rsidP="000F68B2">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How the Board have engaged with employees and had regard for employee interests</w:t>
            </w:r>
          </w:p>
        </w:tc>
        <w:tc>
          <w:tcPr>
            <w:tcW w:w="3067" w:type="dxa"/>
          </w:tcPr>
          <w:p w14:paraId="7E0F36A9" w14:textId="589CF57E" w:rsidR="000F68B2" w:rsidRPr="009A2CAE" w:rsidRDefault="00C52378" w:rsidP="000F68B2">
            <w:pPr>
              <w:rPr>
                <w:rFonts w:ascii="Arial" w:hAnsi="Arial" w:cs="DINOT-Light"/>
                <w:color w:val="000000"/>
                <w:sz w:val="18"/>
                <w:szCs w:val="18"/>
              </w:rPr>
            </w:pPr>
            <w:r w:rsidRPr="009A2CAE">
              <w:rPr>
                <w:rFonts w:ascii="Arial" w:hAnsi="Arial" w:cs="DINOT-Light"/>
                <w:color w:val="000000"/>
                <w:sz w:val="18"/>
                <w:szCs w:val="18"/>
              </w:rPr>
              <w:t>28 to 31 and 118</w:t>
            </w:r>
          </w:p>
        </w:tc>
      </w:tr>
      <w:tr w:rsidR="000F68B2" w:rsidRPr="00735726" w14:paraId="66412FFC" w14:textId="77777777" w:rsidTr="00881565">
        <w:tc>
          <w:tcPr>
            <w:tcW w:w="5949" w:type="dxa"/>
          </w:tcPr>
          <w:p w14:paraId="1C8DF1E1" w14:textId="3E88E05D" w:rsidR="000F68B2" w:rsidRPr="00735726" w:rsidRDefault="000F68B2" w:rsidP="000F68B2">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Business relationships/engagement with suppliers, customers and others</w:t>
            </w:r>
          </w:p>
        </w:tc>
        <w:tc>
          <w:tcPr>
            <w:tcW w:w="3067" w:type="dxa"/>
          </w:tcPr>
          <w:p w14:paraId="0C8505EE" w14:textId="6B3CDCB0" w:rsidR="000F68B2" w:rsidRPr="009A2CAE" w:rsidRDefault="00C52378" w:rsidP="000F68B2">
            <w:pPr>
              <w:rPr>
                <w:rFonts w:ascii="Arial" w:hAnsi="Arial" w:cs="DINOT-Light"/>
                <w:color w:val="000000"/>
                <w:sz w:val="18"/>
                <w:szCs w:val="18"/>
              </w:rPr>
            </w:pPr>
            <w:r w:rsidRPr="009A2CAE">
              <w:rPr>
                <w:rFonts w:ascii="Arial" w:hAnsi="Arial" w:cs="DINOT-Light"/>
                <w:color w:val="000000"/>
                <w:sz w:val="18"/>
                <w:szCs w:val="18"/>
              </w:rPr>
              <w:t xml:space="preserve">26 </w:t>
            </w:r>
            <w:r w:rsidR="00D54FFD" w:rsidRPr="009A2CAE">
              <w:rPr>
                <w:rFonts w:ascii="Arial" w:hAnsi="Arial" w:cs="DINOT-Light"/>
                <w:color w:val="000000"/>
                <w:sz w:val="18"/>
                <w:szCs w:val="18"/>
              </w:rPr>
              <w:t xml:space="preserve">to </w:t>
            </w:r>
            <w:r w:rsidRPr="009A2CAE">
              <w:rPr>
                <w:rFonts w:ascii="Arial" w:hAnsi="Arial" w:cs="DINOT-Light"/>
                <w:color w:val="000000"/>
                <w:sz w:val="18"/>
                <w:szCs w:val="18"/>
              </w:rPr>
              <w:t>35</w:t>
            </w:r>
          </w:p>
        </w:tc>
      </w:tr>
      <w:tr w:rsidR="000F68B2" w:rsidRPr="00735726" w14:paraId="601B0933" w14:textId="77777777" w:rsidTr="00881565">
        <w:tc>
          <w:tcPr>
            <w:tcW w:w="5949" w:type="dxa"/>
          </w:tcPr>
          <w:p w14:paraId="6DDABD0C" w14:textId="77777777" w:rsidR="000F68B2" w:rsidRPr="00735726" w:rsidRDefault="000F68B2" w:rsidP="000F68B2">
            <w:pPr>
              <w:autoSpaceDE w:val="0"/>
              <w:autoSpaceDN w:val="0"/>
              <w:adjustRightInd w:val="0"/>
              <w:spacing w:after="0"/>
              <w:rPr>
                <w:rFonts w:ascii="Arial" w:hAnsi="Arial" w:cs="DINOT-Light"/>
                <w:color w:val="000000"/>
                <w:sz w:val="18"/>
                <w:szCs w:val="18"/>
              </w:rPr>
            </w:pPr>
            <w:r w:rsidRPr="00735726">
              <w:rPr>
                <w:rFonts w:ascii="Arial" w:hAnsi="Arial" w:cs="DINOT-Light"/>
                <w:color w:val="000000"/>
                <w:sz w:val="18"/>
                <w:szCs w:val="18"/>
              </w:rPr>
              <w:t>Carbon and greenhouse gas emissions, energy consumption and energy efficiency action</w:t>
            </w:r>
          </w:p>
        </w:tc>
        <w:tc>
          <w:tcPr>
            <w:tcW w:w="3067" w:type="dxa"/>
          </w:tcPr>
          <w:p w14:paraId="7B9361C7" w14:textId="11F7FF51" w:rsidR="000F68B2" w:rsidRPr="009A2CAE" w:rsidRDefault="00EA34D5" w:rsidP="000F68B2">
            <w:pPr>
              <w:rPr>
                <w:rFonts w:ascii="Arial" w:hAnsi="Arial" w:cs="DINOT-Light"/>
                <w:color w:val="000000"/>
                <w:sz w:val="18"/>
                <w:szCs w:val="18"/>
              </w:rPr>
            </w:pPr>
            <w:r w:rsidRPr="00735726">
              <w:rPr>
                <w:rFonts w:ascii="Arial" w:hAnsi="Arial" w:cs="DINOT-Light"/>
                <w:color w:val="000000"/>
                <w:sz w:val="18"/>
                <w:szCs w:val="18"/>
              </w:rPr>
              <w:t xml:space="preserve">Pennon Group plc </w:t>
            </w:r>
            <w:r w:rsidR="00155C51" w:rsidRPr="00735726">
              <w:rPr>
                <w:rFonts w:ascii="Arial" w:hAnsi="Arial" w:cs="DINOT-Light"/>
                <w:color w:val="000000"/>
                <w:sz w:val="18"/>
                <w:szCs w:val="18"/>
              </w:rPr>
              <w:t>A</w:t>
            </w:r>
            <w:r w:rsidRPr="00735726">
              <w:rPr>
                <w:rFonts w:ascii="Arial" w:hAnsi="Arial" w:cs="DINOT-Light"/>
                <w:color w:val="000000"/>
                <w:sz w:val="18"/>
                <w:szCs w:val="18"/>
              </w:rPr>
              <w:t xml:space="preserve">nnual </w:t>
            </w:r>
            <w:r w:rsidR="00155C51" w:rsidRPr="00735726">
              <w:rPr>
                <w:rFonts w:ascii="Arial" w:hAnsi="Arial" w:cs="DINOT-Light"/>
                <w:color w:val="000000"/>
                <w:sz w:val="18"/>
                <w:szCs w:val="18"/>
              </w:rPr>
              <w:t>R</w:t>
            </w:r>
            <w:r w:rsidRPr="00735726">
              <w:rPr>
                <w:rFonts w:ascii="Arial" w:hAnsi="Arial" w:cs="DINOT-Light"/>
                <w:color w:val="000000"/>
                <w:sz w:val="18"/>
                <w:szCs w:val="18"/>
              </w:rPr>
              <w:t xml:space="preserve">eport and </w:t>
            </w:r>
            <w:r w:rsidR="00155C51" w:rsidRPr="00735726">
              <w:rPr>
                <w:rFonts w:ascii="Arial" w:hAnsi="Arial" w:cs="DINOT-Light"/>
                <w:color w:val="000000"/>
                <w:sz w:val="18"/>
                <w:szCs w:val="18"/>
              </w:rPr>
              <w:t>A</w:t>
            </w:r>
            <w:r w:rsidRPr="00735726">
              <w:rPr>
                <w:rFonts w:ascii="Arial" w:hAnsi="Arial" w:cs="DINOT-Light"/>
                <w:color w:val="000000"/>
                <w:sz w:val="18"/>
                <w:szCs w:val="18"/>
              </w:rPr>
              <w:t xml:space="preserve">ccounts pages </w:t>
            </w:r>
            <w:r w:rsidR="00C52378" w:rsidRPr="009A2CAE">
              <w:rPr>
                <w:rFonts w:ascii="Arial" w:hAnsi="Arial" w:cs="DINOT-Light"/>
                <w:color w:val="000000"/>
                <w:sz w:val="18"/>
                <w:szCs w:val="18"/>
              </w:rPr>
              <w:t xml:space="preserve">74 </w:t>
            </w:r>
            <w:r w:rsidR="00D54FFD" w:rsidRPr="009A2CAE">
              <w:rPr>
                <w:rFonts w:ascii="Arial" w:hAnsi="Arial" w:cs="DINOT-Light"/>
                <w:color w:val="000000"/>
                <w:sz w:val="18"/>
                <w:szCs w:val="18"/>
              </w:rPr>
              <w:t xml:space="preserve">to </w:t>
            </w:r>
            <w:r w:rsidR="00C52378" w:rsidRPr="009A2CAE">
              <w:rPr>
                <w:rFonts w:ascii="Arial" w:hAnsi="Arial" w:cs="DINOT-Light"/>
                <w:color w:val="000000"/>
                <w:sz w:val="18"/>
                <w:szCs w:val="18"/>
              </w:rPr>
              <w:t>82</w:t>
            </w:r>
          </w:p>
        </w:tc>
      </w:tr>
      <w:tr w:rsidR="00D54FFD" w:rsidRPr="00735726" w14:paraId="6DB8D9F0" w14:textId="77777777" w:rsidTr="00881565">
        <w:tc>
          <w:tcPr>
            <w:tcW w:w="5949" w:type="dxa"/>
          </w:tcPr>
          <w:p w14:paraId="083CD7C0" w14:textId="77777777" w:rsidR="00D54FFD" w:rsidRPr="00735726" w:rsidRDefault="00D54FFD" w:rsidP="00D54FFD">
            <w:pPr>
              <w:rPr>
                <w:rFonts w:ascii="Arial" w:hAnsi="Arial" w:cs="DINOT-Light"/>
                <w:color w:val="000000"/>
                <w:sz w:val="18"/>
                <w:szCs w:val="18"/>
              </w:rPr>
            </w:pPr>
            <w:r w:rsidRPr="00735726">
              <w:rPr>
                <w:rFonts w:ascii="Arial" w:hAnsi="Arial" w:cs="DINOT-Light"/>
                <w:color w:val="000000"/>
                <w:sz w:val="18"/>
                <w:szCs w:val="18"/>
              </w:rPr>
              <w:t>Financial risk management</w:t>
            </w:r>
          </w:p>
        </w:tc>
        <w:tc>
          <w:tcPr>
            <w:tcW w:w="3067" w:type="dxa"/>
          </w:tcPr>
          <w:p w14:paraId="212D9BA5" w14:textId="17A87C72" w:rsidR="00D54FFD" w:rsidRPr="009A2CAE" w:rsidRDefault="00C52378" w:rsidP="00D54FFD">
            <w:pPr>
              <w:rPr>
                <w:rFonts w:ascii="Arial" w:hAnsi="Arial" w:cs="DINOT-Light"/>
                <w:color w:val="000000"/>
                <w:sz w:val="18"/>
                <w:szCs w:val="18"/>
              </w:rPr>
            </w:pPr>
            <w:r w:rsidRPr="009A2CAE">
              <w:rPr>
                <w:rFonts w:ascii="Arial" w:hAnsi="Arial" w:cs="DINOT-Light"/>
                <w:color w:val="000000"/>
                <w:sz w:val="18"/>
                <w:szCs w:val="18"/>
              </w:rPr>
              <w:t xml:space="preserve">191 </w:t>
            </w:r>
            <w:r w:rsidR="00D54FFD" w:rsidRPr="009A2CAE">
              <w:rPr>
                <w:rFonts w:ascii="Arial" w:hAnsi="Arial" w:cs="DINOT-Light"/>
                <w:color w:val="000000"/>
                <w:sz w:val="18"/>
                <w:szCs w:val="18"/>
              </w:rPr>
              <w:t xml:space="preserve">to </w:t>
            </w:r>
            <w:r w:rsidRPr="009A2CAE">
              <w:rPr>
                <w:rFonts w:ascii="Arial" w:hAnsi="Arial" w:cs="DINOT-Light"/>
                <w:color w:val="000000"/>
                <w:sz w:val="18"/>
                <w:szCs w:val="18"/>
              </w:rPr>
              <w:t>194</w:t>
            </w:r>
          </w:p>
        </w:tc>
      </w:tr>
      <w:tr w:rsidR="00D54FFD" w:rsidRPr="00735726" w14:paraId="31A0F195" w14:textId="77777777" w:rsidTr="00881565">
        <w:tc>
          <w:tcPr>
            <w:tcW w:w="5949" w:type="dxa"/>
          </w:tcPr>
          <w:p w14:paraId="678DB396" w14:textId="77777777" w:rsidR="00D54FFD" w:rsidRPr="00735726" w:rsidRDefault="00D54FFD" w:rsidP="00D54FFD">
            <w:pPr>
              <w:rPr>
                <w:rFonts w:ascii="Arial" w:hAnsi="Arial" w:cs="DINOT-Light"/>
                <w:color w:val="000000"/>
                <w:sz w:val="18"/>
                <w:szCs w:val="18"/>
              </w:rPr>
            </w:pPr>
            <w:r w:rsidRPr="00735726">
              <w:rPr>
                <w:rFonts w:ascii="Arial" w:hAnsi="Arial" w:cs="DINOT-Light"/>
                <w:color w:val="000000"/>
                <w:sz w:val="18"/>
                <w:szCs w:val="18"/>
              </w:rPr>
              <w:t>Financial instruments</w:t>
            </w:r>
          </w:p>
        </w:tc>
        <w:tc>
          <w:tcPr>
            <w:tcW w:w="3067" w:type="dxa"/>
          </w:tcPr>
          <w:p w14:paraId="422F74CF" w14:textId="5CCDB1C1" w:rsidR="00D54FFD" w:rsidRPr="009A2CAE" w:rsidRDefault="00C52378" w:rsidP="00D54FFD">
            <w:pPr>
              <w:rPr>
                <w:rFonts w:ascii="Arial" w:hAnsi="Arial" w:cs="DINOT-Light"/>
                <w:color w:val="000000"/>
                <w:sz w:val="18"/>
                <w:szCs w:val="18"/>
              </w:rPr>
            </w:pPr>
            <w:r w:rsidRPr="009A2CAE">
              <w:rPr>
                <w:rFonts w:ascii="Arial" w:hAnsi="Arial" w:cs="DINOT-Light"/>
                <w:color w:val="000000"/>
                <w:sz w:val="18"/>
                <w:szCs w:val="18"/>
              </w:rPr>
              <w:t xml:space="preserve">188 </w:t>
            </w:r>
            <w:r w:rsidR="00D54FFD" w:rsidRPr="009A2CAE">
              <w:rPr>
                <w:rFonts w:ascii="Arial" w:hAnsi="Arial" w:cs="DINOT-Light"/>
                <w:color w:val="000000"/>
                <w:sz w:val="18"/>
                <w:szCs w:val="18"/>
              </w:rPr>
              <w:t xml:space="preserve">to </w:t>
            </w:r>
            <w:r w:rsidRPr="009A2CAE">
              <w:rPr>
                <w:rFonts w:ascii="Arial" w:hAnsi="Arial" w:cs="DINOT-Light"/>
                <w:color w:val="000000"/>
                <w:sz w:val="18"/>
                <w:szCs w:val="18"/>
              </w:rPr>
              <w:t>189 and 209 to 211</w:t>
            </w:r>
          </w:p>
        </w:tc>
      </w:tr>
    </w:tbl>
    <w:p w14:paraId="44DDF133" w14:textId="790D3B2A" w:rsidR="004F030D" w:rsidRPr="009A2CAE" w:rsidRDefault="004F030D" w:rsidP="005A5668">
      <w:pPr>
        <w:spacing w:before="12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This Directors’ report (including pages </w:t>
      </w:r>
      <w:r w:rsidR="00C52378" w:rsidRPr="009A2CAE">
        <w:rPr>
          <w:rFonts w:ascii="Arial" w:hAnsi="Arial" w:cs="DINOT-Light"/>
          <w:color w:val="000000"/>
          <w:sz w:val="18"/>
          <w:szCs w:val="18"/>
        </w:rPr>
        <w:t xml:space="preserve">96 </w:t>
      </w:r>
      <w:r w:rsidR="00D54FFD" w:rsidRPr="009A2CAE">
        <w:rPr>
          <w:rFonts w:ascii="Arial" w:hAnsi="Arial" w:cs="DINOT-Light"/>
          <w:color w:val="000000"/>
          <w:sz w:val="18"/>
          <w:szCs w:val="18"/>
        </w:rPr>
        <w:t xml:space="preserve">to </w:t>
      </w:r>
      <w:r w:rsidR="00C52378" w:rsidRPr="009A2CAE">
        <w:rPr>
          <w:rFonts w:ascii="Arial" w:hAnsi="Arial" w:cs="DINOT-Light"/>
          <w:color w:val="000000"/>
          <w:sz w:val="18"/>
          <w:szCs w:val="18"/>
        </w:rPr>
        <w:t>167</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 xml:space="preserve">which form part of this report) fulfils the requirements of the corporate governance statement for the purposes of the FCA’s Disclosure Guidance and Transparency Rules. </w:t>
      </w:r>
    </w:p>
    <w:p w14:paraId="45587D54" w14:textId="66246803" w:rsidR="00DB7F7B" w:rsidRPr="00735726" w:rsidRDefault="004F030D" w:rsidP="000C4DB8">
      <w:pP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Cautionary statement</w:t>
      </w:r>
      <w:r w:rsidR="00057D91" w:rsidRPr="00735726">
        <w:rPr>
          <w:rFonts w:ascii="Arial" w:eastAsia="Times New Roman" w:hAnsi="Arial" w:cs="DINOT-Light"/>
          <w:color w:val="000000"/>
          <w:sz w:val="18"/>
          <w:szCs w:val="18"/>
        </w:rPr>
        <w:br/>
      </w:r>
      <w:r w:rsidR="00DB7F7B" w:rsidRPr="00735726">
        <w:rPr>
          <w:rFonts w:ascii="Arial" w:eastAsia="Times New Roman" w:hAnsi="Arial" w:cs="DINOT-Light"/>
          <w:color w:val="000000"/>
          <w:sz w:val="18"/>
          <w:szCs w:val="18"/>
        </w:rPr>
        <w:t xml:space="preserve">This Annual Report has been prepared for, and only for the members of the Company, as a body, and no other persons. The Company, its </w:t>
      </w:r>
      <w:proofErr w:type="gramStart"/>
      <w:r w:rsidR="00DB7F7B" w:rsidRPr="00735726">
        <w:rPr>
          <w:rFonts w:ascii="Arial" w:eastAsia="Times New Roman" w:hAnsi="Arial" w:cs="DINOT-Light"/>
          <w:color w:val="000000"/>
          <w:sz w:val="18"/>
          <w:szCs w:val="18"/>
        </w:rPr>
        <w:t>Directors</w:t>
      </w:r>
      <w:proofErr w:type="gramEnd"/>
      <w:r w:rsidR="00DB7F7B" w:rsidRPr="00735726">
        <w:rPr>
          <w:rFonts w:ascii="Arial" w:eastAsia="Times New Roman" w:hAnsi="Arial" w:cs="DINOT-Light"/>
          <w:color w:val="000000"/>
          <w:sz w:val="18"/>
          <w:szCs w:val="18"/>
        </w:rPr>
        <w:t>, employees, agents or advisers do not accept or assume responsibility to any other person to whom this document is shown or into whose hands it may come and any such responsibility or liability is expressly disclaimed. By their nature, the statements concerning the risks and uncertainties facing the Company in this Annual Report involve uncertainty since future events and circumstances can cause results and developments to differ materially from those anticipated. The forward-looking statements reflect knowledge and information available at the date of preparation of this Annual Report and the Company undertakes no obligation to update these forward-looking statements. Nothing in this Annual Report should be construed as a profit forecast.</w:t>
      </w:r>
    </w:p>
    <w:p w14:paraId="43603810" w14:textId="3274C93A" w:rsidR="004F030D" w:rsidRPr="00735726" w:rsidRDefault="004F030D" w:rsidP="00DB7F7B">
      <w:pPr>
        <w:spacing w:after="16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CORPORATE</w:t>
      </w:r>
    </w:p>
    <w:p w14:paraId="16085495" w14:textId="036588C2" w:rsidR="000F68B2" w:rsidRPr="009A2CAE" w:rsidRDefault="004F030D" w:rsidP="005A5668">
      <w:r w:rsidRPr="00735726">
        <w:rPr>
          <w:rFonts w:ascii="Arial" w:eastAsia="Times New Roman" w:hAnsi="Arial" w:cs="DINOT-Light"/>
          <w:i/>
          <w:iCs/>
          <w:color w:val="000000"/>
          <w:sz w:val="18"/>
          <w:szCs w:val="18"/>
        </w:rPr>
        <w:t>AUDITORS</w:t>
      </w:r>
      <w:r w:rsidRPr="00735726">
        <w:rPr>
          <w:rFonts w:ascii="Arial" w:eastAsia="Times New Roman" w:hAnsi="Arial" w:cs="DINOT-Light"/>
          <w:i/>
          <w:iCs/>
          <w:color w:val="000000"/>
          <w:sz w:val="18"/>
          <w:szCs w:val="18"/>
        </w:rPr>
        <w:br/>
      </w:r>
      <w:r w:rsidR="000F68B2" w:rsidRPr="00735726">
        <w:rPr>
          <w:rFonts w:ascii="Arial" w:eastAsia="Times New Roman" w:hAnsi="Arial" w:cs="DINOT-Light"/>
          <w:color w:val="000000"/>
          <w:sz w:val="18"/>
          <w:szCs w:val="18"/>
        </w:rPr>
        <w:t>The External Auditor</w:t>
      </w:r>
      <w:r w:rsidR="006B1746" w:rsidRPr="00735726">
        <w:rPr>
          <w:rFonts w:ascii="Arial" w:eastAsia="Times New Roman" w:hAnsi="Arial" w:cs="DINOT-Light"/>
          <w:color w:val="000000"/>
          <w:sz w:val="18"/>
          <w:szCs w:val="18"/>
        </w:rPr>
        <w:t>s</w:t>
      </w:r>
      <w:r w:rsidR="000F68B2" w:rsidRPr="00735726">
        <w:rPr>
          <w:rFonts w:ascii="Arial" w:eastAsia="Times New Roman" w:hAnsi="Arial" w:cs="DINOT-Light"/>
          <w:color w:val="000000"/>
          <w:sz w:val="18"/>
          <w:szCs w:val="18"/>
        </w:rPr>
        <w:t xml:space="preserve"> for the </w:t>
      </w:r>
      <w:r w:rsidR="00DB7F7B" w:rsidRPr="00735726">
        <w:rPr>
          <w:rFonts w:ascii="Arial" w:eastAsia="Times New Roman" w:hAnsi="Arial" w:cs="DINOT-Light"/>
          <w:color w:val="000000"/>
          <w:sz w:val="18"/>
          <w:szCs w:val="18"/>
        </w:rPr>
        <w:t>2025/26</w:t>
      </w:r>
      <w:r w:rsidR="000F68B2" w:rsidRPr="00735726">
        <w:rPr>
          <w:rFonts w:ascii="Arial" w:eastAsia="Times New Roman" w:hAnsi="Arial" w:cs="DINOT-Light"/>
          <w:color w:val="000000"/>
          <w:sz w:val="18"/>
          <w:szCs w:val="18"/>
        </w:rPr>
        <w:t xml:space="preserve"> financial year was PricewaterhouseCoopers LLP. The Independent Auditors’ Report starting on page </w:t>
      </w:r>
      <w:r w:rsidR="00C52378" w:rsidRPr="009A2CAE">
        <w:rPr>
          <w:rFonts w:ascii="Arial" w:eastAsia="Times New Roman" w:hAnsi="Arial" w:cs="DINOT-Light"/>
          <w:color w:val="000000"/>
          <w:sz w:val="18"/>
          <w:szCs w:val="18"/>
        </w:rPr>
        <w:t>168</w:t>
      </w:r>
      <w:r w:rsidR="000F68B2" w:rsidRPr="009A2CAE">
        <w:rPr>
          <w:rFonts w:ascii="Arial" w:eastAsia="Times New Roman" w:hAnsi="Arial" w:cs="DINOT-Light"/>
          <w:color w:val="000000"/>
          <w:sz w:val="18"/>
          <w:szCs w:val="18"/>
        </w:rPr>
        <w:t xml:space="preserve"> </w:t>
      </w:r>
      <w:r w:rsidR="000F68B2" w:rsidRPr="00735726">
        <w:rPr>
          <w:rFonts w:ascii="Arial" w:eastAsia="Times New Roman" w:hAnsi="Arial" w:cs="DINOT-Light"/>
          <w:color w:val="000000"/>
          <w:sz w:val="18"/>
          <w:szCs w:val="18"/>
        </w:rPr>
        <w:t xml:space="preserve">sets out the information contained </w:t>
      </w:r>
      <w:r w:rsidR="00E8456C">
        <w:rPr>
          <w:rFonts w:ascii="Arial" w:eastAsia="Times New Roman" w:hAnsi="Arial" w:cs="DINOT-Light"/>
          <w:color w:val="000000"/>
          <w:sz w:val="18"/>
          <w:szCs w:val="18"/>
        </w:rPr>
        <w:t>i</w:t>
      </w:r>
      <w:r w:rsidR="000F68B2" w:rsidRPr="00735726">
        <w:rPr>
          <w:rFonts w:ascii="Arial" w:eastAsia="Times New Roman" w:hAnsi="Arial" w:cs="DINOT-Light"/>
          <w:color w:val="000000"/>
          <w:sz w:val="18"/>
          <w:szCs w:val="18"/>
        </w:rPr>
        <w:t>n the Annual Report which has been audited. The Audit Committee considered the performance and audit fees of the External Auditors and the level of non-audit work undertaken.</w:t>
      </w:r>
      <w:r w:rsidR="000F68B2" w:rsidRPr="00735726">
        <w:t xml:space="preserve"> </w:t>
      </w:r>
    </w:p>
    <w:p w14:paraId="15FBB215" w14:textId="02524D8A" w:rsidR="000F68B2" w:rsidRPr="00735726" w:rsidRDefault="004F030D" w:rsidP="00791FBE">
      <w:pPr>
        <w:spacing w:after="160"/>
        <w:rPr>
          <w:rFonts w:ascii="Arial" w:hAnsi="Arial" w:cs="Arial"/>
          <w:sz w:val="18"/>
          <w:szCs w:val="18"/>
        </w:rPr>
      </w:pPr>
      <w:r w:rsidRPr="00735726">
        <w:rPr>
          <w:rFonts w:ascii="Arial" w:eastAsia="Times New Roman" w:hAnsi="Arial" w:cs="DINOT-Light"/>
          <w:i/>
          <w:iCs/>
          <w:color w:val="000000"/>
          <w:sz w:val="18"/>
          <w:szCs w:val="18"/>
        </w:rPr>
        <w:t>CHANGE OF CONTROL</w:t>
      </w:r>
      <w:r w:rsidRPr="00735726">
        <w:rPr>
          <w:rFonts w:ascii="Arial" w:eastAsia="Times New Roman" w:hAnsi="Arial" w:cs="DINOT-Light"/>
          <w:i/>
          <w:iCs/>
          <w:color w:val="000000"/>
          <w:sz w:val="18"/>
          <w:szCs w:val="18"/>
        </w:rPr>
        <w:br/>
      </w:r>
      <w:r w:rsidR="000F68B2" w:rsidRPr="00735726">
        <w:rPr>
          <w:rFonts w:ascii="Arial" w:hAnsi="Arial" w:cs="Arial"/>
          <w:sz w:val="18"/>
          <w:szCs w:val="18"/>
        </w:rPr>
        <w:t xml:space="preserve">No person holds securities in the Company carrying special rights </w:t>
      </w:r>
      <w:proofErr w:type="gramStart"/>
      <w:r w:rsidR="000F68B2" w:rsidRPr="00735726">
        <w:rPr>
          <w:rFonts w:ascii="Arial" w:hAnsi="Arial" w:cs="Arial"/>
          <w:sz w:val="18"/>
          <w:szCs w:val="18"/>
        </w:rPr>
        <w:t>with regard to</w:t>
      </w:r>
      <w:proofErr w:type="gramEnd"/>
      <w:r w:rsidR="000F68B2" w:rsidRPr="00735726">
        <w:rPr>
          <w:rFonts w:ascii="Arial" w:hAnsi="Arial" w:cs="Arial"/>
          <w:sz w:val="18"/>
          <w:szCs w:val="18"/>
        </w:rPr>
        <w:t xml:space="preserve"> control of the Company. </w:t>
      </w:r>
      <w:proofErr w:type="gramStart"/>
      <w:r w:rsidR="000F68B2" w:rsidRPr="00735726">
        <w:rPr>
          <w:rFonts w:ascii="Arial" w:hAnsi="Arial" w:cs="Arial"/>
          <w:sz w:val="18"/>
          <w:szCs w:val="18"/>
        </w:rPr>
        <w:t>All of</w:t>
      </w:r>
      <w:proofErr w:type="gramEnd"/>
      <w:r w:rsidR="000F68B2" w:rsidRPr="00735726">
        <w:rPr>
          <w:rFonts w:ascii="Arial" w:hAnsi="Arial" w:cs="Arial"/>
          <w:sz w:val="18"/>
          <w:szCs w:val="18"/>
        </w:rPr>
        <w:t xml:space="preserve"> the Company’s share schemes contain provisions relating to a change of control. Outstanding awards and options would normally vest and become exercisable on a change of control, subject to the satisfaction of any performance conditions proration for time where appropriate.</w:t>
      </w:r>
    </w:p>
    <w:p w14:paraId="3A150495" w14:textId="77777777" w:rsidR="000F68B2" w:rsidRPr="00735726" w:rsidRDefault="000F68B2" w:rsidP="005A5668">
      <w:pPr>
        <w:rPr>
          <w:rFonts w:ascii="Arial" w:hAnsi="Arial" w:cs="Arial"/>
          <w:sz w:val="18"/>
          <w:szCs w:val="18"/>
        </w:rPr>
      </w:pPr>
      <w:r w:rsidRPr="00735726">
        <w:rPr>
          <w:rFonts w:ascii="Arial" w:hAnsi="Arial" w:cs="Arial"/>
          <w:sz w:val="18"/>
          <w:szCs w:val="18"/>
        </w:rPr>
        <w:lastRenderedPageBreak/>
        <w:t xml:space="preserve">There are </w:t>
      </w:r>
      <w:proofErr w:type="gramStart"/>
      <w:r w:rsidRPr="00735726">
        <w:rPr>
          <w:rFonts w:ascii="Arial" w:hAnsi="Arial" w:cs="Arial"/>
          <w:sz w:val="18"/>
          <w:szCs w:val="18"/>
        </w:rPr>
        <w:t>a number of</w:t>
      </w:r>
      <w:proofErr w:type="gramEnd"/>
      <w:r w:rsidRPr="00735726">
        <w:rPr>
          <w:rFonts w:ascii="Arial" w:hAnsi="Arial" w:cs="Arial"/>
          <w:sz w:val="18"/>
          <w:szCs w:val="18"/>
        </w:rPr>
        <w:t xml:space="preserve"> agreements that take effect, alter or terminate upon a change of control of the Company following a takeover bid, such as bank loan agreements, Eurobond documentation, hybrid capital securities documentation, private placement debt and employees’ share plan. This may result in certain funding agreements being altered or repaid early. The impact of employees’ share plans is not considered significant. </w:t>
      </w:r>
    </w:p>
    <w:p w14:paraId="53C40582" w14:textId="3B376B3C" w:rsidR="004F030D" w:rsidRPr="009A2CAE" w:rsidRDefault="004F030D" w:rsidP="005A5668">
      <w:pPr>
        <w:rPr>
          <w:rFonts w:ascii="Arial" w:hAnsi="Arial" w:cs="Arial"/>
          <w:sz w:val="18"/>
          <w:szCs w:val="18"/>
        </w:rPr>
      </w:pPr>
      <w:r w:rsidRPr="00735726">
        <w:rPr>
          <w:rFonts w:ascii="Arial" w:eastAsia="Times New Roman" w:hAnsi="Arial" w:cs="DINOT-Light"/>
          <w:i/>
          <w:iCs/>
          <w:color w:val="000000"/>
          <w:sz w:val="18"/>
          <w:szCs w:val="18"/>
        </w:rPr>
        <w:t>FINAL DIVIDEND</w:t>
      </w:r>
      <w:r w:rsidRPr="00735726">
        <w:rPr>
          <w:rFonts w:ascii="Arial" w:eastAsia="Times New Roman" w:hAnsi="Arial" w:cs="DINOT-Light"/>
          <w:i/>
          <w:iCs/>
          <w:color w:val="000000"/>
          <w:sz w:val="18"/>
          <w:szCs w:val="18"/>
        </w:rPr>
        <w:br/>
      </w:r>
      <w:r w:rsidRPr="00735726">
        <w:rPr>
          <w:rFonts w:ascii="Arial" w:hAnsi="Arial" w:cs="Arial"/>
          <w:sz w:val="18"/>
          <w:szCs w:val="18"/>
        </w:rPr>
        <w:t>A total dividend for the year of £</w:t>
      </w:r>
      <w:r w:rsidR="0080154E" w:rsidRPr="00735726">
        <w:rPr>
          <w:rFonts w:ascii="Arial" w:hAnsi="Arial" w:cs="Arial"/>
          <w:sz w:val="18"/>
          <w:szCs w:val="18"/>
        </w:rPr>
        <w:t>75.0 million</w:t>
      </w:r>
      <w:r w:rsidR="00E43DBA" w:rsidRPr="00735726">
        <w:rPr>
          <w:rFonts w:ascii="Arial" w:hAnsi="Arial" w:cs="Arial"/>
          <w:sz w:val="18"/>
          <w:szCs w:val="18"/>
        </w:rPr>
        <w:t xml:space="preserve"> </w:t>
      </w:r>
      <w:r w:rsidRPr="00735726">
        <w:rPr>
          <w:rFonts w:ascii="Arial" w:hAnsi="Arial" w:cs="Arial"/>
          <w:sz w:val="18"/>
          <w:szCs w:val="18"/>
        </w:rPr>
        <w:t>was paid during the year (202</w:t>
      </w:r>
      <w:r w:rsidR="00DB7F7B" w:rsidRPr="00735726">
        <w:rPr>
          <w:rFonts w:ascii="Arial" w:hAnsi="Arial" w:cs="Arial"/>
          <w:sz w:val="18"/>
          <w:szCs w:val="18"/>
        </w:rPr>
        <w:t>4/25</w:t>
      </w:r>
      <w:r w:rsidRPr="00735726">
        <w:rPr>
          <w:rFonts w:ascii="Arial" w:hAnsi="Arial" w:cs="Arial"/>
          <w:sz w:val="18"/>
          <w:szCs w:val="18"/>
        </w:rPr>
        <w:t>:</w:t>
      </w:r>
      <w:r w:rsidR="000F68B2" w:rsidRPr="00735726">
        <w:rPr>
          <w:rFonts w:ascii="Arial" w:hAnsi="Arial" w:cs="Arial"/>
          <w:sz w:val="18"/>
          <w:szCs w:val="18"/>
        </w:rPr>
        <w:t xml:space="preserve"> </w:t>
      </w:r>
      <w:r w:rsidR="00E43DBA" w:rsidRPr="00735726">
        <w:rPr>
          <w:rFonts w:ascii="Arial" w:hAnsi="Arial" w:cs="Arial"/>
          <w:sz w:val="18"/>
          <w:szCs w:val="18"/>
        </w:rPr>
        <w:t>£nil</w:t>
      </w:r>
      <w:r w:rsidRPr="00735726">
        <w:rPr>
          <w:rFonts w:ascii="Arial" w:hAnsi="Arial" w:cs="Arial"/>
          <w:sz w:val="18"/>
          <w:szCs w:val="18"/>
        </w:rPr>
        <w:t xml:space="preserve">). The Report of the Chief Financial Officer on pages </w:t>
      </w:r>
      <w:r w:rsidR="00C52378" w:rsidRPr="009A2CAE">
        <w:rPr>
          <w:rFonts w:ascii="Arial" w:hAnsi="Arial" w:cs="Arial"/>
          <w:sz w:val="18"/>
          <w:szCs w:val="18"/>
        </w:rPr>
        <w:t xml:space="preserve">55 </w:t>
      </w:r>
      <w:r w:rsidR="00DB7F7B" w:rsidRPr="009A2CAE">
        <w:rPr>
          <w:rFonts w:ascii="Arial" w:hAnsi="Arial" w:cs="Arial"/>
          <w:sz w:val="18"/>
          <w:szCs w:val="18"/>
        </w:rPr>
        <w:t xml:space="preserve">to </w:t>
      </w:r>
      <w:r w:rsidR="00C52378" w:rsidRPr="009A2CAE">
        <w:rPr>
          <w:rFonts w:ascii="Arial" w:hAnsi="Arial" w:cs="Arial"/>
          <w:sz w:val="18"/>
          <w:szCs w:val="18"/>
        </w:rPr>
        <w:t>61</w:t>
      </w:r>
      <w:r w:rsidRPr="00735726">
        <w:rPr>
          <w:rFonts w:ascii="Arial" w:hAnsi="Arial" w:cs="Arial"/>
          <w:sz w:val="18"/>
          <w:szCs w:val="18"/>
        </w:rPr>
        <w:t xml:space="preserve"> analyses the Company’s financial results in more detail and sets out other financial information.</w:t>
      </w:r>
    </w:p>
    <w:p w14:paraId="1452AC5D" w14:textId="2AAE2010" w:rsidR="00F8014A" w:rsidRPr="00735726" w:rsidRDefault="00F8014A" w:rsidP="00D636C2">
      <w:pPr>
        <w:rPr>
          <w:rFonts w:ascii="Arial" w:eastAsia="Times New Roman" w:hAnsi="Arial" w:cs="DINOT-Light"/>
          <w:color w:val="000000"/>
          <w:sz w:val="18"/>
          <w:szCs w:val="18"/>
        </w:rPr>
      </w:pPr>
      <w:r w:rsidRPr="00735726">
        <w:rPr>
          <w:rFonts w:ascii="Arial" w:hAnsi="Arial" w:cs="Arial"/>
          <w:i/>
          <w:iCs/>
          <w:sz w:val="18"/>
          <w:szCs w:val="18"/>
        </w:rPr>
        <w:t>SIGNIFICANT EVENT SINCE THE YEAR END</w:t>
      </w:r>
      <w:r w:rsidRPr="00735726">
        <w:rPr>
          <w:rFonts w:ascii="Arial" w:hAnsi="Arial" w:cs="Arial"/>
          <w:i/>
          <w:iCs/>
          <w:sz w:val="18"/>
          <w:szCs w:val="18"/>
        </w:rPr>
        <w:br/>
      </w:r>
      <w:r w:rsidRPr="00735726">
        <w:rPr>
          <w:rFonts w:ascii="Arial" w:eastAsia="Times New Roman" w:hAnsi="Arial" w:cs="DINOT-Light"/>
          <w:color w:val="000000"/>
          <w:sz w:val="18"/>
          <w:szCs w:val="18"/>
        </w:rPr>
        <w:t xml:space="preserve">On 7 July 2026,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Finance plc, a subsidiary of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announced the successful pricing of £250.0 million 6.000% fixed rate guaranteed notes due 2035 and £100.0 million 3.806% index-linked guaranteed notes due 2041 under its Euro Medium Term Note ("EMTN") programme. The notes are expected to be issued on 16 July 2026, subject to final legal documentation and customary closing conditions.</w:t>
      </w:r>
    </w:p>
    <w:p w14:paraId="3DE030B7" w14:textId="693C3D63" w:rsidR="00F8014A" w:rsidRPr="00735726" w:rsidRDefault="00F8014A" w:rsidP="00F8014A">
      <w:pPr>
        <w:widowControl w:val="0"/>
        <w:tabs>
          <w:tab w:val="left" w:pos="340"/>
        </w:tabs>
        <w:suppressAutoHyphens/>
        <w:autoSpaceDE w:val="0"/>
        <w:autoSpaceDN w:val="0"/>
        <w:adjustRightInd w:val="0"/>
        <w:spacing w:after="0"/>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notes will be guaranteed by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and the proceeds are expected to be on-lent to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on the same terms.</w:t>
      </w:r>
    </w:p>
    <w:p w14:paraId="22141EE0" w14:textId="0C378CD3" w:rsidR="004F030D" w:rsidRPr="00735726" w:rsidRDefault="00F8014A"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br/>
      </w:r>
      <w:r w:rsidR="004F030D" w:rsidRPr="00735726">
        <w:rPr>
          <w:rFonts w:ascii="Arial" w:eastAsia="Times New Roman" w:hAnsi="Arial" w:cs="DINOT-Light"/>
          <w:i/>
          <w:iCs/>
          <w:color w:val="000000"/>
          <w:sz w:val="18"/>
          <w:szCs w:val="18"/>
        </w:rPr>
        <w:t>POLITICAL CONTRIBUTIONS</w:t>
      </w:r>
      <w:r w:rsidR="004F030D" w:rsidRPr="00735726">
        <w:rPr>
          <w:rFonts w:ascii="Arial" w:eastAsia="Times New Roman" w:hAnsi="Arial" w:cs="DINOT-Light"/>
          <w:i/>
          <w:iCs/>
          <w:color w:val="000000"/>
          <w:sz w:val="18"/>
          <w:szCs w:val="18"/>
        </w:rPr>
        <w:br/>
      </w:r>
      <w:r w:rsidR="004F030D" w:rsidRPr="00735726">
        <w:rPr>
          <w:rFonts w:ascii="Arial" w:eastAsia="Times New Roman" w:hAnsi="Arial" w:cs="DINOT-Light"/>
          <w:color w:val="000000"/>
          <w:sz w:val="18"/>
          <w:szCs w:val="18"/>
        </w:rPr>
        <w:t>The Company has authority, in accordance with Section 366 of the Companies Act 2006, to make political donations to political parties, political organisations and incur political expenditure subject to limits approved by shareholders. No political donations were made or political expenditure incurred and no contributions were made to a non-UK political party (202</w:t>
      </w:r>
      <w:r w:rsidR="00DB7F7B" w:rsidRPr="00735726">
        <w:rPr>
          <w:rFonts w:ascii="Arial" w:eastAsia="Times New Roman" w:hAnsi="Arial" w:cs="DINOT-Light"/>
          <w:color w:val="000000"/>
          <w:sz w:val="18"/>
          <w:szCs w:val="18"/>
        </w:rPr>
        <w:t>4/25</w:t>
      </w:r>
      <w:r w:rsidR="004F030D" w:rsidRPr="00735726">
        <w:rPr>
          <w:rFonts w:ascii="Arial" w:eastAsia="Times New Roman" w:hAnsi="Arial" w:cs="DINOT-Light"/>
          <w:color w:val="000000"/>
          <w:sz w:val="18"/>
          <w:szCs w:val="18"/>
        </w:rPr>
        <w:t>: nil)</w:t>
      </w:r>
    </w:p>
    <w:p w14:paraId="78F13842" w14:textId="4D7F7AD2" w:rsidR="004F030D" w:rsidRPr="009A2CAE" w:rsidRDefault="004F030D"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OTHER CONTRIBUTIONS</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During the year, the Company provided a total of £</w:t>
      </w:r>
      <w:r w:rsidR="005B66C9" w:rsidRPr="00735726">
        <w:rPr>
          <w:rFonts w:ascii="Arial" w:eastAsia="Times New Roman" w:hAnsi="Arial" w:cs="DINOT-Light"/>
          <w:color w:val="000000"/>
          <w:sz w:val="18"/>
          <w:szCs w:val="18"/>
        </w:rPr>
        <w:t>423,692</w:t>
      </w:r>
      <w:r w:rsidRPr="00735726">
        <w:rPr>
          <w:rFonts w:ascii="Arial" w:eastAsia="Times New Roman" w:hAnsi="Arial" w:cs="DINOT-Light"/>
          <w:color w:val="000000"/>
          <w:sz w:val="18"/>
          <w:szCs w:val="18"/>
        </w:rPr>
        <w:t xml:space="preserve"> in charitable donations (20</w:t>
      </w:r>
      <w:r w:rsidR="000F68B2" w:rsidRPr="00735726">
        <w:rPr>
          <w:rFonts w:ascii="Arial" w:eastAsia="Times New Roman" w:hAnsi="Arial" w:cs="DINOT-Light"/>
          <w:color w:val="000000"/>
          <w:sz w:val="18"/>
          <w:szCs w:val="18"/>
        </w:rPr>
        <w:t>2</w:t>
      </w:r>
      <w:r w:rsidR="00DB7F7B" w:rsidRPr="00735726">
        <w:rPr>
          <w:rFonts w:ascii="Arial" w:eastAsia="Times New Roman" w:hAnsi="Arial" w:cs="DINOT-Light"/>
          <w:color w:val="000000"/>
          <w:sz w:val="18"/>
          <w:szCs w:val="18"/>
        </w:rPr>
        <w:t>4/25</w:t>
      </w:r>
      <w:r w:rsidRPr="00735726">
        <w:rPr>
          <w:rFonts w:ascii="Arial" w:eastAsia="Times New Roman" w:hAnsi="Arial" w:cs="DINOT-Light"/>
          <w:color w:val="000000"/>
          <w:sz w:val="18"/>
          <w:szCs w:val="18"/>
        </w:rPr>
        <w:t>: £</w:t>
      </w:r>
      <w:r w:rsidR="00DB7F7B" w:rsidRPr="00735726">
        <w:rPr>
          <w:rFonts w:ascii="Arial" w:eastAsia="Times New Roman" w:hAnsi="Arial" w:cs="DINOT-Light"/>
          <w:color w:val="000000"/>
          <w:sz w:val="18"/>
          <w:szCs w:val="18"/>
        </w:rPr>
        <w:t>50</w:t>
      </w:r>
      <w:r w:rsidRPr="00735726">
        <w:rPr>
          <w:rFonts w:ascii="Arial" w:eastAsia="Times New Roman" w:hAnsi="Arial" w:cs="DINOT-Light"/>
          <w:color w:val="000000"/>
          <w:sz w:val="18"/>
          <w:szCs w:val="18"/>
        </w:rPr>
        <w:t xml:space="preserve">,000) and </w:t>
      </w:r>
      <w:r w:rsidR="009B5606" w:rsidRPr="00735726">
        <w:rPr>
          <w:rFonts w:ascii="Arial" w:eastAsia="Times New Roman" w:hAnsi="Arial" w:cs="DINOT-Light"/>
          <w:color w:val="000000"/>
          <w:sz w:val="18"/>
          <w:szCs w:val="18"/>
        </w:rPr>
        <w:t>£</w:t>
      </w:r>
      <w:r w:rsidR="005B66C9" w:rsidRPr="00735726">
        <w:rPr>
          <w:rFonts w:ascii="Arial" w:eastAsia="Times New Roman" w:hAnsi="Arial" w:cs="DINOT-Light"/>
          <w:color w:val="000000"/>
          <w:sz w:val="18"/>
          <w:szCs w:val="18"/>
        </w:rPr>
        <w:t>231,950</w:t>
      </w:r>
      <w:r w:rsidRPr="00735726">
        <w:rPr>
          <w:rFonts w:ascii="Arial" w:eastAsia="Times New Roman" w:hAnsi="Arial" w:cs="DINOT-Light"/>
          <w:color w:val="000000"/>
          <w:sz w:val="18"/>
          <w:szCs w:val="18"/>
        </w:rPr>
        <w:t xml:space="preserve"> in sponsorships (202</w:t>
      </w:r>
      <w:r w:rsidR="009B5606" w:rsidRPr="00735726">
        <w:rPr>
          <w:rFonts w:ascii="Arial" w:eastAsia="Times New Roman" w:hAnsi="Arial" w:cs="DINOT-Light"/>
          <w:color w:val="000000"/>
          <w:sz w:val="18"/>
          <w:szCs w:val="18"/>
        </w:rPr>
        <w:t>4</w:t>
      </w:r>
      <w:r w:rsidR="00DB7F7B" w:rsidRPr="00735726">
        <w:rPr>
          <w:rFonts w:ascii="Arial" w:eastAsia="Times New Roman" w:hAnsi="Arial" w:cs="DINOT-Light"/>
          <w:color w:val="000000"/>
          <w:sz w:val="18"/>
          <w:szCs w:val="18"/>
        </w:rPr>
        <w:t>/25</w:t>
      </w:r>
      <w:r w:rsidRPr="00735726">
        <w:rPr>
          <w:rFonts w:ascii="Arial" w:eastAsia="Times New Roman" w:hAnsi="Arial" w:cs="DINOT-Light"/>
          <w:color w:val="000000"/>
          <w:sz w:val="18"/>
          <w:szCs w:val="18"/>
        </w:rPr>
        <w:t>: £</w:t>
      </w:r>
      <w:r w:rsidR="00DB7F7B" w:rsidRPr="00735726">
        <w:rPr>
          <w:rFonts w:ascii="Arial" w:eastAsia="Times New Roman" w:hAnsi="Arial" w:cs="DINOT-Light"/>
          <w:color w:val="000000"/>
          <w:sz w:val="18"/>
          <w:szCs w:val="18"/>
        </w:rPr>
        <w:t>267</w:t>
      </w:r>
      <w:r w:rsidRPr="00735726">
        <w:rPr>
          <w:rFonts w:ascii="Arial" w:eastAsia="Times New Roman" w:hAnsi="Arial" w:cs="DINOT-Light"/>
          <w:color w:val="000000"/>
          <w:sz w:val="18"/>
          <w:szCs w:val="18"/>
        </w:rPr>
        <w:t>,000).</w:t>
      </w:r>
    </w:p>
    <w:p w14:paraId="590847B7" w14:textId="77777777" w:rsidR="004F030D" w:rsidRPr="00735726" w:rsidRDefault="004F030D" w:rsidP="0024293B">
      <w:pPr>
        <w:spacing w:after="16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DIRECTORS</w:t>
      </w:r>
    </w:p>
    <w:p w14:paraId="3497FF0C" w14:textId="470BE0AC" w:rsidR="009B5606" w:rsidRPr="00735726" w:rsidRDefault="004F030D" w:rsidP="00A6210F">
      <w:r w:rsidRPr="00735726">
        <w:rPr>
          <w:rFonts w:ascii="Arial" w:eastAsia="Times New Roman" w:hAnsi="Arial" w:cs="DINOT-Light"/>
          <w:i/>
          <w:iCs/>
          <w:color w:val="000000"/>
          <w:sz w:val="18"/>
          <w:szCs w:val="18"/>
        </w:rPr>
        <w:t>APPOINTMENTS</w:t>
      </w:r>
      <w:r w:rsidRPr="00735726">
        <w:rPr>
          <w:rFonts w:ascii="Arial" w:eastAsia="Times New Roman" w:hAnsi="Arial" w:cs="DINOT-Light"/>
          <w:i/>
          <w:iCs/>
          <w:color w:val="000000"/>
          <w:sz w:val="18"/>
          <w:szCs w:val="18"/>
        </w:rPr>
        <w:br/>
      </w:r>
      <w:r w:rsidR="00A6210F" w:rsidRPr="00735726">
        <w:rPr>
          <w:rFonts w:ascii="Arial" w:eastAsia="Times New Roman" w:hAnsi="Arial" w:cs="DINOT-Light"/>
          <w:color w:val="000000"/>
          <w:sz w:val="18"/>
          <w:szCs w:val="18"/>
        </w:rPr>
        <w:t xml:space="preserve">Details of the Directors who served in the year and to the date of this report can be found on pages </w:t>
      </w:r>
      <w:r w:rsidR="00C52378" w:rsidRPr="009A2CAE">
        <w:rPr>
          <w:rFonts w:ascii="Arial" w:eastAsia="Times New Roman" w:hAnsi="Arial" w:cs="DINOT-Light"/>
          <w:color w:val="000000"/>
          <w:sz w:val="18"/>
          <w:szCs w:val="18"/>
        </w:rPr>
        <w:t>99</w:t>
      </w:r>
      <w:r w:rsidR="00A6210F" w:rsidRPr="009A2CAE">
        <w:rPr>
          <w:rFonts w:ascii="Arial" w:eastAsia="Times New Roman" w:hAnsi="Arial" w:cs="DINOT-Light"/>
          <w:color w:val="000000"/>
          <w:sz w:val="18"/>
          <w:szCs w:val="18"/>
        </w:rPr>
        <w:t>.</w:t>
      </w:r>
      <w:r w:rsidR="00A6210F" w:rsidRPr="00735726">
        <w:rPr>
          <w:rFonts w:ascii="Arial" w:eastAsia="Times New Roman" w:hAnsi="Arial" w:cs="DINOT-Light"/>
          <w:color w:val="000000"/>
          <w:sz w:val="18"/>
          <w:szCs w:val="18"/>
        </w:rPr>
        <w:t xml:space="preserve"> Biographies for Directors currently in office can be found on pages </w:t>
      </w:r>
      <w:r w:rsidR="00A92CB0">
        <w:rPr>
          <w:rFonts w:ascii="Arial" w:eastAsia="Times New Roman" w:hAnsi="Arial" w:cs="DINOT-Light"/>
          <w:color w:val="000000"/>
          <w:sz w:val="18"/>
          <w:szCs w:val="18"/>
        </w:rPr>
        <w:t>1</w:t>
      </w:r>
      <w:r w:rsidR="00C52378" w:rsidRPr="009A2CAE">
        <w:rPr>
          <w:rFonts w:ascii="Arial" w:eastAsia="Times New Roman" w:hAnsi="Arial" w:cs="DINOT-Light"/>
          <w:color w:val="000000"/>
          <w:sz w:val="18"/>
          <w:szCs w:val="18"/>
        </w:rPr>
        <w:t>02 to 104</w:t>
      </w:r>
      <w:r w:rsidR="00A6210F" w:rsidRPr="009A2CAE">
        <w:rPr>
          <w:rFonts w:ascii="Arial" w:eastAsia="Times New Roman" w:hAnsi="Arial" w:cs="DINOT-Light"/>
          <w:color w:val="000000"/>
          <w:sz w:val="18"/>
          <w:szCs w:val="18"/>
        </w:rPr>
        <w:t xml:space="preserve"> </w:t>
      </w:r>
      <w:r w:rsidR="00A6210F" w:rsidRPr="00735726">
        <w:rPr>
          <w:rFonts w:ascii="Arial" w:eastAsia="Times New Roman" w:hAnsi="Arial" w:cs="DINOT-Light"/>
          <w:color w:val="000000"/>
          <w:sz w:val="18"/>
          <w:szCs w:val="18"/>
        </w:rPr>
        <w:t xml:space="preserve">and on our website. During the year, Susan Davy resigned as a Director of the Company on 31 December 2025, Iain Evans resigned as a Director of the Company on 31 March 2026, Andrea </w:t>
      </w:r>
      <w:proofErr w:type="spellStart"/>
      <w:r w:rsidR="00A6210F" w:rsidRPr="00735726">
        <w:rPr>
          <w:rFonts w:ascii="Arial" w:eastAsia="Times New Roman" w:hAnsi="Arial" w:cs="DINOT-Light"/>
          <w:color w:val="000000"/>
          <w:sz w:val="18"/>
          <w:szCs w:val="18"/>
        </w:rPr>
        <w:t>Blance</w:t>
      </w:r>
      <w:proofErr w:type="spellEnd"/>
      <w:r w:rsidR="00A6210F" w:rsidRPr="00735726">
        <w:rPr>
          <w:rFonts w:ascii="Arial" w:eastAsia="Times New Roman" w:hAnsi="Arial" w:cs="DINOT-Light"/>
          <w:color w:val="000000"/>
          <w:sz w:val="18"/>
          <w:szCs w:val="18"/>
        </w:rPr>
        <w:t xml:space="preserve"> was appointed as a Director of the Company on 8 April 2025, Sir Andrew Haines was appointed as a Director of the Company on 1 November 2025 and Keith Haslett was appointed as a Director of the Company on </w:t>
      </w:r>
      <w:r w:rsidR="003955FB" w:rsidRPr="00735726">
        <w:rPr>
          <w:rFonts w:ascii="Arial" w:eastAsia="Times New Roman" w:hAnsi="Arial" w:cs="DINOT-Light"/>
          <w:color w:val="000000"/>
          <w:sz w:val="18"/>
          <w:szCs w:val="18"/>
        </w:rPr>
        <w:t>19 May</w:t>
      </w:r>
      <w:r w:rsidR="00A6210F" w:rsidRPr="00735726">
        <w:rPr>
          <w:rFonts w:ascii="Arial" w:eastAsia="Times New Roman" w:hAnsi="Arial" w:cs="DINOT-Light"/>
          <w:color w:val="000000"/>
          <w:sz w:val="18"/>
          <w:szCs w:val="18"/>
        </w:rPr>
        <w:t xml:space="preserve"> 2026.</w:t>
      </w:r>
    </w:p>
    <w:p w14:paraId="2E73019E" w14:textId="5A499D3E" w:rsidR="004F030D" w:rsidRPr="00735726" w:rsidRDefault="004F030D"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CONFLICTS OF INTEREST</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 xml:space="preserve">The Board has adopted a Conflicts of Interest Policy. The Board has considered in detail the current external appointments of the Directors that may give rise </w:t>
      </w:r>
      <w:r w:rsidR="00E8456C">
        <w:rPr>
          <w:rFonts w:ascii="Arial" w:eastAsia="Times New Roman" w:hAnsi="Arial" w:cs="DINOT-Light"/>
          <w:color w:val="000000"/>
          <w:sz w:val="18"/>
          <w:szCs w:val="18"/>
        </w:rPr>
        <w:t xml:space="preserve">to </w:t>
      </w:r>
      <w:r w:rsidRPr="00735726">
        <w:rPr>
          <w:rFonts w:ascii="Arial" w:eastAsia="Times New Roman" w:hAnsi="Arial" w:cs="DINOT-Light"/>
          <w:color w:val="000000"/>
          <w:sz w:val="18"/>
          <w:szCs w:val="18"/>
        </w:rPr>
        <w:t xml:space="preserve">situational conflicts and, where appropriate, has authorised potential conflicts. Such authorisation can be reviewed at any time but is always subject to annual review. </w:t>
      </w:r>
    </w:p>
    <w:p w14:paraId="0D11D15C" w14:textId="77777777" w:rsidR="004F030D" w:rsidRPr="00735726" w:rsidRDefault="004F030D"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DIRECTORS’ INSURANCE AND INDEMNITIES</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 xml:space="preserve">The Company has maintained Directors’ and officers’ liability insurance for the benefit of the Company, the Directors and its officers throughout the year. The Company has </w:t>
      </w:r>
      <w:proofErr w:type="gramStart"/>
      <w:r w:rsidRPr="00735726">
        <w:rPr>
          <w:rFonts w:ascii="Arial" w:eastAsia="Times New Roman" w:hAnsi="Arial" w:cs="DINOT-Light"/>
          <w:color w:val="000000"/>
          <w:sz w:val="18"/>
          <w:szCs w:val="18"/>
        </w:rPr>
        <w:t>entered into</w:t>
      </w:r>
      <w:proofErr w:type="gramEnd"/>
      <w:r w:rsidRPr="00735726">
        <w:rPr>
          <w:rFonts w:ascii="Arial" w:eastAsia="Times New Roman" w:hAnsi="Arial" w:cs="DINOT-Light"/>
          <w:color w:val="000000"/>
          <w:sz w:val="18"/>
          <w:szCs w:val="18"/>
        </w:rPr>
        <w:t xml:space="preserve"> qualifying third-party indemnity arrangements for the benefit of all its </w:t>
      </w:r>
      <w:proofErr w:type="gramStart"/>
      <w:r w:rsidRPr="00735726">
        <w:rPr>
          <w:rFonts w:ascii="Arial" w:eastAsia="Times New Roman" w:hAnsi="Arial" w:cs="DINOT-Light"/>
          <w:color w:val="000000"/>
          <w:sz w:val="18"/>
          <w:szCs w:val="18"/>
        </w:rPr>
        <w:t>Directors</w:t>
      </w:r>
      <w:proofErr w:type="gramEnd"/>
      <w:r w:rsidRPr="00735726">
        <w:rPr>
          <w:rFonts w:ascii="Arial" w:eastAsia="Times New Roman" w:hAnsi="Arial" w:cs="DINOT-Light"/>
          <w:color w:val="000000"/>
          <w:sz w:val="18"/>
          <w:szCs w:val="18"/>
        </w:rPr>
        <w:t xml:space="preserve"> in a form and scope that complies with the requirements of the Companies Act 2006 and which were in force throughout the year and remain in force.</w:t>
      </w:r>
    </w:p>
    <w:p w14:paraId="7F996A6B" w14:textId="77777777" w:rsidR="004F030D" w:rsidRPr="00735726" w:rsidRDefault="004F030D" w:rsidP="0024293B">
      <w:pPr>
        <w:spacing w:after="16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DISCLOSURES</w:t>
      </w:r>
    </w:p>
    <w:p w14:paraId="3B948D52" w14:textId="1D053292" w:rsidR="004F030D" w:rsidRPr="009A2CAE" w:rsidRDefault="004F030D"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FINANCIAL RISK MANAGEMENT</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 xml:space="preserve">The Directors have carried out a robust assessment of the principal and emerging risks facing the Company, including in relation to its business model, future performance, solvency and liquidity. Details of our principal risks and association mitigations are set out on pages </w:t>
      </w:r>
      <w:r w:rsidR="00C52378" w:rsidRPr="009A2CAE">
        <w:rPr>
          <w:rFonts w:ascii="Arial" w:eastAsia="Times New Roman" w:hAnsi="Arial" w:cs="DINOT-Light"/>
          <w:color w:val="000000"/>
          <w:sz w:val="18"/>
          <w:szCs w:val="18"/>
        </w:rPr>
        <w:t xml:space="preserve">62 </w:t>
      </w:r>
      <w:r w:rsidR="00A6210F" w:rsidRPr="009A2CAE">
        <w:rPr>
          <w:rFonts w:ascii="Arial" w:eastAsia="Times New Roman" w:hAnsi="Arial" w:cs="DINOT-Light"/>
          <w:color w:val="000000"/>
          <w:sz w:val="18"/>
          <w:szCs w:val="18"/>
        </w:rPr>
        <w:t xml:space="preserve">to </w:t>
      </w:r>
      <w:r w:rsidR="00C52378" w:rsidRPr="009A2CAE">
        <w:rPr>
          <w:rFonts w:ascii="Arial" w:eastAsia="Times New Roman" w:hAnsi="Arial" w:cs="DINOT-Light"/>
          <w:color w:val="000000"/>
          <w:sz w:val="18"/>
          <w:szCs w:val="18"/>
        </w:rPr>
        <w:t>74</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Note</w:t>
      </w:r>
      <w:r w:rsidRPr="009A2CAE">
        <w:rPr>
          <w:rFonts w:ascii="Arial" w:eastAsia="Times New Roman" w:hAnsi="Arial" w:cs="DINOT-Light"/>
          <w:color w:val="000000"/>
          <w:sz w:val="18"/>
          <w:szCs w:val="18"/>
        </w:rPr>
        <w:t xml:space="preserve"> 3 </w:t>
      </w:r>
      <w:r w:rsidRPr="00735726">
        <w:rPr>
          <w:rFonts w:ascii="Arial" w:eastAsia="Times New Roman" w:hAnsi="Arial" w:cs="DINOT-Light"/>
          <w:color w:val="000000"/>
          <w:sz w:val="18"/>
          <w:szCs w:val="18"/>
        </w:rPr>
        <w:t xml:space="preserve">to the Financial Statements gives details of the Company’s financial risk management policies and related exposures. This note is incorporated by reference and deemed to form part of this </w:t>
      </w:r>
      <w:r w:rsidR="000C4DB8" w:rsidRPr="00735726">
        <w:rPr>
          <w:rFonts w:ascii="Arial" w:eastAsia="Times New Roman" w:hAnsi="Arial" w:cs="DINOT-Light"/>
          <w:color w:val="000000"/>
          <w:sz w:val="18"/>
          <w:szCs w:val="18"/>
        </w:rPr>
        <w:t>r</w:t>
      </w:r>
      <w:r w:rsidRPr="00735726">
        <w:rPr>
          <w:rFonts w:ascii="Arial" w:eastAsia="Times New Roman" w:hAnsi="Arial" w:cs="DINOT-Light"/>
          <w:color w:val="000000"/>
          <w:sz w:val="18"/>
          <w:szCs w:val="18"/>
        </w:rPr>
        <w:t>eport.</w:t>
      </w:r>
    </w:p>
    <w:p w14:paraId="020C8286" w14:textId="77777777" w:rsidR="00F8014A" w:rsidRPr="00735726" w:rsidRDefault="00F8014A" w:rsidP="004A23F8">
      <w:pPr>
        <w:widowControl w:val="0"/>
        <w:suppressAutoHyphens/>
        <w:autoSpaceDE w:val="0"/>
        <w:autoSpaceDN w:val="0"/>
        <w:adjustRightInd w:val="0"/>
        <w:spacing w:after="0"/>
        <w:textAlignment w:val="center"/>
        <w:rPr>
          <w:rFonts w:ascii="Arial" w:eastAsia="Times New Roman" w:hAnsi="Arial" w:cs="DINOT-Light"/>
          <w:i/>
          <w:iCs/>
          <w:color w:val="000000"/>
          <w:sz w:val="18"/>
          <w:szCs w:val="18"/>
        </w:rPr>
      </w:pPr>
    </w:p>
    <w:p w14:paraId="349C6A2B" w14:textId="40BCAD0A" w:rsidR="004A23F8" w:rsidRPr="00735726" w:rsidRDefault="004F030D" w:rsidP="004A23F8">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i/>
          <w:iCs/>
          <w:color w:val="000000"/>
          <w:sz w:val="18"/>
          <w:szCs w:val="18"/>
        </w:rPr>
        <w:lastRenderedPageBreak/>
        <w:t>GOING CONCERN</w:t>
      </w:r>
      <w:r w:rsidRPr="009A2CAE">
        <w:rPr>
          <w:rFonts w:ascii="Arial" w:eastAsia="Times New Roman" w:hAnsi="Arial" w:cs="DINOT-Light"/>
          <w:i/>
          <w:iCs/>
          <w:color w:val="000000"/>
          <w:sz w:val="18"/>
          <w:szCs w:val="18"/>
        </w:rPr>
        <w:br/>
      </w:r>
      <w:r w:rsidR="004A23F8" w:rsidRPr="00735726">
        <w:rPr>
          <w:rFonts w:ascii="Arial" w:eastAsia="Times New Roman" w:hAnsi="Arial" w:cs="DINOT-Light"/>
          <w:sz w:val="18"/>
          <w:szCs w:val="18"/>
        </w:rPr>
        <w:t xml:space="preserve">The going concern basis has been adopted in preparing these financial statements. </w:t>
      </w:r>
      <w:proofErr w:type="gramStart"/>
      <w:r w:rsidR="004A23F8" w:rsidRPr="00735726">
        <w:rPr>
          <w:rFonts w:ascii="Arial" w:eastAsia="Times New Roman" w:hAnsi="Arial" w:cs="DINOT-Light"/>
          <w:sz w:val="18"/>
          <w:szCs w:val="18"/>
        </w:rPr>
        <w:t>At</w:t>
      </w:r>
      <w:proofErr w:type="gramEnd"/>
      <w:r w:rsidR="004A23F8" w:rsidRPr="00735726">
        <w:rPr>
          <w:rFonts w:ascii="Arial" w:eastAsia="Times New Roman" w:hAnsi="Arial" w:cs="DINOT-Light"/>
          <w:sz w:val="18"/>
          <w:szCs w:val="18"/>
        </w:rPr>
        <w:t xml:space="preserve"> 31 March 2026 the Company has access to undrawn committed funds of £445.0 million, cash and cash equivalents and restricted </w:t>
      </w:r>
      <w:r w:rsidR="00345191" w:rsidRPr="00735726">
        <w:rPr>
          <w:rFonts w:ascii="Arial" w:eastAsia="Times New Roman" w:hAnsi="Arial" w:cs="DINOT-Light"/>
          <w:sz w:val="18"/>
          <w:szCs w:val="18"/>
        </w:rPr>
        <w:t xml:space="preserve">funds </w:t>
      </w:r>
      <w:r w:rsidR="004A23F8" w:rsidRPr="00735726">
        <w:rPr>
          <w:rFonts w:ascii="Arial" w:eastAsia="Times New Roman" w:hAnsi="Arial" w:cs="DINOT-Light"/>
          <w:sz w:val="18"/>
          <w:szCs w:val="18"/>
        </w:rPr>
        <w:t xml:space="preserve">totalling £295.9 million, totalling £740.9 million. The Company has an expected headroom of £101.0 million </w:t>
      </w:r>
      <w:proofErr w:type="gramStart"/>
      <w:r w:rsidR="004A23F8" w:rsidRPr="00735726">
        <w:rPr>
          <w:rFonts w:ascii="Arial" w:eastAsia="Times New Roman" w:hAnsi="Arial" w:cs="DINOT-Light"/>
          <w:sz w:val="18"/>
          <w:szCs w:val="18"/>
        </w:rPr>
        <w:t>at</w:t>
      </w:r>
      <w:proofErr w:type="gramEnd"/>
      <w:r w:rsidR="004A23F8" w:rsidRPr="00735726">
        <w:rPr>
          <w:rFonts w:ascii="Arial" w:eastAsia="Times New Roman" w:hAnsi="Arial" w:cs="DINOT-Light"/>
          <w:sz w:val="18"/>
          <w:szCs w:val="18"/>
        </w:rPr>
        <w:t xml:space="preserve"> 31 October 2027.</w:t>
      </w:r>
    </w:p>
    <w:p w14:paraId="6FA1BEEC" w14:textId="77777777" w:rsidR="004A23F8" w:rsidRPr="00735726" w:rsidRDefault="004A23F8" w:rsidP="004A23F8">
      <w:pPr>
        <w:widowControl w:val="0"/>
        <w:suppressAutoHyphens/>
        <w:autoSpaceDE w:val="0"/>
        <w:autoSpaceDN w:val="0"/>
        <w:adjustRightInd w:val="0"/>
        <w:spacing w:after="0"/>
        <w:textAlignment w:val="center"/>
        <w:rPr>
          <w:rFonts w:ascii="Arial" w:eastAsia="Times New Roman" w:hAnsi="Arial" w:cs="DINOT-Light"/>
          <w:sz w:val="18"/>
          <w:szCs w:val="18"/>
        </w:rPr>
      </w:pPr>
    </w:p>
    <w:p w14:paraId="2B2652A1" w14:textId="06E89125" w:rsidR="004A23F8" w:rsidRPr="009A2CAE" w:rsidRDefault="004A23F8" w:rsidP="004A23F8">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In making their assessment, the Directors reviewed the principal risks and considered which risks might threaten the Company’s going concern status, to do this the Company’s business plan has been stress-tested. Whilst the Company’s risk management processes seek to mitigate the impact of principal risks as set out on pages </w:t>
      </w:r>
      <w:r w:rsidR="00C52378" w:rsidRPr="009A2CAE">
        <w:rPr>
          <w:rFonts w:ascii="Arial" w:eastAsia="Times New Roman" w:hAnsi="Arial" w:cs="DINOT-Light"/>
          <w:sz w:val="18"/>
          <w:szCs w:val="18"/>
        </w:rPr>
        <w:t xml:space="preserve">62 </w:t>
      </w:r>
      <w:r w:rsidRPr="009A2CAE">
        <w:rPr>
          <w:rFonts w:ascii="Arial" w:eastAsia="Times New Roman" w:hAnsi="Arial" w:cs="DINOT-Light"/>
          <w:sz w:val="18"/>
          <w:szCs w:val="18"/>
        </w:rPr>
        <w:t xml:space="preserve">to </w:t>
      </w:r>
      <w:r w:rsidR="00C52378" w:rsidRPr="009A2CAE">
        <w:rPr>
          <w:rFonts w:ascii="Arial" w:eastAsia="Times New Roman" w:hAnsi="Arial" w:cs="DINOT-Light"/>
          <w:sz w:val="18"/>
          <w:szCs w:val="18"/>
        </w:rPr>
        <w:t>74</w:t>
      </w:r>
      <w:r w:rsidRPr="009A2CAE">
        <w:rPr>
          <w:rFonts w:ascii="Arial" w:eastAsia="Times New Roman" w:hAnsi="Arial" w:cs="DINOT-Light"/>
          <w:sz w:val="18"/>
          <w:szCs w:val="18"/>
        </w:rPr>
        <w:t>,</w:t>
      </w:r>
      <w:r w:rsidRPr="00735726">
        <w:rPr>
          <w:rFonts w:ascii="Arial" w:eastAsia="Times New Roman" w:hAnsi="Arial" w:cs="DINOT-Light"/>
          <w:sz w:val="18"/>
          <w:szCs w:val="18"/>
        </w:rPr>
        <w:t xml:space="preserve"> individual sensitivities against these risks have been identified. These sensitivities, which are ascribed a value with reference to risk weighting, factoring in the likelihood of occurrence and financial impact, were applied to the baseline financial forecast which uses the Company’s annual budget for financial year 2025/26, and longer-term strategic business plan for the remainder of the going concern period to 31 October 2027.</w:t>
      </w:r>
    </w:p>
    <w:p w14:paraId="783CBDBB" w14:textId="77777777" w:rsidR="004A23F8" w:rsidRPr="009A2CAE" w:rsidRDefault="004A23F8" w:rsidP="004A23F8">
      <w:pPr>
        <w:widowControl w:val="0"/>
        <w:suppressAutoHyphens/>
        <w:autoSpaceDE w:val="0"/>
        <w:autoSpaceDN w:val="0"/>
        <w:adjustRightInd w:val="0"/>
        <w:spacing w:after="0"/>
        <w:textAlignment w:val="center"/>
        <w:rPr>
          <w:rFonts w:ascii="Arial" w:eastAsia="Times New Roman" w:hAnsi="Arial" w:cs="DINOT-Light"/>
          <w:sz w:val="18"/>
          <w:szCs w:val="18"/>
        </w:rPr>
      </w:pPr>
    </w:p>
    <w:p w14:paraId="4D47A791" w14:textId="77777777" w:rsidR="004A23F8" w:rsidRPr="00735726" w:rsidRDefault="004A23F8" w:rsidP="004A23F8">
      <w:pPr>
        <w:widowControl w:val="0"/>
        <w:suppressAutoHyphens/>
        <w:autoSpaceDE w:val="0"/>
        <w:autoSpaceDN w:val="0"/>
        <w:adjustRightInd w:val="0"/>
        <w:spacing w:after="0"/>
        <w:textAlignment w:val="center"/>
        <w:rPr>
          <w:rFonts w:ascii="Arial" w:eastAsia="Times New Roman" w:hAnsi="Arial" w:cs="DINOT-Light"/>
          <w:b/>
          <w:bCs/>
          <w:sz w:val="18"/>
          <w:szCs w:val="18"/>
        </w:rPr>
      </w:pPr>
      <w:r w:rsidRPr="00735726">
        <w:rPr>
          <w:rFonts w:ascii="Arial" w:eastAsia="Times New Roman" w:hAnsi="Arial" w:cs="DINOT-Light"/>
          <w:sz w:val="18"/>
          <w:szCs w:val="18"/>
        </w:rPr>
        <w:t xml:space="preserve">The risks and sensitivities include consideration </w:t>
      </w:r>
      <w:proofErr w:type="gramStart"/>
      <w:r w:rsidRPr="00735726">
        <w:rPr>
          <w:rFonts w:ascii="Arial" w:eastAsia="Times New Roman" w:hAnsi="Arial" w:cs="DINOT-Light"/>
          <w:sz w:val="18"/>
          <w:szCs w:val="18"/>
        </w:rPr>
        <w:t>of:</w:t>
      </w:r>
      <w:proofErr w:type="gramEnd"/>
      <w:r w:rsidRPr="00735726">
        <w:rPr>
          <w:rFonts w:ascii="Arial" w:eastAsia="Times New Roman" w:hAnsi="Arial" w:cs="DINOT-Light"/>
          <w:sz w:val="18"/>
          <w:szCs w:val="18"/>
        </w:rPr>
        <w:t xml:space="preserve"> legislative impacts such as change in government policy and </w:t>
      </w:r>
    </w:p>
    <w:p w14:paraId="50F45099" w14:textId="77777777" w:rsidR="004A23F8" w:rsidRPr="00735726" w:rsidRDefault="004A23F8" w:rsidP="004A23F8">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non-compliance with laws and regulations, macroeconomic impacts such as inflation and interest rate increases and operational impacts such as ensuring adequate water resources and failure of operational assets. A combined stress testing scenario has been performed to assess the overall impact of these individual scenarios impacting the Company collectively. The combined weighted impact of the risks occurring is a cash outflow of c.£94.9 million; this value is considered equivalent to an extreme one-off event that could occur over the </w:t>
      </w:r>
      <w:proofErr w:type="gramStart"/>
      <w:r w:rsidRPr="00735726">
        <w:rPr>
          <w:rFonts w:ascii="Arial" w:eastAsia="Times New Roman" w:hAnsi="Arial" w:cs="DINOT-Light"/>
          <w:sz w:val="18"/>
          <w:szCs w:val="18"/>
        </w:rPr>
        <w:t>15 month</w:t>
      </w:r>
      <w:proofErr w:type="gramEnd"/>
      <w:r w:rsidRPr="00735726">
        <w:rPr>
          <w:rFonts w:ascii="Arial" w:eastAsia="Times New Roman" w:hAnsi="Arial" w:cs="DINOT-Light"/>
          <w:sz w:val="18"/>
          <w:szCs w:val="18"/>
        </w:rPr>
        <w:t xml:space="preserve"> period of the assessment to 31 October 2027, the probability of such an event happening is deemed unlikely. Through this testing, it has been determined that none of the individual principal risks would in isolation, or in aggregate, compromise the going concern of the Company over the going concern period, the assessment has been considered by reviewing the impact on the solvency position as well as debt and interest covenants. In the combined scenario to ensure that the Company was able to continue as a going concern, additional mitigations could be deployed to reduce gearing and increase covenant headroom. In the combined stress test scenario, the company has sufficient liquidity and covenant headroom which reflects that no mitigations would be needed by the Company. However, if required additional mitigations could be deployed to reduce gearing and increase covenant headroom. Examples of mitigations could </w:t>
      </w:r>
      <w:proofErr w:type="gramStart"/>
      <w:r w:rsidRPr="00735726">
        <w:rPr>
          <w:rFonts w:ascii="Arial" w:eastAsia="Times New Roman" w:hAnsi="Arial" w:cs="DINOT-Light"/>
          <w:sz w:val="18"/>
          <w:szCs w:val="18"/>
        </w:rPr>
        <w:t>include:</w:t>
      </w:r>
      <w:proofErr w:type="gramEnd"/>
      <w:r w:rsidRPr="00735726">
        <w:rPr>
          <w:rFonts w:ascii="Arial" w:eastAsia="Times New Roman" w:hAnsi="Arial" w:cs="DINOT-Light"/>
          <w:sz w:val="18"/>
          <w:szCs w:val="18"/>
        </w:rPr>
        <w:t xml:space="preserve"> reduction in discretionary operational expenditure, deferral of capital expenditure and/or cancellation of non-essential capital expenditure, reduction in the amount of dividend payable, and raising additional funding.</w:t>
      </w:r>
    </w:p>
    <w:p w14:paraId="47C4DF23" w14:textId="77777777" w:rsidR="004A23F8" w:rsidRPr="00735726" w:rsidRDefault="004A23F8" w:rsidP="004A23F8">
      <w:pPr>
        <w:widowControl w:val="0"/>
        <w:suppressAutoHyphens/>
        <w:autoSpaceDE w:val="0"/>
        <w:autoSpaceDN w:val="0"/>
        <w:adjustRightInd w:val="0"/>
        <w:spacing w:after="0"/>
        <w:textAlignment w:val="center"/>
        <w:rPr>
          <w:rFonts w:ascii="Arial" w:eastAsia="Times New Roman" w:hAnsi="Arial" w:cs="DINOT-Light"/>
          <w:sz w:val="18"/>
          <w:szCs w:val="18"/>
        </w:rPr>
      </w:pPr>
    </w:p>
    <w:p w14:paraId="66B12E95" w14:textId="77777777" w:rsidR="004A23F8" w:rsidRPr="00735726" w:rsidRDefault="004A23F8" w:rsidP="004A23F8">
      <w:pPr>
        <w:widowControl w:val="0"/>
        <w:suppressAutoHyphens/>
        <w:autoSpaceDE w:val="0"/>
        <w:autoSpaceDN w:val="0"/>
        <w:adjustRightInd w:val="0"/>
        <w:spacing w:after="0"/>
        <w:textAlignment w:val="center"/>
        <w:rPr>
          <w:rFonts w:ascii="Arial" w:eastAsia="Times New Roman" w:hAnsi="Arial" w:cs="DINOT-Light"/>
          <w:b/>
          <w:bCs/>
          <w:sz w:val="18"/>
          <w:szCs w:val="18"/>
        </w:rPr>
      </w:pPr>
      <w:r w:rsidRPr="00735726">
        <w:rPr>
          <w:rFonts w:ascii="Arial" w:eastAsia="Times New Roman" w:hAnsi="Arial" w:cs="DINOT-Light"/>
          <w:sz w:val="18"/>
          <w:szCs w:val="18"/>
        </w:rPr>
        <w:t xml:space="preserve">We have considered the Company’s funding position and financial projections which </w:t>
      </w:r>
      <w:proofErr w:type="gramStart"/>
      <w:r w:rsidRPr="00735726">
        <w:rPr>
          <w:rFonts w:ascii="Arial" w:eastAsia="Times New Roman" w:hAnsi="Arial" w:cs="DINOT-Light"/>
          <w:sz w:val="18"/>
          <w:szCs w:val="18"/>
        </w:rPr>
        <w:t>take into account</w:t>
      </w:r>
      <w:proofErr w:type="gramEnd"/>
      <w:r w:rsidRPr="00735726">
        <w:rPr>
          <w:rFonts w:ascii="Arial" w:eastAsia="Times New Roman" w:hAnsi="Arial" w:cs="DINOT-Light"/>
          <w:sz w:val="18"/>
          <w:szCs w:val="18"/>
        </w:rPr>
        <w:t xml:space="preserve"> a range of possible impacts, including the refinancing required within and immediately after the going concern assessment </w:t>
      </w:r>
    </w:p>
    <w:p w14:paraId="36550769" w14:textId="2DB6FAEE" w:rsidR="004A23F8" w:rsidRPr="00735726" w:rsidRDefault="004A23F8" w:rsidP="004A23F8">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period. Having considered these factors, the Directors have a reasonable expectation that the Company will meet the requirements of its covenants and has adequate resources to continue in operational existence for the period to at least the end of the going concern assessment period of 31 October 2027, and that there are no material uncertainties to disclose. For this reason, they continue to adopt the going concern basis in preparing</w:t>
      </w:r>
    </w:p>
    <w:p w14:paraId="770A1597" w14:textId="77777777" w:rsidR="004A23F8" w:rsidRPr="00735726" w:rsidRDefault="004A23F8" w:rsidP="004A23F8">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the financial statements.</w:t>
      </w:r>
    </w:p>
    <w:p w14:paraId="58EB48E0" w14:textId="77777777" w:rsidR="004A23F8" w:rsidRPr="00735726" w:rsidRDefault="004A23F8" w:rsidP="004A23F8">
      <w:pPr>
        <w:widowControl w:val="0"/>
        <w:suppressAutoHyphens/>
        <w:autoSpaceDE w:val="0"/>
        <w:autoSpaceDN w:val="0"/>
        <w:adjustRightInd w:val="0"/>
        <w:spacing w:after="0"/>
        <w:textAlignment w:val="center"/>
        <w:rPr>
          <w:rFonts w:ascii="Arial" w:eastAsia="Times New Roman" w:hAnsi="Arial" w:cs="DINOT-Light"/>
          <w:sz w:val="18"/>
          <w:szCs w:val="18"/>
        </w:rPr>
      </w:pPr>
    </w:p>
    <w:p w14:paraId="55579F80" w14:textId="77777777" w:rsidR="004A23F8" w:rsidRPr="00735726" w:rsidRDefault="004A23F8" w:rsidP="004A23F8">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In preparing the financial statements, management has considered the impact of climate change, </w:t>
      </w:r>
      <w:proofErr w:type="gramStart"/>
      <w:r w:rsidRPr="00735726">
        <w:rPr>
          <w:rFonts w:ascii="Arial" w:eastAsia="Times New Roman" w:hAnsi="Arial" w:cs="DINOT-Light"/>
          <w:sz w:val="18"/>
          <w:szCs w:val="18"/>
        </w:rPr>
        <w:t>taking into account</w:t>
      </w:r>
      <w:proofErr w:type="gramEnd"/>
      <w:r w:rsidRPr="00735726">
        <w:rPr>
          <w:rFonts w:ascii="Arial" w:eastAsia="Times New Roman" w:hAnsi="Arial" w:cs="DINOT-Light"/>
          <w:sz w:val="18"/>
          <w:szCs w:val="18"/>
        </w:rPr>
        <w:t xml:space="preserve"> the relevant disclosures in the Strategic Report, including those made in accordance with the recommendations of the Taskforce on Climate-related Financial Disclosure. The expected environmental impact of climate change on the water business has been modelled, noting that the physical risks are increasing. It is likely that the Company will need to invest to protect certain assets such as sewage works and pumping stations against sea level inundation and these considerations form part of the planning process for new capital expenditure. Longer term investment, outlined in the strategic plans, will be needed to manage future risks. To achieve this, combined regulatory and government support within their policy frameworks will be essential. Whilst it is estimated additional spend will be required to manage future risks, the current available information and assessment did not identify any risks regarding the sufficiency of funds available to the Company to support this additional spend or any risk that would require the useful economic lives of assets to be reduced in the year or identify the need for impairment that would impact the carrying values of such assets or have any other impact on the financial statements. The impact assessments will be continuously updated to reflect the latest available information on the impact of climate change.</w:t>
      </w:r>
    </w:p>
    <w:p w14:paraId="412FF037" w14:textId="4F4297AF" w:rsidR="00A6210F" w:rsidRPr="00735726" w:rsidRDefault="00A6210F" w:rsidP="004A23F8">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br/>
        <w:t xml:space="preserve">New standards or interpretations which were mandatory for the first time in the year beginning 1 April 2025 did not have a material impact on the net assets or results of the Company and the parent </w:t>
      </w:r>
      <w:r w:rsidR="003B36A4"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ompany. Existing borrowing covenants were not impacted by changes in accounting standards.</w:t>
      </w:r>
    </w:p>
    <w:p w14:paraId="6D8E31E0" w14:textId="77777777" w:rsidR="000C4DB8" w:rsidRPr="00735726" w:rsidRDefault="000C4DB8" w:rsidP="000C4DB8">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AADEF1B" w14:textId="48C2027E" w:rsidR="00A6210F" w:rsidRPr="00735726" w:rsidRDefault="00A6210F" w:rsidP="00A6210F">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New standards or interpretations due to be adopted from 1 April 2026 are not expected to have a material impact on the Company’s and the parent </w:t>
      </w:r>
      <w:r w:rsidR="003B36A4"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ompany’s net assets or results.</w:t>
      </w:r>
    </w:p>
    <w:p w14:paraId="4807D4A4" w14:textId="56E65420" w:rsidR="004F030D" w:rsidRPr="00735726" w:rsidRDefault="004F030D"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DATA</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 xml:space="preserve">As part of our business activity, the Company processes large amounts of personal data. The Company recognises that to enable this use of personal data it is critical that we continue to build on our approach to applying privacy in a lawful and ethical way. A programme of work to support this has been led by our data governance team. The work includes making improvements to our data governance framework and delivering our data privacy function. We have </w:t>
      </w:r>
      <w:proofErr w:type="gramStart"/>
      <w:r w:rsidRPr="00735726">
        <w:rPr>
          <w:rFonts w:ascii="Arial" w:eastAsia="Times New Roman" w:hAnsi="Arial" w:cs="DINOT-Light"/>
          <w:color w:val="000000"/>
          <w:sz w:val="18"/>
          <w:szCs w:val="18"/>
        </w:rPr>
        <w:t>a number of</w:t>
      </w:r>
      <w:proofErr w:type="gramEnd"/>
      <w:r w:rsidRPr="00735726">
        <w:rPr>
          <w:rFonts w:ascii="Arial" w:eastAsia="Times New Roman" w:hAnsi="Arial" w:cs="DINOT-Light"/>
          <w:color w:val="000000"/>
          <w:sz w:val="18"/>
          <w:szCs w:val="18"/>
        </w:rPr>
        <w:t xml:space="preserve"> policies, procedures and tools to support this. Compliance with these policies is mandatory. All colleagues undergo regular training to remind them of their responsibilities under these policies.</w:t>
      </w:r>
    </w:p>
    <w:p w14:paraId="6F7576CF" w14:textId="77777777" w:rsidR="004F030D" w:rsidRPr="00735726" w:rsidRDefault="004F030D" w:rsidP="0024293B">
      <w:pPr>
        <w:spacing w:after="16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Employment policies and employee involvement</w:t>
      </w:r>
    </w:p>
    <w:p w14:paraId="085BDE3C" w14:textId="004C98C4" w:rsidR="004F030D" w:rsidRPr="00735726" w:rsidRDefault="004F030D" w:rsidP="005B16E5">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CONTINUOUS IMPROVEMENT</w:t>
      </w:r>
      <w:r w:rsidRPr="00735726">
        <w:rPr>
          <w:rFonts w:ascii="Arial" w:eastAsia="Times New Roman" w:hAnsi="Arial" w:cs="DINOT-Light"/>
          <w:i/>
          <w:iCs/>
          <w:color w:val="000000"/>
          <w:sz w:val="18"/>
          <w:szCs w:val="18"/>
        </w:rPr>
        <w:br/>
      </w:r>
      <w:r w:rsidR="005B16E5" w:rsidRPr="00735726">
        <w:rPr>
          <w:rFonts w:ascii="Arial" w:eastAsia="Times New Roman" w:hAnsi="Arial" w:cs="DINOT-Light"/>
          <w:color w:val="000000"/>
          <w:sz w:val="18"/>
          <w:szCs w:val="18"/>
        </w:rPr>
        <w:t xml:space="preserve">The Company has a culture of continuous improvement through investment in people at all levels within the Company. The Company is committed to pursuing equality and diversity in all its employment activities including recruitment, training, career development and promotion and ensuring there is no bias or discrimination in the treatment of people. </w:t>
      </w:r>
      <w:proofErr w:type="gramStart"/>
      <w:r w:rsidR="005B16E5" w:rsidRPr="00735726">
        <w:rPr>
          <w:rFonts w:ascii="Arial" w:eastAsia="Times New Roman" w:hAnsi="Arial" w:cs="DINOT-Light"/>
          <w:color w:val="000000"/>
          <w:sz w:val="18"/>
          <w:szCs w:val="18"/>
        </w:rPr>
        <w:t>In particular, applications</w:t>
      </w:r>
      <w:proofErr w:type="gramEnd"/>
      <w:r w:rsidR="005B16E5" w:rsidRPr="00735726">
        <w:rPr>
          <w:rFonts w:ascii="Arial" w:eastAsia="Times New Roman" w:hAnsi="Arial" w:cs="DINOT-Light"/>
          <w:color w:val="000000"/>
          <w:sz w:val="18"/>
          <w:szCs w:val="18"/>
        </w:rPr>
        <w:t xml:space="preserve"> for employment are welcomed from persons with disabilities, and special arrangements and adjustments as necessary are made to ensure that applicants are treated fairly when attending for interview or for pre-employment aptitude tests. Wherever possible the opportunity is taken to retrain people who become disabled during their employment to maintain their employment within the Company.</w:t>
      </w:r>
    </w:p>
    <w:p w14:paraId="4769612A" w14:textId="7FFE2152" w:rsidR="004F030D" w:rsidRPr="009A2CAE" w:rsidRDefault="004F030D"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POLICIES</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 xml:space="preserve">The Company has policies in place covering health and safety, equal opportunities, diversity and inclusion, ethics and employee relations. Further detail of the contents of the diversity and inclusion policy are set out in the report of the Nomination Committee on page </w:t>
      </w:r>
      <w:r w:rsidR="00C52378" w:rsidRPr="009A2CAE">
        <w:rPr>
          <w:rFonts w:ascii="Arial" w:eastAsia="Times New Roman" w:hAnsi="Arial" w:cs="DINOT-Light"/>
          <w:color w:val="000000"/>
          <w:sz w:val="18"/>
          <w:szCs w:val="18"/>
        </w:rPr>
        <w:t xml:space="preserve">125 </w:t>
      </w:r>
      <w:r w:rsidR="00FD2992" w:rsidRPr="009A2CAE">
        <w:rPr>
          <w:rFonts w:ascii="Arial" w:eastAsia="Times New Roman" w:hAnsi="Arial" w:cs="DINOT-Light"/>
          <w:color w:val="000000"/>
          <w:sz w:val="18"/>
          <w:szCs w:val="18"/>
        </w:rPr>
        <w:t xml:space="preserve">to </w:t>
      </w:r>
      <w:r w:rsidR="00C52378" w:rsidRPr="009A2CAE">
        <w:rPr>
          <w:rFonts w:ascii="Arial" w:eastAsia="Times New Roman" w:hAnsi="Arial" w:cs="DINOT-Light"/>
          <w:color w:val="000000"/>
          <w:sz w:val="18"/>
          <w:szCs w:val="18"/>
        </w:rPr>
        <w:t>129</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Also, information regarding the employee diversity is provided on page</w:t>
      </w:r>
      <w:r w:rsidR="00C52378" w:rsidRPr="00735726">
        <w:rPr>
          <w:rFonts w:ascii="Arial" w:eastAsia="Times New Roman" w:hAnsi="Arial" w:cs="DINOT-Light"/>
          <w:color w:val="000000"/>
          <w:sz w:val="18"/>
          <w:szCs w:val="18"/>
        </w:rPr>
        <w:t>s</w:t>
      </w:r>
      <w:r w:rsidR="009F6298" w:rsidRPr="00735726">
        <w:rPr>
          <w:rFonts w:ascii="Arial" w:eastAsia="Times New Roman" w:hAnsi="Arial" w:cs="DINOT-Light"/>
          <w:color w:val="000000"/>
          <w:sz w:val="18"/>
          <w:szCs w:val="18"/>
        </w:rPr>
        <w:t xml:space="preserve"> </w:t>
      </w:r>
      <w:r w:rsidR="00C52378" w:rsidRPr="009A2CAE">
        <w:rPr>
          <w:rFonts w:ascii="Arial" w:eastAsia="Times New Roman" w:hAnsi="Arial" w:cs="DINOT-Light"/>
          <w:color w:val="000000"/>
          <w:sz w:val="18"/>
          <w:szCs w:val="18"/>
        </w:rPr>
        <w:t>20 to 21 and page 154</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The Board’s activities in relation to assessing and monitoring culture can be found in the Corporate Governance Statement on page</w:t>
      </w:r>
      <w:r w:rsidR="00C52378" w:rsidRPr="00735726">
        <w:rPr>
          <w:rFonts w:ascii="Arial" w:eastAsia="Times New Roman" w:hAnsi="Arial" w:cs="DINOT-Light"/>
          <w:color w:val="000000"/>
          <w:sz w:val="18"/>
          <w:szCs w:val="18"/>
        </w:rPr>
        <w:t>s</w:t>
      </w:r>
      <w:r w:rsidRPr="00735726">
        <w:rPr>
          <w:rFonts w:ascii="Arial" w:eastAsia="Times New Roman" w:hAnsi="Arial" w:cs="DINOT-Light"/>
          <w:color w:val="000000"/>
          <w:sz w:val="18"/>
          <w:szCs w:val="18"/>
        </w:rPr>
        <w:t xml:space="preserve"> </w:t>
      </w:r>
      <w:r w:rsidR="00C52378" w:rsidRPr="009A2CAE">
        <w:rPr>
          <w:rFonts w:ascii="Arial" w:eastAsia="Times New Roman" w:hAnsi="Arial" w:cs="DINOT-Light"/>
          <w:color w:val="000000"/>
          <w:sz w:val="18"/>
          <w:szCs w:val="18"/>
        </w:rPr>
        <w:t>107 to 108</w:t>
      </w:r>
      <w:r w:rsidR="00FD2992" w:rsidRPr="009A2CAE">
        <w:rPr>
          <w:rFonts w:ascii="Arial" w:eastAsia="Times New Roman" w:hAnsi="Arial" w:cs="DINOT-Light"/>
          <w:color w:val="000000"/>
          <w:sz w:val="18"/>
          <w:szCs w:val="18"/>
        </w:rPr>
        <w:t>.</w:t>
      </w:r>
    </w:p>
    <w:p w14:paraId="30C15908" w14:textId="715C61BD" w:rsidR="004F030D" w:rsidRPr="009A2CAE" w:rsidRDefault="004F030D"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FREEDOM OF ASSOCIATION</w:t>
      </w:r>
      <w:r w:rsidRPr="00735726">
        <w:rPr>
          <w:rFonts w:ascii="Arial" w:eastAsia="Times New Roman" w:hAnsi="Arial" w:cs="DINOT-Light"/>
          <w:i/>
          <w:iCs/>
          <w:color w:val="000000"/>
          <w:sz w:val="18"/>
          <w:szCs w:val="18"/>
        </w:rPr>
        <w:br/>
      </w:r>
      <w:bookmarkStart w:id="49" w:name="XMETag_c2781f4d75bc4872b9a4609dbaca034e"/>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respects the right to freedom of association and employees are consulted regularly about changes which may affect them either through their trade union-appointed representatives, through consultation groups or by means of their elected representatives at the Employee Engagement Forum. These forums, together with regular meetings with </w:t>
      </w:r>
      <w:proofErr w:type="gramStart"/>
      <w:r w:rsidRPr="00735726">
        <w:rPr>
          <w:rFonts w:ascii="Arial" w:eastAsia="Times New Roman" w:hAnsi="Arial" w:cs="DINOT-Light"/>
          <w:color w:val="000000"/>
          <w:sz w:val="18"/>
          <w:szCs w:val="18"/>
        </w:rPr>
        <w:t>particular groups</w:t>
      </w:r>
      <w:proofErr w:type="gramEnd"/>
      <w:r w:rsidRPr="00735726">
        <w:rPr>
          <w:rFonts w:ascii="Arial" w:eastAsia="Times New Roman" w:hAnsi="Arial" w:cs="DINOT-Light"/>
          <w:color w:val="000000"/>
          <w:sz w:val="18"/>
          <w:szCs w:val="18"/>
        </w:rPr>
        <w:t xml:space="preserve"> of employees, are used to ensure that employees are kept up to date with the business performance of their employer and the financial and economic factors affecting the performance of the Company.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also cascades information monthly to all employees to provide them with important and up to date information about key events and to obtain feedback from them </w:t>
      </w:r>
      <w:proofErr w:type="gramStart"/>
      <w:r w:rsidRPr="00735726">
        <w:rPr>
          <w:rFonts w:ascii="Arial" w:eastAsia="Times New Roman" w:hAnsi="Arial" w:cs="DINOT-Light"/>
          <w:color w:val="000000"/>
          <w:sz w:val="18"/>
          <w:szCs w:val="18"/>
        </w:rPr>
        <w:t>on a monthly basis</w:t>
      </w:r>
      <w:proofErr w:type="gramEnd"/>
      <w:r w:rsidRPr="00735726">
        <w:rPr>
          <w:rFonts w:ascii="Arial" w:eastAsia="Times New Roman" w:hAnsi="Arial" w:cs="DINOT-Light"/>
          <w:color w:val="000000"/>
          <w:sz w:val="18"/>
          <w:szCs w:val="18"/>
        </w:rPr>
        <w:t>.</w:t>
      </w:r>
      <w:bookmarkEnd w:id="49"/>
      <w:r w:rsidRPr="00735726">
        <w:rPr>
          <w:rFonts w:ascii="Arial" w:eastAsia="Times New Roman" w:hAnsi="Arial" w:cs="DINOT-Light"/>
          <w:color w:val="000000"/>
          <w:sz w:val="18"/>
          <w:szCs w:val="18"/>
        </w:rPr>
        <w:t xml:space="preserve"> Further information about workforce engagement and employment matters relating to the Company are set out on pages </w:t>
      </w:r>
      <w:r w:rsidR="00C52378" w:rsidRPr="009A2CAE">
        <w:rPr>
          <w:rFonts w:ascii="Arial" w:eastAsia="Times New Roman" w:hAnsi="Arial" w:cs="DINOT-Light"/>
          <w:color w:val="000000"/>
          <w:sz w:val="18"/>
          <w:szCs w:val="18"/>
        </w:rPr>
        <w:t xml:space="preserve">28 </w:t>
      </w:r>
      <w:r w:rsidR="00FD2992" w:rsidRPr="009A2CAE">
        <w:rPr>
          <w:rFonts w:ascii="Arial" w:eastAsia="Times New Roman" w:hAnsi="Arial" w:cs="DINOT-Light"/>
          <w:color w:val="000000"/>
          <w:sz w:val="18"/>
          <w:szCs w:val="18"/>
        </w:rPr>
        <w:t xml:space="preserve">to </w:t>
      </w:r>
      <w:r w:rsidR="00C52378" w:rsidRPr="009A2CAE">
        <w:rPr>
          <w:rFonts w:ascii="Arial" w:eastAsia="Times New Roman" w:hAnsi="Arial" w:cs="DINOT-Light"/>
          <w:color w:val="000000"/>
          <w:sz w:val="18"/>
          <w:szCs w:val="18"/>
        </w:rPr>
        <w:t>31</w:t>
      </w:r>
      <w:r w:rsidR="006E690A"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of the Strategic Report.</w:t>
      </w:r>
    </w:p>
    <w:p w14:paraId="04815A68" w14:textId="1CE3E8B4" w:rsidR="004F030D" w:rsidRPr="009A2CAE" w:rsidRDefault="004F030D" w:rsidP="005A5668">
      <w:pPr>
        <w:rPr>
          <w:rFonts w:ascii="Arial" w:eastAsia="Times New Roman" w:hAnsi="Arial" w:cs="DINOT-Light"/>
          <w:color w:val="000000"/>
          <w:sz w:val="18"/>
          <w:szCs w:val="18"/>
        </w:rPr>
      </w:pPr>
      <w:bookmarkStart w:id="50" w:name="_Hlk137045725"/>
      <w:r w:rsidRPr="00735726">
        <w:rPr>
          <w:rFonts w:ascii="Arial" w:eastAsia="Times New Roman" w:hAnsi="Arial" w:cs="DINOT-Light"/>
          <w:i/>
          <w:iCs/>
          <w:color w:val="000000"/>
          <w:sz w:val="18"/>
          <w:szCs w:val="18"/>
        </w:rPr>
        <w:t>SHARE OWNERSHIP</w:t>
      </w:r>
      <w:r w:rsidRPr="00735726">
        <w:rPr>
          <w:rFonts w:ascii="Arial" w:eastAsia="Times New Roman" w:hAnsi="Arial" w:cs="DINOT-Light"/>
          <w:i/>
          <w:iCs/>
          <w:color w:val="000000"/>
          <w:sz w:val="18"/>
          <w:szCs w:val="18"/>
        </w:rPr>
        <w:br/>
      </w:r>
      <w:proofErr w:type="gramStart"/>
      <w:r w:rsidRPr="00735726">
        <w:rPr>
          <w:rFonts w:ascii="Arial" w:eastAsia="Times New Roman" w:hAnsi="Arial" w:cs="DINOT-Light"/>
          <w:sz w:val="18"/>
          <w:szCs w:val="18"/>
        </w:rPr>
        <w:t>South West</w:t>
      </w:r>
      <w:proofErr w:type="gramEnd"/>
      <w:r w:rsidRPr="00735726">
        <w:rPr>
          <w:rFonts w:ascii="Arial" w:eastAsia="Times New Roman" w:hAnsi="Arial" w:cs="DINOT-Light"/>
          <w:sz w:val="18"/>
          <w:szCs w:val="18"/>
        </w:rPr>
        <w:t xml:space="preserve"> Water and the Pennon Group as a whole </w:t>
      </w:r>
      <w:proofErr w:type="gramStart"/>
      <w:r w:rsidRPr="00735726">
        <w:rPr>
          <w:rFonts w:ascii="Arial" w:eastAsia="Times New Roman" w:hAnsi="Arial" w:cs="DINOT-Light"/>
          <w:sz w:val="18"/>
          <w:szCs w:val="18"/>
        </w:rPr>
        <w:t>encourages</w:t>
      </w:r>
      <w:proofErr w:type="gramEnd"/>
      <w:r w:rsidRPr="00735726">
        <w:rPr>
          <w:rFonts w:ascii="Arial" w:eastAsia="Times New Roman" w:hAnsi="Arial" w:cs="DINOT-Light"/>
          <w:sz w:val="18"/>
          <w:szCs w:val="18"/>
        </w:rPr>
        <w:t xml:space="preserve"> share ownership among its employees in Pennon Group plc by operating an HM Revenue &amp; Customs approved </w:t>
      </w:r>
      <w:proofErr w:type="spellStart"/>
      <w:r w:rsidRPr="00735726">
        <w:rPr>
          <w:rFonts w:ascii="Arial" w:eastAsia="Times New Roman" w:hAnsi="Arial" w:cs="DINOT-Light"/>
          <w:sz w:val="18"/>
          <w:szCs w:val="18"/>
        </w:rPr>
        <w:t>ShareSave</w:t>
      </w:r>
      <w:proofErr w:type="spellEnd"/>
      <w:r w:rsidRPr="00735726">
        <w:rPr>
          <w:rFonts w:ascii="Arial" w:eastAsia="Times New Roman" w:hAnsi="Arial" w:cs="DINOT-Light"/>
          <w:sz w:val="18"/>
          <w:szCs w:val="18"/>
        </w:rPr>
        <w:t xml:space="preserve"> scheme and Share Incentive Plan. Following Pennon shareholder approval at the 20</w:t>
      </w:r>
      <w:r w:rsidR="00FD2992" w:rsidRPr="00735726">
        <w:rPr>
          <w:rFonts w:ascii="Arial" w:eastAsia="Times New Roman" w:hAnsi="Arial" w:cs="DINOT-Light"/>
          <w:sz w:val="18"/>
          <w:szCs w:val="18"/>
        </w:rPr>
        <w:t>2</w:t>
      </w:r>
      <w:r w:rsidRPr="00735726">
        <w:rPr>
          <w:rFonts w:ascii="Arial" w:eastAsia="Times New Roman" w:hAnsi="Arial" w:cs="DINOT-Light"/>
          <w:sz w:val="18"/>
          <w:szCs w:val="18"/>
        </w:rPr>
        <w:t xml:space="preserve">4 AGM, these were amended to provide for the increased savings limits approved by Government. </w:t>
      </w:r>
      <w:bookmarkStart w:id="51" w:name="_Hlk201329374"/>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31</w:t>
      </w:r>
      <w:r w:rsidR="00091F66" w:rsidRPr="00735726">
        <w:rPr>
          <w:rFonts w:ascii="Arial" w:eastAsia="Times New Roman" w:hAnsi="Arial" w:cs="DINOT-Light"/>
          <w:color w:val="000000"/>
          <w:sz w:val="18"/>
          <w:szCs w:val="18"/>
          <w:vertAlign w:val="superscript"/>
        </w:rPr>
        <w:t xml:space="preserve"> </w:t>
      </w:r>
      <w:r w:rsidRPr="00735726">
        <w:rPr>
          <w:rFonts w:ascii="Arial" w:eastAsia="Times New Roman" w:hAnsi="Arial" w:cs="DINOT-Light"/>
          <w:color w:val="000000"/>
          <w:sz w:val="18"/>
          <w:szCs w:val="18"/>
        </w:rPr>
        <w:t>March 202</w:t>
      </w:r>
      <w:r w:rsidR="00FD2992" w:rsidRPr="00735726">
        <w:rPr>
          <w:rFonts w:ascii="Arial" w:eastAsia="Times New Roman" w:hAnsi="Arial" w:cs="DINOT-Light"/>
          <w:color w:val="000000"/>
          <w:sz w:val="18"/>
          <w:szCs w:val="18"/>
        </w:rPr>
        <w:t>6</w:t>
      </w:r>
      <w:r w:rsidRPr="00735726">
        <w:rPr>
          <w:rFonts w:ascii="Arial" w:eastAsia="Times New Roman" w:hAnsi="Arial" w:cs="DINOT-Light"/>
          <w:color w:val="000000"/>
          <w:sz w:val="18"/>
          <w:szCs w:val="18"/>
        </w:rPr>
        <w:t xml:space="preserve">, approximately </w:t>
      </w:r>
      <w:r w:rsidR="00A2551E" w:rsidRPr="00735726">
        <w:rPr>
          <w:rFonts w:ascii="Arial" w:eastAsia="Times New Roman" w:hAnsi="Arial" w:cs="DINOT-Light"/>
          <w:color w:val="000000"/>
          <w:sz w:val="18"/>
          <w:szCs w:val="18"/>
        </w:rPr>
        <w:t>34%</w:t>
      </w:r>
      <w:r w:rsidRPr="00735726">
        <w:rPr>
          <w:rFonts w:ascii="Arial" w:eastAsia="Times New Roman" w:hAnsi="Arial" w:cs="DINOT-Light"/>
          <w:color w:val="000000"/>
          <w:sz w:val="18"/>
          <w:szCs w:val="18"/>
        </w:rPr>
        <w:t xml:space="preserve"> of the Company’s employees were participating in these plans.</w:t>
      </w:r>
      <w:bookmarkEnd w:id="51"/>
    </w:p>
    <w:bookmarkEnd w:id="50"/>
    <w:p w14:paraId="7175FABB" w14:textId="77777777" w:rsidR="004F030D" w:rsidRPr="00735726" w:rsidRDefault="004F030D" w:rsidP="005A5668">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MODERN SLAVERY ACT</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Our people are fundamental to our business, and we remain committed and passionate about supporting our staff, customers and communities to thrive in creating an environment where everyone can feel safe and supported. We have a clear zero-tolerance approach to modern slavery and are committed to playing our part in helping eradicate it by having systems and processes to monitor, assess and reduce the risk of forced labour and human trafficking.</w:t>
      </w:r>
    </w:p>
    <w:p w14:paraId="5620C58D" w14:textId="77777777" w:rsidR="004F030D" w:rsidRPr="00735726" w:rsidRDefault="004F030D" w:rsidP="005A5668">
      <w:pPr>
        <w:autoSpaceDE w:val="0"/>
        <w:autoSpaceDN w:val="0"/>
        <w:adjustRightInd w:val="0"/>
        <w:spacing w:after="0"/>
        <w:rPr>
          <w:rFonts w:ascii="Arial" w:eastAsia="Times New Roman" w:hAnsi="Arial" w:cs="DINOT-Light"/>
          <w:color w:val="000000"/>
          <w:sz w:val="18"/>
          <w:szCs w:val="18"/>
        </w:rPr>
      </w:pPr>
    </w:p>
    <w:p w14:paraId="486AB253" w14:textId="77777777" w:rsidR="00001838" w:rsidRPr="00735726" w:rsidRDefault="004F030D" w:rsidP="005A5668">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We remain focused on improving our risk assessment and the widening of our engagement. We have continued to engage and raise awareness, through internal training, and by continuing as a member of Slave Free Alliance. </w:t>
      </w:r>
    </w:p>
    <w:p w14:paraId="25A70F15" w14:textId="77777777" w:rsidR="00001838" w:rsidRPr="00735726" w:rsidRDefault="00001838" w:rsidP="005A5668">
      <w:pPr>
        <w:autoSpaceDE w:val="0"/>
        <w:autoSpaceDN w:val="0"/>
        <w:adjustRightInd w:val="0"/>
        <w:spacing w:after="0"/>
        <w:rPr>
          <w:rFonts w:ascii="Arial" w:eastAsia="Times New Roman" w:hAnsi="Arial" w:cs="DINOT-Light"/>
          <w:color w:val="000000"/>
          <w:sz w:val="18"/>
          <w:szCs w:val="18"/>
        </w:rPr>
      </w:pPr>
    </w:p>
    <w:p w14:paraId="164DA472" w14:textId="11936570" w:rsidR="008B68AC" w:rsidRPr="00735726" w:rsidRDefault="004F030D" w:rsidP="008B68AC">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lastRenderedPageBreak/>
        <w:t>We are part of a utilities sector working group which shares best practice across our industry. We will continue to work hard to tackle this issue collaboratively with our partners, employees, suppliers, and peers, to evolve our approach to ensure it remains effective. Our latest Modern Slavery Statement can be found here:</w:t>
      </w:r>
      <w:r w:rsidR="008B68AC" w:rsidRPr="00735726">
        <w:rPr>
          <w:rFonts w:ascii="Arial" w:eastAsia="Times New Roman" w:hAnsi="Arial" w:cs="DINOT-Light"/>
          <w:color w:val="000000"/>
          <w:sz w:val="18"/>
          <w:szCs w:val="18"/>
        </w:rPr>
        <w:t xml:space="preserve"> https://www.pennon-group.co.uk/sites/default/files/attachments/pdf/pennon-modern-slaverystatement-</w:t>
      </w:r>
    </w:p>
    <w:p w14:paraId="52196257" w14:textId="3BAA5F4A" w:rsidR="004F030D" w:rsidRPr="00735726" w:rsidRDefault="008B68AC" w:rsidP="008B68AC">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2025.pdf</w:t>
      </w:r>
    </w:p>
    <w:p w14:paraId="32DE83E4" w14:textId="2C37A900" w:rsidR="004F030D" w:rsidRPr="009A2CAE" w:rsidRDefault="00F8014A"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br/>
      </w:r>
      <w:r w:rsidR="004F030D" w:rsidRPr="00735726">
        <w:rPr>
          <w:rFonts w:ascii="Arial" w:eastAsia="Times New Roman" w:hAnsi="Arial" w:cs="DINOT-Light"/>
          <w:i/>
          <w:iCs/>
          <w:color w:val="000000"/>
          <w:sz w:val="18"/>
          <w:szCs w:val="18"/>
        </w:rPr>
        <w:t>ENERGY USAGE</w:t>
      </w:r>
      <w:r w:rsidR="004F030D" w:rsidRPr="00735726">
        <w:rPr>
          <w:rFonts w:ascii="Arial" w:eastAsia="Times New Roman" w:hAnsi="Arial" w:cs="DINOT-Light"/>
          <w:i/>
          <w:iCs/>
          <w:color w:val="000000"/>
          <w:sz w:val="18"/>
          <w:szCs w:val="18"/>
        </w:rPr>
        <w:br/>
      </w:r>
      <w:r w:rsidR="004F030D" w:rsidRPr="00735726">
        <w:rPr>
          <w:rFonts w:ascii="Arial" w:eastAsia="Times New Roman" w:hAnsi="Arial" w:cs="DINOT-Light"/>
          <w:color w:val="000000"/>
          <w:sz w:val="18"/>
          <w:szCs w:val="18"/>
        </w:rPr>
        <w:t xml:space="preserve">Details of our Energy usage can be found in the Pennon Group Annual </w:t>
      </w:r>
      <w:r w:rsidR="00D03215" w:rsidRPr="00735726">
        <w:rPr>
          <w:rFonts w:ascii="Arial" w:eastAsia="Times New Roman" w:hAnsi="Arial" w:cs="DINOT-Light"/>
          <w:color w:val="000000"/>
          <w:sz w:val="18"/>
          <w:szCs w:val="18"/>
        </w:rPr>
        <w:t xml:space="preserve">Report and Accounts </w:t>
      </w:r>
      <w:r w:rsidR="004F030D" w:rsidRPr="00735726">
        <w:rPr>
          <w:rFonts w:ascii="Arial" w:eastAsia="Times New Roman" w:hAnsi="Arial" w:cs="DINOT-Light"/>
          <w:color w:val="000000"/>
          <w:sz w:val="18"/>
          <w:szCs w:val="18"/>
        </w:rPr>
        <w:t xml:space="preserve">on page </w:t>
      </w:r>
      <w:r w:rsidR="00C52378" w:rsidRPr="009A2CAE">
        <w:rPr>
          <w:rFonts w:ascii="Arial" w:eastAsia="Times New Roman" w:hAnsi="Arial" w:cs="DINOT-Light"/>
          <w:color w:val="000000"/>
          <w:sz w:val="18"/>
          <w:szCs w:val="18"/>
        </w:rPr>
        <w:t>82</w:t>
      </w:r>
      <w:r w:rsidR="004F030D" w:rsidRPr="009A2CAE">
        <w:rPr>
          <w:rFonts w:ascii="Arial" w:eastAsia="Times New Roman" w:hAnsi="Arial" w:cs="DINOT-Light"/>
          <w:color w:val="000000"/>
          <w:sz w:val="18"/>
          <w:szCs w:val="18"/>
        </w:rPr>
        <w:t>.</w:t>
      </w:r>
    </w:p>
    <w:p w14:paraId="1D7684F7" w14:textId="5F745C17" w:rsidR="004F030D" w:rsidRPr="009A2CAE" w:rsidRDefault="004F030D"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RESEARCH AND DEVELOPMENT</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Research and development within the Company involving water and wastewater treatment processes amounted to £</w:t>
      </w:r>
      <w:r w:rsidR="004C59EA" w:rsidRPr="00735726">
        <w:rPr>
          <w:rFonts w:ascii="Arial" w:eastAsia="Times New Roman" w:hAnsi="Arial" w:cs="DINOT-Light"/>
          <w:color w:val="000000"/>
          <w:sz w:val="18"/>
          <w:szCs w:val="18"/>
        </w:rPr>
        <w:t>1.2</w:t>
      </w:r>
      <w:r w:rsidR="004C711C"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million during the year (20</w:t>
      </w:r>
      <w:r w:rsidR="00001838" w:rsidRPr="00735726">
        <w:rPr>
          <w:rFonts w:ascii="Arial" w:eastAsia="Times New Roman" w:hAnsi="Arial" w:cs="DINOT-Light"/>
          <w:color w:val="000000"/>
          <w:sz w:val="18"/>
          <w:szCs w:val="18"/>
        </w:rPr>
        <w:t>25</w:t>
      </w:r>
      <w:r w:rsidRPr="00735726">
        <w:rPr>
          <w:rFonts w:ascii="Arial" w:eastAsia="Times New Roman" w:hAnsi="Arial" w:cs="DINOT-Light"/>
          <w:color w:val="000000"/>
          <w:sz w:val="18"/>
          <w:szCs w:val="18"/>
        </w:rPr>
        <w:t>: £</w:t>
      </w:r>
      <w:r w:rsidR="00001838" w:rsidRPr="00735726">
        <w:rPr>
          <w:rFonts w:ascii="Arial" w:eastAsia="Times New Roman" w:hAnsi="Arial" w:cs="DINOT-Light"/>
          <w:color w:val="000000"/>
          <w:sz w:val="18"/>
          <w:szCs w:val="18"/>
        </w:rPr>
        <w:t>1.1</w:t>
      </w:r>
      <w:r w:rsidRPr="00735726">
        <w:rPr>
          <w:rFonts w:ascii="Arial" w:eastAsia="Times New Roman" w:hAnsi="Arial" w:cs="DINOT-Light"/>
          <w:color w:val="000000"/>
          <w:sz w:val="18"/>
          <w:szCs w:val="18"/>
        </w:rPr>
        <w:t xml:space="preserve"> million).</w:t>
      </w:r>
    </w:p>
    <w:p w14:paraId="66D7C7FA" w14:textId="77777777" w:rsidR="004F030D" w:rsidRPr="00735726" w:rsidRDefault="004F030D" w:rsidP="005A5668">
      <w:pPr>
        <w:rPr>
          <w:rFonts w:ascii="Arial" w:eastAsia="Times New Roman" w:hAnsi="Arial" w:cs="DINOT-Light"/>
          <w:color w:val="000000"/>
          <w:sz w:val="18"/>
          <w:szCs w:val="18"/>
        </w:rPr>
      </w:pPr>
      <w:r w:rsidRPr="00735726">
        <w:rPr>
          <w:rFonts w:ascii="Arial" w:eastAsia="Times New Roman" w:hAnsi="Arial" w:cs="DINOT-Light"/>
          <w:i/>
          <w:iCs/>
          <w:color w:val="000000"/>
          <w:sz w:val="18"/>
          <w:szCs w:val="18"/>
        </w:rPr>
        <w:t>OVERSEAS BRANCHES</w:t>
      </w:r>
      <w:r w:rsidRPr="00735726">
        <w:rPr>
          <w:rFonts w:ascii="Arial" w:eastAsia="Times New Roman" w:hAnsi="Arial" w:cs="DINOT-Light"/>
          <w:i/>
          <w:iCs/>
          <w:color w:val="000000"/>
          <w:sz w:val="18"/>
          <w:szCs w:val="18"/>
        </w:rPr>
        <w:br/>
      </w:r>
      <w:r w:rsidRPr="00735726">
        <w:rPr>
          <w:rFonts w:ascii="Arial" w:eastAsia="Times New Roman" w:hAnsi="Arial" w:cs="DINOT-Light"/>
          <w:color w:val="000000"/>
          <w:sz w:val="18"/>
          <w:szCs w:val="18"/>
        </w:rPr>
        <w:t>The Company has no overseas branches.</w:t>
      </w:r>
    </w:p>
    <w:p w14:paraId="7F1FB043" w14:textId="77777777" w:rsidR="004F030D" w:rsidRPr="009A2CAE" w:rsidRDefault="004F030D" w:rsidP="004F030D">
      <w:pPr>
        <w:spacing w:after="160" w:line="259" w:lineRule="auto"/>
        <w:rPr>
          <w:rFonts w:ascii="Arial" w:eastAsia="Times New Roman" w:hAnsi="Arial" w:cs="DINOT"/>
          <w:caps/>
          <w:color w:val="000000"/>
          <w:sz w:val="32"/>
          <w:szCs w:val="32"/>
        </w:rPr>
      </w:pPr>
      <w:r w:rsidRPr="009A2CAE">
        <w:br w:type="page"/>
      </w:r>
    </w:p>
    <w:p w14:paraId="7DB9F080" w14:textId="77777777" w:rsidR="004F030D" w:rsidRPr="00735726" w:rsidRDefault="004F030D" w:rsidP="004F030D">
      <w:pPr>
        <w:pStyle w:val="AccountsHeading"/>
        <w:spacing w:line="240" w:lineRule="auto"/>
        <w:outlineLvl w:val="0"/>
      </w:pPr>
      <w:r w:rsidRPr="00735726">
        <w:lastRenderedPageBreak/>
        <w:t xml:space="preserve">STATEMENT OF DIRECTORS’ RESPONSIBILITIES </w:t>
      </w:r>
    </w:p>
    <w:p w14:paraId="6E1324AD" w14:textId="685557EB" w:rsidR="003018AC" w:rsidRPr="00735726" w:rsidRDefault="004F030D" w:rsidP="005A5668">
      <w:pPr>
        <w:autoSpaceDE w:val="0"/>
        <w:autoSpaceDN w:val="0"/>
        <w:adjustRightInd w:val="0"/>
        <w:spacing w:after="0"/>
        <w:rPr>
          <w:rFonts w:ascii="Arial" w:eastAsia="Times New Roman" w:hAnsi="Arial" w:cs="DINOT-Light"/>
          <w:color w:val="000000"/>
          <w:sz w:val="18"/>
          <w:szCs w:val="18"/>
        </w:rPr>
      </w:pPr>
      <w:bookmarkStart w:id="52" w:name="XMETag_f6349c2cfbd0442dae6dbcb30675f93a"/>
      <w:r w:rsidRPr="00735726">
        <w:rPr>
          <w:rFonts w:ascii="Arial" w:eastAsia="Times New Roman" w:hAnsi="Arial" w:cs="DINOT-Light"/>
          <w:color w:val="000000"/>
          <w:sz w:val="18"/>
          <w:szCs w:val="18"/>
        </w:rPr>
        <w:br/>
        <w:t xml:space="preserve">The Directors are responsible for preparing the annual report and financial statements in accordance with applicable law and regulation. </w:t>
      </w:r>
    </w:p>
    <w:p w14:paraId="293B8A10" w14:textId="77777777" w:rsidR="003018AC" w:rsidRPr="009A2CAE" w:rsidRDefault="003018AC" w:rsidP="005A5668">
      <w:pPr>
        <w:autoSpaceDE w:val="0"/>
        <w:autoSpaceDN w:val="0"/>
        <w:adjustRightInd w:val="0"/>
        <w:spacing w:after="0"/>
        <w:rPr>
          <w:rFonts w:ascii="Arial" w:eastAsia="Times New Roman" w:hAnsi="Arial" w:cs="DINOT-Light"/>
          <w:color w:val="000000"/>
          <w:sz w:val="18"/>
          <w:szCs w:val="18"/>
        </w:rPr>
      </w:pPr>
    </w:p>
    <w:p w14:paraId="2E5E1D14" w14:textId="2D1ABC19" w:rsidR="007C1101" w:rsidRPr="00735726" w:rsidRDefault="007C1101" w:rsidP="007C1101">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Company law requires the Directors to prepare financial statements for each financial year. Under that law the directors have prepared the financial statements in accordance with United Kingdom Generally Accepted Accounting Practice (United Kingdom Accounting Standards, comprising FRS 101 </w:t>
      </w:r>
      <w:r w:rsidR="00D37776" w:rsidRPr="00735726">
        <w:rPr>
          <w:rFonts w:ascii="Arial" w:eastAsia="Times New Roman" w:hAnsi="Arial" w:cs="DINOT-Light"/>
          <w:color w:val="000000"/>
          <w:sz w:val="18"/>
          <w:szCs w:val="18"/>
        </w:rPr>
        <w:t>‘</w:t>
      </w:r>
      <w:r w:rsidRPr="00735726">
        <w:rPr>
          <w:rFonts w:ascii="Arial" w:eastAsia="Times New Roman" w:hAnsi="Arial" w:cs="DINOT-Light"/>
          <w:color w:val="000000"/>
          <w:sz w:val="18"/>
          <w:szCs w:val="18"/>
        </w:rPr>
        <w:t xml:space="preserve">Reduced Disclosure </w:t>
      </w:r>
    </w:p>
    <w:p w14:paraId="6B8E5AD6" w14:textId="75AEC9DE" w:rsidR="007C1101" w:rsidRPr="00735726" w:rsidRDefault="007C1101" w:rsidP="007C1101">
      <w:pPr>
        <w:autoSpaceDE w:val="0"/>
        <w:autoSpaceDN w:val="0"/>
        <w:adjustRightInd w:val="0"/>
        <w:spacing w:after="0"/>
        <w:rPr>
          <w:rFonts w:ascii="Arial" w:hAnsi="Arial" w:cs="Arial"/>
          <w:sz w:val="18"/>
          <w:szCs w:val="18"/>
        </w:rPr>
      </w:pPr>
      <w:r w:rsidRPr="00735726">
        <w:rPr>
          <w:rFonts w:ascii="Arial" w:eastAsia="Times New Roman" w:hAnsi="Arial" w:cs="DINOT-Light"/>
          <w:color w:val="000000"/>
          <w:sz w:val="18"/>
          <w:szCs w:val="18"/>
        </w:rPr>
        <w:t>Framework</w:t>
      </w:r>
      <w:r w:rsidR="00D37776" w:rsidRPr="00735726">
        <w:rPr>
          <w:rFonts w:ascii="Arial" w:eastAsia="Times New Roman" w:hAnsi="Arial" w:cs="DINOT-Light"/>
          <w:color w:val="000000"/>
          <w:sz w:val="18"/>
          <w:szCs w:val="18"/>
        </w:rPr>
        <w:t>’</w:t>
      </w:r>
      <w:r w:rsidRPr="00735726">
        <w:rPr>
          <w:rFonts w:ascii="Arial" w:eastAsia="Times New Roman" w:hAnsi="Arial" w:cs="DINOT-Light"/>
          <w:color w:val="000000"/>
          <w:sz w:val="18"/>
          <w:szCs w:val="18"/>
        </w:rPr>
        <w:t>, and applicable law).</w:t>
      </w:r>
    </w:p>
    <w:p w14:paraId="4F3FA406" w14:textId="77777777" w:rsidR="007C1101" w:rsidRPr="00735726" w:rsidRDefault="007C1101" w:rsidP="007C1101">
      <w:pPr>
        <w:autoSpaceDE w:val="0"/>
        <w:autoSpaceDN w:val="0"/>
        <w:adjustRightInd w:val="0"/>
        <w:spacing w:after="0"/>
        <w:rPr>
          <w:rFonts w:ascii="Arial" w:eastAsia="Times New Roman" w:hAnsi="Arial" w:cs="Arial"/>
          <w:color w:val="000000"/>
          <w:sz w:val="18"/>
          <w:szCs w:val="18"/>
        </w:rPr>
      </w:pPr>
    </w:p>
    <w:p w14:paraId="578463C1" w14:textId="0E15A1AD" w:rsidR="007C1101" w:rsidRPr="00735726" w:rsidRDefault="007C1101" w:rsidP="007C1101">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Under company law the Directors must not approve the financial statements unless they are satisfied that they give a true and fair view of the </w:t>
      </w:r>
      <w:proofErr w:type="gramStart"/>
      <w:r w:rsidRPr="00735726">
        <w:rPr>
          <w:rFonts w:ascii="Arial" w:eastAsia="Times New Roman" w:hAnsi="Arial" w:cs="DINOT-Light"/>
          <w:color w:val="000000"/>
          <w:sz w:val="18"/>
          <w:szCs w:val="18"/>
        </w:rPr>
        <w:t>state of affairs</w:t>
      </w:r>
      <w:proofErr w:type="gramEnd"/>
      <w:r w:rsidRPr="00735726">
        <w:rPr>
          <w:rFonts w:ascii="Arial" w:eastAsia="Times New Roman" w:hAnsi="Arial" w:cs="DINOT-Light"/>
          <w:color w:val="000000"/>
          <w:sz w:val="18"/>
          <w:szCs w:val="18"/>
        </w:rPr>
        <w:t xml:space="preserve"> of the Company and of the profit or loss of the Company for </w:t>
      </w:r>
      <w:r w:rsidR="0059543F" w:rsidRPr="00735726">
        <w:rPr>
          <w:rFonts w:ascii="Arial" w:eastAsia="Times New Roman" w:hAnsi="Arial" w:cs="DINOT-Light"/>
          <w:color w:val="000000"/>
          <w:sz w:val="18"/>
          <w:szCs w:val="18"/>
        </w:rPr>
        <w:t>that period</w:t>
      </w:r>
      <w:r w:rsidRPr="00735726">
        <w:rPr>
          <w:rFonts w:ascii="Arial" w:eastAsia="Times New Roman" w:hAnsi="Arial" w:cs="DINOT-Light"/>
          <w:color w:val="000000"/>
          <w:sz w:val="18"/>
          <w:szCs w:val="18"/>
        </w:rPr>
        <w:t>.</w:t>
      </w:r>
    </w:p>
    <w:p w14:paraId="0CF3BA55" w14:textId="77777777" w:rsidR="007C1101" w:rsidRPr="00735726" w:rsidRDefault="007C1101" w:rsidP="007C1101">
      <w:pPr>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In preparing these financial statements, the Directors are required to:</w:t>
      </w:r>
    </w:p>
    <w:p w14:paraId="7FE69D26" w14:textId="77777777" w:rsidR="00A044A3" w:rsidRPr="00735726" w:rsidRDefault="00A044A3" w:rsidP="007C1101">
      <w:pPr>
        <w:spacing w:after="0"/>
        <w:rPr>
          <w:rFonts w:ascii="Arial" w:eastAsia="Times New Roman" w:hAnsi="Arial" w:cs="DINOT-Light"/>
          <w:color w:val="000000"/>
          <w:sz w:val="18"/>
          <w:szCs w:val="18"/>
        </w:rPr>
      </w:pPr>
    </w:p>
    <w:p w14:paraId="7D4012D6" w14:textId="70925516" w:rsidR="007C1101" w:rsidRPr="00735726" w:rsidRDefault="008B68AC" w:rsidP="007C1101">
      <w:pPr>
        <w:pStyle w:val="ListParagraph"/>
        <w:numPr>
          <w:ilvl w:val="0"/>
          <w:numId w:val="3"/>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s</w:t>
      </w:r>
      <w:r w:rsidR="007C1101" w:rsidRPr="00735726">
        <w:rPr>
          <w:rFonts w:ascii="Arial" w:eastAsia="Times New Roman" w:hAnsi="Arial" w:cs="DINOT-Light"/>
          <w:color w:val="000000"/>
          <w:sz w:val="18"/>
          <w:szCs w:val="18"/>
        </w:rPr>
        <w:t xml:space="preserve">elect suitable accounting policies and then apply them </w:t>
      </w:r>
      <w:proofErr w:type="gramStart"/>
      <w:r w:rsidR="007C1101" w:rsidRPr="00735726">
        <w:rPr>
          <w:rFonts w:ascii="Arial" w:eastAsia="Times New Roman" w:hAnsi="Arial" w:cs="DINOT-Light"/>
          <w:color w:val="000000"/>
          <w:sz w:val="18"/>
          <w:szCs w:val="18"/>
        </w:rPr>
        <w:t>consistently;</w:t>
      </w:r>
      <w:proofErr w:type="gramEnd"/>
    </w:p>
    <w:p w14:paraId="1E1F9248" w14:textId="77777777" w:rsidR="007C1101" w:rsidRPr="00735726" w:rsidRDefault="007C1101" w:rsidP="007C1101">
      <w:pPr>
        <w:pStyle w:val="ListParagraph"/>
        <w:numPr>
          <w:ilvl w:val="0"/>
          <w:numId w:val="3"/>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state whether applicable United Kingdom Accounting Standards, comprising FRS 101 have been followed, subject to any material departures disclosed and explained in the financial </w:t>
      </w:r>
      <w:proofErr w:type="gramStart"/>
      <w:r w:rsidRPr="00735726">
        <w:rPr>
          <w:rFonts w:ascii="Arial" w:eastAsia="Times New Roman" w:hAnsi="Arial" w:cs="DINOT-Light"/>
          <w:color w:val="000000"/>
          <w:sz w:val="18"/>
          <w:szCs w:val="18"/>
        </w:rPr>
        <w:t>statements;</w:t>
      </w:r>
      <w:proofErr w:type="gramEnd"/>
    </w:p>
    <w:p w14:paraId="3C3B956B" w14:textId="4D238573" w:rsidR="007C1101" w:rsidRPr="00735726" w:rsidRDefault="008B68AC" w:rsidP="007C1101">
      <w:pPr>
        <w:pStyle w:val="ListParagraph"/>
        <w:numPr>
          <w:ilvl w:val="0"/>
          <w:numId w:val="3"/>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m</w:t>
      </w:r>
      <w:r w:rsidR="007C1101" w:rsidRPr="00735726">
        <w:rPr>
          <w:rFonts w:ascii="Arial" w:eastAsia="Times New Roman" w:hAnsi="Arial" w:cs="DINOT-Light"/>
          <w:color w:val="000000"/>
          <w:sz w:val="18"/>
          <w:szCs w:val="18"/>
        </w:rPr>
        <w:t xml:space="preserve">ake judgements and accounting estimates that are reasonable and </w:t>
      </w:r>
      <w:proofErr w:type="gramStart"/>
      <w:r w:rsidR="007C1101" w:rsidRPr="00735726">
        <w:rPr>
          <w:rFonts w:ascii="Arial" w:eastAsia="Times New Roman" w:hAnsi="Arial" w:cs="DINOT-Light"/>
          <w:color w:val="000000"/>
          <w:sz w:val="18"/>
          <w:szCs w:val="18"/>
        </w:rPr>
        <w:t>prudent;</w:t>
      </w:r>
      <w:proofErr w:type="gramEnd"/>
    </w:p>
    <w:p w14:paraId="54E00BBA" w14:textId="77777777" w:rsidR="007C1101" w:rsidRPr="00735726" w:rsidRDefault="007C1101" w:rsidP="007C1101">
      <w:pPr>
        <w:pStyle w:val="ListParagraph"/>
        <w:numPr>
          <w:ilvl w:val="0"/>
          <w:numId w:val="3"/>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prepare the financial statements on the going concern basis unless it is appropriate to presume that the Company will not continue in business.</w:t>
      </w:r>
    </w:p>
    <w:p w14:paraId="3CDA9244" w14:textId="77777777" w:rsidR="00A044A3" w:rsidRPr="00735726" w:rsidRDefault="00A044A3" w:rsidP="00A044A3">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The Directors are responsible for keeping adequate accounting records that are sufficient to show and explain the Company’s transactions and disclose with reasonable accuracy at any time the financial position of the Company; and enable them to ensure that the financial statements and the Directors’ Remuneration Report comply with the Companies Act 2006.</w:t>
      </w:r>
    </w:p>
    <w:p w14:paraId="71BC0628" w14:textId="77777777" w:rsidR="00A044A3" w:rsidRPr="00735726" w:rsidRDefault="00A044A3" w:rsidP="00A044A3">
      <w:pPr>
        <w:autoSpaceDE w:val="0"/>
        <w:autoSpaceDN w:val="0"/>
        <w:adjustRightInd w:val="0"/>
        <w:spacing w:after="0"/>
        <w:rPr>
          <w:rFonts w:ascii="Arial" w:eastAsia="Times New Roman" w:hAnsi="Arial" w:cs="DINOT-Light"/>
          <w:color w:val="000000"/>
          <w:sz w:val="18"/>
          <w:szCs w:val="18"/>
        </w:rPr>
      </w:pPr>
    </w:p>
    <w:p w14:paraId="49794EBF" w14:textId="1C7E4004" w:rsidR="00A044A3" w:rsidRPr="009A2CAE" w:rsidRDefault="00A044A3" w:rsidP="00A044A3">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The directors are responsible for the maintenance and integrity of the company’s website. Legislation in the United Kingdom governing the preparation and dissemination of financial statements may differ from legislation in other jurisdictions.</w:t>
      </w:r>
      <w:r w:rsidRPr="00735726">
        <w:rPr>
          <w:rFonts w:ascii="Arial" w:eastAsia="Times New Roman" w:hAnsi="Arial" w:cs="DINOT-Light"/>
          <w:color w:val="000000"/>
          <w:sz w:val="18"/>
          <w:szCs w:val="18"/>
        </w:rPr>
        <w:br/>
      </w:r>
    </w:p>
    <w:p w14:paraId="5B20B8A8" w14:textId="65E62729" w:rsidR="00A044A3" w:rsidRPr="00735726" w:rsidRDefault="007C1101" w:rsidP="00A044A3">
      <w:pPr>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DIRECTORS CONFIRMATIONS</w:t>
      </w:r>
      <w:r w:rsidR="00A044A3" w:rsidRPr="00735726">
        <w:rPr>
          <w:rFonts w:ascii="Arial" w:eastAsia="Times New Roman" w:hAnsi="Arial" w:cs="DINOT-Light"/>
          <w:b/>
          <w:bCs/>
          <w:color w:val="000000"/>
          <w:sz w:val="18"/>
          <w:szCs w:val="18"/>
        </w:rPr>
        <w:t xml:space="preserve"> </w:t>
      </w:r>
    </w:p>
    <w:p w14:paraId="71EB03A2" w14:textId="4D835218" w:rsidR="007C1101" w:rsidRPr="00735726" w:rsidRDefault="007C1101" w:rsidP="00A044A3">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Directors consider that the Annual Report and </w:t>
      </w:r>
      <w:r w:rsidR="00E362AD" w:rsidRPr="00735726">
        <w:rPr>
          <w:rFonts w:ascii="Arial" w:eastAsia="Times New Roman" w:hAnsi="Arial" w:cs="DINOT-Light"/>
          <w:color w:val="000000"/>
          <w:sz w:val="18"/>
          <w:szCs w:val="18"/>
        </w:rPr>
        <w:t>financial statements</w:t>
      </w:r>
      <w:r w:rsidRPr="00735726">
        <w:rPr>
          <w:rFonts w:ascii="Arial" w:eastAsia="Times New Roman" w:hAnsi="Arial" w:cs="DINOT-Light"/>
          <w:color w:val="000000"/>
          <w:sz w:val="18"/>
          <w:szCs w:val="18"/>
        </w:rPr>
        <w:t>, taken as a whole, is fair, balanced and understandable and provides the information necessary for shareholders to assess the Company’s position and performance, business model and strategy.</w:t>
      </w:r>
    </w:p>
    <w:p w14:paraId="5FF75549" w14:textId="3C86C9AD" w:rsidR="007C1101" w:rsidRPr="00735726" w:rsidRDefault="007C1101" w:rsidP="007C1101">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Each of the directors whose names and functions are listed in </w:t>
      </w:r>
      <w:r w:rsidR="00A044A3" w:rsidRPr="00735726">
        <w:rPr>
          <w:rFonts w:ascii="Arial" w:eastAsia="Times New Roman" w:hAnsi="Arial" w:cs="DINOT-Light"/>
          <w:color w:val="000000"/>
          <w:sz w:val="18"/>
          <w:szCs w:val="18"/>
        </w:rPr>
        <w:t xml:space="preserve">pages </w:t>
      </w:r>
      <w:r w:rsidR="00C52378" w:rsidRPr="009A2CAE">
        <w:rPr>
          <w:rFonts w:ascii="Arial" w:eastAsia="Times New Roman" w:hAnsi="Arial" w:cs="DINOT-Light"/>
          <w:color w:val="000000"/>
          <w:sz w:val="18"/>
          <w:szCs w:val="18"/>
        </w:rPr>
        <w:t xml:space="preserve">102 </w:t>
      </w:r>
      <w:r w:rsidR="00A044A3" w:rsidRPr="009A2CAE">
        <w:rPr>
          <w:rFonts w:ascii="Arial" w:eastAsia="Times New Roman" w:hAnsi="Arial" w:cs="DINOT-Light"/>
          <w:color w:val="000000"/>
          <w:sz w:val="18"/>
          <w:szCs w:val="18"/>
        </w:rPr>
        <w:t xml:space="preserve">to </w:t>
      </w:r>
      <w:r w:rsidR="00C52378" w:rsidRPr="009A2CAE">
        <w:rPr>
          <w:rFonts w:ascii="Arial" w:eastAsia="Times New Roman" w:hAnsi="Arial" w:cs="DINOT-Light"/>
          <w:color w:val="000000"/>
          <w:sz w:val="18"/>
          <w:szCs w:val="18"/>
        </w:rPr>
        <w:t>104</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confirm that, to the best of their knowledge:</w:t>
      </w:r>
    </w:p>
    <w:p w14:paraId="2E8FC00A" w14:textId="6DC52896" w:rsidR="007C1101" w:rsidRPr="00735726" w:rsidRDefault="007C1101" w:rsidP="00646F4F">
      <w:pPr>
        <w:pStyle w:val="ListParagraph"/>
        <w:numPr>
          <w:ilvl w:val="0"/>
          <w:numId w:val="20"/>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The company financial statements, which have been prepared in accordance with United Kingdom Accounting Standards, comprising FRS 101, give a true and fair view of the assets, liabilities and financial position of the company; and</w:t>
      </w:r>
    </w:p>
    <w:p w14:paraId="5BC71666" w14:textId="35A8E1E4" w:rsidR="007C1101" w:rsidRPr="00735726" w:rsidRDefault="007C1101" w:rsidP="00646F4F">
      <w:pPr>
        <w:pStyle w:val="ListParagraph"/>
        <w:numPr>
          <w:ilvl w:val="0"/>
          <w:numId w:val="20"/>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Strategic </w:t>
      </w:r>
      <w:r w:rsidR="00A044A3" w:rsidRPr="00735726">
        <w:rPr>
          <w:rFonts w:ascii="Arial" w:eastAsia="Times New Roman" w:hAnsi="Arial" w:cs="DINOT-Light"/>
          <w:color w:val="000000"/>
          <w:sz w:val="18"/>
          <w:szCs w:val="18"/>
        </w:rPr>
        <w:t>R</w:t>
      </w:r>
      <w:r w:rsidRPr="00735726">
        <w:rPr>
          <w:rFonts w:ascii="Arial" w:eastAsia="Times New Roman" w:hAnsi="Arial" w:cs="DINOT-Light"/>
          <w:color w:val="000000"/>
          <w:sz w:val="18"/>
          <w:szCs w:val="18"/>
        </w:rPr>
        <w:t>eport includes a fair review of the development and performance of the business and the position of the company, together with a description of the principal risks and uncertainties that it faces.</w:t>
      </w:r>
    </w:p>
    <w:p w14:paraId="7BF35EAE" w14:textId="77777777" w:rsidR="008B68AC" w:rsidRPr="00735726" w:rsidRDefault="008B68AC" w:rsidP="002B11F6">
      <w:pPr>
        <w:rPr>
          <w:rFonts w:ascii="Arial" w:eastAsia="Times New Roman" w:hAnsi="Arial" w:cs="DINOT-Light"/>
          <w:color w:val="000000"/>
          <w:sz w:val="18"/>
          <w:szCs w:val="18"/>
        </w:rPr>
      </w:pPr>
      <w:bookmarkStart w:id="53" w:name="XMETag_e639e3c062f4426d8b555b39cf55caa4"/>
      <w:bookmarkEnd w:id="52"/>
      <w:r w:rsidRPr="00735726">
        <w:rPr>
          <w:rFonts w:ascii="Arial" w:eastAsia="Times New Roman" w:hAnsi="Arial" w:cs="DINOT-Light"/>
          <w:color w:val="000000"/>
          <w:sz w:val="18"/>
          <w:szCs w:val="18"/>
        </w:rPr>
        <w:br/>
      </w:r>
    </w:p>
    <w:p w14:paraId="64A43460" w14:textId="77777777" w:rsidR="008B68AC" w:rsidRPr="00735726" w:rsidRDefault="008B68AC">
      <w:pPr>
        <w:spacing w:after="160" w:line="259" w:lineRule="auto"/>
        <w:rPr>
          <w:rFonts w:ascii="Arial" w:eastAsia="Times New Roman" w:hAnsi="Arial" w:cs="DINOT-Light"/>
          <w:color w:val="000000"/>
          <w:sz w:val="18"/>
          <w:szCs w:val="18"/>
        </w:rPr>
      </w:pPr>
      <w:r w:rsidRPr="00735726">
        <w:rPr>
          <w:rFonts w:ascii="Arial" w:eastAsia="Times New Roman" w:hAnsi="Arial" w:cs="DINOT-Light"/>
          <w:color w:val="000000"/>
          <w:sz w:val="18"/>
          <w:szCs w:val="18"/>
        </w:rPr>
        <w:br w:type="page"/>
      </w:r>
    </w:p>
    <w:p w14:paraId="1C8FD9A4" w14:textId="428432F8" w:rsidR="002B11F6" w:rsidRPr="00735726" w:rsidRDefault="002B11F6" w:rsidP="002B11F6">
      <w:pPr>
        <w:rPr>
          <w:rFonts w:ascii="Arial" w:eastAsia="Times New Roman" w:hAnsi="Arial" w:cs="DINOT-Light"/>
          <w:color w:val="000000"/>
          <w:sz w:val="18"/>
          <w:szCs w:val="18"/>
        </w:rPr>
      </w:pPr>
      <w:r w:rsidRPr="00735726">
        <w:rPr>
          <w:rFonts w:ascii="Arial" w:eastAsia="Times New Roman" w:hAnsi="Arial" w:cs="DINOT-Light"/>
          <w:color w:val="000000"/>
          <w:sz w:val="18"/>
          <w:szCs w:val="18"/>
        </w:rPr>
        <w:lastRenderedPageBreak/>
        <w:t>In the case of each director in office at the date the directors’ report is approved:</w:t>
      </w:r>
    </w:p>
    <w:p w14:paraId="0E2BEF77" w14:textId="33E17AA4" w:rsidR="004F030D" w:rsidRPr="00735726" w:rsidRDefault="002B11F6" w:rsidP="00646F4F">
      <w:pPr>
        <w:pStyle w:val="ListParagraph"/>
        <w:numPr>
          <w:ilvl w:val="0"/>
          <w:numId w:val="37"/>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s</w:t>
      </w:r>
      <w:r w:rsidR="004F030D" w:rsidRPr="00735726">
        <w:rPr>
          <w:rFonts w:ascii="Arial" w:eastAsia="Times New Roman" w:hAnsi="Arial" w:cs="DINOT-Light"/>
          <w:color w:val="000000"/>
          <w:sz w:val="18"/>
          <w:szCs w:val="18"/>
        </w:rPr>
        <w:t>o far as each of the Directors in office at the date of signing of the report is aware, there is no relevant audit information of which the Company’s auditor is unaware; and</w:t>
      </w:r>
    </w:p>
    <w:p w14:paraId="468E56B0" w14:textId="77777777" w:rsidR="004F030D" w:rsidRPr="00735726" w:rsidRDefault="004F030D" w:rsidP="00646F4F">
      <w:pPr>
        <w:pStyle w:val="ListParagraph"/>
        <w:numPr>
          <w:ilvl w:val="0"/>
          <w:numId w:val="37"/>
        </w:num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each of the Directors has taken all the steps that each Director ought to have taken as a </w:t>
      </w:r>
      <w:proofErr w:type="gramStart"/>
      <w:r w:rsidRPr="00735726">
        <w:rPr>
          <w:rFonts w:ascii="Arial" w:eastAsia="Times New Roman" w:hAnsi="Arial" w:cs="DINOT-Light"/>
          <w:color w:val="000000"/>
          <w:sz w:val="18"/>
          <w:szCs w:val="18"/>
        </w:rPr>
        <w:t>Director</w:t>
      </w:r>
      <w:proofErr w:type="gramEnd"/>
      <w:r w:rsidRPr="00735726">
        <w:rPr>
          <w:rFonts w:ascii="Arial" w:eastAsia="Times New Roman" w:hAnsi="Arial" w:cs="DINOT-Light"/>
          <w:color w:val="000000"/>
          <w:sz w:val="18"/>
          <w:szCs w:val="18"/>
        </w:rPr>
        <w:t xml:space="preserve"> </w:t>
      </w:r>
      <w:proofErr w:type="gramStart"/>
      <w:r w:rsidRPr="00735726">
        <w:rPr>
          <w:rFonts w:ascii="Arial" w:eastAsia="Times New Roman" w:hAnsi="Arial" w:cs="DINOT-Light"/>
          <w:color w:val="000000"/>
          <w:sz w:val="18"/>
          <w:szCs w:val="18"/>
        </w:rPr>
        <w:t>in order to</w:t>
      </w:r>
      <w:proofErr w:type="gramEnd"/>
      <w:r w:rsidRPr="00735726">
        <w:rPr>
          <w:rFonts w:ascii="Arial" w:eastAsia="Times New Roman" w:hAnsi="Arial" w:cs="DINOT-Light"/>
          <w:color w:val="000000"/>
          <w:sz w:val="18"/>
          <w:szCs w:val="18"/>
        </w:rPr>
        <w:t xml:space="preserve"> make himself or herself aware of any relevant audit information and to establish that the Company’s auditor is aware of that information.</w:t>
      </w:r>
      <w:bookmarkEnd w:id="53"/>
    </w:p>
    <w:p w14:paraId="5DA06917" w14:textId="5FC54B22" w:rsidR="004F030D" w:rsidRPr="009A2CAE" w:rsidRDefault="004F030D" w:rsidP="004F030D">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Directors’ report consisting of </w:t>
      </w:r>
      <w:r w:rsidRPr="00735726">
        <w:rPr>
          <w:rFonts w:ascii="Arial" w:hAnsi="Arial" w:cs="Arial"/>
          <w:sz w:val="18"/>
          <w:szCs w:val="18"/>
        </w:rPr>
        <w:t xml:space="preserve">pages </w:t>
      </w:r>
      <w:r w:rsidR="00C52378" w:rsidRPr="009A2CAE">
        <w:rPr>
          <w:rFonts w:ascii="Arial" w:hAnsi="Arial" w:cs="Arial"/>
          <w:sz w:val="18"/>
          <w:szCs w:val="18"/>
        </w:rPr>
        <w:t xml:space="preserve">96 </w:t>
      </w:r>
      <w:r w:rsidR="00A044A3" w:rsidRPr="009A2CAE">
        <w:rPr>
          <w:rFonts w:ascii="Arial" w:hAnsi="Arial" w:cs="Arial"/>
          <w:sz w:val="18"/>
          <w:szCs w:val="18"/>
        </w:rPr>
        <w:t xml:space="preserve">to </w:t>
      </w:r>
      <w:r w:rsidR="00C52378" w:rsidRPr="009A2CAE">
        <w:rPr>
          <w:rFonts w:ascii="Arial" w:hAnsi="Arial" w:cs="Arial"/>
          <w:sz w:val="18"/>
          <w:szCs w:val="18"/>
        </w:rPr>
        <w:t>167</w:t>
      </w:r>
      <w:r w:rsidRPr="009A2CAE">
        <w:rPr>
          <w:rFonts w:ascii="Arial" w:hAnsi="Arial" w:cs="Arial"/>
          <w:sz w:val="18"/>
          <w:szCs w:val="18"/>
        </w:rPr>
        <w:t xml:space="preserve"> </w:t>
      </w:r>
      <w:r w:rsidRPr="00735726">
        <w:rPr>
          <w:rFonts w:ascii="Arial" w:eastAsia="Times New Roman" w:hAnsi="Arial" w:cs="DINOT-Light"/>
          <w:color w:val="000000"/>
          <w:sz w:val="18"/>
          <w:szCs w:val="18"/>
        </w:rPr>
        <w:t xml:space="preserve">was approved by the Board on </w:t>
      </w:r>
      <w:r w:rsidR="00B96DEF" w:rsidRPr="009A2CAE">
        <w:rPr>
          <w:rFonts w:ascii="Arial" w:eastAsia="Times New Roman" w:hAnsi="Arial" w:cs="DINOT-Light"/>
          <w:color w:val="000000"/>
          <w:sz w:val="18"/>
          <w:szCs w:val="18"/>
        </w:rPr>
        <w:t>1</w:t>
      </w:r>
      <w:r w:rsidR="00C956AD">
        <w:rPr>
          <w:rFonts w:ascii="Arial" w:eastAsia="Times New Roman" w:hAnsi="Arial" w:cs="DINOT-Light"/>
          <w:color w:val="000000"/>
          <w:sz w:val="18"/>
          <w:szCs w:val="18"/>
        </w:rPr>
        <w:t>5</w:t>
      </w:r>
      <w:r w:rsidR="00B96DEF" w:rsidRPr="009A2CAE">
        <w:rPr>
          <w:rFonts w:ascii="Arial" w:eastAsia="Times New Roman" w:hAnsi="Arial" w:cs="DINOT-Light"/>
          <w:color w:val="000000"/>
          <w:sz w:val="18"/>
          <w:szCs w:val="18"/>
        </w:rPr>
        <w:t xml:space="preserve"> </w:t>
      </w:r>
      <w:r w:rsidR="0098032C" w:rsidRPr="009A2CAE">
        <w:rPr>
          <w:rFonts w:ascii="Arial" w:eastAsia="Times New Roman" w:hAnsi="Arial" w:cs="DINOT-Light"/>
          <w:color w:val="000000"/>
          <w:sz w:val="18"/>
          <w:szCs w:val="18"/>
        </w:rPr>
        <w:t>July</w:t>
      </w:r>
      <w:r w:rsidR="002F63CE" w:rsidRPr="009A2CAE">
        <w:rPr>
          <w:rFonts w:ascii="Arial" w:eastAsia="Times New Roman" w:hAnsi="Arial" w:cs="DINOT-Light"/>
          <w:color w:val="000000"/>
          <w:sz w:val="18"/>
          <w:szCs w:val="18"/>
        </w:rPr>
        <w:t xml:space="preserve"> </w:t>
      </w:r>
      <w:r w:rsidRPr="009A2CAE">
        <w:rPr>
          <w:rFonts w:ascii="Arial" w:eastAsia="Times New Roman" w:hAnsi="Arial" w:cs="DINOT-Light"/>
          <w:color w:val="000000"/>
          <w:sz w:val="18"/>
          <w:szCs w:val="18"/>
        </w:rPr>
        <w:t>202</w:t>
      </w:r>
      <w:r w:rsidR="00A044A3" w:rsidRPr="009A2CAE">
        <w:rPr>
          <w:rFonts w:ascii="Arial" w:eastAsia="Times New Roman" w:hAnsi="Arial" w:cs="DINOT-Light"/>
          <w:color w:val="000000"/>
          <w:sz w:val="18"/>
          <w:szCs w:val="18"/>
        </w:rPr>
        <w:t>6</w:t>
      </w:r>
      <w:r w:rsidRPr="009A2CAE">
        <w:rPr>
          <w:rFonts w:ascii="Arial" w:eastAsia="Times New Roman" w:hAnsi="Arial" w:cs="DINOT-Light"/>
          <w:color w:val="000000"/>
          <w:sz w:val="18"/>
          <w:szCs w:val="18"/>
        </w:rPr>
        <w:t>.</w:t>
      </w:r>
    </w:p>
    <w:p w14:paraId="6DEC784F" w14:textId="67DE7B74" w:rsidR="004F030D" w:rsidRPr="00735726" w:rsidRDefault="0098032C" w:rsidP="004F030D">
      <w:pPr>
        <w:rPr>
          <w:rFonts w:ascii="Arial" w:eastAsia="Times New Roman" w:hAnsi="Arial" w:cs="DINOT-Light"/>
          <w:color w:val="000000"/>
          <w:sz w:val="18"/>
          <w:szCs w:val="18"/>
        </w:rPr>
      </w:pPr>
      <w:r w:rsidRPr="00735726">
        <w:rPr>
          <w:rFonts w:ascii="Arial" w:eastAsia="Times New Roman" w:hAnsi="Arial" w:cs="DINOT-Light"/>
          <w:color w:val="000000"/>
          <w:sz w:val="18"/>
          <w:szCs w:val="18"/>
        </w:rPr>
        <w:t>On behalf</w:t>
      </w:r>
      <w:r w:rsidR="004F030D" w:rsidRPr="00735726">
        <w:rPr>
          <w:rFonts w:ascii="Arial" w:eastAsia="Times New Roman" w:hAnsi="Arial" w:cs="DINOT-Light"/>
          <w:color w:val="000000"/>
          <w:sz w:val="18"/>
          <w:szCs w:val="18"/>
        </w:rPr>
        <w:t xml:space="preserve"> of the Board</w:t>
      </w:r>
    </w:p>
    <w:p w14:paraId="23D0708D" w14:textId="77777777" w:rsidR="004F030D" w:rsidRPr="009A2CAE" w:rsidRDefault="004F030D" w:rsidP="004F030D">
      <w:pPr>
        <w:rPr>
          <w:rFonts w:ascii="Arial" w:eastAsia="Times New Roman" w:hAnsi="Arial" w:cs="DINOT-Light"/>
          <w:color w:val="000000"/>
          <w:sz w:val="18"/>
          <w:szCs w:val="18"/>
        </w:rPr>
      </w:pPr>
    </w:p>
    <w:p w14:paraId="0E7AA2D3" w14:textId="77777777" w:rsidR="004F030D" w:rsidRPr="009A2CAE" w:rsidRDefault="004F030D" w:rsidP="004F030D">
      <w:pPr>
        <w:rPr>
          <w:rFonts w:ascii="Arial" w:eastAsia="Times New Roman" w:hAnsi="Arial" w:cs="DINOT-Light"/>
          <w:color w:val="000000"/>
          <w:sz w:val="18"/>
          <w:szCs w:val="18"/>
        </w:rPr>
      </w:pPr>
    </w:p>
    <w:p w14:paraId="11C524B7" w14:textId="2EE04CEA" w:rsidR="004F030D" w:rsidRPr="009A2CAE" w:rsidRDefault="007E561A" w:rsidP="004F030D">
      <w:pPr>
        <w:rPr>
          <w:rFonts w:ascii="Arial" w:eastAsia="Times New Roman" w:hAnsi="Arial" w:cs="DINOT-Light"/>
          <w:color w:val="000000"/>
          <w:sz w:val="18"/>
          <w:szCs w:val="18"/>
        </w:rPr>
      </w:pPr>
      <w:r w:rsidRPr="00735726">
        <w:rPr>
          <w:rFonts w:ascii="Arial" w:eastAsia="Times New Roman" w:hAnsi="Arial" w:cs="Arial"/>
          <w:bCs/>
          <w:color w:val="000000"/>
          <w:sz w:val="18"/>
          <w:szCs w:val="18"/>
        </w:rPr>
        <w:t>Laura Flowerdew</w:t>
      </w:r>
      <w:r w:rsidR="004F030D" w:rsidRPr="00735726">
        <w:rPr>
          <w:rFonts w:ascii="Arial" w:eastAsia="Times New Roman" w:hAnsi="Arial" w:cs="Arial"/>
          <w:bCs/>
          <w:caps/>
          <w:color w:val="000000"/>
          <w:sz w:val="18"/>
          <w:szCs w:val="18"/>
        </w:rPr>
        <w:br/>
      </w:r>
      <w:r w:rsidR="0044400D" w:rsidRPr="00735726">
        <w:rPr>
          <w:rFonts w:ascii="Arial" w:eastAsia="Times New Roman" w:hAnsi="Arial" w:cs="DINOT-Light"/>
          <w:color w:val="000000"/>
          <w:sz w:val="18"/>
          <w:szCs w:val="18"/>
        </w:rPr>
        <w:t>Chief Financial Officer</w:t>
      </w:r>
      <w:r w:rsidR="004F030D" w:rsidRPr="009A2CAE">
        <w:rPr>
          <w:rFonts w:ascii="Arial" w:eastAsia="Times New Roman" w:hAnsi="Arial" w:cs="DINOT-Light"/>
          <w:color w:val="000000"/>
          <w:sz w:val="18"/>
          <w:szCs w:val="18"/>
        </w:rPr>
        <w:br/>
      </w:r>
      <w:r w:rsidR="00B96DEF" w:rsidRPr="009A2CAE">
        <w:rPr>
          <w:rFonts w:ascii="Arial" w:eastAsia="Times New Roman" w:hAnsi="Arial" w:cs="DINOT-Light"/>
          <w:color w:val="000000"/>
          <w:sz w:val="18"/>
          <w:szCs w:val="18"/>
        </w:rPr>
        <w:t>1</w:t>
      </w:r>
      <w:r w:rsidR="00C956AD">
        <w:rPr>
          <w:rFonts w:ascii="Arial" w:eastAsia="Times New Roman" w:hAnsi="Arial" w:cs="DINOT-Light"/>
          <w:color w:val="000000"/>
          <w:sz w:val="18"/>
          <w:szCs w:val="18"/>
        </w:rPr>
        <w:t>5</w:t>
      </w:r>
      <w:r w:rsidR="00B96DEF" w:rsidRPr="009A2CAE">
        <w:rPr>
          <w:rFonts w:ascii="Arial" w:eastAsia="Times New Roman" w:hAnsi="Arial" w:cs="DINOT-Light"/>
          <w:color w:val="000000"/>
          <w:sz w:val="18"/>
          <w:szCs w:val="18"/>
        </w:rPr>
        <w:t xml:space="preserve"> </w:t>
      </w:r>
      <w:r w:rsidR="00A044A3" w:rsidRPr="009A2CAE">
        <w:rPr>
          <w:rFonts w:ascii="Arial" w:eastAsia="Times New Roman" w:hAnsi="Arial" w:cs="DINOT-Light"/>
          <w:color w:val="000000"/>
          <w:sz w:val="18"/>
          <w:szCs w:val="18"/>
        </w:rPr>
        <w:t>July 2026</w:t>
      </w:r>
    </w:p>
    <w:p w14:paraId="531E2C76" w14:textId="77777777" w:rsidR="004F030D" w:rsidRPr="009A2CAE" w:rsidRDefault="004F030D" w:rsidP="004F030D">
      <w:pPr>
        <w:spacing w:line="360" w:lineRule="auto"/>
        <w:rPr>
          <w:rFonts w:ascii="Arial" w:eastAsia="Times New Roman" w:hAnsi="Arial" w:cs="DINOT-Light"/>
          <w:color w:val="000000"/>
          <w:sz w:val="18"/>
          <w:szCs w:val="18"/>
        </w:rPr>
      </w:pPr>
    </w:p>
    <w:bookmarkEnd w:id="45"/>
    <w:p w14:paraId="479C9C9C" w14:textId="77777777" w:rsidR="004F030D" w:rsidRPr="009A2CAE" w:rsidRDefault="004F030D" w:rsidP="004F030D">
      <w:pPr>
        <w:rPr>
          <w:rFonts w:ascii="Arial" w:hAnsi="Arial" w:cs="Arial"/>
          <w:sz w:val="18"/>
          <w:szCs w:val="18"/>
        </w:rPr>
      </w:pPr>
      <w:r w:rsidRPr="009A2CAE">
        <w:rPr>
          <w:rFonts w:ascii="Arial" w:hAnsi="Arial" w:cs="Arial"/>
          <w:sz w:val="18"/>
          <w:szCs w:val="18"/>
        </w:rPr>
        <w:br w:type="page"/>
      </w:r>
    </w:p>
    <w:p w14:paraId="153FEDD9" w14:textId="77777777" w:rsidR="00E0417D" w:rsidRPr="006B7199" w:rsidRDefault="00E0417D" w:rsidP="00E0417D">
      <w:pPr>
        <w:pStyle w:val="AccountsHeading"/>
        <w:spacing w:line="276" w:lineRule="auto"/>
        <w:rPr>
          <w:color w:val="auto"/>
        </w:rPr>
      </w:pPr>
      <w:bookmarkStart w:id="54" w:name="_Hlk203057689"/>
      <w:bookmarkEnd w:id="46"/>
      <w:r w:rsidRPr="006B7199">
        <w:rPr>
          <w:color w:val="auto"/>
        </w:rPr>
        <w:lastRenderedPageBreak/>
        <w:t xml:space="preserve">INDEPENDENT AUDITOR’S REPORT TO THE MEMBERS OF </w:t>
      </w:r>
      <w:proofErr w:type="gramStart"/>
      <w:r w:rsidRPr="006B7199">
        <w:rPr>
          <w:color w:val="auto"/>
        </w:rPr>
        <w:t>SOUTH WEST</w:t>
      </w:r>
      <w:proofErr w:type="gramEnd"/>
      <w:r w:rsidRPr="006B7199">
        <w:rPr>
          <w:color w:val="auto"/>
        </w:rPr>
        <w:t xml:space="preserve"> WATER LIMITED </w:t>
      </w:r>
    </w:p>
    <w:p w14:paraId="50946CCE" w14:textId="77777777" w:rsidR="00E0417D" w:rsidRPr="006B7199" w:rsidRDefault="00E0417D" w:rsidP="00E0417D">
      <w:pPr>
        <w:widowControl w:val="0"/>
        <w:tabs>
          <w:tab w:val="left" w:pos="340"/>
          <w:tab w:val="center" w:pos="5233"/>
        </w:tabs>
        <w:suppressAutoHyphens/>
        <w:autoSpaceDE w:val="0"/>
        <w:autoSpaceDN w:val="0"/>
        <w:adjustRightInd w:val="0"/>
        <w:spacing w:after="0"/>
        <w:textAlignment w:val="center"/>
        <w:outlineLvl w:val="0"/>
        <w:rPr>
          <w:rFonts w:ascii="Arial" w:eastAsia="Times New Roman" w:hAnsi="Arial" w:cs="DINOT-Light"/>
          <w:caps/>
          <w:sz w:val="24"/>
          <w:szCs w:val="24"/>
        </w:rPr>
      </w:pPr>
      <w:r w:rsidRPr="006B7199">
        <w:rPr>
          <w:rFonts w:ascii="Arial" w:eastAsia="Times New Roman" w:hAnsi="Arial" w:cs="DINOT-Light"/>
          <w:caps/>
          <w:sz w:val="24"/>
          <w:szCs w:val="24"/>
        </w:rPr>
        <w:t>Report on the audit of the financial statements</w:t>
      </w:r>
    </w:p>
    <w:p w14:paraId="691F05E8" w14:textId="77777777" w:rsidR="00E0417D" w:rsidRPr="006B7199" w:rsidRDefault="00E0417D" w:rsidP="00E0417D">
      <w:pPr>
        <w:pStyle w:val="Heading"/>
        <w:spacing w:line="276" w:lineRule="auto"/>
        <w:rPr>
          <w:rFonts w:ascii="Arial" w:eastAsia="Times New Roman" w:hAnsi="Arial" w:cs="DINOT-Light"/>
          <w:color w:val="auto"/>
          <w:sz w:val="18"/>
          <w:szCs w:val="18"/>
          <w:lang w:eastAsia="en-US"/>
        </w:rPr>
      </w:pPr>
      <w:r w:rsidRPr="006B7199">
        <w:rPr>
          <w:rFonts w:ascii="Arial" w:eastAsia="Times New Roman" w:hAnsi="Arial" w:cs="DINOT-Light"/>
          <w:color w:val="auto"/>
          <w:sz w:val="18"/>
          <w:szCs w:val="18"/>
          <w:lang w:eastAsia="en-US"/>
        </w:rPr>
        <w:t>OPINION</w:t>
      </w:r>
    </w:p>
    <w:p w14:paraId="663284C6" w14:textId="77777777" w:rsidR="00E0417D" w:rsidRPr="006B7199" w:rsidRDefault="00E0417D" w:rsidP="00E0417D">
      <w:pPr>
        <w:pStyle w:val="Text"/>
        <w:spacing w:line="276" w:lineRule="auto"/>
        <w:jc w:val="both"/>
        <w:rPr>
          <w:rFonts w:ascii="Arial" w:eastAsia="Times New Roman" w:hAnsi="Arial" w:cs="DINOT-Light"/>
          <w:color w:val="auto"/>
          <w:sz w:val="18"/>
          <w:szCs w:val="18"/>
          <w:lang w:eastAsia="en-US"/>
        </w:rPr>
      </w:pPr>
      <w:r w:rsidRPr="006B7199">
        <w:rPr>
          <w:rFonts w:ascii="Arial" w:eastAsia="Times New Roman" w:hAnsi="Arial" w:cs="DINOT-Light"/>
          <w:color w:val="auto"/>
          <w:sz w:val="18"/>
          <w:szCs w:val="18"/>
          <w:lang w:eastAsia="en-US"/>
        </w:rPr>
        <w:t xml:space="preserve">In our opinion, </w:t>
      </w:r>
      <w:proofErr w:type="gramStart"/>
      <w:r w:rsidRPr="006B7199">
        <w:rPr>
          <w:rFonts w:ascii="Arial" w:eastAsia="Times New Roman" w:hAnsi="Arial" w:cs="DINOT-Light"/>
          <w:color w:val="auto"/>
          <w:sz w:val="18"/>
          <w:szCs w:val="18"/>
          <w:lang w:eastAsia="en-US"/>
        </w:rPr>
        <w:t>South West</w:t>
      </w:r>
      <w:proofErr w:type="gramEnd"/>
      <w:r w:rsidRPr="006B7199">
        <w:rPr>
          <w:rFonts w:ascii="Arial" w:eastAsia="Times New Roman" w:hAnsi="Arial" w:cs="DINOT-Light"/>
          <w:color w:val="auto"/>
          <w:sz w:val="18"/>
          <w:szCs w:val="18"/>
          <w:lang w:eastAsia="en-US"/>
        </w:rPr>
        <w:t xml:space="preserve"> Water Limited’s financial statements:</w:t>
      </w:r>
    </w:p>
    <w:p w14:paraId="3B1C848F" w14:textId="77777777" w:rsidR="00E0417D" w:rsidRPr="006B7199" w:rsidRDefault="00E0417D" w:rsidP="00E0417D">
      <w:pPr>
        <w:pStyle w:val="Bullet"/>
        <w:numPr>
          <w:ilvl w:val="0"/>
          <w:numId w:val="118"/>
        </w:numPr>
        <w:spacing w:line="276" w:lineRule="auto"/>
        <w:jc w:val="both"/>
        <w:outlineLvl w:val="4"/>
        <w:rPr>
          <w:rFonts w:ascii="Arial" w:eastAsia="Times New Roman" w:hAnsi="Arial" w:cs="DINOT-Light"/>
          <w:color w:val="auto"/>
          <w:sz w:val="18"/>
          <w:szCs w:val="18"/>
          <w:lang w:eastAsia="en-US"/>
        </w:rPr>
      </w:pPr>
      <w:r w:rsidRPr="006B7199">
        <w:rPr>
          <w:rFonts w:ascii="Arial" w:eastAsia="Times New Roman" w:hAnsi="Arial" w:cs="DINOT-Light"/>
          <w:color w:val="auto"/>
          <w:sz w:val="18"/>
          <w:szCs w:val="18"/>
          <w:lang w:eastAsia="en-US"/>
        </w:rPr>
        <w:t xml:space="preserve">give a true and fair view of the state of the company’s affairs as </w:t>
      </w:r>
      <w:proofErr w:type="gramStart"/>
      <w:r w:rsidRPr="006B7199">
        <w:rPr>
          <w:rFonts w:ascii="Arial" w:eastAsia="Times New Roman" w:hAnsi="Arial" w:cs="DINOT-Light"/>
          <w:color w:val="auto"/>
          <w:sz w:val="18"/>
          <w:szCs w:val="18"/>
          <w:lang w:eastAsia="en-US"/>
        </w:rPr>
        <w:t>at</w:t>
      </w:r>
      <w:proofErr w:type="gramEnd"/>
      <w:r w:rsidRPr="006B7199">
        <w:rPr>
          <w:rFonts w:ascii="Arial" w:eastAsia="Times New Roman" w:hAnsi="Arial" w:cs="DINOT-Light"/>
          <w:color w:val="auto"/>
          <w:sz w:val="18"/>
          <w:szCs w:val="18"/>
          <w:lang w:eastAsia="en-US"/>
        </w:rPr>
        <w:t xml:space="preserve"> 31 March 2026 and of its profit and cash flows for the year then </w:t>
      </w:r>
      <w:proofErr w:type="gramStart"/>
      <w:r w:rsidRPr="006B7199">
        <w:rPr>
          <w:rFonts w:ascii="Arial" w:eastAsia="Times New Roman" w:hAnsi="Arial" w:cs="DINOT-Light"/>
          <w:color w:val="auto"/>
          <w:sz w:val="18"/>
          <w:szCs w:val="18"/>
          <w:lang w:eastAsia="en-US"/>
        </w:rPr>
        <w:t>ended;</w:t>
      </w:r>
      <w:proofErr w:type="gramEnd"/>
    </w:p>
    <w:p w14:paraId="5016399D" w14:textId="77777777" w:rsidR="00E0417D" w:rsidRPr="006B7199" w:rsidRDefault="00E0417D" w:rsidP="00E0417D">
      <w:pPr>
        <w:pStyle w:val="Bullet"/>
        <w:numPr>
          <w:ilvl w:val="0"/>
          <w:numId w:val="118"/>
        </w:numPr>
        <w:spacing w:line="276" w:lineRule="auto"/>
        <w:jc w:val="both"/>
        <w:outlineLvl w:val="4"/>
        <w:rPr>
          <w:rFonts w:ascii="Arial" w:eastAsia="Times New Roman" w:hAnsi="Arial" w:cs="DINOT-Light"/>
          <w:color w:val="auto"/>
          <w:sz w:val="18"/>
          <w:szCs w:val="18"/>
          <w:lang w:eastAsia="en-US"/>
        </w:rPr>
      </w:pPr>
      <w:r w:rsidRPr="006B7199">
        <w:rPr>
          <w:rFonts w:ascii="Arial" w:eastAsia="Times New Roman" w:hAnsi="Arial" w:cs="DINOT-Light"/>
          <w:color w:val="auto"/>
          <w:sz w:val="18"/>
          <w:szCs w:val="18"/>
          <w:lang w:eastAsia="en-US"/>
        </w:rPr>
        <w:t>have been properly prepared in accordance with United Kingdom Generally Accepted Accounting Practice (United Kingdom Accounting Standards, including FRS 101 “Reduced Disclosure Framework”, and applicable law); and</w:t>
      </w:r>
    </w:p>
    <w:p w14:paraId="7FAD29CD" w14:textId="77777777" w:rsidR="00E0417D" w:rsidRPr="006B7199" w:rsidRDefault="00E0417D" w:rsidP="00E0417D">
      <w:pPr>
        <w:pStyle w:val="Bullet"/>
        <w:numPr>
          <w:ilvl w:val="0"/>
          <w:numId w:val="118"/>
        </w:numPr>
        <w:spacing w:line="276" w:lineRule="auto"/>
        <w:jc w:val="both"/>
        <w:outlineLvl w:val="4"/>
        <w:rPr>
          <w:rFonts w:ascii="Arial" w:eastAsia="Times New Roman" w:hAnsi="Arial" w:cs="DINOT-Light"/>
          <w:color w:val="auto"/>
          <w:sz w:val="18"/>
          <w:szCs w:val="18"/>
          <w:lang w:eastAsia="en-US"/>
        </w:rPr>
      </w:pPr>
      <w:r w:rsidRPr="006B7199">
        <w:rPr>
          <w:rFonts w:ascii="Arial" w:eastAsia="Times New Roman" w:hAnsi="Arial" w:cs="DINOT-Light"/>
          <w:color w:val="auto"/>
          <w:sz w:val="18"/>
          <w:szCs w:val="18"/>
          <w:lang w:eastAsia="en-US"/>
        </w:rPr>
        <w:t>have been prepared in accordance with the requirements of the Companies Act 2006.</w:t>
      </w:r>
    </w:p>
    <w:p w14:paraId="3129A1A6" w14:textId="77777777" w:rsidR="00E0417D" w:rsidRPr="006B7199" w:rsidRDefault="00E0417D" w:rsidP="00E0417D">
      <w:pPr>
        <w:pStyle w:val="BetweenBullets"/>
        <w:keepNext/>
        <w:spacing w:line="276" w:lineRule="auto"/>
        <w:rPr>
          <w:rFonts w:ascii="Arial" w:eastAsia="Times New Roman" w:hAnsi="Arial" w:cs="DINOT-Light"/>
          <w:color w:val="auto"/>
          <w:sz w:val="18"/>
          <w:szCs w:val="18"/>
          <w:lang w:eastAsia="en-US"/>
        </w:rPr>
      </w:pPr>
      <w:r w:rsidRPr="006B7199">
        <w:rPr>
          <w:rFonts w:ascii="Arial" w:eastAsia="Times New Roman" w:hAnsi="Arial" w:cs="DINOT-Light"/>
          <w:color w:val="auto"/>
          <w:sz w:val="18"/>
          <w:szCs w:val="18"/>
          <w:lang w:eastAsia="en-US"/>
        </w:rPr>
        <w:t>We have audited the financial statements, included within the Annual Report and Financial Statements (the “Annual Report”), which comprise:</w:t>
      </w:r>
    </w:p>
    <w:p w14:paraId="252B20AB" w14:textId="77777777" w:rsidR="00E0417D" w:rsidRPr="006B7199" w:rsidRDefault="00E0417D" w:rsidP="00E0417D">
      <w:pPr>
        <w:pStyle w:val="Bullet"/>
        <w:numPr>
          <w:ilvl w:val="0"/>
          <w:numId w:val="0"/>
        </w:numPr>
        <w:spacing w:line="276" w:lineRule="auto"/>
        <w:ind w:left="284" w:hanging="284"/>
        <w:jc w:val="both"/>
        <w:outlineLvl w:val="4"/>
        <w:rPr>
          <w:color w:val="auto"/>
          <w:lang w:eastAsia="en-US"/>
        </w:rPr>
      </w:pPr>
    </w:p>
    <w:p w14:paraId="0290FEEA" w14:textId="77777777" w:rsidR="00E0417D" w:rsidRPr="00735726" w:rsidRDefault="00E0417D" w:rsidP="00E0417D">
      <w:pPr>
        <w:pStyle w:val="Bullet"/>
        <w:numPr>
          <w:ilvl w:val="0"/>
          <w:numId w:val="118"/>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Balance Sheet as </w:t>
      </w:r>
      <w:proofErr w:type="gramStart"/>
      <w:r w:rsidRPr="00735726">
        <w:rPr>
          <w:rFonts w:ascii="Arial" w:eastAsia="Times New Roman" w:hAnsi="Arial" w:cs="DINOT-Light"/>
          <w:color w:val="auto"/>
          <w:sz w:val="18"/>
          <w:szCs w:val="18"/>
          <w:lang w:eastAsia="en-US"/>
        </w:rPr>
        <w:t>at</w:t>
      </w:r>
      <w:proofErr w:type="gramEnd"/>
      <w:r w:rsidRPr="00735726">
        <w:rPr>
          <w:rFonts w:ascii="Arial" w:eastAsia="Times New Roman" w:hAnsi="Arial" w:cs="DINOT-Light"/>
          <w:color w:val="auto"/>
          <w:sz w:val="18"/>
          <w:szCs w:val="18"/>
          <w:lang w:eastAsia="en-US"/>
        </w:rPr>
        <w:t xml:space="preserve"> 31 March </w:t>
      </w:r>
      <w:proofErr w:type="gramStart"/>
      <w:r w:rsidRPr="00735726">
        <w:rPr>
          <w:rFonts w:ascii="Arial" w:eastAsia="Times New Roman" w:hAnsi="Arial" w:cs="DINOT-Light"/>
          <w:color w:val="auto"/>
          <w:sz w:val="18"/>
          <w:szCs w:val="18"/>
          <w:lang w:eastAsia="en-US"/>
        </w:rPr>
        <w:t>2026;</w:t>
      </w:r>
      <w:proofErr w:type="gramEnd"/>
    </w:p>
    <w:p w14:paraId="0F9012BB" w14:textId="77777777" w:rsidR="00E0417D" w:rsidRPr="00735726" w:rsidRDefault="00E0417D" w:rsidP="00E0417D">
      <w:pPr>
        <w:pStyle w:val="Bullet"/>
        <w:numPr>
          <w:ilvl w:val="0"/>
          <w:numId w:val="118"/>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Statement of Profit or Loss, for the year then </w:t>
      </w:r>
      <w:proofErr w:type="gramStart"/>
      <w:r w:rsidRPr="00735726">
        <w:rPr>
          <w:rFonts w:ascii="Arial" w:eastAsia="Times New Roman" w:hAnsi="Arial" w:cs="DINOT-Light"/>
          <w:color w:val="auto"/>
          <w:sz w:val="18"/>
          <w:szCs w:val="18"/>
          <w:lang w:eastAsia="en-US"/>
        </w:rPr>
        <w:t>ended;</w:t>
      </w:r>
      <w:proofErr w:type="gramEnd"/>
    </w:p>
    <w:p w14:paraId="252B3A7F" w14:textId="77777777" w:rsidR="00E0417D" w:rsidRPr="00735726" w:rsidRDefault="00E0417D" w:rsidP="00E0417D">
      <w:pPr>
        <w:pStyle w:val="Bullet"/>
        <w:numPr>
          <w:ilvl w:val="0"/>
          <w:numId w:val="118"/>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Statement of Comprehensive Income for the year then </w:t>
      </w:r>
      <w:proofErr w:type="gramStart"/>
      <w:r w:rsidRPr="00735726">
        <w:rPr>
          <w:rFonts w:ascii="Arial" w:eastAsia="Times New Roman" w:hAnsi="Arial" w:cs="DINOT-Light"/>
          <w:color w:val="auto"/>
          <w:sz w:val="18"/>
          <w:szCs w:val="18"/>
          <w:lang w:eastAsia="en-US"/>
        </w:rPr>
        <w:t>ended;</w:t>
      </w:r>
      <w:proofErr w:type="gramEnd"/>
    </w:p>
    <w:p w14:paraId="066FEB37" w14:textId="77777777" w:rsidR="00E0417D" w:rsidRPr="00735726" w:rsidRDefault="00E0417D" w:rsidP="00E0417D">
      <w:pPr>
        <w:pStyle w:val="Bullet"/>
        <w:numPr>
          <w:ilvl w:val="0"/>
          <w:numId w:val="118"/>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Statement of Changes in Equity for the year then </w:t>
      </w:r>
      <w:proofErr w:type="gramStart"/>
      <w:r w:rsidRPr="00735726">
        <w:rPr>
          <w:rFonts w:ascii="Arial" w:eastAsia="Times New Roman" w:hAnsi="Arial" w:cs="DINOT-Light"/>
          <w:color w:val="auto"/>
          <w:sz w:val="18"/>
          <w:szCs w:val="18"/>
          <w:lang w:eastAsia="en-US"/>
        </w:rPr>
        <w:t>ended;</w:t>
      </w:r>
      <w:proofErr w:type="gramEnd"/>
    </w:p>
    <w:p w14:paraId="0E9F3EA0" w14:textId="77777777" w:rsidR="00E0417D" w:rsidRPr="00735726" w:rsidRDefault="00E0417D" w:rsidP="00E0417D">
      <w:pPr>
        <w:pStyle w:val="Bullet"/>
        <w:numPr>
          <w:ilvl w:val="0"/>
          <w:numId w:val="118"/>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Cash Flow Statement for the year then ended; and</w:t>
      </w:r>
    </w:p>
    <w:p w14:paraId="0E3248F5" w14:textId="77777777" w:rsidR="00E0417D" w:rsidRPr="00735726" w:rsidRDefault="00E0417D" w:rsidP="00E0417D">
      <w:pPr>
        <w:pStyle w:val="Bullet"/>
        <w:numPr>
          <w:ilvl w:val="0"/>
          <w:numId w:val="118"/>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notes to the financial statements, comprising material accounting policy information and other explanatory information.</w:t>
      </w:r>
    </w:p>
    <w:p w14:paraId="3A25A7C3" w14:textId="77777777" w:rsidR="00E0417D" w:rsidRPr="00735726" w:rsidRDefault="00E0417D" w:rsidP="00E0417D">
      <w:pPr>
        <w:pStyle w:val="Heading"/>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BASIS FOR OPINION</w:t>
      </w:r>
    </w:p>
    <w:p w14:paraId="51A1A5A0"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We conducted our audit in accordance with International Standards on Auditing (UK) (“ISAs (UK)”) and applicable law. Our responsibilities under ISAs (UK) are further described in the Auditors’ responsibilities for the audit of the financial statements section of our report. We believe that the audit evidence we have obtained is sufficient and appropriate to provide a basis for our opinion.</w:t>
      </w:r>
    </w:p>
    <w:p w14:paraId="415BD766" w14:textId="77777777" w:rsidR="00E0417D" w:rsidRPr="009A2CAE"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INDEPENDENCE</w:t>
      </w:r>
    </w:p>
    <w:p w14:paraId="7B632996"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We remained independent of the company in accordance with the ethical requirements that are relevant to our audit of the financial statements in the UK, which includes the FRC’s Ethical Standard, as applicable to other entities of public interest, and we have fulfilled our other ethical responsibilities in accordance with these requirements.</w:t>
      </w:r>
    </w:p>
    <w:p w14:paraId="263F4EEA"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To the best of our knowledge and belief, we declare that non-audit services prohibited by the FRC’s Ethical Standard were not provided.</w:t>
      </w:r>
    </w:p>
    <w:p w14:paraId="65C31E61"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Other than those disclosed in </w:t>
      </w:r>
      <w:r w:rsidRPr="009A2CAE">
        <w:rPr>
          <w:rFonts w:ascii="Arial" w:eastAsia="Times New Roman" w:hAnsi="Arial" w:cs="DINOT-Light"/>
          <w:color w:val="auto"/>
          <w:sz w:val="18"/>
          <w:szCs w:val="18"/>
          <w:lang w:eastAsia="en-US"/>
        </w:rPr>
        <w:t>Note 7</w:t>
      </w:r>
      <w:r w:rsidRPr="00735726">
        <w:rPr>
          <w:rFonts w:ascii="Arial" w:eastAsia="Times New Roman" w:hAnsi="Arial" w:cs="DINOT-Light"/>
          <w:color w:val="auto"/>
          <w:sz w:val="18"/>
          <w:szCs w:val="18"/>
          <w:lang w:eastAsia="en-US"/>
        </w:rPr>
        <w:t xml:space="preserve"> to the Financial Statements, we have provided no non-audit services to the company or its controlled undertakings in the period under audit.</w:t>
      </w:r>
    </w:p>
    <w:p w14:paraId="097151FF" w14:textId="77777777" w:rsidR="00E0417D" w:rsidRPr="00735726" w:rsidRDefault="00E0417D" w:rsidP="00E0417D">
      <w:pPr>
        <w:pStyle w:val="Heading"/>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OUR AUDIT APPROACH</w:t>
      </w:r>
    </w:p>
    <w:p w14:paraId="5B63668C" w14:textId="77777777" w:rsidR="00E0417D" w:rsidRPr="00735726"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CONTEXT</w:t>
      </w:r>
    </w:p>
    <w:p w14:paraId="0F61EA92"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As part of designing our audit, we determined materiality and assessed the risks of material misstatement in the financial statements. </w:t>
      </w:r>
      <w:proofErr w:type="gramStart"/>
      <w:r w:rsidRPr="00735726">
        <w:rPr>
          <w:rFonts w:ascii="Arial" w:eastAsia="Times New Roman" w:hAnsi="Arial" w:cs="DINOT-Light"/>
          <w:color w:val="auto"/>
          <w:sz w:val="18"/>
          <w:szCs w:val="18"/>
          <w:lang w:eastAsia="en-US"/>
        </w:rPr>
        <w:t>In particular, we</w:t>
      </w:r>
      <w:proofErr w:type="gramEnd"/>
      <w:r w:rsidRPr="00735726">
        <w:rPr>
          <w:rFonts w:ascii="Arial" w:eastAsia="Times New Roman" w:hAnsi="Arial" w:cs="DINOT-Light"/>
          <w:color w:val="auto"/>
          <w:sz w:val="18"/>
          <w:szCs w:val="18"/>
          <w:lang w:eastAsia="en-US"/>
        </w:rPr>
        <w:t xml:space="preserve"> considered where the directors made subjective judgements; for example, in respect of significant accounting estimates that involved making assumptions and considering future events that are inherently uncertain. As in </w:t>
      </w:r>
      <w:proofErr w:type="gramStart"/>
      <w:r w:rsidRPr="00735726">
        <w:rPr>
          <w:rFonts w:ascii="Arial" w:eastAsia="Times New Roman" w:hAnsi="Arial" w:cs="DINOT-Light"/>
          <w:color w:val="auto"/>
          <w:sz w:val="18"/>
          <w:szCs w:val="18"/>
          <w:lang w:eastAsia="en-US"/>
        </w:rPr>
        <w:t>all of</w:t>
      </w:r>
      <w:proofErr w:type="gramEnd"/>
      <w:r w:rsidRPr="00735726">
        <w:rPr>
          <w:rFonts w:ascii="Arial" w:eastAsia="Times New Roman" w:hAnsi="Arial" w:cs="DINOT-Light"/>
          <w:color w:val="auto"/>
          <w:sz w:val="18"/>
          <w:szCs w:val="18"/>
          <w:lang w:eastAsia="en-US"/>
        </w:rPr>
        <w:t xml:space="preserve"> our audits, we also addressed the risk of management override of internal controls, including among other matters consideration of whether there was evidence of bias that represented a risk of material misstatement due to fraud. We tailored the scope of our audit </w:t>
      </w:r>
      <w:proofErr w:type="gramStart"/>
      <w:r w:rsidRPr="00735726">
        <w:rPr>
          <w:rFonts w:ascii="Arial" w:eastAsia="Times New Roman" w:hAnsi="Arial" w:cs="DINOT-Light"/>
          <w:color w:val="auto"/>
          <w:sz w:val="18"/>
          <w:szCs w:val="18"/>
          <w:lang w:eastAsia="en-US"/>
        </w:rPr>
        <w:t>in order to</w:t>
      </w:r>
      <w:proofErr w:type="gramEnd"/>
      <w:r w:rsidRPr="00735726">
        <w:rPr>
          <w:rFonts w:ascii="Arial" w:eastAsia="Times New Roman" w:hAnsi="Arial" w:cs="DINOT-Light"/>
          <w:color w:val="auto"/>
          <w:sz w:val="18"/>
          <w:szCs w:val="18"/>
          <w:lang w:eastAsia="en-US"/>
        </w:rPr>
        <w:t xml:space="preserve"> perform sufficient work to enable us to provide an opinion on the financial statements as a whole, </w:t>
      </w:r>
      <w:proofErr w:type="gramStart"/>
      <w:r w:rsidRPr="00735726">
        <w:rPr>
          <w:rFonts w:ascii="Arial" w:eastAsia="Times New Roman" w:hAnsi="Arial" w:cs="DINOT-Light"/>
          <w:color w:val="auto"/>
          <w:sz w:val="18"/>
          <w:szCs w:val="18"/>
          <w:lang w:eastAsia="en-US"/>
        </w:rPr>
        <w:t>taking into account</w:t>
      </w:r>
      <w:proofErr w:type="gramEnd"/>
      <w:r w:rsidRPr="00735726">
        <w:rPr>
          <w:rFonts w:ascii="Arial" w:eastAsia="Times New Roman" w:hAnsi="Arial" w:cs="DINOT-Light"/>
          <w:color w:val="auto"/>
          <w:sz w:val="18"/>
          <w:szCs w:val="18"/>
          <w:lang w:eastAsia="en-US"/>
        </w:rPr>
        <w:t xml:space="preserve"> the structure of the company, the accounting processes and controls, and the industry in which the company operates.</w:t>
      </w:r>
    </w:p>
    <w:p w14:paraId="3A70911F" w14:textId="77777777" w:rsidR="00E0417D" w:rsidRPr="00735726"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lastRenderedPageBreak/>
        <w:t>OVERVIEW</w:t>
      </w:r>
    </w:p>
    <w:p w14:paraId="0B7C20F1" w14:textId="77777777" w:rsidR="00E0417D" w:rsidRPr="00735726" w:rsidRDefault="00E0417D" w:rsidP="00E0417D">
      <w:pPr>
        <w:pStyle w:val="SubHeading"/>
        <w:spacing w:line="276" w:lineRule="auto"/>
        <w:jc w:val="both"/>
        <w:rPr>
          <w:rFonts w:ascii="Arial" w:eastAsia="Times New Roman" w:hAnsi="Arial" w:cs="DINOT-Light"/>
          <w:i/>
          <w:iCs/>
          <w:color w:val="auto"/>
          <w:sz w:val="18"/>
          <w:szCs w:val="18"/>
          <w:lang w:eastAsia="en-US"/>
        </w:rPr>
      </w:pPr>
      <w:r w:rsidRPr="00735726">
        <w:rPr>
          <w:rFonts w:ascii="Arial" w:eastAsia="Times New Roman" w:hAnsi="Arial" w:cs="DINOT-Light"/>
          <w:b w:val="0"/>
          <w:bCs w:val="0"/>
          <w:i/>
          <w:iCs/>
          <w:color w:val="auto"/>
          <w:sz w:val="18"/>
          <w:szCs w:val="18"/>
          <w:lang w:eastAsia="en-US"/>
        </w:rPr>
        <w:t>AUDIT SCOPE</w:t>
      </w:r>
    </w:p>
    <w:p w14:paraId="34086663"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Following our assessment of the risk of material misstatement of the Company financial statements, we identified two operations where we performed a full scope audit of their complete financial information, either due to size or risk characteristics.</w:t>
      </w:r>
    </w:p>
    <w:p w14:paraId="414CBD94" w14:textId="77777777" w:rsidR="00E0417D" w:rsidRPr="00735726" w:rsidRDefault="00E0417D" w:rsidP="00E0417D">
      <w:pPr>
        <w:pStyle w:val="SubHeading"/>
        <w:spacing w:line="276" w:lineRule="auto"/>
        <w:jc w:val="both"/>
        <w:rPr>
          <w:rFonts w:ascii="Arial" w:eastAsia="Times New Roman" w:hAnsi="Arial" w:cs="DINOT-Light"/>
          <w:i/>
          <w:iCs/>
          <w:color w:val="auto"/>
          <w:sz w:val="18"/>
          <w:szCs w:val="18"/>
          <w:lang w:eastAsia="en-US"/>
        </w:rPr>
      </w:pPr>
      <w:r w:rsidRPr="00735726">
        <w:rPr>
          <w:rFonts w:ascii="Arial" w:eastAsia="Times New Roman" w:hAnsi="Arial" w:cs="DINOT-Light"/>
          <w:b w:val="0"/>
          <w:bCs w:val="0"/>
          <w:i/>
          <w:iCs/>
          <w:color w:val="auto"/>
          <w:sz w:val="18"/>
          <w:szCs w:val="18"/>
          <w:lang w:eastAsia="en-US"/>
        </w:rPr>
        <w:t>KEY AUDIT MATTERS</w:t>
      </w:r>
    </w:p>
    <w:p w14:paraId="3811B9E6"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Revenue recognition in relation to manual adjustments to the accrued income for measured water services</w:t>
      </w:r>
    </w:p>
    <w:p w14:paraId="1B156BF2"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Valuation of the expected credit loss provision for household customer trade receivables ​</w:t>
      </w:r>
    </w:p>
    <w:p w14:paraId="1FDAF004" w14:textId="77777777" w:rsidR="00E0417D" w:rsidRPr="00735726" w:rsidRDefault="00E0417D" w:rsidP="00E0417D">
      <w:pPr>
        <w:pStyle w:val="SubHeading"/>
        <w:spacing w:line="276" w:lineRule="auto"/>
        <w:jc w:val="both"/>
        <w:rPr>
          <w:rFonts w:ascii="Arial" w:eastAsia="Times New Roman" w:hAnsi="Arial" w:cs="DINOT-Light"/>
          <w:i/>
          <w:iCs/>
          <w:color w:val="auto"/>
          <w:sz w:val="18"/>
          <w:szCs w:val="18"/>
          <w:lang w:eastAsia="en-US"/>
        </w:rPr>
      </w:pPr>
      <w:r w:rsidRPr="00735726">
        <w:rPr>
          <w:rFonts w:ascii="Arial" w:eastAsia="Times New Roman" w:hAnsi="Arial" w:cs="DINOT-Light"/>
          <w:b w:val="0"/>
          <w:bCs w:val="0"/>
          <w:i/>
          <w:iCs/>
          <w:color w:val="auto"/>
          <w:sz w:val="18"/>
          <w:szCs w:val="18"/>
          <w:lang w:eastAsia="en-US"/>
        </w:rPr>
        <w:t>MATERIALITY</w:t>
      </w:r>
    </w:p>
    <w:p w14:paraId="2D369FC6"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Overall materiality: £14,000,000 (2024/25: £11,088,000) based on 1.5% of Revenue.</w:t>
      </w:r>
    </w:p>
    <w:p w14:paraId="239C2C00"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Performance materiality: £10,500,000 (2024/25: £8,316,000).</w:t>
      </w:r>
    </w:p>
    <w:p w14:paraId="3950B0E6" w14:textId="77777777" w:rsidR="00E0417D" w:rsidRPr="00735726"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THE SCOPE OF OUR AUDIT</w:t>
      </w:r>
    </w:p>
    <w:p w14:paraId="679F4A88"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As part of designing our audit, we determined materiality and assessed the risks of material misstatement in the financial statements.</w:t>
      </w:r>
    </w:p>
    <w:p w14:paraId="64FB4195" w14:textId="77777777" w:rsidR="00E0417D" w:rsidRPr="00735726"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KEY AUDIT MATTERS</w:t>
      </w:r>
    </w:p>
    <w:p w14:paraId="160FECD7" w14:textId="77777777" w:rsidR="00E0417D" w:rsidRPr="00735726" w:rsidRDefault="00E0417D" w:rsidP="00E0417D">
      <w:pPr>
        <w:pStyle w:val="Text"/>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Key audit matters are those matters that, in the auditors’ professional judgement, were of most significance in the audit of the financial statements of the current period and include the most significant assessed risks of material misstatement (whether or not due to fraud) identified by the auditors, including those which had the greatest effect on: the overall audit strategy; the allocation of resources in the audit; and directing the efforts of the engagement team. These matters, and any comments we make on the results of our procedures thereon, were addressed in the context of our audit of the financial </w:t>
      </w:r>
      <w:proofErr w:type="gramStart"/>
      <w:r w:rsidRPr="00735726">
        <w:rPr>
          <w:rFonts w:ascii="Arial" w:eastAsia="Times New Roman" w:hAnsi="Arial" w:cs="DINOT-Light"/>
          <w:color w:val="auto"/>
          <w:sz w:val="18"/>
          <w:szCs w:val="18"/>
          <w:lang w:eastAsia="en-US"/>
        </w:rPr>
        <w:t>statements as a whole, and</w:t>
      </w:r>
      <w:proofErr w:type="gramEnd"/>
      <w:r w:rsidRPr="00735726">
        <w:rPr>
          <w:rFonts w:ascii="Arial" w:eastAsia="Times New Roman" w:hAnsi="Arial" w:cs="DINOT-Light"/>
          <w:color w:val="auto"/>
          <w:sz w:val="18"/>
          <w:szCs w:val="18"/>
          <w:lang w:eastAsia="en-US"/>
        </w:rPr>
        <w:t xml:space="preserve"> in forming our opinion thereon, and we do not provide a separate opinion on these matters.</w:t>
      </w:r>
    </w:p>
    <w:p w14:paraId="7BFDA34F"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This is not a complete list of all risks identified by our audit.</w:t>
      </w:r>
    </w:p>
    <w:p w14:paraId="4C6EF82C" w14:textId="77777777" w:rsidR="00E0417D" w:rsidRPr="00735726" w:rsidRDefault="00E0417D" w:rsidP="00E0417D">
      <w:pPr>
        <w:pStyle w:val="Text"/>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key audit matters below are consistent with last year.</w:t>
      </w:r>
    </w:p>
    <w:tbl>
      <w:tblPr>
        <w:tblStyle w:val="TableGrid"/>
        <w:tblW w:w="0" w:type="auto"/>
        <w:tblLook w:val="04A0" w:firstRow="1" w:lastRow="0" w:firstColumn="1" w:lastColumn="0" w:noHBand="0" w:noVBand="1"/>
      </w:tblPr>
      <w:tblGrid>
        <w:gridCol w:w="4508"/>
        <w:gridCol w:w="4508"/>
      </w:tblGrid>
      <w:tr w:rsidR="00E0417D" w:rsidRPr="00735726" w14:paraId="126D8834" w14:textId="77777777" w:rsidTr="00C6420F">
        <w:tc>
          <w:tcPr>
            <w:tcW w:w="4508" w:type="dxa"/>
          </w:tcPr>
          <w:p w14:paraId="58338E2B" w14:textId="77777777" w:rsidR="00E0417D" w:rsidRPr="00735726" w:rsidRDefault="00E0417D" w:rsidP="00C6420F">
            <w:pPr>
              <w:pStyle w:val="AccountsHeading"/>
              <w:spacing w:line="276" w:lineRule="auto"/>
              <w:rPr>
                <w:rFonts w:cs="DINOT-Light"/>
                <w:b/>
                <w:bCs/>
                <w:caps w:val="0"/>
                <w:color w:val="auto"/>
                <w:sz w:val="18"/>
                <w:szCs w:val="18"/>
              </w:rPr>
            </w:pPr>
            <w:r w:rsidRPr="00735726">
              <w:rPr>
                <w:rFonts w:cs="DINOT-Light"/>
                <w:b/>
                <w:bCs/>
                <w:caps w:val="0"/>
                <w:color w:val="auto"/>
                <w:sz w:val="18"/>
                <w:szCs w:val="18"/>
              </w:rPr>
              <w:t>Key audit matter</w:t>
            </w:r>
          </w:p>
        </w:tc>
        <w:tc>
          <w:tcPr>
            <w:tcW w:w="4508" w:type="dxa"/>
          </w:tcPr>
          <w:p w14:paraId="4CE1EDD3" w14:textId="77777777" w:rsidR="00E0417D" w:rsidRPr="00735726" w:rsidRDefault="00E0417D" w:rsidP="00C6420F">
            <w:pPr>
              <w:pStyle w:val="AccountsHeading"/>
              <w:spacing w:line="276" w:lineRule="auto"/>
              <w:rPr>
                <w:rFonts w:cs="DINOT-Light"/>
                <w:b/>
                <w:bCs/>
                <w:caps w:val="0"/>
                <w:color w:val="auto"/>
                <w:sz w:val="18"/>
                <w:szCs w:val="18"/>
              </w:rPr>
            </w:pPr>
            <w:r w:rsidRPr="00735726">
              <w:rPr>
                <w:rFonts w:cs="DINOT-Light"/>
                <w:b/>
                <w:bCs/>
                <w:caps w:val="0"/>
                <w:color w:val="auto"/>
                <w:sz w:val="18"/>
                <w:szCs w:val="18"/>
              </w:rPr>
              <w:t>How our audit addressed the key audit matter</w:t>
            </w:r>
          </w:p>
        </w:tc>
      </w:tr>
      <w:tr w:rsidR="00E0417D" w:rsidRPr="00735726" w14:paraId="544EFCAF" w14:textId="77777777" w:rsidTr="00C6420F">
        <w:tc>
          <w:tcPr>
            <w:tcW w:w="4508" w:type="dxa"/>
          </w:tcPr>
          <w:p w14:paraId="0F0EF07C" w14:textId="77777777" w:rsidR="00E0417D" w:rsidRPr="00735726" w:rsidRDefault="00E0417D" w:rsidP="00C6420F">
            <w:pPr>
              <w:pStyle w:val="AccountsHeading"/>
              <w:spacing w:line="276" w:lineRule="auto"/>
              <w:rPr>
                <w:rFonts w:cs="DINOT-Light"/>
                <w:i/>
                <w:iCs/>
                <w:caps w:val="0"/>
                <w:color w:val="auto"/>
                <w:sz w:val="18"/>
                <w:szCs w:val="18"/>
              </w:rPr>
            </w:pPr>
            <w:r w:rsidRPr="00735726">
              <w:rPr>
                <w:rFonts w:cs="DINOT-Light"/>
                <w:i/>
                <w:iCs/>
                <w:caps w:val="0"/>
                <w:color w:val="auto"/>
                <w:sz w:val="18"/>
                <w:szCs w:val="18"/>
              </w:rPr>
              <w:t>Revenue recognition in relation to manual adjustments to the accrued income for measured water services</w:t>
            </w:r>
          </w:p>
          <w:p w14:paraId="4B2C845C" w14:textId="77777777" w:rsidR="00E0417D" w:rsidRPr="00735726" w:rsidRDefault="00E0417D" w:rsidP="00C6420F">
            <w:pPr>
              <w:pStyle w:val="AccountsHeading"/>
              <w:spacing w:line="276" w:lineRule="auto"/>
              <w:rPr>
                <w:rFonts w:cs="DINOT-Light"/>
                <w:caps w:val="0"/>
                <w:color w:val="auto"/>
                <w:sz w:val="18"/>
                <w:szCs w:val="18"/>
              </w:rPr>
            </w:pPr>
          </w:p>
          <w:p w14:paraId="05DEA9EC" w14:textId="77777777" w:rsidR="00E0417D" w:rsidRPr="00735726" w:rsidRDefault="00E0417D" w:rsidP="00C6420F">
            <w:pPr>
              <w:pStyle w:val="AccountsHeading"/>
              <w:spacing w:line="276" w:lineRule="auto"/>
              <w:rPr>
                <w:rFonts w:cs="DINOT-Light"/>
                <w:caps w:val="0"/>
                <w:color w:val="auto"/>
                <w:sz w:val="18"/>
                <w:szCs w:val="18"/>
              </w:rPr>
            </w:pPr>
            <w:r w:rsidRPr="00735726">
              <w:rPr>
                <w:rFonts w:cs="DINOT-Light"/>
                <w:caps w:val="0"/>
                <w:color w:val="auto"/>
                <w:sz w:val="18"/>
                <w:szCs w:val="18"/>
              </w:rPr>
              <w:t xml:space="preserve">The Company's revenue streams include the provision of water and </w:t>
            </w:r>
            <w:proofErr w:type="gramStart"/>
            <w:r w:rsidRPr="00735726">
              <w:rPr>
                <w:rFonts w:cs="DINOT-Light"/>
                <w:caps w:val="0"/>
                <w:color w:val="auto"/>
                <w:sz w:val="18"/>
                <w:szCs w:val="18"/>
              </w:rPr>
              <w:t>waste water</w:t>
            </w:r>
            <w:proofErr w:type="gramEnd"/>
            <w:r w:rsidRPr="00735726">
              <w:rPr>
                <w:rFonts w:cs="DINOT-Light"/>
                <w:caps w:val="0"/>
                <w:color w:val="auto"/>
                <w:sz w:val="18"/>
                <w:szCs w:val="18"/>
              </w:rPr>
              <w:t xml:space="preserve"> services. Revenue from measured water services requires an estimation of the level of usage/ consumption of water and/ or wastewater services between the last meter read date and the balance sheet date. The directors apply judgment through manual adjustments for factors such as seasonality and operational data trends regarding consumption, which are adjusted on top of the system generated information covering volume usage and the last meter reading. We focused on this area because the manual adjustments are judgmental and therefore the position adopted is subjective.</w:t>
            </w:r>
          </w:p>
          <w:p w14:paraId="4A2976CF" w14:textId="77777777" w:rsidR="00E0417D" w:rsidRPr="00735726" w:rsidRDefault="00E0417D" w:rsidP="00C6420F">
            <w:pPr>
              <w:pStyle w:val="AccountsHeading"/>
              <w:spacing w:line="276" w:lineRule="auto"/>
              <w:rPr>
                <w:i/>
                <w:iCs/>
                <w:color w:val="auto"/>
              </w:rPr>
            </w:pPr>
          </w:p>
        </w:tc>
        <w:tc>
          <w:tcPr>
            <w:tcW w:w="4508" w:type="dxa"/>
          </w:tcPr>
          <w:p w14:paraId="33BFC641" w14:textId="77777777" w:rsidR="00E0417D" w:rsidRPr="00735726" w:rsidRDefault="00E0417D" w:rsidP="00C6420F">
            <w:pPr>
              <w:pStyle w:val="AccountsHeading"/>
              <w:spacing w:line="276" w:lineRule="auto"/>
              <w:rPr>
                <w:rFonts w:cs="DINOT-Light"/>
                <w:caps w:val="0"/>
                <w:color w:val="auto"/>
                <w:sz w:val="18"/>
                <w:szCs w:val="18"/>
              </w:rPr>
            </w:pPr>
            <w:r w:rsidRPr="00735726">
              <w:rPr>
                <w:rFonts w:cs="DINOT-Light"/>
                <w:caps w:val="0"/>
                <w:color w:val="auto"/>
                <w:sz w:val="18"/>
                <w:szCs w:val="18"/>
              </w:rPr>
              <w:t xml:space="preserve">As part of our audit of the Directors’ judgment over the level of manual adjustments required: </w:t>
            </w:r>
          </w:p>
          <w:p w14:paraId="5F258A65" w14:textId="77777777" w:rsidR="00E0417D" w:rsidRPr="00735726" w:rsidRDefault="00E0417D" w:rsidP="00C6420F">
            <w:pPr>
              <w:pStyle w:val="AccountsHeading"/>
              <w:spacing w:line="276" w:lineRule="auto"/>
              <w:rPr>
                <w:rFonts w:cs="DINOT-Light"/>
                <w:caps w:val="0"/>
                <w:color w:val="auto"/>
                <w:sz w:val="18"/>
                <w:szCs w:val="18"/>
              </w:rPr>
            </w:pPr>
          </w:p>
          <w:p w14:paraId="3E3B3C47" w14:textId="77777777" w:rsidR="00E0417D" w:rsidRPr="00735726" w:rsidRDefault="00E0417D" w:rsidP="00E0417D">
            <w:pPr>
              <w:pStyle w:val="AccountsHeading"/>
              <w:numPr>
                <w:ilvl w:val="0"/>
                <w:numId w:val="117"/>
              </w:numPr>
              <w:spacing w:line="276" w:lineRule="auto"/>
              <w:ind w:left="342" w:hanging="284"/>
              <w:rPr>
                <w:rFonts w:cs="DINOT-Light"/>
                <w:caps w:val="0"/>
                <w:color w:val="auto"/>
                <w:sz w:val="18"/>
                <w:szCs w:val="18"/>
              </w:rPr>
            </w:pPr>
            <w:r w:rsidRPr="00735726">
              <w:rPr>
                <w:rFonts w:cs="DINOT-Light"/>
                <w:caps w:val="0"/>
                <w:color w:val="auto"/>
                <w:sz w:val="18"/>
                <w:szCs w:val="18"/>
              </w:rPr>
              <w:t xml:space="preserve">We have performed walkthrough procedures to understand the process for calculating the accrued income, with a specific focus on the directors’ methodology, including reviewing accounting papers supporting the </w:t>
            </w:r>
            <w:proofErr w:type="gramStart"/>
            <w:r w:rsidRPr="00735726">
              <w:rPr>
                <w:rFonts w:cs="DINOT-Light"/>
                <w:caps w:val="0"/>
                <w:color w:val="auto"/>
                <w:sz w:val="18"/>
                <w:szCs w:val="18"/>
              </w:rPr>
              <w:t>estimation;</w:t>
            </w:r>
            <w:proofErr w:type="gramEnd"/>
            <w:r w:rsidRPr="00735726">
              <w:rPr>
                <w:rFonts w:cs="DINOT-Light"/>
                <w:caps w:val="0"/>
                <w:color w:val="auto"/>
                <w:sz w:val="18"/>
                <w:szCs w:val="18"/>
              </w:rPr>
              <w:t xml:space="preserve"> </w:t>
            </w:r>
          </w:p>
          <w:p w14:paraId="018445BD" w14:textId="77777777" w:rsidR="00E0417D" w:rsidRPr="00735726" w:rsidRDefault="00E0417D" w:rsidP="00E0417D">
            <w:pPr>
              <w:pStyle w:val="AccountsHeading"/>
              <w:numPr>
                <w:ilvl w:val="0"/>
                <w:numId w:val="117"/>
              </w:numPr>
              <w:spacing w:line="276" w:lineRule="auto"/>
              <w:ind w:left="342" w:hanging="284"/>
              <w:rPr>
                <w:rFonts w:cs="DINOT-Light"/>
                <w:caps w:val="0"/>
                <w:color w:val="auto"/>
                <w:sz w:val="18"/>
                <w:szCs w:val="18"/>
              </w:rPr>
            </w:pPr>
            <w:r w:rsidRPr="00735726">
              <w:rPr>
                <w:rFonts w:cs="DINOT-Light"/>
                <w:caps w:val="0"/>
                <w:color w:val="auto"/>
                <w:sz w:val="18"/>
                <w:szCs w:val="18"/>
              </w:rPr>
              <w:t xml:space="preserve">We performed lookback procedures over the directors historical forecasting to assess the accuracy of the manual adjustments </w:t>
            </w:r>
            <w:proofErr w:type="gramStart"/>
            <w:r w:rsidRPr="00735726">
              <w:rPr>
                <w:rFonts w:cs="DINOT-Light"/>
                <w:caps w:val="0"/>
                <w:color w:val="auto"/>
                <w:sz w:val="18"/>
                <w:szCs w:val="18"/>
              </w:rPr>
              <w:t>applied;</w:t>
            </w:r>
            <w:proofErr w:type="gramEnd"/>
            <w:r w:rsidRPr="00735726">
              <w:rPr>
                <w:rFonts w:cs="DINOT-Light"/>
                <w:caps w:val="0"/>
                <w:color w:val="auto"/>
                <w:sz w:val="18"/>
                <w:szCs w:val="18"/>
              </w:rPr>
              <w:t xml:space="preserve"> </w:t>
            </w:r>
          </w:p>
          <w:p w14:paraId="4A74243F" w14:textId="77777777" w:rsidR="00E0417D" w:rsidRPr="00735726" w:rsidRDefault="00E0417D" w:rsidP="00E0417D">
            <w:pPr>
              <w:pStyle w:val="AccountsHeading"/>
              <w:numPr>
                <w:ilvl w:val="0"/>
                <w:numId w:val="117"/>
              </w:numPr>
              <w:spacing w:line="276" w:lineRule="auto"/>
              <w:ind w:left="342" w:hanging="284"/>
              <w:rPr>
                <w:rFonts w:cs="DINOT-Light"/>
                <w:caps w:val="0"/>
                <w:color w:val="auto"/>
                <w:sz w:val="18"/>
                <w:szCs w:val="18"/>
              </w:rPr>
            </w:pPr>
            <w:r w:rsidRPr="00735726">
              <w:rPr>
                <w:rFonts w:cs="DINOT-Light"/>
                <w:caps w:val="0"/>
                <w:color w:val="auto"/>
                <w:sz w:val="18"/>
                <w:szCs w:val="18"/>
              </w:rPr>
              <w:t>We performed post year-end lookback procedures over the 2025/26 accrued income based on amounts subsequently billed in April 2026; and</w:t>
            </w:r>
          </w:p>
          <w:p w14:paraId="649F74C1" w14:textId="77777777" w:rsidR="00E0417D" w:rsidRPr="00735726" w:rsidRDefault="00E0417D" w:rsidP="00E0417D">
            <w:pPr>
              <w:pStyle w:val="AccountsHeading"/>
              <w:numPr>
                <w:ilvl w:val="0"/>
                <w:numId w:val="117"/>
              </w:numPr>
              <w:spacing w:line="276" w:lineRule="auto"/>
              <w:ind w:left="342" w:hanging="284"/>
              <w:rPr>
                <w:rFonts w:cs="DINOT-Light"/>
                <w:caps w:val="0"/>
                <w:color w:val="auto"/>
                <w:sz w:val="18"/>
                <w:szCs w:val="18"/>
              </w:rPr>
            </w:pPr>
            <w:r w:rsidRPr="00735726">
              <w:rPr>
                <w:rFonts w:cs="DINOT-Light"/>
                <w:caps w:val="0"/>
                <w:color w:val="auto"/>
                <w:sz w:val="18"/>
                <w:szCs w:val="18"/>
              </w:rPr>
              <w:t>We developed an independent range estimate to assess the reasonableness of the estimate generated by the directors. Based on our procedures, the conclusion that the level of manual adjustments applied was reasonable is consistent with the evidence obtained.</w:t>
            </w:r>
          </w:p>
        </w:tc>
      </w:tr>
      <w:tr w:rsidR="00E0417D" w:rsidRPr="00735726" w14:paraId="41287FFD" w14:textId="77777777" w:rsidTr="00C6420F">
        <w:tc>
          <w:tcPr>
            <w:tcW w:w="4508" w:type="dxa"/>
          </w:tcPr>
          <w:p w14:paraId="7540A6FA" w14:textId="77777777" w:rsidR="00E0417D" w:rsidRPr="00735726" w:rsidRDefault="00E0417D" w:rsidP="00C6420F">
            <w:pPr>
              <w:pStyle w:val="AccountsHeading"/>
              <w:spacing w:line="276" w:lineRule="auto"/>
              <w:rPr>
                <w:rFonts w:cs="DINOT-Light"/>
                <w:i/>
                <w:iCs/>
                <w:caps w:val="0"/>
                <w:color w:val="auto"/>
                <w:sz w:val="18"/>
                <w:szCs w:val="18"/>
              </w:rPr>
            </w:pPr>
            <w:r w:rsidRPr="00735726">
              <w:rPr>
                <w:rFonts w:cs="DINOT-Light"/>
                <w:i/>
                <w:iCs/>
                <w:caps w:val="0"/>
                <w:color w:val="auto"/>
                <w:sz w:val="18"/>
                <w:szCs w:val="18"/>
              </w:rPr>
              <w:t>Valuation of the expected credit loss provision for household customer trade receivables ​</w:t>
            </w:r>
          </w:p>
          <w:p w14:paraId="4C52CA1E" w14:textId="77777777" w:rsidR="00E0417D" w:rsidRPr="00735726" w:rsidRDefault="00E0417D" w:rsidP="00C6420F">
            <w:pPr>
              <w:pStyle w:val="AccountsHeading"/>
              <w:spacing w:line="276" w:lineRule="auto"/>
              <w:rPr>
                <w:rFonts w:cs="DINOT-Light"/>
                <w:i/>
                <w:iCs/>
                <w:caps w:val="0"/>
                <w:color w:val="auto"/>
                <w:sz w:val="18"/>
                <w:szCs w:val="18"/>
              </w:rPr>
            </w:pPr>
          </w:p>
          <w:p w14:paraId="1F20C022" w14:textId="5F4912CD" w:rsidR="00E0417D" w:rsidRPr="00735726" w:rsidRDefault="00E0417D" w:rsidP="00C6420F">
            <w:pPr>
              <w:pStyle w:val="AccountsHeading"/>
              <w:spacing w:line="276" w:lineRule="auto"/>
              <w:rPr>
                <w:rFonts w:cs="DINOT-Light"/>
                <w:caps w:val="0"/>
                <w:color w:val="auto"/>
                <w:sz w:val="18"/>
                <w:szCs w:val="18"/>
              </w:rPr>
            </w:pPr>
            <w:r w:rsidRPr="00735726">
              <w:rPr>
                <w:rFonts w:cs="DINOT-Light"/>
                <w:caps w:val="0"/>
                <w:color w:val="auto"/>
                <w:sz w:val="18"/>
                <w:szCs w:val="18"/>
              </w:rPr>
              <w:lastRenderedPageBreak/>
              <w:t xml:space="preserve">The expected credit loss provision for household customer balances is calculated using a combination of system generated information on historic debt recovery rates and the directors' judgement of whether manual adjustments are necessary to reflect the future likely level of cash collections where these are expected to not be represented by historic losses. We focused on this area because the key assumptions driving whether manual adjustments are required are subjective and require the directors to apply judgment. The key assumption related to these manual adjustments is whether historic level of collections is indicative of the ability to collect at the same levels in the future. The risk of non-recovery from customers varies, depending on </w:t>
            </w:r>
            <w:proofErr w:type="gramStart"/>
            <w:r w:rsidRPr="00735726">
              <w:rPr>
                <w:rFonts w:cs="DINOT-Light"/>
                <w:caps w:val="0"/>
                <w:color w:val="auto"/>
                <w:sz w:val="18"/>
                <w:szCs w:val="18"/>
              </w:rPr>
              <w:t>a number of</w:t>
            </w:r>
            <w:proofErr w:type="gramEnd"/>
            <w:r w:rsidRPr="00735726">
              <w:rPr>
                <w:rFonts w:cs="DINOT-Light"/>
                <w:caps w:val="0"/>
                <w:color w:val="auto"/>
                <w:sz w:val="18"/>
                <w:szCs w:val="18"/>
              </w:rPr>
              <w:t xml:space="preserve"> factors which include, but are not limited to; increases to inflation and water tariffs, changes to customer support programmes, whether the household customer no longer occupies a property in the area and the level of expected leakage.</w:t>
            </w:r>
          </w:p>
        </w:tc>
        <w:tc>
          <w:tcPr>
            <w:tcW w:w="4508" w:type="dxa"/>
          </w:tcPr>
          <w:p w14:paraId="4677AD05" w14:textId="77777777" w:rsidR="00E0417D" w:rsidRPr="00735726" w:rsidRDefault="00E0417D" w:rsidP="00C6420F">
            <w:pPr>
              <w:pStyle w:val="AccountsHeading"/>
              <w:spacing w:line="276" w:lineRule="auto"/>
              <w:rPr>
                <w:rFonts w:cs="DINOT-Light"/>
                <w:caps w:val="0"/>
                <w:color w:val="auto"/>
                <w:sz w:val="18"/>
                <w:szCs w:val="18"/>
              </w:rPr>
            </w:pPr>
            <w:r w:rsidRPr="00735726">
              <w:rPr>
                <w:rFonts w:cs="DINOT-Light"/>
                <w:caps w:val="0"/>
                <w:color w:val="auto"/>
                <w:sz w:val="18"/>
                <w:szCs w:val="18"/>
              </w:rPr>
              <w:lastRenderedPageBreak/>
              <w:t>As part of our audit of the Directors’ judgment over the level of manual adjustments required:</w:t>
            </w:r>
          </w:p>
          <w:p w14:paraId="78357C65" w14:textId="77777777" w:rsidR="00E0417D" w:rsidRPr="00735726" w:rsidRDefault="00E0417D" w:rsidP="00C6420F">
            <w:pPr>
              <w:pStyle w:val="AccountsHeading"/>
              <w:spacing w:line="276" w:lineRule="auto"/>
              <w:ind w:left="342"/>
              <w:rPr>
                <w:rFonts w:cs="DINOT-Light"/>
                <w:caps w:val="0"/>
                <w:color w:val="auto"/>
                <w:sz w:val="18"/>
                <w:szCs w:val="18"/>
              </w:rPr>
            </w:pPr>
          </w:p>
          <w:p w14:paraId="36F217E4" w14:textId="77777777" w:rsidR="00E0417D" w:rsidRPr="00735726" w:rsidRDefault="00E0417D" w:rsidP="00E0417D">
            <w:pPr>
              <w:pStyle w:val="AccountsHeading"/>
              <w:numPr>
                <w:ilvl w:val="0"/>
                <w:numId w:val="117"/>
              </w:numPr>
              <w:spacing w:line="276" w:lineRule="auto"/>
              <w:ind w:left="342" w:hanging="284"/>
              <w:rPr>
                <w:rFonts w:cs="DINOT-Light"/>
                <w:caps w:val="0"/>
                <w:color w:val="auto"/>
                <w:sz w:val="18"/>
                <w:szCs w:val="18"/>
              </w:rPr>
            </w:pPr>
            <w:r w:rsidRPr="00735726">
              <w:rPr>
                <w:rFonts w:cs="DINOT-Light"/>
                <w:caps w:val="0"/>
                <w:color w:val="auto"/>
                <w:sz w:val="18"/>
                <w:szCs w:val="18"/>
              </w:rPr>
              <w:lastRenderedPageBreak/>
              <w:t xml:space="preserve">We have performed walkthrough procedures to understand the process for calculating the expected credit loss provision, with a specific focus on the directors' methodology for applying manual </w:t>
            </w:r>
            <w:proofErr w:type="gramStart"/>
            <w:r w:rsidRPr="00735726">
              <w:rPr>
                <w:rFonts w:cs="DINOT-Light"/>
                <w:caps w:val="0"/>
                <w:color w:val="auto"/>
                <w:sz w:val="18"/>
                <w:szCs w:val="18"/>
              </w:rPr>
              <w:t>adjustments;</w:t>
            </w:r>
            <w:proofErr w:type="gramEnd"/>
          </w:p>
          <w:p w14:paraId="008B6092" w14:textId="77777777" w:rsidR="00E0417D" w:rsidRPr="00735726" w:rsidRDefault="00E0417D" w:rsidP="00E0417D">
            <w:pPr>
              <w:pStyle w:val="AccountsHeading"/>
              <w:numPr>
                <w:ilvl w:val="0"/>
                <w:numId w:val="117"/>
              </w:numPr>
              <w:spacing w:line="276" w:lineRule="auto"/>
              <w:ind w:left="342" w:hanging="284"/>
              <w:rPr>
                <w:rFonts w:cs="DINOT-Light"/>
                <w:caps w:val="0"/>
                <w:color w:val="auto"/>
                <w:sz w:val="18"/>
                <w:szCs w:val="18"/>
              </w:rPr>
            </w:pPr>
            <w:r w:rsidRPr="00735726">
              <w:rPr>
                <w:rFonts w:cs="DINOT-Light"/>
                <w:caps w:val="0"/>
                <w:color w:val="auto"/>
                <w:sz w:val="18"/>
                <w:szCs w:val="18"/>
              </w:rPr>
              <w:t xml:space="preserve">We have considered the key factors relating to non-recovery through review of external macroeconomic data and the post balance sheet collections data for April 2026 to assess the impact on the provision </w:t>
            </w:r>
            <w:proofErr w:type="gramStart"/>
            <w:r w:rsidRPr="00735726">
              <w:rPr>
                <w:rFonts w:cs="DINOT-Light"/>
                <w:caps w:val="0"/>
                <w:color w:val="auto"/>
                <w:sz w:val="18"/>
                <w:szCs w:val="18"/>
              </w:rPr>
              <w:t>held;</w:t>
            </w:r>
            <w:proofErr w:type="gramEnd"/>
          </w:p>
          <w:p w14:paraId="7E04733D" w14:textId="77777777" w:rsidR="00E0417D" w:rsidRPr="00735726" w:rsidRDefault="00E0417D" w:rsidP="00E0417D">
            <w:pPr>
              <w:pStyle w:val="AccountsHeading"/>
              <w:numPr>
                <w:ilvl w:val="0"/>
                <w:numId w:val="117"/>
              </w:numPr>
              <w:spacing w:line="276" w:lineRule="auto"/>
              <w:ind w:left="342" w:hanging="284"/>
              <w:rPr>
                <w:rFonts w:cs="DINOT-Light"/>
                <w:caps w:val="0"/>
                <w:color w:val="auto"/>
                <w:sz w:val="18"/>
                <w:szCs w:val="18"/>
              </w:rPr>
            </w:pPr>
            <w:r w:rsidRPr="00735726">
              <w:rPr>
                <w:rFonts w:cs="DINOT-Light"/>
                <w:caps w:val="0"/>
                <w:color w:val="auto"/>
                <w:sz w:val="18"/>
                <w:szCs w:val="18"/>
              </w:rPr>
              <w:t>We developed an independent range estimate to assess the reasonableness of the estimate generated by the directors; and</w:t>
            </w:r>
          </w:p>
          <w:p w14:paraId="0BC5DFD4" w14:textId="77777777" w:rsidR="00E0417D" w:rsidRPr="00735726" w:rsidRDefault="00E0417D" w:rsidP="00E0417D">
            <w:pPr>
              <w:pStyle w:val="AccountsHeading"/>
              <w:numPr>
                <w:ilvl w:val="0"/>
                <w:numId w:val="117"/>
              </w:numPr>
              <w:spacing w:line="276" w:lineRule="auto"/>
              <w:ind w:left="342" w:hanging="284"/>
              <w:rPr>
                <w:rFonts w:cs="DINOT-Light"/>
                <w:caps w:val="0"/>
                <w:color w:val="auto"/>
                <w:sz w:val="18"/>
                <w:szCs w:val="18"/>
              </w:rPr>
            </w:pPr>
            <w:r w:rsidRPr="00735726">
              <w:rPr>
                <w:rFonts w:cs="DINOT-Light"/>
                <w:caps w:val="0"/>
                <w:color w:val="auto"/>
                <w:sz w:val="18"/>
                <w:szCs w:val="18"/>
              </w:rPr>
              <w:t>We have understood the nature and relevance of the manual adjustments posted validating the basis of the adjustment to supporting evidence. Based on our procedures, the conclusion that the level of manual adjustments applied was reasonable is consistent with the evidence obtained.</w:t>
            </w:r>
          </w:p>
        </w:tc>
      </w:tr>
    </w:tbl>
    <w:p w14:paraId="49C2DAAF" w14:textId="77777777" w:rsidR="00E0417D" w:rsidRPr="009A2CAE" w:rsidRDefault="00E0417D" w:rsidP="00E0417D">
      <w:pPr>
        <w:pStyle w:val="AccountsHeading"/>
        <w:spacing w:line="276" w:lineRule="auto"/>
        <w:rPr>
          <w:color w:val="auto"/>
          <w:sz w:val="22"/>
          <w:szCs w:val="26"/>
        </w:rPr>
      </w:pPr>
    </w:p>
    <w:p w14:paraId="534C5A3E" w14:textId="77777777" w:rsidR="00E0417D" w:rsidRPr="00735726"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HOW WE TAILORED THE AUDIT SCOPE</w:t>
      </w:r>
    </w:p>
    <w:p w14:paraId="332EE13A"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We tailored the scope of our audit to ensure that we performed enough work to be able to give an opinion on the financial statements as a whole, </w:t>
      </w:r>
      <w:proofErr w:type="gramStart"/>
      <w:r w:rsidRPr="00735726">
        <w:rPr>
          <w:rFonts w:ascii="Arial" w:eastAsia="Times New Roman" w:hAnsi="Arial" w:cs="DINOT-Light"/>
          <w:color w:val="auto"/>
          <w:sz w:val="18"/>
          <w:szCs w:val="18"/>
          <w:lang w:eastAsia="en-US"/>
        </w:rPr>
        <w:t>taking into account</w:t>
      </w:r>
      <w:proofErr w:type="gramEnd"/>
      <w:r w:rsidRPr="00735726">
        <w:rPr>
          <w:rFonts w:ascii="Arial" w:eastAsia="Times New Roman" w:hAnsi="Arial" w:cs="DINOT-Light"/>
          <w:color w:val="auto"/>
          <w:sz w:val="18"/>
          <w:szCs w:val="18"/>
          <w:lang w:eastAsia="en-US"/>
        </w:rPr>
        <w:t xml:space="preserve"> the structure of the company, the accounting processes and controls, and the industry in which it operates.</w:t>
      </w:r>
    </w:p>
    <w:p w14:paraId="28834CB5"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financial statements of the Company are an aggregation of two </w:t>
      </w:r>
      <w:proofErr w:type="gramStart"/>
      <w:r w:rsidRPr="00735726">
        <w:rPr>
          <w:rFonts w:ascii="Arial" w:eastAsia="Times New Roman" w:hAnsi="Arial" w:cs="DINOT-Light"/>
          <w:color w:val="auto"/>
          <w:sz w:val="18"/>
          <w:szCs w:val="18"/>
          <w:lang w:eastAsia="en-US"/>
        </w:rPr>
        <w:t>operations,</w:t>
      </w:r>
      <w:proofErr w:type="gramEnd"/>
      <w:r w:rsidRPr="00735726">
        <w:rPr>
          <w:rFonts w:ascii="Arial" w:eastAsia="Times New Roman" w:hAnsi="Arial" w:cs="DINOT-Light"/>
          <w:color w:val="auto"/>
          <w:sz w:val="18"/>
          <w:szCs w:val="18"/>
          <w:lang w:eastAsia="en-US"/>
        </w:rPr>
        <w:t xml:space="preserve"> these operations maintain their own accounting records and controls. We performed an audit of their complete financial information due to their size or risk characteristics.</w:t>
      </w:r>
    </w:p>
    <w:p w14:paraId="50227F0A" w14:textId="77777777" w:rsidR="00E0417D" w:rsidRPr="00735726"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THE IMPACT OF CLIMATE RISK ON OUR AUDIT</w:t>
      </w:r>
    </w:p>
    <w:p w14:paraId="567080D1" w14:textId="77777777" w:rsidR="00E0417D" w:rsidRPr="00735726" w:rsidRDefault="00E0417D" w:rsidP="00E0417D">
      <w:pPr>
        <w:pStyle w:val="Text"/>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In planning our audit, we considered the potential impact of climate change on the financial statements. We made enquiries of the directors to understand the process for assessing climate related risks and opportunities, the extent of the potential impact of climate change risk on the financial statements and the Company's preparedness for this. The TCFD statement describes and explains how climate change could have an impact on the Company’s business. Using our knowledge of the business we considered whether the risks identified are consistent with our understanding of the business and remained alert when performing our audit procedures for any indicators of the impact of climate risk. Our procedures did not identify any additional risks of material misstatement, or material inconsistencies between the financial statements and the other climate related information presented.</w:t>
      </w:r>
    </w:p>
    <w:p w14:paraId="350AB821" w14:textId="77777777" w:rsidR="00E0417D" w:rsidRPr="00735726"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MATERIALITY</w:t>
      </w:r>
    </w:p>
    <w:p w14:paraId="77469A88"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scope of our audit was influenced by our application of materiality. We set certain quantitative thresholds for materiality. These, together with qualitative considerations, helped us to determine the scope of our audit and the nature, timing and extent of our audit procedures on the individual financial statement line items and disclosures and in evaluating the effect of misstatements, both individually and in aggregate on the financial statements as a whole.</w:t>
      </w:r>
    </w:p>
    <w:p w14:paraId="6AA35DB9"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Based on our professional judgement, we determined materiality for the financial statements </w:t>
      </w:r>
      <w:proofErr w:type="gramStart"/>
      <w:r w:rsidRPr="00735726">
        <w:rPr>
          <w:rFonts w:ascii="Arial" w:eastAsia="Times New Roman" w:hAnsi="Arial" w:cs="DINOT-Light"/>
          <w:color w:val="auto"/>
          <w:sz w:val="18"/>
          <w:szCs w:val="18"/>
          <w:lang w:eastAsia="en-US"/>
        </w:rPr>
        <w:t>as a whole as</w:t>
      </w:r>
      <w:proofErr w:type="gramEnd"/>
      <w:r w:rsidRPr="00735726">
        <w:rPr>
          <w:rFonts w:ascii="Arial" w:eastAsia="Times New Roman" w:hAnsi="Arial" w:cs="DINOT-Light"/>
          <w:color w:val="auto"/>
          <w:sz w:val="18"/>
          <w:szCs w:val="18"/>
          <w:lang w:eastAsia="en-US"/>
        </w:rPr>
        <w:t xml:space="preserve"> follows:</w:t>
      </w:r>
    </w:p>
    <w:tbl>
      <w:tblPr>
        <w:tblStyle w:val="TableGridPHPDOCX"/>
        <w:tblOverlap w:val="never"/>
        <w:tblW w:w="9269" w:type="dxa"/>
        <w:tblLook w:val="04A0" w:firstRow="1" w:lastRow="0" w:firstColumn="1" w:lastColumn="0" w:noHBand="0" w:noVBand="1"/>
      </w:tblPr>
      <w:tblGrid>
        <w:gridCol w:w="2130"/>
        <w:gridCol w:w="7139"/>
      </w:tblGrid>
      <w:tr w:rsidR="00E0417D" w:rsidRPr="00735726" w14:paraId="580EDCCD" w14:textId="77777777" w:rsidTr="00C6420F">
        <w:tc>
          <w:tcPr>
            <w:tcW w:w="0" w:type="auto"/>
            <w:tcBorders>
              <w:top w:val="single" w:sz="7" w:space="0" w:color="000000"/>
              <w:left w:val="single" w:sz="7" w:space="0" w:color="000000"/>
              <w:bottom w:val="single" w:sz="7" w:space="0" w:color="000000"/>
              <w:right w:val="single" w:sz="7" w:space="0" w:color="000000"/>
            </w:tcBorders>
          </w:tcPr>
          <w:p w14:paraId="184F680A" w14:textId="77777777" w:rsidR="00E0417D" w:rsidRPr="00735726" w:rsidRDefault="00E0417D" w:rsidP="00C6420F">
            <w:pPr>
              <w:pStyle w:val="TableSubHeader"/>
              <w:spacing w:line="276" w:lineRule="auto"/>
              <w:rPr>
                <w:rFonts w:ascii="Arial" w:eastAsia="Times New Roman" w:hAnsi="Arial" w:cs="DINOT-Light"/>
                <w:iCs/>
                <w:color w:val="auto"/>
                <w:sz w:val="18"/>
                <w:szCs w:val="18"/>
                <w:lang w:eastAsia="en-US"/>
              </w:rPr>
            </w:pPr>
            <w:r w:rsidRPr="00735726">
              <w:rPr>
                <w:rFonts w:ascii="Arial" w:eastAsia="Times New Roman" w:hAnsi="Arial" w:cs="DINOT-Light"/>
                <w:iCs/>
                <w:color w:val="auto"/>
                <w:sz w:val="18"/>
                <w:szCs w:val="18"/>
                <w:lang w:eastAsia="en-US"/>
              </w:rPr>
              <w:lastRenderedPageBreak/>
              <w:t>Overall company materiality</w:t>
            </w:r>
          </w:p>
        </w:tc>
        <w:tc>
          <w:tcPr>
            <w:tcW w:w="0" w:type="auto"/>
            <w:tcBorders>
              <w:top w:val="single" w:sz="7" w:space="0" w:color="000000"/>
              <w:left w:val="single" w:sz="7" w:space="0" w:color="000000"/>
              <w:bottom w:val="single" w:sz="7" w:space="0" w:color="000000"/>
              <w:right w:val="single" w:sz="7" w:space="0" w:color="000000"/>
            </w:tcBorders>
          </w:tcPr>
          <w:p w14:paraId="3956F557" w14:textId="77777777" w:rsidR="00E0417D" w:rsidRPr="00735726" w:rsidRDefault="00E0417D" w:rsidP="00C6420F">
            <w:pPr>
              <w:pStyle w:val="TableText"/>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£14,000,000 (2024/25: £11,088,000).</w:t>
            </w:r>
          </w:p>
        </w:tc>
      </w:tr>
      <w:tr w:rsidR="00E0417D" w:rsidRPr="00735726" w14:paraId="027ECD26" w14:textId="77777777" w:rsidTr="00C6420F">
        <w:tc>
          <w:tcPr>
            <w:tcW w:w="0" w:type="auto"/>
            <w:tcBorders>
              <w:top w:val="single" w:sz="7" w:space="0" w:color="000000"/>
              <w:left w:val="single" w:sz="7" w:space="0" w:color="000000"/>
              <w:bottom w:val="single" w:sz="7" w:space="0" w:color="000000"/>
              <w:right w:val="single" w:sz="7" w:space="0" w:color="000000"/>
            </w:tcBorders>
          </w:tcPr>
          <w:p w14:paraId="4D398847" w14:textId="77777777" w:rsidR="00E0417D" w:rsidRPr="00735726" w:rsidRDefault="00E0417D" w:rsidP="00C6420F">
            <w:pPr>
              <w:pStyle w:val="TableSubHeader"/>
              <w:spacing w:line="276" w:lineRule="auto"/>
              <w:rPr>
                <w:rFonts w:ascii="Arial" w:eastAsia="Times New Roman" w:hAnsi="Arial" w:cs="DINOT-Light"/>
                <w:iCs/>
                <w:color w:val="auto"/>
                <w:sz w:val="18"/>
                <w:szCs w:val="18"/>
                <w:lang w:eastAsia="en-US"/>
              </w:rPr>
            </w:pPr>
            <w:r w:rsidRPr="00735726">
              <w:rPr>
                <w:rFonts w:ascii="Arial" w:eastAsia="Times New Roman" w:hAnsi="Arial" w:cs="DINOT-Light"/>
                <w:iCs/>
                <w:color w:val="auto"/>
                <w:sz w:val="18"/>
                <w:szCs w:val="18"/>
                <w:lang w:eastAsia="en-US"/>
              </w:rPr>
              <w:t>How we determined it</w:t>
            </w:r>
          </w:p>
        </w:tc>
        <w:tc>
          <w:tcPr>
            <w:tcW w:w="0" w:type="auto"/>
            <w:tcBorders>
              <w:top w:val="single" w:sz="7" w:space="0" w:color="000000"/>
              <w:left w:val="single" w:sz="7" w:space="0" w:color="000000"/>
              <w:bottom w:val="single" w:sz="7" w:space="0" w:color="000000"/>
              <w:right w:val="single" w:sz="7" w:space="0" w:color="000000"/>
            </w:tcBorders>
          </w:tcPr>
          <w:p w14:paraId="332DE389" w14:textId="77777777" w:rsidR="00E0417D" w:rsidRPr="00735726" w:rsidRDefault="00E0417D" w:rsidP="00C6420F">
            <w:pPr>
              <w:pStyle w:val="TableText"/>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1.5% of Revenue</w:t>
            </w:r>
          </w:p>
        </w:tc>
      </w:tr>
      <w:tr w:rsidR="00E0417D" w:rsidRPr="00735726" w14:paraId="5BD97EA0" w14:textId="77777777" w:rsidTr="00C6420F">
        <w:tc>
          <w:tcPr>
            <w:tcW w:w="0" w:type="auto"/>
            <w:tcBorders>
              <w:top w:val="single" w:sz="7" w:space="0" w:color="000000"/>
              <w:left w:val="single" w:sz="7" w:space="0" w:color="000000"/>
              <w:bottom w:val="single" w:sz="7" w:space="0" w:color="000000"/>
              <w:right w:val="single" w:sz="7" w:space="0" w:color="000000"/>
            </w:tcBorders>
          </w:tcPr>
          <w:p w14:paraId="5590DE21" w14:textId="77777777" w:rsidR="00E0417D" w:rsidRPr="00735726" w:rsidRDefault="00E0417D" w:rsidP="00C6420F">
            <w:pPr>
              <w:pStyle w:val="TableSubHeader"/>
              <w:spacing w:line="276" w:lineRule="auto"/>
              <w:rPr>
                <w:rFonts w:ascii="Arial" w:eastAsia="Times New Roman" w:hAnsi="Arial" w:cs="DINOT-Light"/>
                <w:iCs/>
                <w:color w:val="auto"/>
                <w:sz w:val="18"/>
                <w:szCs w:val="18"/>
                <w:lang w:eastAsia="en-US"/>
              </w:rPr>
            </w:pPr>
            <w:r w:rsidRPr="00735726">
              <w:rPr>
                <w:rFonts w:ascii="Arial" w:eastAsia="Times New Roman" w:hAnsi="Arial" w:cs="DINOT-Light"/>
                <w:iCs/>
                <w:color w:val="auto"/>
                <w:sz w:val="18"/>
                <w:szCs w:val="18"/>
                <w:lang w:eastAsia="en-US"/>
              </w:rPr>
              <w:t>Rationale for benchmark applied</w:t>
            </w:r>
          </w:p>
        </w:tc>
        <w:tc>
          <w:tcPr>
            <w:tcW w:w="0" w:type="auto"/>
            <w:tcBorders>
              <w:top w:val="single" w:sz="7" w:space="0" w:color="000000"/>
              <w:left w:val="single" w:sz="7" w:space="0" w:color="000000"/>
              <w:bottom w:val="single" w:sz="7" w:space="0" w:color="000000"/>
              <w:right w:val="single" w:sz="7" w:space="0" w:color="000000"/>
            </w:tcBorders>
          </w:tcPr>
          <w:p w14:paraId="31A68217" w14:textId="77777777" w:rsidR="00E0417D" w:rsidRPr="00735726" w:rsidRDefault="00E0417D" w:rsidP="00C6420F">
            <w:pPr>
              <w:pStyle w:val="TableText"/>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Revenue is considered a key metric for the users of the financial statements that represents a generally acceptable auditing benchmark.</w:t>
            </w:r>
          </w:p>
        </w:tc>
      </w:tr>
    </w:tbl>
    <w:p w14:paraId="41DBAAE6" w14:textId="77777777" w:rsidR="00E0417D" w:rsidRPr="00735726" w:rsidRDefault="00E0417D" w:rsidP="00E0417D">
      <w:pPr>
        <w:pStyle w:val="Single"/>
        <w:spacing w:line="276" w:lineRule="auto"/>
        <w:rPr>
          <w:color w:val="auto"/>
        </w:rPr>
      </w:pPr>
      <w:r w:rsidRPr="00735726">
        <w:rPr>
          <w:color w:val="auto"/>
        </w:rPr>
        <w:t> </w:t>
      </w:r>
    </w:p>
    <w:p w14:paraId="23380D2D"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We use performance materiality to reduce to an appropriately low level the probability that the aggregate of uncorrected and undetected misstatements exceeds overall materiality. Specifically, we use performance materiality in determining the scope of our audit and the nature and extent of our testing of account balances, classes of transactions and disclosures, for example in determining sample sizes. Our performance materiality was 75% (2024/25: 75%) of overall materiality, amounting to £10,500,000 (2024/25: £8,316,000) for the company financial statements.</w:t>
      </w:r>
    </w:p>
    <w:p w14:paraId="385E4619"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In determining the performance materiality, we considered </w:t>
      </w:r>
      <w:proofErr w:type="gramStart"/>
      <w:r w:rsidRPr="00735726">
        <w:rPr>
          <w:rFonts w:ascii="Arial" w:eastAsia="Times New Roman" w:hAnsi="Arial" w:cs="DINOT-Light"/>
          <w:color w:val="auto"/>
          <w:sz w:val="18"/>
          <w:szCs w:val="18"/>
          <w:lang w:eastAsia="en-US"/>
        </w:rPr>
        <w:t>a number of</w:t>
      </w:r>
      <w:proofErr w:type="gramEnd"/>
      <w:r w:rsidRPr="00735726">
        <w:rPr>
          <w:rFonts w:ascii="Arial" w:eastAsia="Times New Roman" w:hAnsi="Arial" w:cs="DINOT-Light"/>
          <w:color w:val="auto"/>
          <w:sz w:val="18"/>
          <w:szCs w:val="18"/>
          <w:lang w:eastAsia="en-US"/>
        </w:rPr>
        <w:t xml:space="preserve"> factors - the history of misstatements, risk assessment and aggregation risk and the effectiveness of controls - and concluded that an amount at the upper end of our normal range was appropriate.</w:t>
      </w:r>
    </w:p>
    <w:p w14:paraId="13B40341"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We agreed with those charged with governance that we would report to them misstatements identified during our audit above £700,000 (2024/25: £544,500) as well as misstatements below that amount that, in our view, warranted reporting for qualitative reasons.</w:t>
      </w:r>
    </w:p>
    <w:p w14:paraId="7BED83BD" w14:textId="77777777" w:rsidR="00E0417D" w:rsidRPr="00735726" w:rsidRDefault="00E0417D" w:rsidP="00E0417D">
      <w:pPr>
        <w:pStyle w:val="Heading"/>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CONCLUSIONS RELATING TO GOING CONCERN</w:t>
      </w:r>
    </w:p>
    <w:p w14:paraId="61E3F387" w14:textId="77777777" w:rsidR="00E0417D" w:rsidRPr="00735726" w:rsidRDefault="00E0417D" w:rsidP="00E0417D">
      <w:pPr>
        <w:pStyle w:val="BeforeBullet"/>
        <w:keepN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Our evaluation of the directors’ assessment of the company’s ability to continue to adopt the going concern basis of accounting included:</w:t>
      </w:r>
    </w:p>
    <w:p w14:paraId="01026447"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Testing the mathematical integrity of the cash flow forecasts and the models supporting these forecasts and reconciling them to Board approved budgets, where the directors' assessment covered the period from the date of approval of the Annual Report and Accounts to October </w:t>
      </w:r>
      <w:proofErr w:type="gramStart"/>
      <w:r w:rsidRPr="00735726">
        <w:rPr>
          <w:rFonts w:ascii="Arial" w:eastAsia="Times New Roman" w:hAnsi="Arial" w:cs="DINOT-Light"/>
          <w:color w:val="auto"/>
          <w:sz w:val="18"/>
          <w:szCs w:val="18"/>
          <w:lang w:eastAsia="en-US"/>
        </w:rPr>
        <w:t>2027;</w:t>
      </w:r>
      <w:proofErr w:type="gramEnd"/>
    </w:p>
    <w:p w14:paraId="53CDB04A"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Understanding the key assumptions the directors have applied in developing their base case and severe but plausible downside scenarios. We challenged various aspects of the directors’ base case and downside scenarios including consideration of other potential downside risks that were not factored into the directors' downside </w:t>
      </w:r>
      <w:proofErr w:type="gramStart"/>
      <w:r w:rsidRPr="00735726">
        <w:rPr>
          <w:rFonts w:ascii="Arial" w:eastAsia="Times New Roman" w:hAnsi="Arial" w:cs="DINOT-Light"/>
          <w:color w:val="auto"/>
          <w:sz w:val="18"/>
          <w:szCs w:val="18"/>
          <w:lang w:eastAsia="en-US"/>
        </w:rPr>
        <w:t>scenario;</w:t>
      </w:r>
      <w:proofErr w:type="gramEnd"/>
    </w:p>
    <w:p w14:paraId="14F0DF14"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Assessing the accuracy of the cash flow forecast prepared in the prior years </w:t>
      </w:r>
      <w:proofErr w:type="gramStart"/>
      <w:r w:rsidRPr="00735726">
        <w:rPr>
          <w:rFonts w:ascii="Arial" w:eastAsia="Times New Roman" w:hAnsi="Arial" w:cs="DINOT-Light"/>
          <w:color w:val="auto"/>
          <w:sz w:val="18"/>
          <w:szCs w:val="18"/>
          <w:lang w:eastAsia="en-US"/>
        </w:rPr>
        <w:t>so as to</w:t>
      </w:r>
      <w:proofErr w:type="gramEnd"/>
      <w:r w:rsidRPr="00735726">
        <w:rPr>
          <w:rFonts w:ascii="Arial" w:eastAsia="Times New Roman" w:hAnsi="Arial" w:cs="DINOT-Light"/>
          <w:color w:val="auto"/>
          <w:sz w:val="18"/>
          <w:szCs w:val="18"/>
          <w:lang w:eastAsia="en-US"/>
        </w:rPr>
        <w:t xml:space="preserve"> assess the ability of the directors to prepare accurate </w:t>
      </w:r>
      <w:proofErr w:type="gramStart"/>
      <w:r w:rsidRPr="00735726">
        <w:rPr>
          <w:rFonts w:ascii="Arial" w:eastAsia="Times New Roman" w:hAnsi="Arial" w:cs="DINOT-Light"/>
          <w:color w:val="auto"/>
          <w:sz w:val="18"/>
          <w:szCs w:val="18"/>
          <w:lang w:eastAsia="en-US"/>
        </w:rPr>
        <w:t>forecasts;</w:t>
      </w:r>
      <w:proofErr w:type="gramEnd"/>
    </w:p>
    <w:p w14:paraId="77AAB92F"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Obtaining and understanding the terms of the Company’s financing and available credit facilities and in particular the financial covenants that the Company is subject to. We have verified the existence of the facilities in place on which the directors have based their liquidity </w:t>
      </w:r>
      <w:proofErr w:type="gramStart"/>
      <w:r w:rsidRPr="00735726">
        <w:rPr>
          <w:rFonts w:ascii="Arial" w:eastAsia="Times New Roman" w:hAnsi="Arial" w:cs="DINOT-Light"/>
          <w:color w:val="auto"/>
          <w:sz w:val="18"/>
          <w:szCs w:val="18"/>
          <w:lang w:eastAsia="en-US"/>
        </w:rPr>
        <w:t>forecast;</w:t>
      </w:r>
      <w:proofErr w:type="gramEnd"/>
    </w:p>
    <w:p w14:paraId="6B8F45BE"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Reviewing the directors' analysis of both liquidity and covenant compliance to assess that there </w:t>
      </w:r>
      <w:proofErr w:type="gramStart"/>
      <w:r w:rsidRPr="00735726">
        <w:rPr>
          <w:rFonts w:ascii="Arial" w:eastAsia="Times New Roman" w:hAnsi="Arial" w:cs="DINOT-Light"/>
          <w:color w:val="auto"/>
          <w:sz w:val="18"/>
          <w:szCs w:val="18"/>
          <w:lang w:eastAsia="en-US"/>
        </w:rPr>
        <w:t>is</w:t>
      </w:r>
      <w:proofErr w:type="gramEnd"/>
      <w:r w:rsidRPr="00735726">
        <w:rPr>
          <w:rFonts w:ascii="Arial" w:eastAsia="Times New Roman" w:hAnsi="Arial" w:cs="DINOT-Light"/>
          <w:color w:val="auto"/>
          <w:sz w:val="18"/>
          <w:szCs w:val="18"/>
          <w:lang w:eastAsia="en-US"/>
        </w:rPr>
        <w:t xml:space="preserve"> sufficient liquidity and no forecast covenant breaches during the going concern </w:t>
      </w:r>
      <w:proofErr w:type="gramStart"/>
      <w:r w:rsidRPr="00735726">
        <w:rPr>
          <w:rFonts w:ascii="Arial" w:eastAsia="Times New Roman" w:hAnsi="Arial" w:cs="DINOT-Light"/>
          <w:color w:val="auto"/>
          <w:sz w:val="18"/>
          <w:szCs w:val="18"/>
          <w:lang w:eastAsia="en-US"/>
        </w:rPr>
        <w:t>period;</w:t>
      </w:r>
      <w:proofErr w:type="gramEnd"/>
    </w:p>
    <w:p w14:paraId="72738C05"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Assessing the extent of mitigating actions that could be taken by the directors, if necessary, to increase liquidity or to prevent a trigger or default event arising against the covenants in place; and</w:t>
      </w:r>
    </w:p>
    <w:p w14:paraId="55CFA1B6"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Assessing the appropriateness of the disclosures within the financial statements as disclosed in the accounting policies, relating to going concern.</w:t>
      </w:r>
    </w:p>
    <w:p w14:paraId="197BB3BD" w14:textId="77777777" w:rsidR="00E0417D" w:rsidRPr="00735726" w:rsidRDefault="00E0417D" w:rsidP="00E0417D">
      <w:pPr>
        <w:pStyle w:val="Bullet"/>
        <w:numPr>
          <w:ilvl w:val="0"/>
          <w:numId w:val="0"/>
        </w:numPr>
        <w:spacing w:line="276" w:lineRule="auto"/>
        <w:ind w:left="360"/>
        <w:jc w:val="both"/>
        <w:outlineLvl w:val="4"/>
        <w:rPr>
          <w:rFonts w:ascii="Arial" w:eastAsia="Times New Roman" w:hAnsi="Arial" w:cs="DINOT-Light"/>
          <w:color w:val="auto"/>
          <w:sz w:val="18"/>
          <w:szCs w:val="18"/>
          <w:lang w:eastAsia="en-US"/>
        </w:rPr>
      </w:pPr>
    </w:p>
    <w:p w14:paraId="39AB0D5D" w14:textId="77777777" w:rsidR="00E0417D" w:rsidRPr="00735726" w:rsidRDefault="00E0417D" w:rsidP="00E0417D">
      <w:pPr>
        <w:pStyle w:val="Bullet"/>
        <w:numPr>
          <w:ilvl w:val="0"/>
          <w:numId w:val="0"/>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Based on the work we have performed, we have not identified any material uncertainties relating to events or conditions that, individually or collectively, may cast significant doubt on the company’s ability to continue as a going concern for a period of at least twelve months from when the financial statements are authorised for issue.</w:t>
      </w:r>
    </w:p>
    <w:p w14:paraId="722C68FF" w14:textId="77777777" w:rsidR="00E0417D" w:rsidRPr="00735726" w:rsidRDefault="00E0417D" w:rsidP="00E0417D">
      <w:pPr>
        <w:pStyle w:val="Text"/>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In auditing the financial statements, we have concluded that the directors’ use of the going concern basis of accounting in the preparation of the financial statements is appropriate.</w:t>
      </w:r>
    </w:p>
    <w:p w14:paraId="2CC4F207"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However, because not all future events or conditions can be predicted, this conclusion is not a guarantee as to the company's ability to continue as a going concern.</w:t>
      </w:r>
    </w:p>
    <w:p w14:paraId="1A85C5E5"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In relation to the directors’ reporting on how they have applied the UK Corporate Governance Code, we have nothing material to add or draw attention to in relation to the directors’ statement in the financial statements about whether the directors considered it appropriate to adopt the going concern basis of accounting.</w:t>
      </w:r>
    </w:p>
    <w:p w14:paraId="1905A362" w14:textId="77777777" w:rsidR="00E0417D" w:rsidRPr="00735726" w:rsidRDefault="00E0417D" w:rsidP="00E0417D">
      <w:pPr>
        <w:pStyle w:val="Heading"/>
        <w:spacing w:line="276" w:lineRule="auto"/>
        <w:jc w:val="both"/>
        <w:rPr>
          <w:rFonts w:ascii="Arial" w:eastAsia="Times New Roman" w:hAnsi="Arial" w:cs="DINOT-Light"/>
          <w:b w:val="0"/>
          <w:bCs w:val="0"/>
          <w:color w:val="auto"/>
          <w:sz w:val="18"/>
          <w:szCs w:val="18"/>
          <w:lang w:eastAsia="en-US"/>
        </w:rPr>
      </w:pPr>
      <w:r w:rsidRPr="00735726">
        <w:rPr>
          <w:rFonts w:ascii="Arial" w:eastAsia="Times New Roman" w:hAnsi="Arial" w:cs="DINOT-Light"/>
          <w:b w:val="0"/>
          <w:bCs w:val="0"/>
          <w:color w:val="auto"/>
          <w:sz w:val="18"/>
          <w:szCs w:val="18"/>
          <w:lang w:eastAsia="en-US"/>
        </w:rPr>
        <w:lastRenderedPageBreak/>
        <w:t>Our responsibilities and the responsibilities of the directors with respect to going concern are described in the relevant sections of this report.</w:t>
      </w:r>
    </w:p>
    <w:p w14:paraId="08599B21" w14:textId="77777777" w:rsidR="00E0417D" w:rsidRPr="00735726" w:rsidRDefault="00E0417D" w:rsidP="00E0417D">
      <w:pPr>
        <w:pStyle w:val="Heading"/>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REPORTING ON OTHER INFORMATION</w:t>
      </w:r>
    </w:p>
    <w:p w14:paraId="70A10120"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other information comprises </w:t>
      </w:r>
      <w:proofErr w:type="gramStart"/>
      <w:r w:rsidRPr="00735726">
        <w:rPr>
          <w:rFonts w:ascii="Arial" w:eastAsia="Times New Roman" w:hAnsi="Arial" w:cs="DINOT-Light"/>
          <w:color w:val="auto"/>
          <w:sz w:val="18"/>
          <w:szCs w:val="18"/>
          <w:lang w:eastAsia="en-US"/>
        </w:rPr>
        <w:t>all of</w:t>
      </w:r>
      <w:proofErr w:type="gramEnd"/>
      <w:r w:rsidRPr="00735726">
        <w:rPr>
          <w:rFonts w:ascii="Arial" w:eastAsia="Times New Roman" w:hAnsi="Arial" w:cs="DINOT-Light"/>
          <w:color w:val="auto"/>
          <w:sz w:val="18"/>
          <w:szCs w:val="18"/>
          <w:lang w:eastAsia="en-US"/>
        </w:rPr>
        <w:t xml:space="preserve"> the information in the Annual Report other than the financial statements and our auditors’ report thereon. The directors are responsible for the other information. Our opinion on the financial statements does not cover the other information and, accordingly, we do not express an audit opinion or, except to the extent otherwise explicitly stated in this report, any form of assurance thereon.</w:t>
      </w:r>
    </w:p>
    <w:p w14:paraId="6BB5150B"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an apparent material inconsistency or material misstatement, we are required to perform procedures to conclude whether there is a material misstatement of the financial statements or a material misstatement of the other information. If, based on the work we have performed, we conclude that there is a material misstatement of this other information, we are required to report that fact. We have nothing to report based on these responsibilities.</w:t>
      </w:r>
    </w:p>
    <w:p w14:paraId="1CF540E8"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With respect to the Strategic report and Directors’ Report, we also considered whether the disclosures required by the UK Companies Act 2006 have been included.</w:t>
      </w:r>
    </w:p>
    <w:p w14:paraId="07C7CC24"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Based on our work undertaken </w:t>
      </w:r>
      <w:proofErr w:type="gramStart"/>
      <w:r w:rsidRPr="00735726">
        <w:rPr>
          <w:rFonts w:ascii="Arial" w:eastAsia="Times New Roman" w:hAnsi="Arial" w:cs="DINOT-Light"/>
          <w:color w:val="auto"/>
          <w:sz w:val="18"/>
          <w:szCs w:val="18"/>
          <w:lang w:eastAsia="en-US"/>
        </w:rPr>
        <w:t>in the course of</w:t>
      </w:r>
      <w:proofErr w:type="gramEnd"/>
      <w:r w:rsidRPr="00735726">
        <w:rPr>
          <w:rFonts w:ascii="Arial" w:eastAsia="Times New Roman" w:hAnsi="Arial" w:cs="DINOT-Light"/>
          <w:color w:val="auto"/>
          <w:sz w:val="18"/>
          <w:szCs w:val="18"/>
          <w:lang w:eastAsia="en-US"/>
        </w:rPr>
        <w:t xml:space="preserve"> the audit, the Companies Act 2006 requires us also to report certain opinions and matters as described below.</w:t>
      </w:r>
    </w:p>
    <w:p w14:paraId="16EF3BF9" w14:textId="77777777" w:rsidR="00E0417D" w:rsidRPr="00735726"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STRATEGIC REPORT AND DIRECTORS' REPORT</w:t>
      </w:r>
    </w:p>
    <w:p w14:paraId="72DC9074"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In our opinion, based on the work undertaken </w:t>
      </w:r>
      <w:proofErr w:type="gramStart"/>
      <w:r w:rsidRPr="00735726">
        <w:rPr>
          <w:rFonts w:ascii="Arial" w:eastAsia="Times New Roman" w:hAnsi="Arial" w:cs="DINOT-Light"/>
          <w:color w:val="auto"/>
          <w:sz w:val="18"/>
          <w:szCs w:val="18"/>
          <w:lang w:eastAsia="en-US"/>
        </w:rPr>
        <w:t>in the course of</w:t>
      </w:r>
      <w:proofErr w:type="gramEnd"/>
      <w:r w:rsidRPr="00735726">
        <w:rPr>
          <w:rFonts w:ascii="Arial" w:eastAsia="Times New Roman" w:hAnsi="Arial" w:cs="DINOT-Light"/>
          <w:color w:val="auto"/>
          <w:sz w:val="18"/>
          <w:szCs w:val="18"/>
          <w:lang w:eastAsia="en-US"/>
        </w:rPr>
        <w:t xml:space="preserve"> the audit, the information given in the Strategic report and Directors’ Report for the year ended 31 March 2026 is consistent with the financial statements and has been prepared in accordance with applicable legal requirements.</w:t>
      </w:r>
    </w:p>
    <w:p w14:paraId="129E998B"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proofErr w:type="gramStart"/>
      <w:r w:rsidRPr="00735726">
        <w:rPr>
          <w:rFonts w:ascii="Arial" w:eastAsia="Times New Roman" w:hAnsi="Arial" w:cs="DINOT-Light"/>
          <w:color w:val="auto"/>
          <w:sz w:val="18"/>
          <w:szCs w:val="18"/>
          <w:lang w:eastAsia="en-US"/>
        </w:rPr>
        <w:t>In light of</w:t>
      </w:r>
      <w:proofErr w:type="gramEnd"/>
      <w:r w:rsidRPr="00735726">
        <w:rPr>
          <w:rFonts w:ascii="Arial" w:eastAsia="Times New Roman" w:hAnsi="Arial" w:cs="DINOT-Light"/>
          <w:color w:val="auto"/>
          <w:sz w:val="18"/>
          <w:szCs w:val="18"/>
          <w:lang w:eastAsia="en-US"/>
        </w:rPr>
        <w:t xml:space="preserve"> the knowledge and understanding of the company and its environment obtained </w:t>
      </w:r>
      <w:proofErr w:type="gramStart"/>
      <w:r w:rsidRPr="00735726">
        <w:rPr>
          <w:rFonts w:ascii="Arial" w:eastAsia="Times New Roman" w:hAnsi="Arial" w:cs="DINOT-Light"/>
          <w:color w:val="auto"/>
          <w:sz w:val="18"/>
          <w:szCs w:val="18"/>
          <w:lang w:eastAsia="en-US"/>
        </w:rPr>
        <w:t>in the course of</w:t>
      </w:r>
      <w:proofErr w:type="gramEnd"/>
      <w:r w:rsidRPr="00735726">
        <w:rPr>
          <w:rFonts w:ascii="Arial" w:eastAsia="Times New Roman" w:hAnsi="Arial" w:cs="DINOT-Light"/>
          <w:color w:val="auto"/>
          <w:sz w:val="18"/>
          <w:szCs w:val="18"/>
          <w:lang w:eastAsia="en-US"/>
        </w:rPr>
        <w:t xml:space="preserve"> the audit, we did not identify any material misstatements in the Strategic report and Directors’ Report.</w:t>
      </w:r>
    </w:p>
    <w:p w14:paraId="69753672" w14:textId="77777777" w:rsidR="00E0417D" w:rsidRPr="00735726" w:rsidRDefault="00E0417D" w:rsidP="00E0417D">
      <w:pPr>
        <w:pStyle w:val="Heading"/>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CORPORATE GOVERNANCE STATEMENT</w:t>
      </w:r>
    </w:p>
    <w:p w14:paraId="50B6A228"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ISAs (UK) require us to review the directors’ statements in relation to going concern, longer-term viability and that part of the corporate governance statement relating to the company’s compliance with the provisions of the UK Corporate Governance Code, which the Listing Rules of the Financial Conduct Authority specify for review by the auditor. Our additional responsibilities with respect to the corporate governance statement as other information are described in the Reporting on other information section of this report.</w:t>
      </w:r>
    </w:p>
    <w:p w14:paraId="0977C435" w14:textId="77777777" w:rsidR="00E0417D" w:rsidRPr="00735726" w:rsidRDefault="00E0417D" w:rsidP="00E0417D">
      <w:pPr>
        <w:pStyle w:val="BeforeBullet"/>
        <w:keepN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Based on the work undertaken as part of our audit, we have concluded that each of the following elements of the corporate governance statement, included within the Governance section of the Annual report and financial statements is materially consistent with the financial statements and our knowledge obtained during the audit, and we have nothing material to add or draw attention to in relation to:</w:t>
      </w:r>
    </w:p>
    <w:p w14:paraId="52AED967"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directors’ confirmation that they have carried out a robust assessment of the emerging and principal </w:t>
      </w:r>
      <w:proofErr w:type="gramStart"/>
      <w:r w:rsidRPr="00735726">
        <w:rPr>
          <w:rFonts w:ascii="Arial" w:eastAsia="Times New Roman" w:hAnsi="Arial" w:cs="DINOT-Light"/>
          <w:color w:val="auto"/>
          <w:sz w:val="18"/>
          <w:szCs w:val="18"/>
          <w:lang w:eastAsia="en-US"/>
        </w:rPr>
        <w:t>risks;</w:t>
      </w:r>
      <w:proofErr w:type="gramEnd"/>
    </w:p>
    <w:p w14:paraId="18D72E72"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disclosures in the Annual Report that describe those principal risks, what procedures are in place to identify emerging risks and an explanation of how these are being managed or </w:t>
      </w:r>
      <w:proofErr w:type="gramStart"/>
      <w:r w:rsidRPr="00735726">
        <w:rPr>
          <w:rFonts w:ascii="Arial" w:eastAsia="Times New Roman" w:hAnsi="Arial" w:cs="DINOT-Light"/>
          <w:color w:val="auto"/>
          <w:sz w:val="18"/>
          <w:szCs w:val="18"/>
          <w:lang w:eastAsia="en-US"/>
        </w:rPr>
        <w:t>mitigated;</w:t>
      </w:r>
      <w:proofErr w:type="gramEnd"/>
    </w:p>
    <w:p w14:paraId="121D7FB8"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directors’ statement in the financial statements about whether they considered it appropriate to adopt the going concern basis of accounting in preparing them, and their identification of any material uncertainties to the company’s ability to continue to do so over a period of at least twelve months from the date of approval of the financial </w:t>
      </w:r>
      <w:proofErr w:type="gramStart"/>
      <w:r w:rsidRPr="00735726">
        <w:rPr>
          <w:rFonts w:ascii="Arial" w:eastAsia="Times New Roman" w:hAnsi="Arial" w:cs="DINOT-Light"/>
          <w:color w:val="auto"/>
          <w:sz w:val="18"/>
          <w:szCs w:val="18"/>
          <w:lang w:eastAsia="en-US"/>
        </w:rPr>
        <w:t>statements;</w:t>
      </w:r>
      <w:proofErr w:type="gramEnd"/>
    </w:p>
    <w:p w14:paraId="10B96115"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directors’ explanation as to their assessment of the company’s prospects, the period this assessment covers and why the period is appropriate; and</w:t>
      </w:r>
    </w:p>
    <w:p w14:paraId="32CE0EB0"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directors’ statement as to whether they have a reasonable expectation that the company will be able to continue in operation and meet its liabilities as they fall due over the period of its assessment, including any related disclosures drawing attention to any necessary qualifications or assumptions.</w:t>
      </w:r>
    </w:p>
    <w:p w14:paraId="26164849" w14:textId="77777777" w:rsidR="00E0417D" w:rsidRPr="00735726" w:rsidRDefault="00E0417D" w:rsidP="00E0417D">
      <w:pPr>
        <w:pStyle w:val="AfterBulle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lastRenderedPageBreak/>
        <w:t>Our review of the directors’ statement regarding the longer-term viability of the company was substantially less in scope than an audit and only consisted of making inquiries and considering the directors’ process supporting their statement; checking that the statement is in alignment with the relevant provisions of the UK Corporate Governance Code; and considering whether the statement is consistent with the financial statements and our knowledge and understanding of the company and its environment obtained in the course of the audit.</w:t>
      </w:r>
    </w:p>
    <w:p w14:paraId="3FDFE3E6" w14:textId="77777777" w:rsidR="00E0417D" w:rsidRPr="00735726" w:rsidRDefault="00E0417D" w:rsidP="00E0417D">
      <w:pPr>
        <w:pStyle w:val="BeforeBullet"/>
        <w:keepNext/>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In addition, based on the work undertaken as part of our audit, we have concluded that each of the following elements of the corporate governance statement is materially consistent with the financial statements and our knowledge obtained during the audit:</w:t>
      </w:r>
    </w:p>
    <w:p w14:paraId="0B36BE0F" w14:textId="77777777" w:rsidR="00E0417D" w:rsidRPr="00735726" w:rsidRDefault="00E0417D" w:rsidP="00E0417D">
      <w:pPr>
        <w:pStyle w:val="Bullet"/>
        <w:numPr>
          <w:ilvl w:val="0"/>
          <w:numId w:val="0"/>
        </w:numPr>
        <w:spacing w:line="276" w:lineRule="auto"/>
        <w:ind w:left="720"/>
        <w:jc w:val="both"/>
        <w:outlineLvl w:val="4"/>
        <w:rPr>
          <w:rFonts w:ascii="Arial" w:eastAsia="Times New Roman" w:hAnsi="Arial" w:cs="DINOT-Light"/>
          <w:color w:val="auto"/>
          <w:sz w:val="18"/>
          <w:szCs w:val="18"/>
          <w:lang w:eastAsia="en-US"/>
        </w:rPr>
      </w:pPr>
    </w:p>
    <w:p w14:paraId="4E25EE36"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The directors’ statement that they consider the Annual Report, taken as a whole, is fair, balanced and understandable, and provides the information necessary for the members to assess the company's position, performance, business model and </w:t>
      </w:r>
      <w:proofErr w:type="gramStart"/>
      <w:r w:rsidRPr="00735726">
        <w:rPr>
          <w:rFonts w:ascii="Arial" w:eastAsia="Times New Roman" w:hAnsi="Arial" w:cs="DINOT-Light"/>
          <w:color w:val="auto"/>
          <w:sz w:val="18"/>
          <w:szCs w:val="18"/>
          <w:lang w:eastAsia="en-US"/>
        </w:rPr>
        <w:t>strategy;</w:t>
      </w:r>
      <w:proofErr w:type="gramEnd"/>
    </w:p>
    <w:p w14:paraId="20306044"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section of the Annual Report that describes the review of effectiveness of risk management and internal control systems; and</w:t>
      </w:r>
    </w:p>
    <w:p w14:paraId="7AE9D196"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section of the Annual Report describing the work of the audit committee.</w:t>
      </w:r>
    </w:p>
    <w:p w14:paraId="771A733B" w14:textId="77777777" w:rsidR="00E0417D" w:rsidRPr="00735726" w:rsidRDefault="00E0417D" w:rsidP="00E0417D">
      <w:pPr>
        <w:pStyle w:val="AfterBulle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We have nothing to report in respect of our responsibility to report when the directors’ statement relating to the company’s compliance with the Code does not properly disclose a departure from a relevant provision of the Code specified under the Listing Rules for review by the auditors.</w:t>
      </w:r>
    </w:p>
    <w:p w14:paraId="4CC3957F" w14:textId="77777777" w:rsidR="00E0417D" w:rsidRPr="00735726" w:rsidRDefault="00E0417D" w:rsidP="00E0417D">
      <w:pPr>
        <w:pStyle w:val="Heading"/>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RESPONSIBILITIES FOR THE FINANCIAL STATEMENTS AND THE AUDIT</w:t>
      </w:r>
    </w:p>
    <w:p w14:paraId="064AF4BE" w14:textId="77777777" w:rsidR="00E0417D" w:rsidRPr="00735726" w:rsidRDefault="00E0417D" w:rsidP="00E0417D">
      <w:pPr>
        <w:pStyle w:val="SubHeading"/>
        <w:spacing w:line="276" w:lineRule="auto"/>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RESPONSIBILITIES OF THE DIRECTORS FOR THE FINANCIAL STATEMENTS</w:t>
      </w:r>
      <w:r w:rsidRPr="00735726">
        <w:rPr>
          <w:rFonts w:ascii="Arial" w:eastAsia="Times New Roman" w:hAnsi="Arial" w:cs="DINOT-Light"/>
          <w:b w:val="0"/>
          <w:bCs w:val="0"/>
          <w:i/>
          <w:iCs/>
          <w:color w:val="auto"/>
          <w:sz w:val="18"/>
          <w:szCs w:val="18"/>
          <w:lang w:eastAsia="en-US"/>
        </w:rPr>
        <w:br/>
      </w:r>
      <w:r w:rsidRPr="00735726">
        <w:rPr>
          <w:rFonts w:ascii="Arial" w:eastAsia="Times New Roman" w:hAnsi="Arial" w:cs="DINOT-Light"/>
          <w:b w:val="0"/>
          <w:bCs w:val="0"/>
          <w:color w:val="auto"/>
          <w:sz w:val="18"/>
          <w:szCs w:val="18"/>
          <w:lang w:eastAsia="en-US"/>
        </w:rPr>
        <w:t>As explained more fully in the Statement of Directors’ Responsibilities, the directors are responsible for the preparation of the financial statements in accordance with the applicable framework and for being satisfied that they give a true and fair view. The directors are also responsible for such internal control as they determine is necessary to enable the preparation of financial statements that are free from material misstatement, whether due to fraud or error.</w:t>
      </w:r>
    </w:p>
    <w:p w14:paraId="049BDB11" w14:textId="77777777" w:rsidR="00E0417D" w:rsidRPr="00735726" w:rsidRDefault="00E0417D" w:rsidP="00E0417D">
      <w:pPr>
        <w:pStyle w:val="AfterBulle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In preparing the financial statements, the directors are responsible for assessing the company’s ability to continue as a going concern, disclosing, as applicable, matters related to going concern and using the going concern basis of accounting unless the directors either intend to liquidate the company or to cease operations, or have no realistic alternative but to do so.</w:t>
      </w:r>
    </w:p>
    <w:p w14:paraId="6A2FDDEF" w14:textId="77777777" w:rsidR="00E0417D" w:rsidRPr="00735726" w:rsidRDefault="00E0417D" w:rsidP="00E0417D">
      <w:pPr>
        <w:pStyle w:val="SubHeading"/>
        <w:spacing w:line="276" w:lineRule="auto"/>
        <w:rPr>
          <w:color w:val="auto"/>
        </w:rPr>
      </w:pPr>
      <w:r w:rsidRPr="00735726">
        <w:rPr>
          <w:rFonts w:ascii="Arial" w:eastAsia="Times New Roman" w:hAnsi="Arial" w:cs="DINOT-Light"/>
          <w:b w:val="0"/>
          <w:bCs w:val="0"/>
          <w:i/>
          <w:iCs/>
          <w:color w:val="auto"/>
          <w:sz w:val="18"/>
          <w:szCs w:val="18"/>
          <w:lang w:eastAsia="en-US"/>
        </w:rPr>
        <w:t>AUDITORS’ RESPONSIBILITIES FOR THE AUDIT OF THE FINANCIAL STATEMENTS</w:t>
      </w:r>
    </w:p>
    <w:p w14:paraId="496213F5"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Our objectives are to obtain reasonable assurance about whether the financial statements </w:t>
      </w:r>
      <w:proofErr w:type="gramStart"/>
      <w:r w:rsidRPr="00735726">
        <w:rPr>
          <w:rFonts w:ascii="Arial" w:eastAsia="Times New Roman" w:hAnsi="Arial" w:cs="DINOT-Light"/>
          <w:color w:val="auto"/>
          <w:sz w:val="18"/>
          <w:szCs w:val="18"/>
          <w:lang w:eastAsia="en-US"/>
        </w:rPr>
        <w:t>as a whole are</w:t>
      </w:r>
      <w:proofErr w:type="gramEnd"/>
      <w:r w:rsidRPr="00735726">
        <w:rPr>
          <w:rFonts w:ascii="Arial" w:eastAsia="Times New Roman" w:hAnsi="Arial" w:cs="DINOT-Light"/>
          <w:color w:val="auto"/>
          <w:sz w:val="18"/>
          <w:szCs w:val="18"/>
          <w:lang w:eastAsia="en-US"/>
        </w:rPr>
        <w:t xml:space="preserve"> free from material misstatement, whether due to fraud or error, and to issue an auditors’ report that includes our opinion. Reasonable assurance is a high level of </w:t>
      </w:r>
      <w:proofErr w:type="gramStart"/>
      <w:r w:rsidRPr="00735726">
        <w:rPr>
          <w:rFonts w:ascii="Arial" w:eastAsia="Times New Roman" w:hAnsi="Arial" w:cs="DINOT-Light"/>
          <w:color w:val="auto"/>
          <w:sz w:val="18"/>
          <w:szCs w:val="18"/>
          <w:lang w:eastAsia="en-US"/>
        </w:rPr>
        <w:t>assurance, but</w:t>
      </w:r>
      <w:proofErr w:type="gramEnd"/>
      <w:r w:rsidRPr="00735726">
        <w:rPr>
          <w:rFonts w:ascii="Arial" w:eastAsia="Times New Roman" w:hAnsi="Arial" w:cs="DINOT-Light"/>
          <w:color w:val="auto"/>
          <w:sz w:val="18"/>
          <w:szCs w:val="18"/>
          <w:lang w:eastAsia="en-US"/>
        </w:rPr>
        <w:t xml:space="preserve">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735726">
        <w:rPr>
          <w:rFonts w:ascii="Arial" w:eastAsia="Times New Roman" w:hAnsi="Arial" w:cs="DINOT-Light"/>
          <w:color w:val="auto"/>
          <w:sz w:val="18"/>
          <w:szCs w:val="18"/>
          <w:lang w:eastAsia="en-US"/>
        </w:rPr>
        <w:t>on the basis of</w:t>
      </w:r>
      <w:proofErr w:type="gramEnd"/>
      <w:r w:rsidRPr="00735726">
        <w:rPr>
          <w:rFonts w:ascii="Arial" w:eastAsia="Times New Roman" w:hAnsi="Arial" w:cs="DINOT-Light"/>
          <w:color w:val="auto"/>
          <w:sz w:val="18"/>
          <w:szCs w:val="18"/>
          <w:lang w:eastAsia="en-US"/>
        </w:rPr>
        <w:t xml:space="preserve"> these financial statements.</w:t>
      </w:r>
    </w:p>
    <w:p w14:paraId="52A47AB0"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Irregularities, including fraud, are instances of non-compliance with laws and regulations. We design procedures in line with our responsibilities, outlined above, to detect material misstatements in respect of irregularities, including fraud. The extent to which our procedures </w:t>
      </w:r>
      <w:proofErr w:type="gramStart"/>
      <w:r w:rsidRPr="00735726">
        <w:rPr>
          <w:rFonts w:ascii="Arial" w:eastAsia="Times New Roman" w:hAnsi="Arial" w:cs="DINOT-Light"/>
          <w:color w:val="auto"/>
          <w:sz w:val="18"/>
          <w:szCs w:val="18"/>
          <w:lang w:eastAsia="en-US"/>
        </w:rPr>
        <w:t>are capable of detecting</w:t>
      </w:r>
      <w:proofErr w:type="gramEnd"/>
      <w:r w:rsidRPr="00735726">
        <w:rPr>
          <w:rFonts w:ascii="Arial" w:eastAsia="Times New Roman" w:hAnsi="Arial" w:cs="DINOT-Light"/>
          <w:color w:val="auto"/>
          <w:sz w:val="18"/>
          <w:szCs w:val="18"/>
          <w:lang w:eastAsia="en-US"/>
        </w:rPr>
        <w:t xml:space="preserve"> irregularities, including fraud, is detailed below.</w:t>
      </w:r>
    </w:p>
    <w:p w14:paraId="0B03A63B" w14:textId="77777777" w:rsidR="00E0417D" w:rsidRPr="00735726" w:rsidRDefault="00E0417D" w:rsidP="00E0417D">
      <w:pPr>
        <w:pStyle w:val="BeforeBullet"/>
        <w:keepN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Based on our understanding of the company and industry, we identified that the principal risks of non-compliance with laws and regulations related to Environmental Regulations and Ofwat Regulations, and we considered the extent to which non-compliance might have a material effect on the financial statements. We also considered those laws and regulations that have a direct impact on the financial statements such as Tax Legislation and the Companies Act 2006. We evaluated management’s incentives and opportunities for fraudulent manipulation of the financial statements (including the risk of override of controls</w:t>
      </w:r>
      <w:proofErr w:type="gramStart"/>
      <w:r w:rsidRPr="00735726">
        <w:rPr>
          <w:rFonts w:ascii="Arial" w:eastAsia="Times New Roman" w:hAnsi="Arial" w:cs="DINOT-Light"/>
          <w:color w:val="auto"/>
          <w:sz w:val="18"/>
          <w:szCs w:val="18"/>
          <w:lang w:eastAsia="en-US"/>
        </w:rPr>
        <w:t>), and</w:t>
      </w:r>
      <w:proofErr w:type="gramEnd"/>
      <w:r w:rsidRPr="00735726">
        <w:rPr>
          <w:rFonts w:ascii="Arial" w:eastAsia="Times New Roman" w:hAnsi="Arial" w:cs="DINOT-Light"/>
          <w:color w:val="auto"/>
          <w:sz w:val="18"/>
          <w:szCs w:val="18"/>
          <w:lang w:eastAsia="en-US"/>
        </w:rPr>
        <w:t xml:space="preserve"> determined that the principal risks were related to posting inappropriate journal entries that improve financial performance, the incorrect classification of items as </w:t>
      </w:r>
      <w:r w:rsidRPr="00735726">
        <w:rPr>
          <w:rFonts w:ascii="Arial" w:eastAsia="Times New Roman" w:hAnsi="Arial" w:cs="DINOT-Light"/>
          <w:color w:val="auto"/>
          <w:sz w:val="18"/>
          <w:szCs w:val="18"/>
          <w:lang w:eastAsia="en-US"/>
        </w:rPr>
        <w:lastRenderedPageBreak/>
        <w:t>non-underlying in the Income Statement and management bias in significant accounting estimates and judgements. Audit procedures performed by the engagement team included:</w:t>
      </w:r>
    </w:p>
    <w:p w14:paraId="260CD551" w14:textId="77777777" w:rsidR="00E0417D" w:rsidRPr="00735726" w:rsidRDefault="00E0417D" w:rsidP="00E0417D">
      <w:pPr>
        <w:pStyle w:val="Bullet"/>
        <w:numPr>
          <w:ilvl w:val="0"/>
          <w:numId w:val="0"/>
        </w:numPr>
        <w:spacing w:line="276" w:lineRule="auto"/>
        <w:ind w:left="360"/>
        <w:jc w:val="both"/>
        <w:outlineLvl w:val="4"/>
        <w:rPr>
          <w:rFonts w:ascii="Arial" w:eastAsia="Times New Roman" w:hAnsi="Arial" w:cs="DINOT-Light"/>
          <w:color w:val="auto"/>
          <w:sz w:val="18"/>
          <w:szCs w:val="18"/>
          <w:lang w:eastAsia="en-US"/>
        </w:rPr>
      </w:pPr>
    </w:p>
    <w:p w14:paraId="55603A86"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Discussions among the engagement personnel covering the potential for material misstatements due to error or fraud, the risks associated with related parties and emphasis on the need to maintain professional scepticism throughout the </w:t>
      </w:r>
      <w:proofErr w:type="gramStart"/>
      <w:r w:rsidRPr="00735726">
        <w:rPr>
          <w:rFonts w:ascii="Arial" w:eastAsia="Times New Roman" w:hAnsi="Arial" w:cs="DINOT-Light"/>
          <w:color w:val="auto"/>
          <w:sz w:val="18"/>
          <w:szCs w:val="18"/>
          <w:lang w:eastAsia="en-US"/>
        </w:rPr>
        <w:t>engagement;</w:t>
      </w:r>
      <w:proofErr w:type="gramEnd"/>
    </w:p>
    <w:p w14:paraId="67B20610"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Inquiries of the directors and others within the entity, including those outside of finance, as to their knowledge, awareness and concerns regarding fraud, or breaches in laws and </w:t>
      </w:r>
      <w:proofErr w:type="gramStart"/>
      <w:r w:rsidRPr="00735726">
        <w:rPr>
          <w:rFonts w:ascii="Arial" w:eastAsia="Times New Roman" w:hAnsi="Arial" w:cs="DINOT-Light"/>
          <w:color w:val="auto"/>
          <w:sz w:val="18"/>
          <w:szCs w:val="18"/>
          <w:lang w:eastAsia="en-US"/>
        </w:rPr>
        <w:t>regulations;</w:t>
      </w:r>
      <w:proofErr w:type="gramEnd"/>
    </w:p>
    <w:p w14:paraId="339F766B"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Identification and testing of journal entries that met our risk criteria, in particular any journal entries posted with unusual account combinations that hit our risk criteria and incorporating an element of unpredictability in the nature, timing and extent of audit procedures </w:t>
      </w:r>
      <w:proofErr w:type="gramStart"/>
      <w:r w:rsidRPr="00735726">
        <w:rPr>
          <w:rFonts w:ascii="Arial" w:eastAsia="Times New Roman" w:hAnsi="Arial" w:cs="DINOT-Light"/>
          <w:color w:val="auto"/>
          <w:sz w:val="18"/>
          <w:szCs w:val="18"/>
          <w:lang w:eastAsia="en-US"/>
        </w:rPr>
        <w:t>performed;</w:t>
      </w:r>
      <w:proofErr w:type="gramEnd"/>
    </w:p>
    <w:p w14:paraId="078EC236"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Testing non-underlying items and assessing the judgement made by the directors over their </w:t>
      </w:r>
      <w:proofErr w:type="gramStart"/>
      <w:r w:rsidRPr="00735726">
        <w:rPr>
          <w:rFonts w:ascii="Arial" w:eastAsia="Times New Roman" w:hAnsi="Arial" w:cs="DINOT-Light"/>
          <w:color w:val="auto"/>
          <w:sz w:val="18"/>
          <w:szCs w:val="18"/>
          <w:lang w:eastAsia="en-US"/>
        </w:rPr>
        <w:t>classification;</w:t>
      </w:r>
      <w:proofErr w:type="gramEnd"/>
    </w:p>
    <w:p w14:paraId="0ABD5535"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Testing significant accounting estimates and judgements made by the </w:t>
      </w:r>
      <w:proofErr w:type="gramStart"/>
      <w:r w:rsidRPr="00735726">
        <w:rPr>
          <w:rFonts w:ascii="Arial" w:eastAsia="Times New Roman" w:hAnsi="Arial" w:cs="DINOT-Light"/>
          <w:color w:val="auto"/>
          <w:sz w:val="18"/>
          <w:szCs w:val="18"/>
          <w:lang w:eastAsia="en-US"/>
        </w:rPr>
        <w:t>directors;</w:t>
      </w:r>
      <w:proofErr w:type="gramEnd"/>
    </w:p>
    <w:p w14:paraId="1C7A7F97"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Reading the minutes of the Board meetings to identify any inconsistencies with other information provided by </w:t>
      </w:r>
      <w:proofErr w:type="gramStart"/>
      <w:r w:rsidRPr="00735726">
        <w:rPr>
          <w:rFonts w:ascii="Arial" w:eastAsia="Times New Roman" w:hAnsi="Arial" w:cs="DINOT-Light"/>
          <w:color w:val="auto"/>
          <w:sz w:val="18"/>
          <w:szCs w:val="18"/>
          <w:lang w:eastAsia="en-US"/>
        </w:rPr>
        <w:t>management;</w:t>
      </w:r>
      <w:proofErr w:type="gramEnd"/>
    </w:p>
    <w:p w14:paraId="227D7336"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Reviewing matters raised through the Company’s whistleblowing process insofar as they relate to the financial </w:t>
      </w:r>
      <w:proofErr w:type="gramStart"/>
      <w:r w:rsidRPr="00735726">
        <w:rPr>
          <w:rFonts w:ascii="Arial" w:eastAsia="Times New Roman" w:hAnsi="Arial" w:cs="DINOT-Light"/>
          <w:color w:val="auto"/>
          <w:sz w:val="18"/>
          <w:szCs w:val="18"/>
          <w:lang w:eastAsia="en-US"/>
        </w:rPr>
        <w:t>statements;</w:t>
      </w:r>
      <w:proofErr w:type="gramEnd"/>
    </w:p>
    <w:p w14:paraId="41B9B0AA"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Reviewing the financial statement disclosures and testing to supporting documentation to assess compliance with laws and </w:t>
      </w:r>
      <w:proofErr w:type="gramStart"/>
      <w:r w:rsidRPr="00735726">
        <w:rPr>
          <w:rFonts w:ascii="Arial" w:eastAsia="Times New Roman" w:hAnsi="Arial" w:cs="DINOT-Light"/>
          <w:color w:val="auto"/>
          <w:sz w:val="18"/>
          <w:szCs w:val="18"/>
          <w:lang w:eastAsia="en-US"/>
        </w:rPr>
        <w:t>regulations;</w:t>
      </w:r>
      <w:proofErr w:type="gramEnd"/>
    </w:p>
    <w:p w14:paraId="0BBB3FA1"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Reviewing internal audit reports that related to the financial statements; and</w:t>
      </w:r>
    </w:p>
    <w:p w14:paraId="2984BD1C"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Reviewing legal expense accounts and other correspondence to identify items which may indicate the existence of material legal claims.</w:t>
      </w:r>
    </w:p>
    <w:p w14:paraId="6457A8CC" w14:textId="77777777" w:rsidR="00E0417D" w:rsidRPr="00735726" w:rsidRDefault="00E0417D" w:rsidP="00E0417D">
      <w:pPr>
        <w:pStyle w:val="AfterBulle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There are inherent limitations in the audit procedures described above. We are less likely to become aware of instances of non-compliance with laws and regulations that are not closely related to events and transactions reflected in the financial statements. Also, the risk of not detecting a material misstatement due to fraud is higher than the risk of not detecting one resulting from error, as fraud may involve deliberate concealment by, for example, forgery or intentional misrepresentations, or through collusion.</w:t>
      </w:r>
    </w:p>
    <w:p w14:paraId="11F37AD8" w14:textId="77777777" w:rsidR="00E0417D" w:rsidRPr="00735726" w:rsidRDefault="00E0417D" w:rsidP="00E0417D">
      <w:pPr>
        <w:pStyle w:val="AfterBulle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 xml:space="preserve">Our audit testing might include testing complete populations of certain transactions and balances, possibly using data auditing techniques. However, it typically involves selecting a limited number of items for testing, rather than testing complete populations. We will often seek to target </w:t>
      </w:r>
      <w:proofErr w:type="gramStart"/>
      <w:r w:rsidRPr="00735726">
        <w:rPr>
          <w:rFonts w:ascii="Arial" w:eastAsia="Times New Roman" w:hAnsi="Arial" w:cs="DINOT-Light"/>
          <w:color w:val="auto"/>
          <w:sz w:val="18"/>
          <w:szCs w:val="18"/>
          <w:lang w:eastAsia="en-US"/>
        </w:rPr>
        <w:t>particular items</w:t>
      </w:r>
      <w:proofErr w:type="gramEnd"/>
      <w:r w:rsidRPr="00735726">
        <w:rPr>
          <w:rFonts w:ascii="Arial" w:eastAsia="Times New Roman" w:hAnsi="Arial" w:cs="DINOT-Light"/>
          <w:color w:val="auto"/>
          <w:sz w:val="18"/>
          <w:szCs w:val="18"/>
          <w:lang w:eastAsia="en-US"/>
        </w:rPr>
        <w:t xml:space="preserve"> for testing based on their size or risk characteristics. In other cases, we will use audit sampling to enable us to draw a conclusion about the population from which the sample is selected.</w:t>
      </w:r>
    </w:p>
    <w:p w14:paraId="44BC770D"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A further description of our responsibilities for the audit of the financial statements is located on the FRC’s website at: www.frc.org.uk/auditorsresponsibilities. This description forms part of our auditors’ report.</w:t>
      </w:r>
    </w:p>
    <w:p w14:paraId="0D300B9C" w14:textId="77777777" w:rsidR="00E0417D" w:rsidRPr="00735726" w:rsidRDefault="00E0417D" w:rsidP="00E0417D">
      <w:pPr>
        <w:pStyle w:val="SubHeading"/>
        <w:spacing w:line="276" w:lineRule="auto"/>
        <w:jc w:val="both"/>
        <w:rPr>
          <w:rFonts w:ascii="Arial" w:eastAsia="Times New Roman" w:hAnsi="Arial" w:cs="DINOT-Light"/>
          <w:b w:val="0"/>
          <w:bCs w:val="0"/>
          <w:i/>
          <w:iCs/>
          <w:color w:val="auto"/>
          <w:sz w:val="18"/>
          <w:szCs w:val="18"/>
          <w:lang w:eastAsia="en-US"/>
        </w:rPr>
      </w:pPr>
      <w:r w:rsidRPr="00735726">
        <w:rPr>
          <w:rFonts w:ascii="Arial" w:eastAsia="Times New Roman" w:hAnsi="Arial" w:cs="DINOT-Light"/>
          <w:b w:val="0"/>
          <w:bCs w:val="0"/>
          <w:i/>
          <w:iCs/>
          <w:color w:val="auto"/>
          <w:sz w:val="18"/>
          <w:szCs w:val="18"/>
          <w:lang w:eastAsia="en-US"/>
        </w:rPr>
        <w:t>USE OF THIS REPORT</w:t>
      </w:r>
    </w:p>
    <w:p w14:paraId="073A2A01"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This report, including the opinions, has been prepared for and only for the company’s members as a body in accordance with Chapter 3 of Part 16 of the Companies Act 2006 and for no other purpose. We do not, in giving these opinions, accept or assume responsibility for any other purpose or to any other person to whom this report is shown or into whose hands it may come save where expressly agreed by our prior consent in writing.</w:t>
      </w:r>
    </w:p>
    <w:p w14:paraId="5D6A2308" w14:textId="77777777" w:rsidR="00E0417D" w:rsidRPr="00735726" w:rsidRDefault="00E0417D" w:rsidP="00E0417D">
      <w:pPr>
        <w:pStyle w:val="MainHeading0"/>
        <w:rPr>
          <w:rFonts w:ascii="Arial" w:eastAsia="Times New Roman" w:hAnsi="Arial" w:cs="DINOT-Light"/>
          <w:b/>
          <w:color w:val="auto"/>
          <w:sz w:val="18"/>
          <w:szCs w:val="18"/>
          <w:lang w:eastAsia="en-US"/>
        </w:rPr>
      </w:pPr>
      <w:r w:rsidRPr="00735726">
        <w:rPr>
          <w:rFonts w:ascii="Arial" w:eastAsia="Times New Roman" w:hAnsi="Arial" w:cs="DINOT-Light"/>
          <w:b/>
          <w:color w:val="auto"/>
          <w:sz w:val="18"/>
          <w:szCs w:val="18"/>
          <w:lang w:eastAsia="en-US"/>
        </w:rPr>
        <w:t>OTHER REQUIRED REPORTING</w:t>
      </w:r>
    </w:p>
    <w:p w14:paraId="4BCECC5D" w14:textId="77777777" w:rsidR="00E0417D" w:rsidRPr="00735726" w:rsidRDefault="00E0417D" w:rsidP="00E0417D">
      <w:pPr>
        <w:pStyle w:val="Heading"/>
        <w:spacing w:line="276" w:lineRule="auto"/>
        <w:rPr>
          <w:rFonts w:ascii="Arial" w:eastAsia="Times New Roman" w:hAnsi="Arial" w:cs="DINOT-Light"/>
          <w:b w:val="0"/>
          <w:bCs w:val="0"/>
          <w:color w:val="auto"/>
          <w:sz w:val="18"/>
          <w:szCs w:val="18"/>
          <w:lang w:eastAsia="en-US"/>
        </w:rPr>
      </w:pPr>
      <w:r w:rsidRPr="00735726">
        <w:rPr>
          <w:rFonts w:ascii="Arial" w:eastAsia="Times New Roman" w:hAnsi="Arial" w:cs="DINOT-Light"/>
          <w:color w:val="auto"/>
          <w:sz w:val="18"/>
          <w:szCs w:val="18"/>
          <w:lang w:eastAsia="en-US"/>
        </w:rPr>
        <w:t>COMPANIES ACT 2006 EXCEPTION REPORTING</w:t>
      </w:r>
      <w:r w:rsidRPr="00735726">
        <w:rPr>
          <w:rFonts w:ascii="Arial" w:eastAsia="Times New Roman" w:hAnsi="Arial" w:cs="DINOT-Light"/>
          <w:color w:val="auto"/>
          <w:sz w:val="18"/>
          <w:szCs w:val="18"/>
          <w:lang w:eastAsia="en-US"/>
        </w:rPr>
        <w:br/>
      </w:r>
      <w:r w:rsidRPr="00735726">
        <w:rPr>
          <w:rFonts w:ascii="Arial" w:eastAsia="Times New Roman" w:hAnsi="Arial" w:cs="DINOT-Light"/>
          <w:b w:val="0"/>
          <w:bCs w:val="0"/>
          <w:color w:val="auto"/>
          <w:sz w:val="18"/>
          <w:szCs w:val="18"/>
          <w:lang w:eastAsia="en-US"/>
        </w:rPr>
        <w:t>Under the Companies Act 2006 we are required to report to you if, in our opinion:</w:t>
      </w:r>
      <w:r w:rsidRPr="00735726">
        <w:rPr>
          <w:rFonts w:ascii="Arial" w:eastAsia="Times New Roman" w:hAnsi="Arial" w:cs="DINOT-Light"/>
          <w:b w:val="0"/>
          <w:bCs w:val="0"/>
          <w:color w:val="auto"/>
          <w:sz w:val="18"/>
          <w:szCs w:val="18"/>
          <w:lang w:eastAsia="en-US"/>
        </w:rPr>
        <w:br/>
      </w:r>
    </w:p>
    <w:p w14:paraId="5782D92F"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we have not obtained all the information and explanations we require for our audit; or</w:t>
      </w:r>
    </w:p>
    <w:p w14:paraId="51D2D244"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adequate accounting records have not been kept by the company, or returns adequate for our audit have not been received from branches not visited by us; or</w:t>
      </w:r>
    </w:p>
    <w:p w14:paraId="1FD94DA7"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certain disclosures of directors’ remuneration specified by law are not made; or</w:t>
      </w:r>
    </w:p>
    <w:p w14:paraId="6E84B610" w14:textId="77777777" w:rsidR="00E0417D" w:rsidRPr="00735726" w:rsidRDefault="00E0417D" w:rsidP="00E0417D">
      <w:pPr>
        <w:pStyle w:val="Bullet"/>
        <w:numPr>
          <w:ilvl w:val="0"/>
          <w:numId w:val="119"/>
        </w:numPr>
        <w:spacing w:line="276" w:lineRule="auto"/>
        <w:jc w:val="both"/>
        <w:outlineLvl w:val="4"/>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financial statements are not in agreement with the accounting records and returns.</w:t>
      </w:r>
    </w:p>
    <w:p w14:paraId="74497F11" w14:textId="77777777" w:rsidR="00E0417D" w:rsidRPr="00735726" w:rsidRDefault="00E0417D" w:rsidP="00E0417D">
      <w:pPr>
        <w:pStyle w:val="Text"/>
        <w:spacing w:line="276" w:lineRule="auto"/>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We have no exceptions to report arising from this responsibility.</w:t>
      </w:r>
    </w:p>
    <w:p w14:paraId="429CA7BC" w14:textId="77777777" w:rsidR="00E0417D" w:rsidRPr="00735726" w:rsidRDefault="00E0417D" w:rsidP="00E0417D">
      <w:pPr>
        <w:pStyle w:val="MainHeading0"/>
        <w:rPr>
          <w:rFonts w:ascii="Arial" w:eastAsia="Times New Roman" w:hAnsi="Arial" w:cs="DINOT-Light"/>
          <w:b/>
          <w:color w:val="auto"/>
          <w:sz w:val="18"/>
          <w:szCs w:val="18"/>
          <w:lang w:eastAsia="en-US"/>
        </w:rPr>
      </w:pPr>
      <w:r w:rsidRPr="00735726">
        <w:rPr>
          <w:rFonts w:ascii="Arial" w:eastAsia="Times New Roman" w:hAnsi="Arial" w:cs="DINOT-Light"/>
          <w:b/>
          <w:color w:val="auto"/>
          <w:sz w:val="18"/>
          <w:szCs w:val="18"/>
          <w:lang w:eastAsia="en-US"/>
        </w:rPr>
        <w:lastRenderedPageBreak/>
        <w:t>OTHER VOLUNTARY REPORTING</w:t>
      </w:r>
    </w:p>
    <w:p w14:paraId="0EDBBB2E" w14:textId="77777777" w:rsidR="00E0417D" w:rsidRPr="00735726" w:rsidRDefault="00E0417D" w:rsidP="00E0417D">
      <w:pPr>
        <w:pStyle w:val="Heading"/>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DIRECTORS’ REMUNERATION</w:t>
      </w:r>
    </w:p>
    <w:p w14:paraId="1EA88C0F" w14:textId="77777777" w:rsidR="00E0417D" w:rsidRPr="00735726" w:rsidRDefault="00E0417D" w:rsidP="00E0417D">
      <w:pPr>
        <w:pStyle w:val="Text"/>
        <w:spacing w:line="276" w:lineRule="auto"/>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The company voluntarily prepares a Directors' Remuneration Report in accordance with the provisions of the Companies Act 2006. The directors requested that we audit the part of the Directors' Remuneration Report specified by the Companies Act 2006 to be audited as if the company were a quoted company.</w:t>
      </w:r>
    </w:p>
    <w:p w14:paraId="4311E5B4" w14:textId="77777777" w:rsidR="00E0417D" w:rsidRPr="00735726" w:rsidRDefault="00E0417D" w:rsidP="00E0417D">
      <w:pPr>
        <w:pStyle w:val="Text"/>
        <w:spacing w:line="276" w:lineRule="auto"/>
        <w:rPr>
          <w:color w:val="auto"/>
        </w:rPr>
      </w:pPr>
      <w:r w:rsidRPr="00735726">
        <w:rPr>
          <w:rFonts w:ascii="Arial" w:eastAsia="Times New Roman" w:hAnsi="Arial" w:cs="DINOT-Light"/>
          <w:color w:val="auto"/>
          <w:sz w:val="18"/>
          <w:szCs w:val="18"/>
          <w:lang w:eastAsia="en-US"/>
        </w:rPr>
        <w:t>In our opinion, the part of the Directors' Remuneration Report to be audited has been properly prepared in accordance with the Companies Act 2006.</w:t>
      </w:r>
    </w:p>
    <w:p w14:paraId="20A60475" w14:textId="77777777" w:rsidR="00E0417D" w:rsidRPr="00735726" w:rsidRDefault="00E0417D" w:rsidP="00E0417D">
      <w:pPr>
        <w:pStyle w:val="Text"/>
        <w:rPr>
          <w:rFonts w:ascii="Arial" w:eastAsia="Times New Roman" w:hAnsi="Arial" w:cs="DINOT-Light"/>
          <w:color w:val="FF0000"/>
          <w:sz w:val="18"/>
          <w:szCs w:val="18"/>
          <w:lang w:eastAsia="en-US"/>
        </w:rPr>
      </w:pPr>
      <w:r w:rsidRPr="00735726">
        <w:rPr>
          <w:rFonts w:ascii="Arial" w:eastAsia="Times New Roman" w:hAnsi="Arial" w:cs="DINOT-Light"/>
          <w:color w:val="FF0000"/>
          <w:sz w:val="18"/>
          <w:szCs w:val="18"/>
          <w:lang w:eastAsia="en-US"/>
        </w:rPr>
        <w:t> </w:t>
      </w:r>
    </w:p>
    <w:p w14:paraId="1C05BCB8" w14:textId="77777777" w:rsidR="00E0417D" w:rsidRPr="00735726" w:rsidRDefault="00E0417D" w:rsidP="00E0417D">
      <w:pPr>
        <w:pStyle w:val="Text"/>
        <w:rPr>
          <w:rFonts w:ascii="Arial" w:eastAsia="Times New Roman" w:hAnsi="Arial" w:cs="DINOT-Light"/>
          <w:color w:val="FF0000"/>
          <w:sz w:val="18"/>
          <w:szCs w:val="18"/>
          <w:lang w:eastAsia="en-US"/>
        </w:rPr>
      </w:pPr>
    </w:p>
    <w:p w14:paraId="2325ABDF" w14:textId="77777777" w:rsidR="00E0417D" w:rsidRPr="00735726" w:rsidRDefault="00E0417D" w:rsidP="00E0417D">
      <w:pPr>
        <w:pStyle w:val="Address"/>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Colin Bates (Senior Statutory Auditor)</w:t>
      </w:r>
    </w:p>
    <w:p w14:paraId="773F595C" w14:textId="77777777" w:rsidR="00E0417D" w:rsidRPr="00735726" w:rsidRDefault="00E0417D" w:rsidP="00E0417D">
      <w:pPr>
        <w:pStyle w:val="Address"/>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for and on behalf of PricewaterhouseCoopers LLP</w:t>
      </w:r>
    </w:p>
    <w:p w14:paraId="545405F9" w14:textId="77777777" w:rsidR="00E0417D" w:rsidRPr="00735726" w:rsidRDefault="00E0417D" w:rsidP="00E0417D">
      <w:pPr>
        <w:pStyle w:val="Address"/>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Chartered Accountants and Statutory Auditors</w:t>
      </w:r>
    </w:p>
    <w:p w14:paraId="3675FC7F" w14:textId="77777777" w:rsidR="00E0417D" w:rsidRPr="00735726" w:rsidRDefault="00E0417D" w:rsidP="00E0417D">
      <w:pPr>
        <w:pStyle w:val="Address"/>
        <w:jc w:val="both"/>
        <w:rPr>
          <w:rFonts w:ascii="Arial" w:eastAsia="Times New Roman" w:hAnsi="Arial" w:cs="DINOT-Light"/>
          <w:color w:val="auto"/>
          <w:sz w:val="18"/>
          <w:szCs w:val="18"/>
          <w:lang w:eastAsia="en-US"/>
        </w:rPr>
      </w:pPr>
      <w:r w:rsidRPr="00735726">
        <w:rPr>
          <w:rFonts w:ascii="Arial" w:eastAsia="Times New Roman" w:hAnsi="Arial" w:cs="DINOT-Light"/>
          <w:color w:val="auto"/>
          <w:sz w:val="18"/>
          <w:szCs w:val="18"/>
          <w:lang w:eastAsia="en-US"/>
        </w:rPr>
        <w:t>Bristol</w:t>
      </w:r>
    </w:p>
    <w:p w14:paraId="67646236" w14:textId="6DF3869F" w:rsidR="00E0417D" w:rsidRPr="00735726" w:rsidRDefault="00E0417D" w:rsidP="00E0417D">
      <w:pPr>
        <w:pStyle w:val="Single"/>
        <w:jc w:val="both"/>
        <w:rPr>
          <w:rFonts w:ascii="Arial" w:eastAsia="Times New Roman" w:hAnsi="Arial" w:cs="DINOT-Light"/>
          <w:color w:val="auto"/>
          <w:sz w:val="18"/>
          <w:szCs w:val="18"/>
          <w:lang w:eastAsia="en-US"/>
        </w:rPr>
      </w:pPr>
      <w:r w:rsidRPr="009A2CAE">
        <w:rPr>
          <w:rFonts w:ascii="Arial" w:eastAsia="Times New Roman" w:hAnsi="Arial" w:cs="DINOT-Light"/>
          <w:color w:val="auto"/>
          <w:sz w:val="18"/>
          <w:szCs w:val="18"/>
          <w:lang w:eastAsia="en-US"/>
        </w:rPr>
        <w:t>1</w:t>
      </w:r>
      <w:r w:rsidR="00C956AD">
        <w:rPr>
          <w:rFonts w:ascii="Arial" w:eastAsia="Times New Roman" w:hAnsi="Arial" w:cs="DINOT-Light"/>
          <w:color w:val="auto"/>
          <w:sz w:val="18"/>
          <w:szCs w:val="18"/>
          <w:lang w:eastAsia="en-US"/>
        </w:rPr>
        <w:t>5</w:t>
      </w:r>
      <w:r w:rsidRPr="009A2CAE">
        <w:rPr>
          <w:rFonts w:ascii="Arial" w:eastAsia="Times New Roman" w:hAnsi="Arial" w:cs="DINOT-Light"/>
          <w:color w:val="auto"/>
          <w:sz w:val="18"/>
          <w:szCs w:val="18"/>
          <w:lang w:eastAsia="en-US"/>
        </w:rPr>
        <w:t> July 2026</w:t>
      </w:r>
    </w:p>
    <w:p w14:paraId="111895CD" w14:textId="77777777" w:rsidR="00E0417D" w:rsidRPr="00735726" w:rsidRDefault="00E0417D" w:rsidP="00E0417D">
      <w:pPr>
        <w:rPr>
          <w:color w:val="FF0000"/>
        </w:rPr>
      </w:pPr>
    </w:p>
    <w:p w14:paraId="14EEFAA8" w14:textId="77777777" w:rsidR="00646F4F" w:rsidRPr="00735726" w:rsidRDefault="00FA4EFE">
      <w:pPr>
        <w:spacing w:after="160" w:line="259" w:lineRule="auto"/>
        <w:rPr>
          <w:rFonts w:ascii="Arial" w:eastAsia="Times New Roman" w:hAnsi="Arial" w:cs="DINOT"/>
          <w:caps/>
          <w:color w:val="000000"/>
          <w:sz w:val="32"/>
          <w:szCs w:val="32"/>
        </w:rPr>
      </w:pPr>
      <w:bookmarkStart w:id="55" w:name="bookmark-name-397_289877870"/>
      <w:bookmarkStart w:id="56" w:name="bookmark-name-440_289877913"/>
      <w:bookmarkStart w:id="57" w:name="bookmark-name-4050_289879888"/>
      <w:bookmarkStart w:id="58" w:name="bookmark-name-4058_289879888"/>
      <w:bookmarkStart w:id="59" w:name="bookmark-name-4066_289879888"/>
      <w:bookmarkStart w:id="60" w:name="bookmark-name-519_289879784"/>
      <w:bookmarkStart w:id="61" w:name="bookmark-name-534_289879787"/>
      <w:bookmarkStart w:id="62" w:name="bookmark-name-1001_289879818"/>
      <w:bookmarkStart w:id="63" w:name="bookmark-name-1094_289879829"/>
      <w:bookmarkStart w:id="64" w:name="bookmark-name-4074_289879905"/>
      <w:bookmarkStart w:id="65" w:name="bookmark-name-4077_289879905"/>
      <w:bookmarkStart w:id="66" w:name="bookmark-name-4080_289879905"/>
      <w:bookmarkStart w:id="67" w:name="bookmark-name-4083_289879905"/>
      <w:bookmarkStart w:id="68" w:name="bookmark-name-4086_289879905"/>
      <w:bookmarkStart w:id="69" w:name="bookmark-name-4089_289879905"/>
      <w:bookmarkStart w:id="70" w:name="bookmark-name-1810_289879858"/>
      <w:bookmarkStart w:id="71" w:name="bookmark-name-1812_289879166"/>
      <w:bookmarkStart w:id="72" w:name="bookmark-name-1834_289879188"/>
      <w:bookmarkStart w:id="73" w:name="bookmark-name-1849_289879859"/>
      <w:bookmarkStart w:id="74" w:name="bookmark-name-1902_289879862"/>
      <w:bookmarkStart w:id="75" w:name="bookmark-name-1904_289879863"/>
      <w:bookmarkStart w:id="76" w:name="bookmark-name-4092_289879906"/>
      <w:bookmarkStart w:id="77" w:name="bookmark-name-4095_289879906"/>
      <w:bookmarkStart w:id="78" w:name="bookmark-name-4098_289879906"/>
      <w:bookmarkStart w:id="79" w:name="bookmark-name-4101_289879906"/>
      <w:bookmarkStart w:id="80" w:name="bookmark-name-4104_289879906"/>
      <w:bookmarkStart w:id="81" w:name="bookmark-name-4107_289879906"/>
      <w:bookmarkStart w:id="82" w:name="bookmark-name-4110_289879906"/>
      <w:bookmarkStart w:id="83" w:name="bookmark-name-4113_289879906"/>
      <w:bookmarkStart w:id="84" w:name="bookmark-name-4116_289879906"/>
      <w:bookmarkStart w:id="85" w:name="bookmark-name-2197_289879531"/>
      <w:bookmarkStart w:id="86" w:name="bookmark-name-2202_289879536"/>
      <w:bookmarkStart w:id="87" w:name="bookmark-name-2211_28987954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54"/>
      <w:r w:rsidRPr="00735726">
        <w:rPr>
          <w:rFonts w:ascii="Arial" w:eastAsia="Times New Roman" w:hAnsi="Arial" w:cs="DINOT"/>
          <w:caps/>
          <w:color w:val="000000"/>
          <w:sz w:val="32"/>
          <w:szCs w:val="32"/>
        </w:rPr>
        <w:br w:type="page"/>
      </w:r>
    </w:p>
    <w:p w14:paraId="5745E4E4" w14:textId="77777777" w:rsidR="00646F4F" w:rsidRPr="00735726" w:rsidRDefault="00646F4F" w:rsidP="00646F4F">
      <w:pPr>
        <w:widowControl w:val="0"/>
        <w:suppressAutoHyphens/>
        <w:autoSpaceDE w:val="0"/>
        <w:autoSpaceDN w:val="0"/>
        <w:adjustRightInd w:val="0"/>
        <w:spacing w:after="0" w:line="288" w:lineRule="auto"/>
        <w:textAlignment w:val="center"/>
        <w:outlineLvl w:val="0"/>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STATEMENT OF PROFIT OR LOSS</w:t>
      </w:r>
    </w:p>
    <w:p w14:paraId="2F6AD7C5" w14:textId="77777777" w:rsidR="00646F4F" w:rsidRPr="00735726" w:rsidRDefault="00646F4F" w:rsidP="00646F4F">
      <w:pPr>
        <w:widowControl w:val="0"/>
        <w:tabs>
          <w:tab w:val="left" w:pos="340"/>
          <w:tab w:val="center" w:pos="5233"/>
        </w:tabs>
        <w:suppressAutoHyphens/>
        <w:autoSpaceDE w:val="0"/>
        <w:autoSpaceDN w:val="0"/>
        <w:adjustRightInd w:val="0"/>
        <w:spacing w:after="0" w:line="220" w:lineRule="atLeast"/>
        <w:textAlignment w:val="center"/>
        <w:outlineLvl w:val="0"/>
        <w:rPr>
          <w:rFonts w:ascii="Arial" w:eastAsia="Times New Roman" w:hAnsi="Arial" w:cs="DINOT-Light"/>
          <w:caps/>
          <w:color w:val="000000"/>
          <w:sz w:val="24"/>
          <w:szCs w:val="24"/>
        </w:rPr>
      </w:pPr>
      <w:r w:rsidRPr="00735726">
        <w:rPr>
          <w:rFonts w:ascii="Arial" w:eastAsia="Times New Roman" w:hAnsi="Arial" w:cs="DINOT-Light"/>
          <w:caps/>
          <w:color w:val="000000"/>
          <w:sz w:val="24"/>
          <w:szCs w:val="24"/>
        </w:rPr>
        <w:t>FOR THE YEAR ENDED 31 MARCH 2026</w:t>
      </w:r>
    </w:p>
    <w:p w14:paraId="30E46B59"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DINOT-Light"/>
          <w:caps/>
          <w:color w:val="000000"/>
          <w:sz w:val="24"/>
          <w:szCs w:val="24"/>
        </w:rPr>
      </w:pPr>
    </w:p>
    <w:p w14:paraId="45F6F373"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DINOT-Light"/>
          <w:caps/>
          <w:color w:val="000000"/>
          <w:sz w:val="24"/>
          <w:szCs w:val="24"/>
        </w:rPr>
      </w:pPr>
    </w:p>
    <w:tbl>
      <w:tblPr>
        <w:tblW w:w="10469" w:type="dxa"/>
        <w:tblInd w:w="8" w:type="dxa"/>
        <w:tblLayout w:type="fixed"/>
        <w:tblCellMar>
          <w:left w:w="0" w:type="dxa"/>
          <w:right w:w="0" w:type="dxa"/>
        </w:tblCellMar>
        <w:tblLook w:val="0000" w:firstRow="0" w:lastRow="0" w:firstColumn="0" w:lastColumn="0" w:noHBand="0" w:noVBand="0"/>
      </w:tblPr>
      <w:tblGrid>
        <w:gridCol w:w="3067"/>
        <w:gridCol w:w="669"/>
        <w:gridCol w:w="1064"/>
        <w:gridCol w:w="1326"/>
        <w:gridCol w:w="665"/>
        <w:gridCol w:w="1064"/>
        <w:gridCol w:w="1197"/>
        <w:gridCol w:w="752"/>
        <w:gridCol w:w="665"/>
      </w:tblGrid>
      <w:tr w:rsidR="00646F4F" w:rsidRPr="00735726" w14:paraId="3D6FB91A" w14:textId="77777777" w:rsidTr="00CE19B2">
        <w:trPr>
          <w:gridAfter w:val="1"/>
          <w:wAfter w:w="665" w:type="dxa"/>
          <w:trHeight w:val="45"/>
          <w:tblHeader/>
        </w:trPr>
        <w:tc>
          <w:tcPr>
            <w:tcW w:w="3067" w:type="dxa"/>
            <w:tcMar>
              <w:top w:w="11" w:type="dxa"/>
              <w:left w:w="57" w:type="dxa"/>
              <w:bottom w:w="11" w:type="dxa"/>
              <w:right w:w="57" w:type="dxa"/>
            </w:tcMar>
          </w:tcPr>
          <w:p w14:paraId="2DE64C8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669" w:type="dxa"/>
            <w:tcMar>
              <w:top w:w="11" w:type="dxa"/>
              <w:left w:w="57" w:type="dxa"/>
              <w:bottom w:w="11" w:type="dxa"/>
              <w:right w:w="57" w:type="dxa"/>
            </w:tcMar>
          </w:tcPr>
          <w:p w14:paraId="7711E6D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04D2FC71"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Notes</w:t>
            </w:r>
          </w:p>
        </w:tc>
        <w:tc>
          <w:tcPr>
            <w:tcW w:w="1064" w:type="dxa"/>
            <w:tcMar>
              <w:top w:w="11" w:type="dxa"/>
              <w:left w:w="57" w:type="dxa"/>
              <w:bottom w:w="11" w:type="dxa"/>
              <w:right w:w="57" w:type="dxa"/>
            </w:tcMar>
          </w:tcPr>
          <w:p w14:paraId="2D2B1F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Before non-underlying items</w:t>
            </w:r>
          </w:p>
          <w:p w14:paraId="6A5A5D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27B25E2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326" w:type="dxa"/>
            <w:tcMar>
              <w:top w:w="11" w:type="dxa"/>
              <w:left w:w="57" w:type="dxa"/>
              <w:bottom w:w="11" w:type="dxa"/>
              <w:right w:w="57" w:type="dxa"/>
            </w:tcMar>
          </w:tcPr>
          <w:p w14:paraId="00D3B2E0" w14:textId="498A84BB"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Non-underlying items </w:t>
            </w:r>
            <w:r w:rsidRPr="009A2CAE">
              <w:rPr>
                <w:rFonts w:ascii="Arial" w:eastAsia="Times New Roman" w:hAnsi="Arial" w:cs="DINOT-Light"/>
                <w:b/>
                <w:color w:val="000000"/>
                <w:sz w:val="18"/>
                <w:szCs w:val="18"/>
              </w:rPr>
              <w:t xml:space="preserve">(note </w:t>
            </w:r>
            <w:r w:rsidR="00B63B15" w:rsidRPr="009A2CAE">
              <w:rPr>
                <w:rFonts w:ascii="Arial" w:eastAsia="Times New Roman" w:hAnsi="Arial" w:cs="DINOT-Light"/>
                <w:b/>
                <w:color w:val="000000"/>
                <w:sz w:val="18"/>
                <w:szCs w:val="18"/>
              </w:rPr>
              <w:t>6</w:t>
            </w:r>
            <w:r w:rsidRPr="009A2CAE">
              <w:rPr>
                <w:rFonts w:ascii="Arial" w:eastAsia="Times New Roman" w:hAnsi="Arial" w:cs="DINOT-Light"/>
                <w:b/>
                <w:color w:val="000000"/>
                <w:sz w:val="18"/>
                <w:szCs w:val="18"/>
              </w:rPr>
              <w:t>)</w:t>
            </w:r>
          </w:p>
          <w:p w14:paraId="5481FCA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19C5DB1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665" w:type="dxa"/>
          </w:tcPr>
          <w:p w14:paraId="56722F62"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7590A76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97219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395632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3AE14F69"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064" w:type="dxa"/>
          </w:tcPr>
          <w:p w14:paraId="70B051D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Before non-underlying items</w:t>
            </w:r>
          </w:p>
          <w:p w14:paraId="373FEDF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A98B5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97" w:type="dxa"/>
          </w:tcPr>
          <w:p w14:paraId="3F848073" w14:textId="388817A0"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Non-underlying items (</w:t>
            </w:r>
            <w:r w:rsidRPr="009A2CAE">
              <w:rPr>
                <w:rFonts w:ascii="Arial" w:eastAsia="Times New Roman" w:hAnsi="Arial" w:cs="DINOT-Light"/>
                <w:b/>
                <w:color w:val="000000"/>
                <w:sz w:val="18"/>
                <w:szCs w:val="18"/>
              </w:rPr>
              <w:t xml:space="preserve">note </w:t>
            </w:r>
            <w:r w:rsidR="00B63B15" w:rsidRPr="009A2CAE">
              <w:rPr>
                <w:rFonts w:ascii="Arial" w:eastAsia="Times New Roman" w:hAnsi="Arial" w:cs="DINOT-Light"/>
                <w:b/>
                <w:color w:val="000000"/>
                <w:sz w:val="18"/>
                <w:szCs w:val="18"/>
              </w:rPr>
              <w:t>6</w:t>
            </w:r>
            <w:r w:rsidRPr="009A2CAE">
              <w:rPr>
                <w:rFonts w:ascii="Arial" w:eastAsia="Times New Roman" w:hAnsi="Arial" w:cs="DINOT-Light"/>
                <w:b/>
                <w:color w:val="000000"/>
                <w:sz w:val="18"/>
                <w:szCs w:val="18"/>
              </w:rPr>
              <w:t>)</w:t>
            </w:r>
          </w:p>
          <w:p w14:paraId="59408D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1C936D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752" w:type="dxa"/>
            <w:tcMar>
              <w:top w:w="11" w:type="dxa"/>
              <w:left w:w="57" w:type="dxa"/>
              <w:bottom w:w="11" w:type="dxa"/>
              <w:right w:w="57" w:type="dxa"/>
            </w:tcMar>
          </w:tcPr>
          <w:p w14:paraId="5ED37B1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7225A3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28EB370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62ABD7E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758654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67723C67" w14:textId="77777777" w:rsidTr="00CE19B2">
        <w:trPr>
          <w:gridAfter w:val="1"/>
          <w:wAfter w:w="665" w:type="dxa"/>
          <w:trHeight w:val="172"/>
        </w:trPr>
        <w:tc>
          <w:tcPr>
            <w:tcW w:w="3067" w:type="dxa"/>
            <w:tcMar>
              <w:top w:w="11" w:type="dxa"/>
              <w:left w:w="57" w:type="dxa"/>
              <w:bottom w:w="11" w:type="dxa"/>
              <w:right w:w="57" w:type="dxa"/>
            </w:tcMar>
          </w:tcPr>
          <w:p w14:paraId="021CEDB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8" w:name="XMETag_50e05f39a1274c72a6ef1e875b4ebb75" w:colFirst="2" w:colLast="2"/>
            <w:bookmarkStart w:id="89" w:name="XMETag_8e6e2aec2c8e400fa5abba1316a00d39" w:colFirst="4" w:colLast="4"/>
            <w:bookmarkStart w:id="90" w:name="XMETag_0820c1f18d4c434abd0cebb7505781b5" w:colFirst="5" w:colLast="5"/>
            <w:bookmarkStart w:id="91" w:name="XMETag_3ef98bb2de644f69bba23693df8fae4d" w:colFirst="7" w:colLast="7"/>
            <w:bookmarkStart w:id="92" w:name="XMETag_79822d65e75942cba5b6e5ec68bec260" w:colFirst="3" w:colLast="3"/>
            <w:r w:rsidRPr="00735726">
              <w:rPr>
                <w:rFonts w:ascii="Arial" w:eastAsia="Times New Roman" w:hAnsi="Arial" w:cs="DINOT-Light"/>
                <w:color w:val="000000"/>
                <w:sz w:val="18"/>
                <w:szCs w:val="18"/>
              </w:rPr>
              <w:t>Revenue</w:t>
            </w:r>
          </w:p>
        </w:tc>
        <w:tc>
          <w:tcPr>
            <w:tcW w:w="669" w:type="dxa"/>
            <w:tcMar>
              <w:top w:w="11" w:type="dxa"/>
              <w:left w:w="57" w:type="dxa"/>
              <w:bottom w:w="11" w:type="dxa"/>
              <w:right w:w="57" w:type="dxa"/>
            </w:tcMar>
          </w:tcPr>
          <w:p w14:paraId="2AD77193" w14:textId="05C95653"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5</w:t>
            </w:r>
          </w:p>
        </w:tc>
        <w:tc>
          <w:tcPr>
            <w:tcW w:w="1064" w:type="dxa"/>
            <w:tcMar>
              <w:top w:w="11" w:type="dxa"/>
              <w:left w:w="57" w:type="dxa"/>
              <w:bottom w:w="11" w:type="dxa"/>
              <w:right w:w="57" w:type="dxa"/>
            </w:tcMar>
          </w:tcPr>
          <w:p w14:paraId="262CD8D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939.2</w:t>
            </w:r>
          </w:p>
        </w:tc>
        <w:tc>
          <w:tcPr>
            <w:tcW w:w="1326" w:type="dxa"/>
            <w:tcMar>
              <w:top w:w="11" w:type="dxa"/>
              <w:left w:w="57" w:type="dxa"/>
              <w:bottom w:w="11" w:type="dxa"/>
              <w:right w:w="57" w:type="dxa"/>
            </w:tcMar>
          </w:tcPr>
          <w:p w14:paraId="21868E3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65" w:type="dxa"/>
          </w:tcPr>
          <w:p w14:paraId="42098D1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939.2</w:t>
            </w:r>
          </w:p>
        </w:tc>
        <w:tc>
          <w:tcPr>
            <w:tcW w:w="1064" w:type="dxa"/>
          </w:tcPr>
          <w:p w14:paraId="0377B54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739.2</w:t>
            </w:r>
          </w:p>
        </w:tc>
        <w:tc>
          <w:tcPr>
            <w:tcW w:w="1197" w:type="dxa"/>
          </w:tcPr>
          <w:p w14:paraId="2271540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752" w:type="dxa"/>
            <w:tcMar>
              <w:top w:w="11" w:type="dxa"/>
              <w:left w:w="57" w:type="dxa"/>
              <w:bottom w:w="11" w:type="dxa"/>
              <w:right w:w="57" w:type="dxa"/>
            </w:tcMar>
          </w:tcPr>
          <w:p w14:paraId="70B193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739.2</w:t>
            </w:r>
          </w:p>
        </w:tc>
      </w:tr>
      <w:bookmarkEnd w:id="88"/>
      <w:bookmarkEnd w:id="89"/>
      <w:bookmarkEnd w:id="90"/>
      <w:bookmarkEnd w:id="91"/>
      <w:bookmarkEnd w:id="92"/>
      <w:tr w:rsidR="00646F4F" w:rsidRPr="00735726" w14:paraId="189D88FA" w14:textId="77777777" w:rsidTr="00CE19B2">
        <w:trPr>
          <w:gridAfter w:val="1"/>
          <w:wAfter w:w="665" w:type="dxa"/>
          <w:trHeight w:val="172"/>
        </w:trPr>
        <w:tc>
          <w:tcPr>
            <w:tcW w:w="3067" w:type="dxa"/>
            <w:tcMar>
              <w:top w:w="11" w:type="dxa"/>
              <w:left w:w="57" w:type="dxa"/>
              <w:bottom w:w="11" w:type="dxa"/>
              <w:right w:w="57" w:type="dxa"/>
            </w:tcMar>
          </w:tcPr>
          <w:p w14:paraId="24841A0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Operating costs</w:t>
            </w:r>
          </w:p>
        </w:tc>
        <w:tc>
          <w:tcPr>
            <w:tcW w:w="669" w:type="dxa"/>
            <w:tcMar>
              <w:top w:w="11" w:type="dxa"/>
              <w:left w:w="57" w:type="dxa"/>
              <w:bottom w:w="11" w:type="dxa"/>
              <w:right w:w="57" w:type="dxa"/>
            </w:tcMar>
          </w:tcPr>
          <w:p w14:paraId="7AE84E5E" w14:textId="63831D47"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7</w:t>
            </w:r>
          </w:p>
        </w:tc>
        <w:tc>
          <w:tcPr>
            <w:tcW w:w="1064" w:type="dxa"/>
            <w:tcMar>
              <w:top w:w="11" w:type="dxa"/>
              <w:left w:w="57" w:type="dxa"/>
              <w:bottom w:w="11" w:type="dxa"/>
              <w:right w:w="57" w:type="dxa"/>
            </w:tcMar>
          </w:tcPr>
          <w:p w14:paraId="3D1370B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326" w:type="dxa"/>
            <w:tcMar>
              <w:top w:w="11" w:type="dxa"/>
              <w:left w:w="57" w:type="dxa"/>
              <w:bottom w:w="11" w:type="dxa"/>
              <w:right w:w="57" w:type="dxa"/>
            </w:tcMar>
          </w:tcPr>
          <w:p w14:paraId="2DD742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665" w:type="dxa"/>
          </w:tcPr>
          <w:p w14:paraId="362FEF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064" w:type="dxa"/>
          </w:tcPr>
          <w:p w14:paraId="67F33F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97" w:type="dxa"/>
          </w:tcPr>
          <w:p w14:paraId="79C515C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752" w:type="dxa"/>
            <w:tcMar>
              <w:top w:w="11" w:type="dxa"/>
              <w:left w:w="57" w:type="dxa"/>
              <w:bottom w:w="11" w:type="dxa"/>
              <w:right w:w="57" w:type="dxa"/>
            </w:tcMar>
          </w:tcPr>
          <w:p w14:paraId="18E15C4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14E7FBA8" w14:textId="77777777" w:rsidTr="00CE19B2">
        <w:trPr>
          <w:gridAfter w:val="1"/>
          <w:wAfter w:w="665" w:type="dxa"/>
          <w:trHeight w:val="177"/>
        </w:trPr>
        <w:tc>
          <w:tcPr>
            <w:tcW w:w="3067" w:type="dxa"/>
            <w:tcMar>
              <w:top w:w="11" w:type="dxa"/>
              <w:left w:w="57" w:type="dxa"/>
              <w:bottom w:w="11" w:type="dxa"/>
              <w:right w:w="57" w:type="dxa"/>
            </w:tcMar>
          </w:tcPr>
          <w:p w14:paraId="6E9CA45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3" w:name="XMETag_06a02e6733ae4dec8c1f983a89d28cbd" w:colFirst="2" w:colLast="2"/>
            <w:bookmarkStart w:id="94" w:name="XMETag_6be851785e5c4e518519499191f3245c" w:colFirst="3" w:colLast="3"/>
            <w:bookmarkStart w:id="95" w:name="XMETag_d0833c98dccd4e9ca3e4043fd6a8834c" w:colFirst="4" w:colLast="4"/>
            <w:bookmarkStart w:id="96" w:name="XMETag_7b9ba2eeffed4d8eb2c593cd196aee5b" w:colFirst="5" w:colLast="5"/>
            <w:bookmarkStart w:id="97" w:name="XMETag_1c0632c7b02b42629f1710fbc8dac73a" w:colFirst="6" w:colLast="6"/>
            <w:bookmarkStart w:id="98" w:name="XMETag_a949c79772f346f1a972b5fc2f12c97b" w:colFirst="7" w:colLast="7"/>
            <w:r w:rsidRPr="00735726">
              <w:rPr>
                <w:rFonts w:ascii="Arial" w:eastAsia="Times New Roman" w:hAnsi="Arial" w:cs="DINOT-Light"/>
                <w:color w:val="000000"/>
                <w:sz w:val="18"/>
                <w:szCs w:val="18"/>
              </w:rPr>
              <w:t>Employment costs</w:t>
            </w:r>
          </w:p>
        </w:tc>
        <w:tc>
          <w:tcPr>
            <w:tcW w:w="669" w:type="dxa"/>
            <w:tcMar>
              <w:top w:w="11" w:type="dxa"/>
              <w:left w:w="57" w:type="dxa"/>
              <w:bottom w:w="11" w:type="dxa"/>
              <w:right w:w="57" w:type="dxa"/>
            </w:tcMar>
          </w:tcPr>
          <w:p w14:paraId="0A5A001E"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064" w:type="dxa"/>
            <w:tcMar>
              <w:top w:w="11" w:type="dxa"/>
              <w:left w:w="57" w:type="dxa"/>
              <w:bottom w:w="11" w:type="dxa"/>
              <w:right w:w="57" w:type="dxa"/>
            </w:tcMar>
          </w:tcPr>
          <w:p w14:paraId="39C3364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(84.9)</w:t>
            </w:r>
          </w:p>
        </w:tc>
        <w:tc>
          <w:tcPr>
            <w:tcW w:w="1326" w:type="dxa"/>
            <w:tcMar>
              <w:top w:w="11" w:type="dxa"/>
              <w:left w:w="57" w:type="dxa"/>
              <w:bottom w:w="11" w:type="dxa"/>
              <w:right w:w="57" w:type="dxa"/>
            </w:tcMar>
          </w:tcPr>
          <w:p w14:paraId="1105D7D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w:t>
            </w:r>
          </w:p>
        </w:tc>
        <w:tc>
          <w:tcPr>
            <w:tcW w:w="665" w:type="dxa"/>
          </w:tcPr>
          <w:p w14:paraId="28357C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(86.4)</w:t>
            </w:r>
          </w:p>
        </w:tc>
        <w:tc>
          <w:tcPr>
            <w:tcW w:w="1064" w:type="dxa"/>
          </w:tcPr>
          <w:p w14:paraId="26F8820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(95.0)</w:t>
            </w:r>
          </w:p>
        </w:tc>
        <w:tc>
          <w:tcPr>
            <w:tcW w:w="1197" w:type="dxa"/>
          </w:tcPr>
          <w:p w14:paraId="26A0CE4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(8.6)</w:t>
            </w:r>
          </w:p>
        </w:tc>
        <w:tc>
          <w:tcPr>
            <w:tcW w:w="752" w:type="dxa"/>
            <w:tcMar>
              <w:top w:w="11" w:type="dxa"/>
              <w:left w:w="57" w:type="dxa"/>
              <w:bottom w:w="11" w:type="dxa"/>
              <w:right w:w="57" w:type="dxa"/>
            </w:tcMar>
          </w:tcPr>
          <w:p w14:paraId="0215AF0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(103.6)</w:t>
            </w:r>
          </w:p>
        </w:tc>
      </w:tr>
      <w:tr w:rsidR="00646F4F" w:rsidRPr="00735726" w14:paraId="7782C30D" w14:textId="77777777" w:rsidTr="00CE19B2">
        <w:trPr>
          <w:gridAfter w:val="1"/>
          <w:wAfter w:w="665" w:type="dxa"/>
          <w:trHeight w:val="172"/>
        </w:trPr>
        <w:tc>
          <w:tcPr>
            <w:tcW w:w="3067" w:type="dxa"/>
            <w:tcMar>
              <w:top w:w="11" w:type="dxa"/>
              <w:left w:w="57" w:type="dxa"/>
              <w:bottom w:w="11" w:type="dxa"/>
              <w:right w:w="57" w:type="dxa"/>
            </w:tcMar>
          </w:tcPr>
          <w:p w14:paraId="22AE0F4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9" w:name="XMETag_0a00b93fb7794f59b10cfa07d8a3e00b" w:colFirst="2" w:colLast="2"/>
            <w:bookmarkStart w:id="100" w:name="XMETag_30128c6b6788469ab3c797ff08c47bb2" w:colFirst="3" w:colLast="3"/>
            <w:bookmarkStart w:id="101" w:name="XMETag_07d8643e70d9470d950f6a2786367eda" w:colFirst="4" w:colLast="4"/>
            <w:bookmarkStart w:id="102" w:name="XMETag_0cb48934fbb841baa16b5de31fe2eb79" w:colFirst="5" w:colLast="5"/>
            <w:bookmarkStart w:id="103" w:name="XMETag_33c956a75f9c4290be4756c3a7f81f0b" w:colFirst="6" w:colLast="6"/>
            <w:bookmarkStart w:id="104" w:name="XMETag_2f7c319c479d40cfb0680015654108a7" w:colFirst="7" w:colLast="7"/>
            <w:bookmarkEnd w:id="93"/>
            <w:bookmarkEnd w:id="94"/>
            <w:bookmarkEnd w:id="95"/>
            <w:bookmarkEnd w:id="96"/>
            <w:bookmarkEnd w:id="97"/>
            <w:bookmarkEnd w:id="98"/>
            <w:r w:rsidRPr="00735726">
              <w:rPr>
                <w:rFonts w:ascii="Arial" w:eastAsia="Times New Roman" w:hAnsi="Arial" w:cs="DINOT-Light"/>
                <w:color w:val="000000"/>
                <w:sz w:val="18"/>
                <w:szCs w:val="18"/>
              </w:rPr>
              <w:t xml:space="preserve">Raw materials and consumables </w:t>
            </w:r>
          </w:p>
        </w:tc>
        <w:tc>
          <w:tcPr>
            <w:tcW w:w="669" w:type="dxa"/>
            <w:tcMar>
              <w:top w:w="11" w:type="dxa"/>
              <w:left w:w="57" w:type="dxa"/>
              <w:bottom w:w="11" w:type="dxa"/>
              <w:right w:w="57" w:type="dxa"/>
            </w:tcMar>
          </w:tcPr>
          <w:p w14:paraId="0A8D374B"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064" w:type="dxa"/>
            <w:tcMar>
              <w:top w:w="11" w:type="dxa"/>
              <w:left w:w="57" w:type="dxa"/>
              <w:bottom w:w="11" w:type="dxa"/>
              <w:right w:w="57" w:type="dxa"/>
            </w:tcMar>
          </w:tcPr>
          <w:p w14:paraId="668EEE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(32.2)</w:t>
            </w:r>
          </w:p>
        </w:tc>
        <w:tc>
          <w:tcPr>
            <w:tcW w:w="1326" w:type="dxa"/>
            <w:tcMar>
              <w:top w:w="11" w:type="dxa"/>
              <w:left w:w="57" w:type="dxa"/>
              <w:bottom w:w="11" w:type="dxa"/>
              <w:right w:w="57" w:type="dxa"/>
            </w:tcMar>
          </w:tcPr>
          <w:p w14:paraId="146324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65" w:type="dxa"/>
          </w:tcPr>
          <w:p w14:paraId="3A8DED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(32.2)</w:t>
            </w:r>
          </w:p>
        </w:tc>
        <w:tc>
          <w:tcPr>
            <w:tcW w:w="1064" w:type="dxa"/>
          </w:tcPr>
          <w:p w14:paraId="71EF45E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(44.0)</w:t>
            </w:r>
          </w:p>
        </w:tc>
        <w:tc>
          <w:tcPr>
            <w:tcW w:w="1197" w:type="dxa"/>
          </w:tcPr>
          <w:p w14:paraId="035A27C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752" w:type="dxa"/>
            <w:tcMar>
              <w:top w:w="11" w:type="dxa"/>
              <w:left w:w="57" w:type="dxa"/>
              <w:bottom w:w="11" w:type="dxa"/>
              <w:right w:w="57" w:type="dxa"/>
            </w:tcMar>
          </w:tcPr>
          <w:p w14:paraId="34B3F9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(44.2)</w:t>
            </w:r>
          </w:p>
        </w:tc>
      </w:tr>
      <w:tr w:rsidR="00646F4F" w:rsidRPr="00735726" w14:paraId="74A493C5" w14:textId="77777777" w:rsidTr="00CE19B2">
        <w:trPr>
          <w:gridAfter w:val="1"/>
          <w:wAfter w:w="665" w:type="dxa"/>
          <w:trHeight w:val="172"/>
        </w:trPr>
        <w:tc>
          <w:tcPr>
            <w:tcW w:w="3067" w:type="dxa"/>
            <w:tcMar>
              <w:top w:w="11" w:type="dxa"/>
              <w:left w:w="57" w:type="dxa"/>
              <w:bottom w:w="11" w:type="dxa"/>
              <w:right w:w="57" w:type="dxa"/>
            </w:tcMar>
          </w:tcPr>
          <w:p w14:paraId="6E81AF8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5" w:name="XMETag_49945720659a4ccd95ad75917c14a514" w:colFirst="2" w:colLast="2"/>
            <w:bookmarkStart w:id="106" w:name="XMETag_2db1e28bf07d4b34bdf5e679fa246ab8" w:colFirst="3" w:colLast="3"/>
            <w:bookmarkStart w:id="107" w:name="XMETag_6edc267e83b24a26927dc936e31873ae" w:colFirst="4" w:colLast="4"/>
            <w:bookmarkStart w:id="108" w:name="XMETag_f66601b9c8484a9093593502ba078e60" w:colFirst="5" w:colLast="5"/>
            <w:bookmarkStart w:id="109" w:name="XMETag_d549278ae8ff4e0db4401c9caff97cff" w:colFirst="6" w:colLast="6"/>
            <w:bookmarkStart w:id="110" w:name="XMETag_941d3bc8bacd41738fb2e74e0607fc8a" w:colFirst="7" w:colLast="7"/>
            <w:bookmarkEnd w:id="99"/>
            <w:bookmarkEnd w:id="100"/>
            <w:bookmarkEnd w:id="101"/>
            <w:bookmarkEnd w:id="102"/>
            <w:bookmarkEnd w:id="103"/>
            <w:bookmarkEnd w:id="104"/>
            <w:r w:rsidRPr="00735726">
              <w:rPr>
                <w:rFonts w:ascii="Arial" w:eastAsia="Times New Roman" w:hAnsi="Arial" w:cs="DINOT-Light"/>
                <w:color w:val="000000"/>
                <w:sz w:val="18"/>
                <w:szCs w:val="18"/>
              </w:rPr>
              <w:t>Other operating expenses</w:t>
            </w:r>
          </w:p>
        </w:tc>
        <w:tc>
          <w:tcPr>
            <w:tcW w:w="669" w:type="dxa"/>
            <w:tcMar>
              <w:top w:w="11" w:type="dxa"/>
              <w:left w:w="57" w:type="dxa"/>
              <w:bottom w:w="11" w:type="dxa"/>
              <w:right w:w="57" w:type="dxa"/>
            </w:tcMar>
          </w:tcPr>
          <w:p w14:paraId="0038885F"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064" w:type="dxa"/>
            <w:tcMar>
              <w:top w:w="11" w:type="dxa"/>
              <w:left w:w="57" w:type="dxa"/>
              <w:bottom w:w="11" w:type="dxa"/>
              <w:right w:w="57" w:type="dxa"/>
            </w:tcMar>
          </w:tcPr>
          <w:p w14:paraId="13D4576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(325.7)</w:t>
            </w:r>
          </w:p>
        </w:tc>
        <w:tc>
          <w:tcPr>
            <w:tcW w:w="1326" w:type="dxa"/>
            <w:tcMar>
              <w:top w:w="11" w:type="dxa"/>
              <w:left w:w="57" w:type="dxa"/>
              <w:bottom w:w="11" w:type="dxa"/>
              <w:right w:w="57" w:type="dxa"/>
            </w:tcMar>
          </w:tcPr>
          <w:p w14:paraId="5429579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(13.9)</w:t>
            </w:r>
          </w:p>
        </w:tc>
        <w:tc>
          <w:tcPr>
            <w:tcW w:w="665" w:type="dxa"/>
          </w:tcPr>
          <w:p w14:paraId="51132A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(339.6)</w:t>
            </w:r>
          </w:p>
        </w:tc>
        <w:tc>
          <w:tcPr>
            <w:tcW w:w="1064" w:type="dxa"/>
          </w:tcPr>
          <w:p w14:paraId="675C49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(282.2)</w:t>
            </w:r>
          </w:p>
        </w:tc>
        <w:tc>
          <w:tcPr>
            <w:tcW w:w="1197" w:type="dxa"/>
          </w:tcPr>
          <w:p w14:paraId="5A6EBCC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(23.6)</w:t>
            </w:r>
          </w:p>
        </w:tc>
        <w:tc>
          <w:tcPr>
            <w:tcW w:w="752" w:type="dxa"/>
            <w:tcMar>
              <w:top w:w="11" w:type="dxa"/>
              <w:left w:w="57" w:type="dxa"/>
              <w:bottom w:w="11" w:type="dxa"/>
              <w:right w:w="57" w:type="dxa"/>
            </w:tcMar>
          </w:tcPr>
          <w:p w14:paraId="654DCC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(305.8)</w:t>
            </w:r>
          </w:p>
        </w:tc>
      </w:tr>
      <w:tr w:rsidR="00646F4F" w:rsidRPr="00735726" w14:paraId="0E05A51A" w14:textId="77777777" w:rsidTr="00CE19B2">
        <w:trPr>
          <w:gridAfter w:val="1"/>
          <w:wAfter w:w="665" w:type="dxa"/>
          <w:trHeight w:val="172"/>
        </w:trPr>
        <w:tc>
          <w:tcPr>
            <w:tcW w:w="3067" w:type="dxa"/>
            <w:tcMar>
              <w:top w:w="11" w:type="dxa"/>
              <w:left w:w="57" w:type="dxa"/>
              <w:bottom w:w="11" w:type="dxa"/>
              <w:right w:w="57" w:type="dxa"/>
            </w:tcMar>
          </w:tcPr>
          <w:p w14:paraId="68C5E3ED"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Financial asset impairment</w:t>
            </w:r>
          </w:p>
        </w:tc>
        <w:tc>
          <w:tcPr>
            <w:tcW w:w="669" w:type="dxa"/>
            <w:tcMar>
              <w:top w:w="11" w:type="dxa"/>
              <w:left w:w="57" w:type="dxa"/>
              <w:bottom w:w="11" w:type="dxa"/>
              <w:right w:w="57" w:type="dxa"/>
            </w:tcMar>
          </w:tcPr>
          <w:p w14:paraId="0AC5E29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064" w:type="dxa"/>
            <w:tcMar>
              <w:top w:w="11" w:type="dxa"/>
              <w:left w:w="57" w:type="dxa"/>
              <w:bottom w:w="11" w:type="dxa"/>
              <w:right w:w="57" w:type="dxa"/>
            </w:tcMar>
          </w:tcPr>
          <w:p w14:paraId="6491F5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(14.0)</w:t>
            </w:r>
          </w:p>
        </w:tc>
        <w:tc>
          <w:tcPr>
            <w:tcW w:w="1326" w:type="dxa"/>
            <w:tcMar>
              <w:top w:w="11" w:type="dxa"/>
              <w:left w:w="57" w:type="dxa"/>
              <w:bottom w:w="11" w:type="dxa"/>
              <w:right w:w="57" w:type="dxa"/>
            </w:tcMar>
          </w:tcPr>
          <w:p w14:paraId="4E7D3569"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65" w:type="dxa"/>
          </w:tcPr>
          <w:p w14:paraId="3476E93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(14.0)</w:t>
            </w:r>
          </w:p>
        </w:tc>
        <w:tc>
          <w:tcPr>
            <w:tcW w:w="1064" w:type="dxa"/>
          </w:tcPr>
          <w:p w14:paraId="50DCD3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(8.2)</w:t>
            </w:r>
          </w:p>
        </w:tc>
        <w:tc>
          <w:tcPr>
            <w:tcW w:w="1197" w:type="dxa"/>
          </w:tcPr>
          <w:p w14:paraId="42B5E8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752" w:type="dxa"/>
            <w:tcMar>
              <w:top w:w="11" w:type="dxa"/>
              <w:left w:w="57" w:type="dxa"/>
              <w:bottom w:w="11" w:type="dxa"/>
              <w:right w:w="57" w:type="dxa"/>
            </w:tcMar>
          </w:tcPr>
          <w:p w14:paraId="57986F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(8.2)</w:t>
            </w:r>
          </w:p>
        </w:tc>
      </w:tr>
      <w:bookmarkEnd w:id="105"/>
      <w:bookmarkEnd w:id="106"/>
      <w:bookmarkEnd w:id="107"/>
      <w:bookmarkEnd w:id="108"/>
      <w:bookmarkEnd w:id="109"/>
      <w:bookmarkEnd w:id="110"/>
      <w:tr w:rsidR="00646F4F" w:rsidRPr="00735726" w14:paraId="0C95CBD6" w14:textId="77777777" w:rsidTr="00CE19B2">
        <w:trPr>
          <w:gridAfter w:val="1"/>
          <w:wAfter w:w="665" w:type="dxa"/>
          <w:trHeight w:val="64"/>
        </w:trPr>
        <w:tc>
          <w:tcPr>
            <w:tcW w:w="3067" w:type="dxa"/>
            <w:tcMar>
              <w:top w:w="11" w:type="dxa"/>
              <w:left w:w="57" w:type="dxa"/>
              <w:bottom w:w="11" w:type="dxa"/>
              <w:right w:w="57" w:type="dxa"/>
            </w:tcMar>
          </w:tcPr>
          <w:p w14:paraId="099B8E9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Earnings before interest, tax, depreciation and amortisation</w:t>
            </w:r>
          </w:p>
        </w:tc>
        <w:tc>
          <w:tcPr>
            <w:tcW w:w="669" w:type="dxa"/>
            <w:tcMar>
              <w:top w:w="11" w:type="dxa"/>
              <w:left w:w="57" w:type="dxa"/>
              <w:bottom w:w="11" w:type="dxa"/>
              <w:right w:w="57" w:type="dxa"/>
            </w:tcMar>
          </w:tcPr>
          <w:p w14:paraId="2FB92C6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064" w:type="dxa"/>
            <w:tcBorders>
              <w:top w:val="single" w:sz="4" w:space="0" w:color="auto"/>
            </w:tcBorders>
            <w:tcMar>
              <w:top w:w="11" w:type="dxa"/>
              <w:left w:w="57" w:type="dxa"/>
              <w:bottom w:w="11" w:type="dxa"/>
              <w:right w:w="57" w:type="dxa"/>
            </w:tcMar>
          </w:tcPr>
          <w:p w14:paraId="6DE8B86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482.4</w:t>
            </w:r>
          </w:p>
        </w:tc>
        <w:tc>
          <w:tcPr>
            <w:tcW w:w="1326" w:type="dxa"/>
            <w:tcBorders>
              <w:top w:val="single" w:sz="4" w:space="0" w:color="auto"/>
            </w:tcBorders>
            <w:tcMar>
              <w:top w:w="11" w:type="dxa"/>
              <w:left w:w="57" w:type="dxa"/>
              <w:bottom w:w="11" w:type="dxa"/>
              <w:right w:w="57" w:type="dxa"/>
            </w:tcMar>
          </w:tcPr>
          <w:p w14:paraId="13F6B9C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(15.4)</w:t>
            </w:r>
          </w:p>
        </w:tc>
        <w:tc>
          <w:tcPr>
            <w:tcW w:w="665" w:type="dxa"/>
            <w:tcBorders>
              <w:top w:val="single" w:sz="4" w:space="0" w:color="auto"/>
            </w:tcBorders>
          </w:tcPr>
          <w:p w14:paraId="7B4205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467.0</w:t>
            </w:r>
          </w:p>
        </w:tc>
        <w:tc>
          <w:tcPr>
            <w:tcW w:w="1064" w:type="dxa"/>
            <w:tcBorders>
              <w:top w:val="single" w:sz="4" w:space="0" w:color="auto"/>
            </w:tcBorders>
          </w:tcPr>
          <w:p w14:paraId="2ED5E86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309.8</w:t>
            </w:r>
          </w:p>
        </w:tc>
        <w:tc>
          <w:tcPr>
            <w:tcW w:w="1197" w:type="dxa"/>
            <w:tcBorders>
              <w:top w:val="single" w:sz="4" w:space="0" w:color="auto"/>
            </w:tcBorders>
          </w:tcPr>
          <w:p w14:paraId="5F429DC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(32.4)</w:t>
            </w:r>
          </w:p>
        </w:tc>
        <w:tc>
          <w:tcPr>
            <w:tcW w:w="752" w:type="dxa"/>
            <w:tcBorders>
              <w:top w:val="single" w:sz="4" w:space="0" w:color="auto"/>
            </w:tcBorders>
            <w:tcMar>
              <w:top w:w="11" w:type="dxa"/>
              <w:left w:w="57" w:type="dxa"/>
              <w:bottom w:w="11" w:type="dxa"/>
              <w:right w:w="57" w:type="dxa"/>
            </w:tcMar>
          </w:tcPr>
          <w:p w14:paraId="19AC932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277.4</w:t>
            </w:r>
          </w:p>
        </w:tc>
      </w:tr>
      <w:tr w:rsidR="00646F4F" w:rsidRPr="00735726" w14:paraId="60C572DE" w14:textId="77777777" w:rsidTr="00CE19B2">
        <w:trPr>
          <w:gridAfter w:val="1"/>
          <w:wAfter w:w="665" w:type="dxa"/>
          <w:trHeight w:val="64"/>
        </w:trPr>
        <w:tc>
          <w:tcPr>
            <w:tcW w:w="3067" w:type="dxa"/>
            <w:tcMar>
              <w:top w:w="11" w:type="dxa"/>
              <w:left w:w="57" w:type="dxa"/>
              <w:bottom w:w="11" w:type="dxa"/>
              <w:right w:w="57" w:type="dxa"/>
            </w:tcMar>
          </w:tcPr>
          <w:p w14:paraId="69B9789A"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669" w:type="dxa"/>
            <w:tcMar>
              <w:top w:w="11" w:type="dxa"/>
              <w:left w:w="57" w:type="dxa"/>
              <w:bottom w:w="11" w:type="dxa"/>
              <w:right w:w="57" w:type="dxa"/>
            </w:tcMar>
          </w:tcPr>
          <w:p w14:paraId="0B549E11"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064" w:type="dxa"/>
            <w:tcMar>
              <w:top w:w="11" w:type="dxa"/>
              <w:left w:w="57" w:type="dxa"/>
              <w:bottom w:w="11" w:type="dxa"/>
              <w:right w:w="57" w:type="dxa"/>
            </w:tcMar>
          </w:tcPr>
          <w:p w14:paraId="484097C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326" w:type="dxa"/>
            <w:tcMar>
              <w:top w:w="11" w:type="dxa"/>
              <w:left w:w="57" w:type="dxa"/>
              <w:bottom w:w="11" w:type="dxa"/>
              <w:right w:w="57" w:type="dxa"/>
            </w:tcMar>
          </w:tcPr>
          <w:p w14:paraId="710C014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665" w:type="dxa"/>
          </w:tcPr>
          <w:p w14:paraId="7499623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064" w:type="dxa"/>
          </w:tcPr>
          <w:p w14:paraId="3B59FA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97" w:type="dxa"/>
          </w:tcPr>
          <w:p w14:paraId="05E619D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752" w:type="dxa"/>
            <w:tcMar>
              <w:top w:w="11" w:type="dxa"/>
              <w:left w:w="57" w:type="dxa"/>
              <w:bottom w:w="11" w:type="dxa"/>
              <w:right w:w="57" w:type="dxa"/>
            </w:tcMar>
          </w:tcPr>
          <w:p w14:paraId="677A7A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37D707F8" w14:textId="77777777" w:rsidTr="00CE19B2">
        <w:trPr>
          <w:gridAfter w:val="1"/>
          <w:wAfter w:w="665" w:type="dxa"/>
          <w:trHeight w:val="64"/>
        </w:trPr>
        <w:tc>
          <w:tcPr>
            <w:tcW w:w="3067" w:type="dxa"/>
            <w:tcMar>
              <w:top w:w="11" w:type="dxa"/>
              <w:left w:w="57" w:type="dxa"/>
              <w:bottom w:w="11" w:type="dxa"/>
              <w:right w:w="57" w:type="dxa"/>
            </w:tcMar>
          </w:tcPr>
          <w:p w14:paraId="11D4A68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1" w:name="XMETag_c0a955675862471b8ef679e22223d7a8" w:colFirst="2" w:colLast="2"/>
            <w:bookmarkStart w:id="112" w:name="XMETag_b2dce27bf70f4e31b0e54693617becf5" w:colFirst="3" w:colLast="3"/>
            <w:bookmarkStart w:id="113" w:name="XMETag_80261d523c0d4e84a23db06bab0404a8" w:colFirst="4" w:colLast="4"/>
            <w:bookmarkStart w:id="114" w:name="XMETag_215f70572d7c4b7484f2a23239f91ec8" w:colFirst="5" w:colLast="5"/>
            <w:bookmarkStart w:id="115" w:name="XMETag_7e45c668be3843ed978769befb7e8a4b" w:colFirst="6" w:colLast="6"/>
            <w:bookmarkStart w:id="116" w:name="XMETag_82e9ac0d161c4d5f9df7494b2334a728" w:colFirst="7" w:colLast="7"/>
            <w:r w:rsidRPr="00735726">
              <w:rPr>
                <w:rFonts w:ascii="Arial" w:eastAsia="Times New Roman" w:hAnsi="Arial" w:cs="DINOT-Light"/>
                <w:color w:val="000000"/>
                <w:sz w:val="18"/>
                <w:szCs w:val="18"/>
              </w:rPr>
              <w:t>Depreciation and amortisation</w:t>
            </w:r>
          </w:p>
        </w:tc>
        <w:tc>
          <w:tcPr>
            <w:tcW w:w="669" w:type="dxa"/>
            <w:tcMar>
              <w:top w:w="11" w:type="dxa"/>
              <w:left w:w="57" w:type="dxa"/>
              <w:bottom w:w="11" w:type="dxa"/>
              <w:right w:w="57" w:type="dxa"/>
            </w:tcMar>
          </w:tcPr>
          <w:p w14:paraId="2605A139" w14:textId="05255205"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7</w:t>
            </w:r>
          </w:p>
        </w:tc>
        <w:tc>
          <w:tcPr>
            <w:tcW w:w="1064" w:type="dxa"/>
            <w:tcBorders>
              <w:bottom w:val="single" w:sz="4" w:space="0" w:color="auto"/>
            </w:tcBorders>
            <w:tcMar>
              <w:top w:w="11" w:type="dxa"/>
              <w:left w:w="57" w:type="dxa"/>
              <w:bottom w:w="11" w:type="dxa"/>
              <w:right w:w="57" w:type="dxa"/>
            </w:tcMar>
          </w:tcPr>
          <w:p w14:paraId="4106DE2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(172.0)</w:t>
            </w:r>
          </w:p>
        </w:tc>
        <w:tc>
          <w:tcPr>
            <w:tcW w:w="1326" w:type="dxa"/>
            <w:tcBorders>
              <w:bottom w:val="single" w:sz="4" w:space="0" w:color="auto"/>
            </w:tcBorders>
            <w:tcMar>
              <w:top w:w="11" w:type="dxa"/>
              <w:left w:w="57" w:type="dxa"/>
              <w:bottom w:w="11" w:type="dxa"/>
              <w:right w:w="57" w:type="dxa"/>
            </w:tcMar>
          </w:tcPr>
          <w:p w14:paraId="3F862F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65" w:type="dxa"/>
            <w:tcBorders>
              <w:bottom w:val="single" w:sz="4" w:space="0" w:color="auto"/>
            </w:tcBorders>
          </w:tcPr>
          <w:p w14:paraId="19D362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(172.0)</w:t>
            </w:r>
          </w:p>
        </w:tc>
        <w:tc>
          <w:tcPr>
            <w:tcW w:w="1064" w:type="dxa"/>
            <w:tcBorders>
              <w:bottom w:val="single" w:sz="4" w:space="0" w:color="auto"/>
            </w:tcBorders>
          </w:tcPr>
          <w:p w14:paraId="5D7EEA3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(168.3)</w:t>
            </w:r>
          </w:p>
        </w:tc>
        <w:tc>
          <w:tcPr>
            <w:tcW w:w="1197" w:type="dxa"/>
            <w:tcBorders>
              <w:bottom w:val="single" w:sz="4" w:space="0" w:color="auto"/>
            </w:tcBorders>
          </w:tcPr>
          <w:p w14:paraId="68EBEA6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752" w:type="dxa"/>
            <w:tcBorders>
              <w:bottom w:val="single" w:sz="4" w:space="0" w:color="auto"/>
            </w:tcBorders>
            <w:tcMar>
              <w:top w:w="11" w:type="dxa"/>
              <w:left w:w="57" w:type="dxa"/>
              <w:bottom w:w="11" w:type="dxa"/>
              <w:right w:w="57" w:type="dxa"/>
            </w:tcMar>
          </w:tcPr>
          <w:p w14:paraId="3D8BD0D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(168.3)</w:t>
            </w:r>
          </w:p>
        </w:tc>
      </w:tr>
      <w:tr w:rsidR="00646F4F" w:rsidRPr="00735726" w14:paraId="6B4DF179" w14:textId="77777777" w:rsidTr="00CE19B2">
        <w:trPr>
          <w:trHeight w:hRule="exact" w:val="281"/>
        </w:trPr>
        <w:tc>
          <w:tcPr>
            <w:tcW w:w="3067" w:type="dxa"/>
            <w:tcMar>
              <w:top w:w="11" w:type="dxa"/>
              <w:left w:w="57" w:type="dxa"/>
              <w:bottom w:w="11" w:type="dxa"/>
              <w:right w:w="57" w:type="dxa"/>
            </w:tcMar>
          </w:tcPr>
          <w:p w14:paraId="4F597C5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7" w:name="XMETag_d0f089b2b2324c07b0156ce7141787b2" w:colFirst="2" w:colLast="2"/>
            <w:bookmarkStart w:id="118" w:name="XMETag_36903bad1a704db0b98d2035a7dcfd6d" w:colFirst="3" w:colLast="3"/>
            <w:bookmarkStart w:id="119" w:name="XMETag_ecae6645cad545269a46a94a0f3fb6f1" w:colFirst="4" w:colLast="4"/>
            <w:bookmarkStart w:id="120" w:name="XMETag_a444bbd521dc4164ba94e984e02d1c52" w:colFirst="5" w:colLast="5"/>
            <w:bookmarkStart w:id="121" w:name="XMETag_bc0697f0854e4b77b915edd7cc99309a" w:colFirst="6" w:colLast="6"/>
            <w:bookmarkStart w:id="122" w:name="XMETag_8af18f98b18741f599fc5beed48c6918" w:colFirst="7" w:colLast="7"/>
            <w:bookmarkEnd w:id="111"/>
            <w:bookmarkEnd w:id="112"/>
            <w:bookmarkEnd w:id="113"/>
            <w:bookmarkEnd w:id="114"/>
            <w:bookmarkEnd w:id="115"/>
            <w:bookmarkEnd w:id="116"/>
            <w:r w:rsidRPr="00735726">
              <w:rPr>
                <w:rFonts w:ascii="Arial" w:eastAsia="Times New Roman" w:hAnsi="Arial" w:cs="DINOT-Light"/>
                <w:b/>
                <w:color w:val="000000"/>
                <w:sz w:val="18"/>
                <w:szCs w:val="18"/>
              </w:rPr>
              <w:t>Operating profit</w:t>
            </w:r>
          </w:p>
        </w:tc>
        <w:tc>
          <w:tcPr>
            <w:tcW w:w="669" w:type="dxa"/>
            <w:tcMar>
              <w:top w:w="11" w:type="dxa"/>
              <w:left w:w="57" w:type="dxa"/>
              <w:bottom w:w="11" w:type="dxa"/>
              <w:right w:w="57" w:type="dxa"/>
            </w:tcMar>
          </w:tcPr>
          <w:p w14:paraId="37045892"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064" w:type="dxa"/>
            <w:tcBorders>
              <w:top w:val="single" w:sz="4" w:space="0" w:color="auto"/>
            </w:tcBorders>
            <w:tcMar>
              <w:top w:w="11" w:type="dxa"/>
              <w:left w:w="57" w:type="dxa"/>
              <w:bottom w:w="11" w:type="dxa"/>
              <w:right w:w="57" w:type="dxa"/>
            </w:tcMar>
          </w:tcPr>
          <w:p w14:paraId="3CC6A4A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310.4</w:t>
            </w:r>
          </w:p>
        </w:tc>
        <w:tc>
          <w:tcPr>
            <w:tcW w:w="1326" w:type="dxa"/>
            <w:tcBorders>
              <w:top w:val="single" w:sz="4" w:space="0" w:color="auto"/>
            </w:tcBorders>
            <w:tcMar>
              <w:top w:w="11" w:type="dxa"/>
              <w:left w:w="57" w:type="dxa"/>
              <w:bottom w:w="11" w:type="dxa"/>
              <w:right w:w="57" w:type="dxa"/>
            </w:tcMar>
          </w:tcPr>
          <w:p w14:paraId="2BA70BF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(15.4)</w:t>
            </w:r>
          </w:p>
        </w:tc>
        <w:tc>
          <w:tcPr>
            <w:tcW w:w="665" w:type="dxa"/>
            <w:tcBorders>
              <w:top w:val="single" w:sz="4" w:space="0" w:color="auto"/>
            </w:tcBorders>
          </w:tcPr>
          <w:p w14:paraId="4283854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295.0</w:t>
            </w:r>
          </w:p>
        </w:tc>
        <w:tc>
          <w:tcPr>
            <w:tcW w:w="1064" w:type="dxa"/>
            <w:tcBorders>
              <w:top w:val="single" w:sz="4" w:space="0" w:color="auto"/>
            </w:tcBorders>
          </w:tcPr>
          <w:p w14:paraId="4A9DFB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141.5</w:t>
            </w:r>
          </w:p>
        </w:tc>
        <w:tc>
          <w:tcPr>
            <w:tcW w:w="1197" w:type="dxa"/>
            <w:tcBorders>
              <w:top w:val="single" w:sz="4" w:space="0" w:color="auto"/>
            </w:tcBorders>
          </w:tcPr>
          <w:p w14:paraId="29C507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(32.4)</w:t>
            </w:r>
          </w:p>
        </w:tc>
        <w:tc>
          <w:tcPr>
            <w:tcW w:w="752" w:type="dxa"/>
            <w:tcBorders>
              <w:top w:val="single" w:sz="4" w:space="0" w:color="auto"/>
            </w:tcBorders>
            <w:tcMar>
              <w:top w:w="11" w:type="dxa"/>
              <w:left w:w="57" w:type="dxa"/>
              <w:bottom w:w="11" w:type="dxa"/>
              <w:right w:w="57" w:type="dxa"/>
            </w:tcMar>
          </w:tcPr>
          <w:p w14:paraId="06B5231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109.1</w:t>
            </w:r>
          </w:p>
        </w:tc>
        <w:tc>
          <w:tcPr>
            <w:tcW w:w="665" w:type="dxa"/>
          </w:tcPr>
          <w:p w14:paraId="6E0FB2DE"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2CB1D248" w14:textId="77777777" w:rsidTr="00CE19B2">
        <w:trPr>
          <w:gridAfter w:val="1"/>
          <w:wAfter w:w="665" w:type="dxa"/>
          <w:trHeight w:val="172"/>
        </w:trPr>
        <w:tc>
          <w:tcPr>
            <w:tcW w:w="3067" w:type="dxa"/>
            <w:tcMar>
              <w:top w:w="11" w:type="dxa"/>
              <w:left w:w="57" w:type="dxa"/>
              <w:bottom w:w="11" w:type="dxa"/>
              <w:right w:w="57" w:type="dxa"/>
            </w:tcMar>
          </w:tcPr>
          <w:p w14:paraId="28358E7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3" w:name="XMETag_c131487a8b1e4894a1aa4f45d208870c" w:colFirst="2" w:colLast="2"/>
            <w:bookmarkStart w:id="124" w:name="XMETag_7ad13b1ac75240178e562ff8cf1e5c21" w:colFirst="3" w:colLast="3"/>
            <w:bookmarkStart w:id="125" w:name="XMETag_293c2f0671db4f788a1d6030a18b2f3c" w:colFirst="4" w:colLast="4"/>
            <w:bookmarkStart w:id="126" w:name="XMETag_198a52855bb54dd99bac956bb8ef6350" w:colFirst="5" w:colLast="5"/>
            <w:bookmarkStart w:id="127" w:name="XMETag_1c15e810f2294f17a22d62a5aafc3fae" w:colFirst="6" w:colLast="6"/>
            <w:bookmarkStart w:id="128" w:name="XMETag_f1a0f0513de84653ba31eb9b2d88f026" w:colFirst="7" w:colLast="7"/>
            <w:bookmarkEnd w:id="117"/>
            <w:bookmarkEnd w:id="118"/>
            <w:bookmarkEnd w:id="119"/>
            <w:bookmarkEnd w:id="120"/>
            <w:bookmarkEnd w:id="121"/>
            <w:bookmarkEnd w:id="122"/>
            <w:r w:rsidRPr="00735726">
              <w:rPr>
                <w:rFonts w:ascii="Arial" w:eastAsia="Times New Roman" w:hAnsi="Arial" w:cs="DINOT-Light"/>
                <w:color w:val="000000"/>
                <w:sz w:val="18"/>
                <w:szCs w:val="18"/>
              </w:rPr>
              <w:t>Finance income</w:t>
            </w:r>
          </w:p>
        </w:tc>
        <w:tc>
          <w:tcPr>
            <w:tcW w:w="669" w:type="dxa"/>
            <w:tcMar>
              <w:top w:w="11" w:type="dxa"/>
              <w:left w:w="57" w:type="dxa"/>
              <w:bottom w:w="11" w:type="dxa"/>
              <w:right w:w="57" w:type="dxa"/>
            </w:tcMar>
          </w:tcPr>
          <w:p w14:paraId="29A84207" w14:textId="360C1F17"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8</w:t>
            </w:r>
          </w:p>
        </w:tc>
        <w:tc>
          <w:tcPr>
            <w:tcW w:w="1064" w:type="dxa"/>
            <w:tcMar>
              <w:top w:w="11" w:type="dxa"/>
              <w:left w:w="57" w:type="dxa"/>
              <w:bottom w:w="11" w:type="dxa"/>
              <w:right w:w="57" w:type="dxa"/>
            </w:tcMar>
          </w:tcPr>
          <w:p w14:paraId="36F9E09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15.5</w:t>
            </w:r>
          </w:p>
        </w:tc>
        <w:tc>
          <w:tcPr>
            <w:tcW w:w="1326" w:type="dxa"/>
            <w:tcMar>
              <w:top w:w="11" w:type="dxa"/>
              <w:left w:w="57" w:type="dxa"/>
              <w:bottom w:w="11" w:type="dxa"/>
              <w:right w:w="57" w:type="dxa"/>
            </w:tcMar>
          </w:tcPr>
          <w:p w14:paraId="2B2A80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65" w:type="dxa"/>
          </w:tcPr>
          <w:p w14:paraId="189F517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15.5</w:t>
            </w:r>
          </w:p>
        </w:tc>
        <w:tc>
          <w:tcPr>
            <w:tcW w:w="1064" w:type="dxa"/>
          </w:tcPr>
          <w:p w14:paraId="33061E2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6.0</w:t>
            </w:r>
          </w:p>
        </w:tc>
        <w:tc>
          <w:tcPr>
            <w:tcW w:w="1197" w:type="dxa"/>
          </w:tcPr>
          <w:p w14:paraId="0CBE72D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752" w:type="dxa"/>
            <w:tcMar>
              <w:top w:w="11" w:type="dxa"/>
              <w:left w:w="57" w:type="dxa"/>
              <w:bottom w:w="11" w:type="dxa"/>
              <w:right w:w="57" w:type="dxa"/>
            </w:tcMar>
          </w:tcPr>
          <w:p w14:paraId="0147707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6.0</w:t>
            </w:r>
          </w:p>
        </w:tc>
      </w:tr>
      <w:tr w:rsidR="00646F4F" w:rsidRPr="00735726" w14:paraId="279A0F45" w14:textId="77777777" w:rsidTr="00CE19B2">
        <w:trPr>
          <w:gridAfter w:val="1"/>
          <w:wAfter w:w="665" w:type="dxa"/>
          <w:trHeight w:val="172"/>
        </w:trPr>
        <w:tc>
          <w:tcPr>
            <w:tcW w:w="3067" w:type="dxa"/>
            <w:tcMar>
              <w:top w:w="11" w:type="dxa"/>
              <w:left w:w="57" w:type="dxa"/>
              <w:bottom w:w="11" w:type="dxa"/>
              <w:right w:w="57" w:type="dxa"/>
            </w:tcMar>
          </w:tcPr>
          <w:p w14:paraId="3CDCDA3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9" w:name="XMETag_f74c2990b74c48c7910ad33e715c1d73" w:colFirst="2" w:colLast="2"/>
            <w:bookmarkStart w:id="130" w:name="XMETag_5f62d4dc6d77440d8aa5ef3a778a8189" w:colFirst="3" w:colLast="3"/>
            <w:bookmarkStart w:id="131" w:name="XMETag_a20d35a4599e45b8866d614334183f38" w:colFirst="4" w:colLast="4"/>
            <w:bookmarkStart w:id="132" w:name="XMETag_73b18b688ae04706927c27ecb112bb1f" w:colFirst="5" w:colLast="5"/>
            <w:bookmarkStart w:id="133" w:name="XMETag_568993acac46434b915d5a9aadf47f2d" w:colFirst="6" w:colLast="6"/>
            <w:bookmarkStart w:id="134" w:name="XMETag_8cbdf488fbe54c80950a10aa99f485ed" w:colFirst="7" w:colLast="7"/>
            <w:bookmarkEnd w:id="123"/>
            <w:bookmarkEnd w:id="124"/>
            <w:bookmarkEnd w:id="125"/>
            <w:bookmarkEnd w:id="126"/>
            <w:bookmarkEnd w:id="127"/>
            <w:bookmarkEnd w:id="128"/>
            <w:r w:rsidRPr="00735726">
              <w:rPr>
                <w:rFonts w:ascii="Arial" w:eastAsia="Times New Roman" w:hAnsi="Arial" w:cs="DINOT-Light"/>
                <w:color w:val="000000"/>
                <w:sz w:val="18"/>
                <w:szCs w:val="18"/>
              </w:rPr>
              <w:t>Finance costs</w:t>
            </w:r>
          </w:p>
        </w:tc>
        <w:tc>
          <w:tcPr>
            <w:tcW w:w="669" w:type="dxa"/>
            <w:tcMar>
              <w:top w:w="11" w:type="dxa"/>
              <w:left w:w="57" w:type="dxa"/>
              <w:bottom w:w="11" w:type="dxa"/>
              <w:right w:w="57" w:type="dxa"/>
            </w:tcMar>
          </w:tcPr>
          <w:p w14:paraId="7FAC4EF3" w14:textId="5B062CFF"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8</w:t>
            </w:r>
          </w:p>
        </w:tc>
        <w:tc>
          <w:tcPr>
            <w:tcW w:w="1064" w:type="dxa"/>
            <w:tcBorders>
              <w:bottom w:val="single" w:sz="4" w:space="0" w:color="auto"/>
            </w:tcBorders>
            <w:tcMar>
              <w:top w:w="11" w:type="dxa"/>
              <w:left w:w="57" w:type="dxa"/>
              <w:bottom w:w="11" w:type="dxa"/>
              <w:right w:w="57" w:type="dxa"/>
            </w:tcMar>
          </w:tcPr>
          <w:p w14:paraId="105DB6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(185.6)</w:t>
            </w:r>
          </w:p>
        </w:tc>
        <w:tc>
          <w:tcPr>
            <w:tcW w:w="1326" w:type="dxa"/>
            <w:tcBorders>
              <w:bottom w:val="single" w:sz="4" w:space="0" w:color="auto"/>
            </w:tcBorders>
            <w:tcMar>
              <w:top w:w="11" w:type="dxa"/>
              <w:left w:w="57" w:type="dxa"/>
              <w:bottom w:w="11" w:type="dxa"/>
              <w:right w:w="57" w:type="dxa"/>
            </w:tcMar>
          </w:tcPr>
          <w:p w14:paraId="761E72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65" w:type="dxa"/>
            <w:tcBorders>
              <w:bottom w:val="single" w:sz="4" w:space="0" w:color="auto"/>
            </w:tcBorders>
          </w:tcPr>
          <w:p w14:paraId="0914FDA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(185.6)</w:t>
            </w:r>
          </w:p>
        </w:tc>
        <w:tc>
          <w:tcPr>
            <w:tcW w:w="1064" w:type="dxa"/>
            <w:tcBorders>
              <w:bottom w:val="single" w:sz="4" w:space="0" w:color="auto"/>
            </w:tcBorders>
          </w:tcPr>
          <w:p w14:paraId="055389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(176.3)</w:t>
            </w:r>
          </w:p>
        </w:tc>
        <w:tc>
          <w:tcPr>
            <w:tcW w:w="1197" w:type="dxa"/>
            <w:tcBorders>
              <w:bottom w:val="single" w:sz="4" w:space="0" w:color="auto"/>
            </w:tcBorders>
          </w:tcPr>
          <w:p w14:paraId="70E0BF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752" w:type="dxa"/>
            <w:tcBorders>
              <w:bottom w:val="single" w:sz="4" w:space="0" w:color="auto"/>
            </w:tcBorders>
            <w:tcMar>
              <w:top w:w="11" w:type="dxa"/>
              <w:left w:w="57" w:type="dxa"/>
              <w:bottom w:w="11" w:type="dxa"/>
              <w:right w:w="57" w:type="dxa"/>
            </w:tcMar>
          </w:tcPr>
          <w:p w14:paraId="7921FA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(176.3)</w:t>
            </w:r>
          </w:p>
        </w:tc>
      </w:tr>
      <w:tr w:rsidR="00646F4F" w:rsidRPr="00735726" w14:paraId="46896882" w14:textId="77777777" w:rsidTr="00CE19B2">
        <w:trPr>
          <w:gridAfter w:val="1"/>
          <w:wAfter w:w="665" w:type="dxa"/>
          <w:trHeight w:val="259"/>
        </w:trPr>
        <w:tc>
          <w:tcPr>
            <w:tcW w:w="3067" w:type="dxa"/>
            <w:tcMar>
              <w:top w:w="11" w:type="dxa"/>
              <w:left w:w="57" w:type="dxa"/>
              <w:bottom w:w="11" w:type="dxa"/>
              <w:right w:w="57" w:type="dxa"/>
            </w:tcMar>
          </w:tcPr>
          <w:p w14:paraId="5C4896DE"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35" w:name="XMETag_1f80371588f543d598b81d7b531b4da8" w:colFirst="2" w:colLast="2"/>
            <w:bookmarkStart w:id="136" w:name="XMETag_69af66fa694a4da3990074c02beffda2" w:colFirst="3" w:colLast="3"/>
            <w:bookmarkStart w:id="137" w:name="XMETag_7a2c309d430c4e37b1e6ce8c9e3f29fd" w:colFirst="4" w:colLast="4"/>
            <w:bookmarkStart w:id="138" w:name="XMETag_ac321f4885f941839a655841fa622ff6" w:colFirst="5" w:colLast="5"/>
            <w:bookmarkStart w:id="139" w:name="XMETag_683391597abf45c8aa79ed28c49e2f97" w:colFirst="6" w:colLast="6"/>
            <w:bookmarkStart w:id="140" w:name="XMETag_057f50de510540249f782109524e56f0" w:colFirst="7" w:colLast="7"/>
            <w:bookmarkEnd w:id="129"/>
            <w:bookmarkEnd w:id="130"/>
            <w:bookmarkEnd w:id="131"/>
            <w:bookmarkEnd w:id="132"/>
            <w:bookmarkEnd w:id="133"/>
            <w:bookmarkEnd w:id="134"/>
            <w:r w:rsidRPr="00735726">
              <w:rPr>
                <w:rFonts w:ascii="Arial" w:eastAsia="Times New Roman" w:hAnsi="Arial" w:cs="DINOT-Light"/>
                <w:b/>
                <w:color w:val="000000"/>
                <w:sz w:val="18"/>
                <w:szCs w:val="18"/>
              </w:rPr>
              <w:t>Net finance costs</w:t>
            </w:r>
          </w:p>
        </w:tc>
        <w:tc>
          <w:tcPr>
            <w:tcW w:w="669" w:type="dxa"/>
            <w:tcMar>
              <w:top w:w="11" w:type="dxa"/>
              <w:left w:w="57" w:type="dxa"/>
              <w:bottom w:w="11" w:type="dxa"/>
              <w:right w:w="57" w:type="dxa"/>
            </w:tcMar>
          </w:tcPr>
          <w:p w14:paraId="67D0A37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064" w:type="dxa"/>
            <w:tcBorders>
              <w:top w:val="single" w:sz="4" w:space="0" w:color="auto"/>
              <w:bottom w:val="single" w:sz="4" w:space="0" w:color="auto"/>
            </w:tcBorders>
            <w:tcMar>
              <w:top w:w="11" w:type="dxa"/>
              <w:left w:w="57" w:type="dxa"/>
              <w:bottom w:w="11" w:type="dxa"/>
              <w:right w:w="57" w:type="dxa"/>
            </w:tcMar>
          </w:tcPr>
          <w:p w14:paraId="4A1B8D0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(170.1)</w:t>
            </w:r>
          </w:p>
        </w:tc>
        <w:tc>
          <w:tcPr>
            <w:tcW w:w="1326" w:type="dxa"/>
            <w:tcBorders>
              <w:top w:val="single" w:sz="4" w:space="0" w:color="auto"/>
              <w:bottom w:val="single" w:sz="4" w:space="0" w:color="auto"/>
            </w:tcBorders>
            <w:tcMar>
              <w:top w:w="11" w:type="dxa"/>
              <w:left w:w="57" w:type="dxa"/>
              <w:bottom w:w="11" w:type="dxa"/>
              <w:right w:w="57" w:type="dxa"/>
            </w:tcMar>
          </w:tcPr>
          <w:p w14:paraId="1DFF2BD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 -</w:t>
            </w:r>
          </w:p>
        </w:tc>
        <w:tc>
          <w:tcPr>
            <w:tcW w:w="665" w:type="dxa"/>
            <w:tcBorders>
              <w:top w:val="single" w:sz="4" w:space="0" w:color="auto"/>
              <w:bottom w:val="single" w:sz="4" w:space="0" w:color="auto"/>
            </w:tcBorders>
          </w:tcPr>
          <w:p w14:paraId="614214E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(170.1)</w:t>
            </w:r>
          </w:p>
        </w:tc>
        <w:tc>
          <w:tcPr>
            <w:tcW w:w="1064" w:type="dxa"/>
            <w:tcBorders>
              <w:top w:val="single" w:sz="4" w:space="0" w:color="auto"/>
              <w:bottom w:val="single" w:sz="4" w:space="0" w:color="auto"/>
            </w:tcBorders>
          </w:tcPr>
          <w:p w14:paraId="3F2899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(170.3)</w:t>
            </w:r>
          </w:p>
        </w:tc>
        <w:tc>
          <w:tcPr>
            <w:tcW w:w="1197" w:type="dxa"/>
            <w:tcBorders>
              <w:top w:val="single" w:sz="4" w:space="0" w:color="auto"/>
              <w:bottom w:val="single" w:sz="4" w:space="0" w:color="auto"/>
            </w:tcBorders>
          </w:tcPr>
          <w:p w14:paraId="1384EF0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 -</w:t>
            </w:r>
          </w:p>
        </w:tc>
        <w:tc>
          <w:tcPr>
            <w:tcW w:w="752" w:type="dxa"/>
            <w:tcBorders>
              <w:top w:val="single" w:sz="4" w:space="0" w:color="auto"/>
              <w:bottom w:val="single" w:sz="4" w:space="0" w:color="auto"/>
            </w:tcBorders>
            <w:tcMar>
              <w:top w:w="11" w:type="dxa"/>
              <w:left w:w="57" w:type="dxa"/>
              <w:bottom w:w="11" w:type="dxa"/>
              <w:right w:w="57" w:type="dxa"/>
            </w:tcMar>
          </w:tcPr>
          <w:p w14:paraId="6DD2AED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(170.3)</w:t>
            </w:r>
          </w:p>
        </w:tc>
      </w:tr>
      <w:tr w:rsidR="00646F4F" w:rsidRPr="00735726" w14:paraId="0F4E39F8" w14:textId="77777777" w:rsidTr="00CE19B2">
        <w:trPr>
          <w:gridAfter w:val="1"/>
          <w:wAfter w:w="665" w:type="dxa"/>
          <w:trHeight w:hRule="exact" w:val="281"/>
        </w:trPr>
        <w:tc>
          <w:tcPr>
            <w:tcW w:w="3067" w:type="dxa"/>
            <w:tcMar>
              <w:top w:w="11" w:type="dxa"/>
              <w:left w:w="57" w:type="dxa"/>
              <w:bottom w:w="11" w:type="dxa"/>
              <w:right w:w="57" w:type="dxa"/>
            </w:tcMar>
          </w:tcPr>
          <w:p w14:paraId="207B225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41" w:name="XMETag_5773fac28a1749189bcdec248d9b71b3" w:colFirst="2" w:colLast="2"/>
            <w:bookmarkStart w:id="142" w:name="XMETag_cd36556fb0ab43f284cb39864171d27c" w:colFirst="3" w:colLast="3"/>
            <w:bookmarkStart w:id="143" w:name="XMETag_04d6a19f801c460894a80aa7c5e8f310" w:colFirst="4" w:colLast="4"/>
            <w:bookmarkStart w:id="144" w:name="XMETag_e904d231c8f3414fb3f517b581a20bc9" w:colFirst="5" w:colLast="5"/>
            <w:bookmarkStart w:id="145" w:name="XMETag_f226e0a78f0d4a9ca2e7fcfed4055b4c" w:colFirst="6" w:colLast="6"/>
            <w:bookmarkStart w:id="146" w:name="XMETag_2b20a66a97fb4f7899a2813106eda268" w:colFirst="7" w:colLast="7"/>
            <w:bookmarkEnd w:id="135"/>
            <w:bookmarkEnd w:id="136"/>
            <w:bookmarkEnd w:id="137"/>
            <w:bookmarkEnd w:id="138"/>
            <w:bookmarkEnd w:id="139"/>
            <w:bookmarkEnd w:id="140"/>
            <w:r w:rsidRPr="00735726">
              <w:rPr>
                <w:rFonts w:ascii="Arial" w:eastAsia="Times New Roman" w:hAnsi="Arial" w:cs="DINOT-Light"/>
                <w:b/>
                <w:color w:val="000000"/>
                <w:sz w:val="18"/>
                <w:szCs w:val="18"/>
              </w:rPr>
              <w:t>Profit/(loss) before tax</w:t>
            </w:r>
          </w:p>
        </w:tc>
        <w:tc>
          <w:tcPr>
            <w:tcW w:w="669" w:type="dxa"/>
            <w:tcMar>
              <w:top w:w="11" w:type="dxa"/>
              <w:left w:w="57" w:type="dxa"/>
              <w:bottom w:w="11" w:type="dxa"/>
              <w:right w:w="57" w:type="dxa"/>
            </w:tcMar>
          </w:tcPr>
          <w:p w14:paraId="2EE01DCC"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064" w:type="dxa"/>
            <w:tcBorders>
              <w:top w:val="single" w:sz="4" w:space="0" w:color="auto"/>
            </w:tcBorders>
            <w:tcMar>
              <w:top w:w="11" w:type="dxa"/>
              <w:left w:w="57" w:type="dxa"/>
              <w:bottom w:w="11" w:type="dxa"/>
              <w:right w:w="57" w:type="dxa"/>
            </w:tcMar>
          </w:tcPr>
          <w:p w14:paraId="66E3E0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140.3</w:t>
            </w:r>
          </w:p>
        </w:tc>
        <w:tc>
          <w:tcPr>
            <w:tcW w:w="1326" w:type="dxa"/>
            <w:tcBorders>
              <w:top w:val="single" w:sz="4" w:space="0" w:color="auto"/>
            </w:tcBorders>
            <w:tcMar>
              <w:top w:w="11" w:type="dxa"/>
              <w:left w:w="57" w:type="dxa"/>
              <w:bottom w:w="11" w:type="dxa"/>
              <w:right w:w="57" w:type="dxa"/>
            </w:tcMar>
          </w:tcPr>
          <w:p w14:paraId="4F2B032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(15.4)</w:t>
            </w:r>
          </w:p>
        </w:tc>
        <w:tc>
          <w:tcPr>
            <w:tcW w:w="665" w:type="dxa"/>
            <w:tcBorders>
              <w:top w:val="single" w:sz="4" w:space="0" w:color="auto"/>
            </w:tcBorders>
          </w:tcPr>
          <w:p w14:paraId="4023C46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124.9</w:t>
            </w:r>
          </w:p>
        </w:tc>
        <w:tc>
          <w:tcPr>
            <w:tcW w:w="1064" w:type="dxa"/>
            <w:tcBorders>
              <w:top w:val="single" w:sz="4" w:space="0" w:color="auto"/>
            </w:tcBorders>
          </w:tcPr>
          <w:p w14:paraId="3732A5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(28.8)</w:t>
            </w:r>
          </w:p>
        </w:tc>
        <w:tc>
          <w:tcPr>
            <w:tcW w:w="1197" w:type="dxa"/>
            <w:tcBorders>
              <w:top w:val="single" w:sz="4" w:space="0" w:color="auto"/>
            </w:tcBorders>
          </w:tcPr>
          <w:p w14:paraId="2CF839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(32.4)</w:t>
            </w:r>
          </w:p>
        </w:tc>
        <w:tc>
          <w:tcPr>
            <w:tcW w:w="752" w:type="dxa"/>
            <w:tcBorders>
              <w:top w:val="single" w:sz="4" w:space="0" w:color="auto"/>
            </w:tcBorders>
            <w:tcMar>
              <w:top w:w="11" w:type="dxa"/>
              <w:left w:w="57" w:type="dxa"/>
              <w:bottom w:w="11" w:type="dxa"/>
              <w:right w:w="57" w:type="dxa"/>
            </w:tcMar>
          </w:tcPr>
          <w:p w14:paraId="49CB176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(61.2)</w:t>
            </w:r>
          </w:p>
        </w:tc>
      </w:tr>
      <w:tr w:rsidR="00646F4F" w:rsidRPr="00735726" w14:paraId="0B9D8D86" w14:textId="77777777" w:rsidTr="00CE19B2">
        <w:trPr>
          <w:gridAfter w:val="1"/>
          <w:wAfter w:w="665" w:type="dxa"/>
          <w:trHeight w:val="172"/>
        </w:trPr>
        <w:tc>
          <w:tcPr>
            <w:tcW w:w="3067" w:type="dxa"/>
            <w:tcMar>
              <w:top w:w="11" w:type="dxa"/>
              <w:left w:w="57" w:type="dxa"/>
              <w:bottom w:w="11" w:type="dxa"/>
              <w:right w:w="57" w:type="dxa"/>
            </w:tcMar>
          </w:tcPr>
          <w:p w14:paraId="47128741"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bookmarkStart w:id="147" w:name="XMETag_c8e7d73ea55d4ab691e5798ea3d9dbf3" w:colFirst="2" w:colLast="2"/>
            <w:bookmarkStart w:id="148" w:name="XMETag_031ba67f177d46b48e2bda6051aabf97" w:colFirst="3" w:colLast="3"/>
            <w:bookmarkStart w:id="149" w:name="XMETag_b6e9b47b3de94a04b4aaa41749849e1a" w:colFirst="4" w:colLast="4"/>
            <w:bookmarkStart w:id="150" w:name="XMETag_dbd67c9548e9406196930f4304ab8730" w:colFirst="5" w:colLast="5"/>
            <w:bookmarkStart w:id="151" w:name="XMETag_1a05215c231f4238aee494cc2adf3ab1" w:colFirst="6" w:colLast="6"/>
            <w:bookmarkStart w:id="152" w:name="XMETag_7307e0d8a4a54d2a954fdc83c3929ae7" w:colFirst="7" w:colLast="7"/>
            <w:bookmarkEnd w:id="141"/>
            <w:bookmarkEnd w:id="142"/>
            <w:bookmarkEnd w:id="143"/>
            <w:bookmarkEnd w:id="144"/>
            <w:bookmarkEnd w:id="145"/>
            <w:bookmarkEnd w:id="146"/>
            <w:r w:rsidRPr="00735726">
              <w:rPr>
                <w:rFonts w:ascii="Arial" w:eastAsia="Times New Roman" w:hAnsi="Arial" w:cs="DINOT-Light"/>
                <w:bCs/>
                <w:color w:val="000000"/>
                <w:sz w:val="18"/>
                <w:szCs w:val="18"/>
              </w:rPr>
              <w:t>Taxation (charge)/credit</w:t>
            </w:r>
          </w:p>
        </w:tc>
        <w:tc>
          <w:tcPr>
            <w:tcW w:w="669" w:type="dxa"/>
            <w:tcMar>
              <w:top w:w="11" w:type="dxa"/>
              <w:left w:w="57" w:type="dxa"/>
              <w:bottom w:w="11" w:type="dxa"/>
              <w:right w:w="57" w:type="dxa"/>
            </w:tcMar>
          </w:tcPr>
          <w:p w14:paraId="2CDBB03E" w14:textId="6B6BF579"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9A2CAE">
              <w:rPr>
                <w:rFonts w:ascii="Arial" w:eastAsia="Times New Roman" w:hAnsi="Arial" w:cs="DINOT-Light"/>
                <w:color w:val="000000"/>
                <w:sz w:val="18"/>
                <w:szCs w:val="18"/>
              </w:rPr>
              <w:t>9</w:t>
            </w:r>
          </w:p>
        </w:tc>
        <w:tc>
          <w:tcPr>
            <w:tcW w:w="1064" w:type="dxa"/>
            <w:tcBorders>
              <w:bottom w:val="single" w:sz="4" w:space="0" w:color="auto"/>
            </w:tcBorders>
            <w:tcMar>
              <w:top w:w="11" w:type="dxa"/>
              <w:left w:w="57" w:type="dxa"/>
              <w:bottom w:w="11" w:type="dxa"/>
              <w:right w:w="57" w:type="dxa"/>
            </w:tcMar>
          </w:tcPr>
          <w:p w14:paraId="0304F60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(36.5)</w:t>
            </w:r>
          </w:p>
        </w:tc>
        <w:tc>
          <w:tcPr>
            <w:tcW w:w="1326" w:type="dxa"/>
            <w:tcBorders>
              <w:bottom w:val="single" w:sz="4" w:space="0" w:color="auto"/>
            </w:tcBorders>
            <w:tcMar>
              <w:top w:w="11" w:type="dxa"/>
              <w:left w:w="57" w:type="dxa"/>
              <w:bottom w:w="11" w:type="dxa"/>
              <w:right w:w="57" w:type="dxa"/>
            </w:tcMar>
          </w:tcPr>
          <w:p w14:paraId="705ED9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c>
          <w:tcPr>
            <w:tcW w:w="665" w:type="dxa"/>
            <w:tcBorders>
              <w:bottom w:val="single" w:sz="4" w:space="0" w:color="auto"/>
            </w:tcBorders>
          </w:tcPr>
          <w:p w14:paraId="01D7AD2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(33.5)</w:t>
            </w:r>
          </w:p>
        </w:tc>
        <w:tc>
          <w:tcPr>
            <w:tcW w:w="1064" w:type="dxa"/>
            <w:tcBorders>
              <w:bottom w:val="single" w:sz="4" w:space="0" w:color="auto"/>
            </w:tcBorders>
          </w:tcPr>
          <w:p w14:paraId="4A1B7E6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4.5</w:t>
            </w:r>
          </w:p>
        </w:tc>
        <w:tc>
          <w:tcPr>
            <w:tcW w:w="1197" w:type="dxa"/>
            <w:tcBorders>
              <w:bottom w:val="single" w:sz="4" w:space="0" w:color="auto"/>
            </w:tcBorders>
          </w:tcPr>
          <w:p w14:paraId="1BCBF9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8.1</w:t>
            </w:r>
          </w:p>
        </w:tc>
        <w:tc>
          <w:tcPr>
            <w:tcW w:w="752" w:type="dxa"/>
            <w:tcBorders>
              <w:bottom w:val="single" w:sz="4" w:space="0" w:color="auto"/>
            </w:tcBorders>
            <w:tcMar>
              <w:top w:w="11" w:type="dxa"/>
              <w:left w:w="57" w:type="dxa"/>
              <w:bottom w:w="11" w:type="dxa"/>
              <w:right w:w="57" w:type="dxa"/>
            </w:tcMar>
          </w:tcPr>
          <w:p w14:paraId="7B29BF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12.6</w:t>
            </w:r>
          </w:p>
        </w:tc>
      </w:tr>
      <w:tr w:rsidR="00646F4F" w:rsidRPr="00735726" w14:paraId="406A0D8C" w14:textId="77777777" w:rsidTr="00CE19B2">
        <w:trPr>
          <w:gridAfter w:val="1"/>
          <w:wAfter w:w="665" w:type="dxa"/>
          <w:trHeight w:val="172"/>
        </w:trPr>
        <w:tc>
          <w:tcPr>
            <w:tcW w:w="3067" w:type="dxa"/>
            <w:tcMar>
              <w:top w:w="11" w:type="dxa"/>
              <w:left w:w="57" w:type="dxa"/>
              <w:bottom w:w="11" w:type="dxa"/>
              <w:right w:w="57" w:type="dxa"/>
            </w:tcMar>
          </w:tcPr>
          <w:p w14:paraId="364B1457" w14:textId="224A82BA"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53" w:name="XMETag_613f51ed22c24177aac8f41436e1be63" w:colFirst="2" w:colLast="2"/>
            <w:bookmarkStart w:id="154" w:name="XMETag_296912c5ca8447c889f9cc3db70d4184" w:colFirst="3" w:colLast="3"/>
            <w:bookmarkStart w:id="155" w:name="XMETag_0898d465964e49dd82a43e11c8acd3b2" w:colFirst="4" w:colLast="4"/>
            <w:bookmarkStart w:id="156" w:name="XMETag_a824fb763c3d4ac7858424a55a950443" w:colFirst="5" w:colLast="5"/>
            <w:bookmarkStart w:id="157" w:name="XMETag_e0bce943755f46a2b1fa027d5f6c48ca" w:colFirst="6" w:colLast="6"/>
            <w:bookmarkStart w:id="158" w:name="XMETag_0cc3f072e6a14e81a5db4cae7b9ef6f5" w:colFirst="7" w:colLast="7"/>
            <w:bookmarkEnd w:id="147"/>
            <w:bookmarkEnd w:id="148"/>
            <w:bookmarkEnd w:id="149"/>
            <w:bookmarkEnd w:id="150"/>
            <w:bookmarkEnd w:id="151"/>
            <w:bookmarkEnd w:id="152"/>
            <w:r w:rsidRPr="00735726">
              <w:rPr>
                <w:rFonts w:ascii="Arial" w:eastAsia="Times New Roman" w:hAnsi="Arial" w:cs="DINOT-Light"/>
                <w:b/>
                <w:color w:val="000000"/>
                <w:sz w:val="18"/>
                <w:szCs w:val="18"/>
              </w:rPr>
              <w:t>Profit/(loss) for the year</w:t>
            </w:r>
          </w:p>
        </w:tc>
        <w:tc>
          <w:tcPr>
            <w:tcW w:w="669" w:type="dxa"/>
            <w:tcMar>
              <w:top w:w="11" w:type="dxa"/>
              <w:left w:w="57" w:type="dxa"/>
              <w:bottom w:w="11" w:type="dxa"/>
              <w:right w:w="57" w:type="dxa"/>
            </w:tcMar>
          </w:tcPr>
          <w:p w14:paraId="79580C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64" w:type="dxa"/>
            <w:tcBorders>
              <w:top w:val="single" w:sz="4" w:space="0" w:color="auto"/>
              <w:bottom w:val="single" w:sz="4" w:space="0" w:color="auto"/>
            </w:tcBorders>
            <w:tcMar>
              <w:top w:w="11" w:type="dxa"/>
              <w:left w:w="57" w:type="dxa"/>
              <w:bottom w:w="11" w:type="dxa"/>
              <w:right w:w="57" w:type="dxa"/>
            </w:tcMar>
          </w:tcPr>
          <w:p w14:paraId="41D4E1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103.8</w:t>
            </w:r>
          </w:p>
        </w:tc>
        <w:tc>
          <w:tcPr>
            <w:tcW w:w="1326" w:type="dxa"/>
            <w:tcBorders>
              <w:top w:val="single" w:sz="4" w:space="0" w:color="auto"/>
              <w:bottom w:val="single" w:sz="4" w:space="0" w:color="auto"/>
            </w:tcBorders>
            <w:tcMar>
              <w:top w:w="11" w:type="dxa"/>
              <w:left w:w="57" w:type="dxa"/>
              <w:bottom w:w="11" w:type="dxa"/>
              <w:right w:w="57" w:type="dxa"/>
            </w:tcMar>
          </w:tcPr>
          <w:p w14:paraId="1ED3B5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(12.4)</w:t>
            </w:r>
          </w:p>
        </w:tc>
        <w:tc>
          <w:tcPr>
            <w:tcW w:w="665" w:type="dxa"/>
            <w:tcBorders>
              <w:top w:val="single" w:sz="4" w:space="0" w:color="auto"/>
              <w:bottom w:val="single" w:sz="4" w:space="0" w:color="auto"/>
            </w:tcBorders>
          </w:tcPr>
          <w:p w14:paraId="3AE196B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91.4</w:t>
            </w:r>
          </w:p>
        </w:tc>
        <w:tc>
          <w:tcPr>
            <w:tcW w:w="1064" w:type="dxa"/>
            <w:tcBorders>
              <w:top w:val="single" w:sz="4" w:space="0" w:color="auto"/>
              <w:bottom w:val="single" w:sz="4" w:space="0" w:color="auto"/>
            </w:tcBorders>
          </w:tcPr>
          <w:p w14:paraId="7B5EB8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(24.3)</w:t>
            </w:r>
          </w:p>
        </w:tc>
        <w:tc>
          <w:tcPr>
            <w:tcW w:w="1197" w:type="dxa"/>
            <w:tcBorders>
              <w:top w:val="single" w:sz="4" w:space="0" w:color="auto"/>
              <w:bottom w:val="single" w:sz="4" w:space="0" w:color="auto"/>
            </w:tcBorders>
          </w:tcPr>
          <w:p w14:paraId="7BEB1CE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(24.3)</w:t>
            </w:r>
          </w:p>
        </w:tc>
        <w:tc>
          <w:tcPr>
            <w:tcW w:w="752" w:type="dxa"/>
            <w:tcBorders>
              <w:top w:val="single" w:sz="4" w:space="0" w:color="auto"/>
              <w:bottom w:val="single" w:sz="4" w:space="0" w:color="auto"/>
            </w:tcBorders>
            <w:tcMar>
              <w:top w:w="11" w:type="dxa"/>
              <w:left w:w="57" w:type="dxa"/>
              <w:bottom w:w="11" w:type="dxa"/>
              <w:right w:w="57" w:type="dxa"/>
            </w:tcMar>
          </w:tcPr>
          <w:p w14:paraId="05C0618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(48.6)</w:t>
            </w:r>
          </w:p>
        </w:tc>
      </w:tr>
      <w:bookmarkEnd w:id="153"/>
      <w:bookmarkEnd w:id="154"/>
      <w:bookmarkEnd w:id="155"/>
      <w:bookmarkEnd w:id="156"/>
      <w:bookmarkEnd w:id="157"/>
      <w:bookmarkEnd w:id="158"/>
      <w:tr w:rsidR="00646F4F" w:rsidRPr="00735726" w14:paraId="4A74F153" w14:textId="77777777" w:rsidTr="00CE19B2">
        <w:trPr>
          <w:gridAfter w:val="1"/>
          <w:wAfter w:w="665" w:type="dxa"/>
          <w:trHeight w:val="172"/>
        </w:trPr>
        <w:tc>
          <w:tcPr>
            <w:tcW w:w="3067" w:type="dxa"/>
            <w:tcMar>
              <w:top w:w="11" w:type="dxa"/>
              <w:left w:w="57" w:type="dxa"/>
              <w:bottom w:w="11" w:type="dxa"/>
              <w:right w:w="57" w:type="dxa"/>
            </w:tcMar>
          </w:tcPr>
          <w:p w14:paraId="3F9692B8"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669" w:type="dxa"/>
            <w:tcMar>
              <w:top w:w="11" w:type="dxa"/>
              <w:left w:w="57" w:type="dxa"/>
              <w:bottom w:w="11" w:type="dxa"/>
              <w:right w:w="57" w:type="dxa"/>
            </w:tcMar>
          </w:tcPr>
          <w:p w14:paraId="0E87750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64" w:type="dxa"/>
            <w:tcBorders>
              <w:top w:val="single" w:sz="4" w:space="0" w:color="auto"/>
            </w:tcBorders>
            <w:tcMar>
              <w:top w:w="11" w:type="dxa"/>
              <w:left w:w="57" w:type="dxa"/>
              <w:bottom w:w="11" w:type="dxa"/>
              <w:right w:w="57" w:type="dxa"/>
            </w:tcMar>
          </w:tcPr>
          <w:p w14:paraId="7DA1AC1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326" w:type="dxa"/>
            <w:tcBorders>
              <w:top w:val="single" w:sz="4" w:space="0" w:color="auto"/>
            </w:tcBorders>
            <w:tcMar>
              <w:top w:w="11" w:type="dxa"/>
              <w:left w:w="57" w:type="dxa"/>
              <w:bottom w:w="11" w:type="dxa"/>
              <w:right w:w="57" w:type="dxa"/>
            </w:tcMar>
          </w:tcPr>
          <w:p w14:paraId="3E53D5A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665" w:type="dxa"/>
            <w:tcBorders>
              <w:top w:val="single" w:sz="4" w:space="0" w:color="auto"/>
            </w:tcBorders>
          </w:tcPr>
          <w:p w14:paraId="313960A2"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64" w:type="dxa"/>
            <w:tcBorders>
              <w:top w:val="single" w:sz="4" w:space="0" w:color="auto"/>
            </w:tcBorders>
          </w:tcPr>
          <w:p w14:paraId="013CFA5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97" w:type="dxa"/>
            <w:tcBorders>
              <w:top w:val="single" w:sz="4" w:space="0" w:color="auto"/>
            </w:tcBorders>
          </w:tcPr>
          <w:p w14:paraId="1B5C02F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752" w:type="dxa"/>
            <w:tcBorders>
              <w:top w:val="single" w:sz="4" w:space="0" w:color="auto"/>
            </w:tcBorders>
            <w:tcMar>
              <w:top w:w="11" w:type="dxa"/>
              <w:left w:w="57" w:type="dxa"/>
              <w:bottom w:w="11" w:type="dxa"/>
              <w:right w:w="57" w:type="dxa"/>
            </w:tcMar>
          </w:tcPr>
          <w:p w14:paraId="33EA9C2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bl>
    <w:p w14:paraId="035ACFFD" w14:textId="77777777" w:rsidR="00646F4F" w:rsidRPr="009A2CAE" w:rsidRDefault="00646F4F" w:rsidP="00646F4F">
      <w:pPr>
        <w:widowControl w:val="0"/>
        <w:suppressAutoHyphens/>
        <w:autoSpaceDE w:val="0"/>
        <w:autoSpaceDN w:val="0"/>
        <w:adjustRightInd w:val="0"/>
        <w:spacing w:after="0" w:line="288" w:lineRule="auto"/>
        <w:textAlignment w:val="center"/>
        <w:outlineLvl w:val="0"/>
        <w:rPr>
          <w:rFonts w:ascii="Arial" w:eastAsia="Times New Roman" w:hAnsi="Arial" w:cs="DINOT"/>
          <w:caps/>
          <w:color w:val="000000"/>
          <w:sz w:val="32"/>
          <w:szCs w:val="32"/>
        </w:rPr>
      </w:pPr>
    </w:p>
    <w:p w14:paraId="4DE9DC00" w14:textId="77777777" w:rsidR="00646F4F" w:rsidRPr="00735726" w:rsidRDefault="00646F4F" w:rsidP="00646F4F">
      <w:pPr>
        <w:rPr>
          <w:rFonts w:ascii="Arial" w:eastAsia="Calibri" w:hAnsi="Arial" w:cs="Arial"/>
          <w:sz w:val="18"/>
          <w:szCs w:val="18"/>
        </w:rPr>
      </w:pPr>
      <w:r w:rsidRPr="00735726">
        <w:rPr>
          <w:rFonts w:ascii="Arial" w:eastAsia="Calibri" w:hAnsi="Arial" w:cs="Arial"/>
          <w:sz w:val="18"/>
          <w:szCs w:val="18"/>
        </w:rPr>
        <w:t>The above results were derived from continuing operations.</w:t>
      </w:r>
    </w:p>
    <w:p w14:paraId="1FA9C398" w14:textId="4970451D" w:rsidR="00646F4F" w:rsidRPr="009A2CAE" w:rsidRDefault="00646F4F" w:rsidP="00646F4F">
      <w:pPr>
        <w:rPr>
          <w:rFonts w:ascii="Arial" w:eastAsia="Times New Roman" w:hAnsi="Arial" w:cs="Arial"/>
          <w:caps/>
          <w:color w:val="000000"/>
          <w:sz w:val="18"/>
          <w:szCs w:val="18"/>
        </w:rPr>
      </w:pPr>
      <w:r w:rsidRPr="00735726">
        <w:rPr>
          <w:rFonts w:ascii="Arial" w:eastAsia="Calibri" w:hAnsi="Arial" w:cs="Arial"/>
          <w:sz w:val="18"/>
          <w:szCs w:val="18"/>
        </w:rPr>
        <w:t xml:space="preserve">The notes on pages </w:t>
      </w:r>
      <w:r w:rsidR="00C52378" w:rsidRPr="009A2CAE">
        <w:rPr>
          <w:rFonts w:ascii="Arial" w:eastAsia="Calibri" w:hAnsi="Arial" w:cs="Arial"/>
          <w:sz w:val="18"/>
          <w:szCs w:val="18"/>
        </w:rPr>
        <w:t xml:space="preserve">181 </w:t>
      </w:r>
      <w:r w:rsidRPr="009A2CAE">
        <w:rPr>
          <w:rFonts w:ascii="Arial" w:eastAsia="Calibri" w:hAnsi="Arial" w:cs="Arial"/>
          <w:sz w:val="18"/>
          <w:szCs w:val="18"/>
        </w:rPr>
        <w:t xml:space="preserve">to </w:t>
      </w:r>
      <w:r w:rsidR="00C52378" w:rsidRPr="009A2CAE">
        <w:rPr>
          <w:rFonts w:ascii="Arial" w:eastAsia="Calibri" w:hAnsi="Arial" w:cs="Arial"/>
          <w:sz w:val="18"/>
          <w:szCs w:val="18"/>
        </w:rPr>
        <w:t>226</w:t>
      </w:r>
      <w:r w:rsidRPr="009A2CAE">
        <w:rPr>
          <w:rFonts w:ascii="Arial" w:eastAsia="Calibri" w:hAnsi="Arial" w:cs="Arial"/>
          <w:sz w:val="18"/>
          <w:szCs w:val="18"/>
        </w:rPr>
        <w:t xml:space="preserve"> </w:t>
      </w:r>
      <w:r w:rsidRPr="00735726">
        <w:rPr>
          <w:rFonts w:ascii="Arial" w:eastAsia="Calibri" w:hAnsi="Arial" w:cs="Arial"/>
          <w:sz w:val="18"/>
          <w:szCs w:val="18"/>
        </w:rPr>
        <w:t>form part of these financial statements.</w:t>
      </w:r>
      <w:r w:rsidRPr="009A2CAE">
        <w:rPr>
          <w:rFonts w:ascii="Arial" w:eastAsia="Calibri" w:hAnsi="Arial" w:cs="Arial"/>
          <w:sz w:val="18"/>
          <w:szCs w:val="18"/>
        </w:rPr>
        <w:br w:type="page"/>
      </w:r>
    </w:p>
    <w:p w14:paraId="4EC15EA8" w14:textId="77777777" w:rsidR="00646F4F" w:rsidRPr="00735726" w:rsidRDefault="00646F4F" w:rsidP="00646F4F">
      <w:pPr>
        <w:widowControl w:val="0"/>
        <w:suppressAutoHyphens/>
        <w:autoSpaceDE w:val="0"/>
        <w:autoSpaceDN w:val="0"/>
        <w:adjustRightInd w:val="0"/>
        <w:spacing w:after="0" w:line="288" w:lineRule="auto"/>
        <w:textAlignment w:val="center"/>
        <w:outlineLvl w:val="0"/>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 xml:space="preserve">STATEMENT OF COMPREHENSIVE INCOME </w:t>
      </w:r>
    </w:p>
    <w:p w14:paraId="6B5934F6"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DINOT-Light"/>
          <w:caps/>
          <w:color w:val="000000"/>
          <w:sz w:val="24"/>
          <w:szCs w:val="24"/>
        </w:rPr>
      </w:pPr>
      <w:r w:rsidRPr="00735726">
        <w:rPr>
          <w:rFonts w:ascii="Arial" w:eastAsia="Times New Roman" w:hAnsi="Arial" w:cs="DINOT-Light"/>
          <w:caps/>
          <w:color w:val="000000"/>
          <w:sz w:val="24"/>
          <w:szCs w:val="24"/>
        </w:rPr>
        <w:t>for the year ended 31 March 2026</w:t>
      </w:r>
    </w:p>
    <w:p w14:paraId="5851AAB7"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DINOT-Light"/>
          <w:caps/>
          <w:color w:val="000000"/>
          <w:sz w:val="24"/>
          <w:szCs w:val="24"/>
        </w:rPr>
      </w:pPr>
    </w:p>
    <w:p w14:paraId="500F174E"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DINOT-Light"/>
          <w:caps/>
          <w:color w:val="000000"/>
          <w:sz w:val="24"/>
          <w:szCs w:val="24"/>
        </w:rPr>
      </w:pPr>
    </w:p>
    <w:tbl>
      <w:tblPr>
        <w:tblW w:w="10112" w:type="dxa"/>
        <w:tblInd w:w="8" w:type="dxa"/>
        <w:tblLayout w:type="fixed"/>
        <w:tblCellMar>
          <w:left w:w="0" w:type="dxa"/>
          <w:right w:w="0" w:type="dxa"/>
        </w:tblCellMar>
        <w:tblLook w:val="0000" w:firstRow="0" w:lastRow="0" w:firstColumn="0" w:lastColumn="0" w:noHBand="0" w:noVBand="0"/>
      </w:tblPr>
      <w:tblGrid>
        <w:gridCol w:w="3253"/>
        <w:gridCol w:w="277"/>
        <w:gridCol w:w="431"/>
        <w:gridCol w:w="1176"/>
        <w:gridCol w:w="1339"/>
        <w:gridCol w:w="670"/>
        <w:gridCol w:w="1090"/>
        <w:gridCol w:w="1206"/>
        <w:gridCol w:w="670"/>
      </w:tblGrid>
      <w:tr w:rsidR="00646F4F" w:rsidRPr="00735726" w14:paraId="4606E9A0" w14:textId="77777777" w:rsidTr="00CE19B2">
        <w:trPr>
          <w:trHeight w:val="57"/>
          <w:tblHeader/>
        </w:trPr>
        <w:tc>
          <w:tcPr>
            <w:tcW w:w="3253" w:type="dxa"/>
            <w:tcMar>
              <w:top w:w="11" w:type="dxa"/>
              <w:left w:w="57" w:type="dxa"/>
              <w:bottom w:w="11" w:type="dxa"/>
              <w:right w:w="57" w:type="dxa"/>
            </w:tcMar>
          </w:tcPr>
          <w:p w14:paraId="6DFDE998"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708" w:type="dxa"/>
            <w:gridSpan w:val="2"/>
            <w:tcMar>
              <w:top w:w="11" w:type="dxa"/>
              <w:left w:w="57" w:type="dxa"/>
              <w:bottom w:w="11" w:type="dxa"/>
              <w:right w:w="57" w:type="dxa"/>
            </w:tcMar>
          </w:tcPr>
          <w:p w14:paraId="40F7596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6C2D1DD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Notes</w:t>
            </w:r>
          </w:p>
        </w:tc>
        <w:tc>
          <w:tcPr>
            <w:tcW w:w="1176" w:type="dxa"/>
            <w:tcMar>
              <w:top w:w="11" w:type="dxa"/>
              <w:left w:w="57" w:type="dxa"/>
              <w:bottom w:w="11" w:type="dxa"/>
              <w:right w:w="57" w:type="dxa"/>
            </w:tcMar>
          </w:tcPr>
          <w:p w14:paraId="19DE39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Before non-underlying items</w:t>
            </w:r>
          </w:p>
          <w:p w14:paraId="7D4990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2026</w:t>
            </w:r>
          </w:p>
          <w:p w14:paraId="0A29E75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sz w:val="18"/>
                <w:szCs w:val="18"/>
              </w:rPr>
              <w:t>£m</w:t>
            </w:r>
          </w:p>
        </w:tc>
        <w:tc>
          <w:tcPr>
            <w:tcW w:w="1339" w:type="dxa"/>
            <w:tcMar>
              <w:top w:w="11" w:type="dxa"/>
              <w:left w:w="57" w:type="dxa"/>
              <w:bottom w:w="11" w:type="dxa"/>
              <w:right w:w="57" w:type="dxa"/>
            </w:tcMar>
          </w:tcPr>
          <w:p w14:paraId="049D1A47" w14:textId="04031561"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Non-underlying items</w:t>
            </w:r>
            <w:r w:rsidRPr="009A2CAE">
              <w:rPr>
                <w:rFonts w:ascii="Arial" w:eastAsia="Times New Roman" w:hAnsi="Arial" w:cs="DINOT-Light"/>
                <w:b/>
                <w:color w:val="000000"/>
                <w:sz w:val="18"/>
                <w:szCs w:val="18"/>
              </w:rPr>
              <w:t xml:space="preserve"> </w:t>
            </w:r>
            <w:r w:rsidR="00CD595C" w:rsidRPr="009A2CAE">
              <w:rPr>
                <w:rFonts w:ascii="Arial" w:eastAsia="Times New Roman" w:hAnsi="Arial" w:cs="DINOT-Light"/>
                <w:b/>
                <w:color w:val="000000"/>
                <w:sz w:val="18"/>
                <w:szCs w:val="18"/>
              </w:rPr>
              <w:br/>
            </w:r>
            <w:r w:rsidRPr="009A2CAE">
              <w:rPr>
                <w:rFonts w:ascii="Arial" w:eastAsia="Times New Roman" w:hAnsi="Arial" w:cs="DINOT-Light"/>
                <w:b/>
                <w:color w:val="000000"/>
                <w:sz w:val="18"/>
                <w:szCs w:val="18"/>
              </w:rPr>
              <w:t xml:space="preserve">(note </w:t>
            </w:r>
            <w:r w:rsidR="00B63B15" w:rsidRPr="009A2CAE">
              <w:rPr>
                <w:rFonts w:ascii="Arial" w:eastAsia="Times New Roman" w:hAnsi="Arial" w:cs="DINOT-Light"/>
                <w:b/>
                <w:color w:val="000000"/>
                <w:sz w:val="18"/>
                <w:szCs w:val="18"/>
              </w:rPr>
              <w:t>6</w:t>
            </w:r>
            <w:r w:rsidRPr="009A2CAE">
              <w:rPr>
                <w:rFonts w:ascii="Arial" w:eastAsia="Times New Roman" w:hAnsi="Arial" w:cs="DINOT-Light"/>
                <w:b/>
                <w:color w:val="000000"/>
                <w:sz w:val="18"/>
                <w:szCs w:val="18"/>
              </w:rPr>
              <w:t>)</w:t>
            </w:r>
          </w:p>
          <w:p w14:paraId="1A05BA3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8C567BB"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670" w:type="dxa"/>
            <w:tcMar>
              <w:top w:w="11" w:type="dxa"/>
              <w:left w:w="57" w:type="dxa"/>
              <w:bottom w:w="11" w:type="dxa"/>
              <w:right w:w="57" w:type="dxa"/>
            </w:tcMar>
          </w:tcPr>
          <w:p w14:paraId="7829610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667C193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1DF49F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2E244D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41C04AD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090" w:type="dxa"/>
          </w:tcPr>
          <w:p w14:paraId="090385B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Before non-underlying items</w:t>
            </w:r>
          </w:p>
          <w:p w14:paraId="672DFAD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2025</w:t>
            </w:r>
          </w:p>
          <w:p w14:paraId="69FC4AB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sz w:val="18"/>
                <w:szCs w:val="18"/>
              </w:rPr>
              <w:t>£m</w:t>
            </w:r>
          </w:p>
        </w:tc>
        <w:tc>
          <w:tcPr>
            <w:tcW w:w="1206" w:type="dxa"/>
          </w:tcPr>
          <w:p w14:paraId="0ECB3510" w14:textId="0557E3B6"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Non-underlying items </w:t>
            </w:r>
            <w:r w:rsidR="00CD595C"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t xml:space="preserve">(note </w:t>
            </w:r>
            <w:r w:rsidR="00CD595C" w:rsidRPr="00735726">
              <w:rPr>
                <w:rFonts w:ascii="Arial" w:eastAsia="Times New Roman" w:hAnsi="Arial" w:cs="DINOT-Light"/>
                <w:b/>
                <w:color w:val="000000"/>
                <w:sz w:val="18"/>
                <w:szCs w:val="18"/>
              </w:rPr>
              <w:t>6</w:t>
            </w:r>
            <w:r w:rsidRPr="00735726">
              <w:rPr>
                <w:rFonts w:ascii="Arial" w:eastAsia="Times New Roman" w:hAnsi="Arial" w:cs="DINOT-Light"/>
                <w:b/>
                <w:color w:val="000000"/>
                <w:sz w:val="18"/>
                <w:szCs w:val="18"/>
              </w:rPr>
              <w:t>)</w:t>
            </w:r>
          </w:p>
          <w:p w14:paraId="24BF4D7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5A0C10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670" w:type="dxa"/>
          </w:tcPr>
          <w:p w14:paraId="1BE857A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3B783C5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0EB0EF0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34CE32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65749F0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09C6016F" w14:textId="77777777" w:rsidTr="00CE19B2">
        <w:trPr>
          <w:trHeight w:val="215"/>
        </w:trPr>
        <w:tc>
          <w:tcPr>
            <w:tcW w:w="3253" w:type="dxa"/>
            <w:tcMar>
              <w:top w:w="11" w:type="dxa"/>
              <w:left w:w="57" w:type="dxa"/>
              <w:bottom w:w="11" w:type="dxa"/>
              <w:right w:w="57" w:type="dxa"/>
            </w:tcMar>
          </w:tcPr>
          <w:p w14:paraId="123D7D8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59" w:name="XMETag_d6135a0fa7e94cff97bde233c5de65ff" w:colFirst="2" w:colLast="2"/>
            <w:bookmarkStart w:id="160" w:name="XMETag_f784f9b51f234de5b4135dae202e290a" w:colFirst="3" w:colLast="3"/>
            <w:bookmarkStart w:id="161" w:name="XMETag_444f344a240b468fa937ae0bffd9cca7" w:colFirst="4" w:colLast="4"/>
            <w:bookmarkStart w:id="162" w:name="XMETag_5f70c950f1a8425a991c8a63200e4bfa" w:colFirst="5" w:colLast="5"/>
            <w:bookmarkStart w:id="163" w:name="XMETag_c8449cdb3376496da05c9b4a18d80893" w:colFirst="6" w:colLast="6"/>
            <w:bookmarkStart w:id="164" w:name="XMETag_7ac49377b8ec4237894da8c55b9ac343" w:colFirst="7" w:colLast="7"/>
            <w:r w:rsidRPr="00735726">
              <w:rPr>
                <w:rFonts w:ascii="Arial" w:eastAsia="Times New Roman" w:hAnsi="Arial" w:cs="DINOT-Light"/>
                <w:b/>
                <w:color w:val="000000"/>
                <w:sz w:val="18"/>
                <w:szCs w:val="18"/>
              </w:rPr>
              <w:t>Profit/(loss) for the year</w:t>
            </w:r>
          </w:p>
        </w:tc>
        <w:tc>
          <w:tcPr>
            <w:tcW w:w="708" w:type="dxa"/>
            <w:gridSpan w:val="2"/>
            <w:tcMar>
              <w:top w:w="11" w:type="dxa"/>
              <w:left w:w="57" w:type="dxa"/>
              <w:bottom w:w="11" w:type="dxa"/>
              <w:right w:w="57" w:type="dxa"/>
            </w:tcMar>
          </w:tcPr>
          <w:p w14:paraId="5C05C583"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76" w:type="dxa"/>
            <w:tcMar>
              <w:top w:w="11" w:type="dxa"/>
              <w:left w:w="57" w:type="dxa"/>
              <w:bottom w:w="11" w:type="dxa"/>
              <w:right w:w="57" w:type="dxa"/>
            </w:tcMar>
            <w:vAlign w:val="center"/>
          </w:tcPr>
          <w:p w14:paraId="64771D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103.8</w:t>
            </w:r>
          </w:p>
        </w:tc>
        <w:tc>
          <w:tcPr>
            <w:tcW w:w="1339" w:type="dxa"/>
            <w:tcMar>
              <w:top w:w="11" w:type="dxa"/>
              <w:left w:w="57" w:type="dxa"/>
              <w:bottom w:w="11" w:type="dxa"/>
              <w:right w:w="57" w:type="dxa"/>
            </w:tcMar>
            <w:vAlign w:val="center"/>
          </w:tcPr>
          <w:p w14:paraId="48A5AC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(12.4)</w:t>
            </w:r>
          </w:p>
        </w:tc>
        <w:tc>
          <w:tcPr>
            <w:tcW w:w="670" w:type="dxa"/>
            <w:tcMar>
              <w:top w:w="11" w:type="dxa"/>
              <w:left w:w="57" w:type="dxa"/>
              <w:bottom w:w="11" w:type="dxa"/>
              <w:right w:w="57" w:type="dxa"/>
            </w:tcMar>
            <w:vAlign w:val="center"/>
          </w:tcPr>
          <w:p w14:paraId="16E2C2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91.4</w:t>
            </w:r>
          </w:p>
        </w:tc>
        <w:tc>
          <w:tcPr>
            <w:tcW w:w="1090" w:type="dxa"/>
            <w:vAlign w:val="center"/>
          </w:tcPr>
          <w:p w14:paraId="145A46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(24.3)</w:t>
            </w:r>
          </w:p>
        </w:tc>
        <w:tc>
          <w:tcPr>
            <w:tcW w:w="1206" w:type="dxa"/>
            <w:vAlign w:val="center"/>
          </w:tcPr>
          <w:p w14:paraId="666151C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(24.3)</w:t>
            </w:r>
          </w:p>
        </w:tc>
        <w:tc>
          <w:tcPr>
            <w:tcW w:w="670" w:type="dxa"/>
            <w:vAlign w:val="center"/>
          </w:tcPr>
          <w:p w14:paraId="3E8B86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(48.6)</w:t>
            </w:r>
          </w:p>
        </w:tc>
      </w:tr>
      <w:bookmarkEnd w:id="159"/>
      <w:bookmarkEnd w:id="160"/>
      <w:bookmarkEnd w:id="161"/>
      <w:bookmarkEnd w:id="162"/>
      <w:bookmarkEnd w:id="163"/>
      <w:bookmarkEnd w:id="164"/>
      <w:tr w:rsidR="00646F4F" w:rsidRPr="00735726" w14:paraId="03C9C4B8" w14:textId="77777777" w:rsidTr="00CE19B2">
        <w:trPr>
          <w:trHeight w:val="215"/>
        </w:trPr>
        <w:tc>
          <w:tcPr>
            <w:tcW w:w="3253" w:type="dxa"/>
            <w:tcMar>
              <w:top w:w="11" w:type="dxa"/>
              <w:left w:w="57" w:type="dxa"/>
              <w:bottom w:w="11" w:type="dxa"/>
              <w:right w:w="57" w:type="dxa"/>
            </w:tcMar>
          </w:tcPr>
          <w:p w14:paraId="0C31C64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Other comprehensive (loss)/income</w:t>
            </w:r>
          </w:p>
        </w:tc>
        <w:tc>
          <w:tcPr>
            <w:tcW w:w="708" w:type="dxa"/>
            <w:gridSpan w:val="2"/>
            <w:tcMar>
              <w:top w:w="11" w:type="dxa"/>
              <w:left w:w="57" w:type="dxa"/>
              <w:bottom w:w="11" w:type="dxa"/>
              <w:right w:w="57" w:type="dxa"/>
            </w:tcMar>
          </w:tcPr>
          <w:p w14:paraId="6C90928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76" w:type="dxa"/>
            <w:tcMar>
              <w:top w:w="11" w:type="dxa"/>
              <w:left w:w="57" w:type="dxa"/>
              <w:bottom w:w="11" w:type="dxa"/>
              <w:right w:w="57" w:type="dxa"/>
            </w:tcMar>
            <w:vAlign w:val="center"/>
          </w:tcPr>
          <w:p w14:paraId="0151D46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339" w:type="dxa"/>
            <w:tcMar>
              <w:top w:w="11" w:type="dxa"/>
              <w:left w:w="57" w:type="dxa"/>
              <w:bottom w:w="11" w:type="dxa"/>
              <w:right w:w="57" w:type="dxa"/>
            </w:tcMar>
            <w:vAlign w:val="center"/>
          </w:tcPr>
          <w:p w14:paraId="3B4E566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670" w:type="dxa"/>
            <w:tcMar>
              <w:top w:w="11" w:type="dxa"/>
              <w:left w:w="57" w:type="dxa"/>
              <w:bottom w:w="11" w:type="dxa"/>
              <w:right w:w="57" w:type="dxa"/>
            </w:tcMar>
            <w:vAlign w:val="center"/>
          </w:tcPr>
          <w:p w14:paraId="47555ED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90" w:type="dxa"/>
            <w:vAlign w:val="center"/>
          </w:tcPr>
          <w:p w14:paraId="312571D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06" w:type="dxa"/>
            <w:vAlign w:val="center"/>
          </w:tcPr>
          <w:p w14:paraId="048C52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670" w:type="dxa"/>
            <w:vAlign w:val="center"/>
          </w:tcPr>
          <w:p w14:paraId="1652DBD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14F79E3F" w14:textId="77777777" w:rsidTr="00CE19B2">
        <w:trPr>
          <w:trHeight w:val="215"/>
        </w:trPr>
        <w:tc>
          <w:tcPr>
            <w:tcW w:w="3253" w:type="dxa"/>
            <w:tcMar>
              <w:top w:w="11" w:type="dxa"/>
              <w:left w:w="57" w:type="dxa"/>
              <w:bottom w:w="11" w:type="dxa"/>
              <w:right w:w="57" w:type="dxa"/>
            </w:tcMar>
          </w:tcPr>
          <w:p w14:paraId="6E8C7DF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Items which will not be reclassified to profit or loss</w:t>
            </w:r>
          </w:p>
        </w:tc>
        <w:tc>
          <w:tcPr>
            <w:tcW w:w="708" w:type="dxa"/>
            <w:gridSpan w:val="2"/>
            <w:tcMar>
              <w:top w:w="11" w:type="dxa"/>
              <w:left w:w="57" w:type="dxa"/>
              <w:bottom w:w="11" w:type="dxa"/>
              <w:right w:w="57" w:type="dxa"/>
            </w:tcMar>
          </w:tcPr>
          <w:p w14:paraId="1ECA4720"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76" w:type="dxa"/>
            <w:tcMar>
              <w:top w:w="11" w:type="dxa"/>
              <w:left w:w="57" w:type="dxa"/>
              <w:bottom w:w="11" w:type="dxa"/>
              <w:right w:w="57" w:type="dxa"/>
            </w:tcMar>
            <w:vAlign w:val="center"/>
          </w:tcPr>
          <w:p w14:paraId="511765F9"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339" w:type="dxa"/>
            <w:tcMar>
              <w:top w:w="11" w:type="dxa"/>
              <w:left w:w="57" w:type="dxa"/>
              <w:bottom w:w="11" w:type="dxa"/>
              <w:right w:w="57" w:type="dxa"/>
            </w:tcMar>
            <w:vAlign w:val="center"/>
          </w:tcPr>
          <w:p w14:paraId="09AFE90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670" w:type="dxa"/>
            <w:tcMar>
              <w:top w:w="11" w:type="dxa"/>
              <w:left w:w="57" w:type="dxa"/>
              <w:bottom w:w="11" w:type="dxa"/>
              <w:right w:w="57" w:type="dxa"/>
            </w:tcMar>
            <w:vAlign w:val="center"/>
          </w:tcPr>
          <w:p w14:paraId="3C8ACC9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90" w:type="dxa"/>
            <w:vAlign w:val="center"/>
          </w:tcPr>
          <w:p w14:paraId="33D8898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06" w:type="dxa"/>
            <w:vAlign w:val="center"/>
          </w:tcPr>
          <w:p w14:paraId="152139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670" w:type="dxa"/>
            <w:vAlign w:val="center"/>
          </w:tcPr>
          <w:p w14:paraId="369BE04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62EAC2BC" w14:textId="77777777" w:rsidTr="00CE19B2">
        <w:trPr>
          <w:trHeight w:val="215"/>
        </w:trPr>
        <w:tc>
          <w:tcPr>
            <w:tcW w:w="3253" w:type="dxa"/>
            <w:tcMar>
              <w:top w:w="11" w:type="dxa"/>
              <w:left w:w="57" w:type="dxa"/>
              <w:bottom w:w="11" w:type="dxa"/>
              <w:right w:w="57" w:type="dxa"/>
            </w:tcMar>
          </w:tcPr>
          <w:p w14:paraId="7A7E8EE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65" w:name="XMETag_9ddb958c4f0b46189c2e5cab3079aa53" w:colFirst="4" w:colLast="4"/>
            <w:bookmarkStart w:id="166" w:name="XMETag_c668191350f44374a555398b36b27ef2" w:colFirst="7" w:colLast="7"/>
            <w:r w:rsidRPr="00735726">
              <w:rPr>
                <w:rFonts w:ascii="Arial" w:eastAsia="Times New Roman" w:hAnsi="Arial" w:cs="DINOT-Light"/>
                <w:color w:val="000000"/>
                <w:sz w:val="18"/>
                <w:szCs w:val="18"/>
              </w:rPr>
              <w:t>Re-measurement of defined benefit obligations</w:t>
            </w:r>
          </w:p>
        </w:tc>
        <w:tc>
          <w:tcPr>
            <w:tcW w:w="708" w:type="dxa"/>
            <w:gridSpan w:val="2"/>
            <w:tcMar>
              <w:top w:w="11" w:type="dxa"/>
              <w:left w:w="57" w:type="dxa"/>
              <w:bottom w:w="11" w:type="dxa"/>
              <w:right w:w="57" w:type="dxa"/>
            </w:tcMar>
            <w:vAlign w:val="center"/>
          </w:tcPr>
          <w:p w14:paraId="643E3B91" w14:textId="5B0BD3CF"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5</w:t>
            </w:r>
          </w:p>
        </w:tc>
        <w:tc>
          <w:tcPr>
            <w:tcW w:w="1176" w:type="dxa"/>
            <w:tcMar>
              <w:top w:w="11" w:type="dxa"/>
              <w:left w:w="57" w:type="dxa"/>
              <w:bottom w:w="11" w:type="dxa"/>
              <w:right w:w="57" w:type="dxa"/>
            </w:tcMar>
            <w:vAlign w:val="center"/>
          </w:tcPr>
          <w:p w14:paraId="428014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w:t>
            </w:r>
          </w:p>
        </w:tc>
        <w:tc>
          <w:tcPr>
            <w:tcW w:w="1339" w:type="dxa"/>
            <w:tcMar>
              <w:top w:w="11" w:type="dxa"/>
              <w:left w:w="57" w:type="dxa"/>
              <w:bottom w:w="11" w:type="dxa"/>
              <w:right w:w="57" w:type="dxa"/>
            </w:tcMar>
            <w:vAlign w:val="center"/>
          </w:tcPr>
          <w:p w14:paraId="469793A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70" w:type="dxa"/>
            <w:tcMar>
              <w:top w:w="11" w:type="dxa"/>
              <w:left w:w="57" w:type="dxa"/>
              <w:bottom w:w="11" w:type="dxa"/>
              <w:right w:w="57" w:type="dxa"/>
            </w:tcMar>
            <w:vAlign w:val="center"/>
          </w:tcPr>
          <w:p w14:paraId="40086B0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w:t>
            </w:r>
          </w:p>
        </w:tc>
        <w:tc>
          <w:tcPr>
            <w:tcW w:w="1090" w:type="dxa"/>
            <w:vAlign w:val="center"/>
          </w:tcPr>
          <w:p w14:paraId="1DFE9A9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w:t>
            </w:r>
          </w:p>
        </w:tc>
        <w:tc>
          <w:tcPr>
            <w:tcW w:w="1206" w:type="dxa"/>
            <w:vAlign w:val="center"/>
          </w:tcPr>
          <w:p w14:paraId="4B7DBC1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70" w:type="dxa"/>
            <w:vAlign w:val="center"/>
          </w:tcPr>
          <w:p w14:paraId="31A6B1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w:t>
            </w:r>
          </w:p>
        </w:tc>
      </w:tr>
      <w:tr w:rsidR="00646F4F" w:rsidRPr="00735726" w14:paraId="6AFF7994" w14:textId="77777777" w:rsidTr="00CE19B2">
        <w:trPr>
          <w:trHeight w:val="350"/>
        </w:trPr>
        <w:tc>
          <w:tcPr>
            <w:tcW w:w="3253" w:type="dxa"/>
            <w:tcMar>
              <w:top w:w="11" w:type="dxa"/>
              <w:left w:w="57" w:type="dxa"/>
              <w:bottom w:w="11" w:type="dxa"/>
              <w:right w:w="57" w:type="dxa"/>
            </w:tcMar>
          </w:tcPr>
          <w:p w14:paraId="633D820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67" w:name="XMETag_430c4fb8dfe049f2ba34e28291268e80" w:colFirst="4" w:colLast="4"/>
            <w:bookmarkStart w:id="168" w:name="XMETag_a38f075294754ae593fa17b5a051932f" w:colFirst="7" w:colLast="7"/>
            <w:bookmarkEnd w:id="165"/>
            <w:bookmarkEnd w:id="166"/>
            <w:r w:rsidRPr="00735726">
              <w:rPr>
                <w:rFonts w:ascii="Arial" w:eastAsia="Times New Roman" w:hAnsi="Arial" w:cs="DINOT-Light"/>
                <w:color w:val="000000"/>
                <w:sz w:val="18"/>
                <w:szCs w:val="18"/>
              </w:rPr>
              <w:t>Tax relating to components of other comprehensive income</w:t>
            </w:r>
          </w:p>
          <w:p w14:paraId="49B16D2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708" w:type="dxa"/>
            <w:gridSpan w:val="2"/>
            <w:tcMar>
              <w:top w:w="11" w:type="dxa"/>
              <w:left w:w="57" w:type="dxa"/>
              <w:bottom w:w="11" w:type="dxa"/>
              <w:right w:w="57" w:type="dxa"/>
            </w:tcMar>
            <w:vAlign w:val="center"/>
          </w:tcPr>
          <w:p w14:paraId="36B5569F" w14:textId="23E83F9F"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9</w:t>
            </w:r>
            <w:r w:rsidR="00646F4F" w:rsidRPr="009A2CAE">
              <w:rPr>
                <w:rFonts w:ascii="Arial" w:eastAsia="Times New Roman" w:hAnsi="Arial" w:cs="DINOT-Light"/>
                <w:color w:val="000000"/>
                <w:sz w:val="18"/>
                <w:szCs w:val="18"/>
              </w:rPr>
              <w:t>, 2</w:t>
            </w:r>
            <w:r w:rsidRPr="009A2CAE">
              <w:rPr>
                <w:rFonts w:ascii="Arial" w:eastAsia="Times New Roman" w:hAnsi="Arial" w:cs="DINOT-Light"/>
                <w:color w:val="000000"/>
                <w:sz w:val="18"/>
                <w:szCs w:val="18"/>
              </w:rPr>
              <w:t>7</w:t>
            </w:r>
          </w:p>
        </w:tc>
        <w:tc>
          <w:tcPr>
            <w:tcW w:w="1176" w:type="dxa"/>
            <w:tcBorders>
              <w:bottom w:val="single" w:sz="4" w:space="0" w:color="auto"/>
            </w:tcBorders>
            <w:tcMar>
              <w:top w:w="11" w:type="dxa"/>
              <w:left w:w="57" w:type="dxa"/>
              <w:bottom w:w="11" w:type="dxa"/>
              <w:right w:w="57" w:type="dxa"/>
            </w:tcMar>
            <w:vAlign w:val="center"/>
          </w:tcPr>
          <w:p w14:paraId="65C8E9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339" w:type="dxa"/>
            <w:tcBorders>
              <w:bottom w:val="single" w:sz="4" w:space="0" w:color="auto"/>
            </w:tcBorders>
            <w:tcMar>
              <w:top w:w="11" w:type="dxa"/>
              <w:left w:w="57" w:type="dxa"/>
              <w:bottom w:w="11" w:type="dxa"/>
              <w:right w:w="57" w:type="dxa"/>
            </w:tcMar>
            <w:vAlign w:val="center"/>
          </w:tcPr>
          <w:p w14:paraId="67AD087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70" w:type="dxa"/>
            <w:tcBorders>
              <w:bottom w:val="single" w:sz="4" w:space="0" w:color="auto"/>
            </w:tcBorders>
            <w:tcMar>
              <w:top w:w="11" w:type="dxa"/>
              <w:left w:w="57" w:type="dxa"/>
              <w:bottom w:w="11" w:type="dxa"/>
              <w:right w:w="57" w:type="dxa"/>
            </w:tcMar>
            <w:vAlign w:val="center"/>
          </w:tcPr>
          <w:p w14:paraId="742BD2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090" w:type="dxa"/>
            <w:tcBorders>
              <w:bottom w:val="single" w:sz="4" w:space="0" w:color="auto"/>
            </w:tcBorders>
            <w:vAlign w:val="center"/>
          </w:tcPr>
          <w:p w14:paraId="5026BF8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206" w:type="dxa"/>
            <w:tcBorders>
              <w:bottom w:val="single" w:sz="4" w:space="0" w:color="auto"/>
            </w:tcBorders>
            <w:vAlign w:val="center"/>
          </w:tcPr>
          <w:p w14:paraId="798E608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70" w:type="dxa"/>
            <w:tcBorders>
              <w:bottom w:val="single" w:sz="4" w:space="0" w:color="auto"/>
            </w:tcBorders>
            <w:vAlign w:val="center"/>
          </w:tcPr>
          <w:p w14:paraId="6619131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r>
      <w:tr w:rsidR="00646F4F" w:rsidRPr="00735726" w14:paraId="537164A4" w14:textId="77777777" w:rsidTr="00CE19B2">
        <w:trPr>
          <w:trHeight w:val="215"/>
        </w:trPr>
        <w:tc>
          <w:tcPr>
            <w:tcW w:w="3253" w:type="dxa"/>
            <w:tcMar>
              <w:top w:w="11" w:type="dxa"/>
              <w:left w:w="57" w:type="dxa"/>
              <w:bottom w:w="11" w:type="dxa"/>
              <w:right w:w="57" w:type="dxa"/>
            </w:tcMar>
          </w:tcPr>
          <w:p w14:paraId="65E8237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69" w:name="XMETag_11bcc576b4044f2fa5a3a86f5b664371" w:colFirst="4" w:colLast="4"/>
            <w:bookmarkStart w:id="170" w:name="XMETag_c7003b6624b249fcad5b6a204decb9a1" w:colFirst="7" w:colLast="7"/>
            <w:bookmarkEnd w:id="167"/>
            <w:bookmarkEnd w:id="168"/>
            <w:r w:rsidRPr="00735726">
              <w:rPr>
                <w:rFonts w:ascii="Arial" w:eastAsia="Times New Roman" w:hAnsi="Arial" w:cs="DINOT-Light"/>
                <w:b/>
                <w:color w:val="000000"/>
                <w:sz w:val="18"/>
                <w:szCs w:val="18"/>
              </w:rPr>
              <w:t>Total items that will not be reclassified to profit or loss</w:t>
            </w:r>
          </w:p>
        </w:tc>
        <w:tc>
          <w:tcPr>
            <w:tcW w:w="708" w:type="dxa"/>
            <w:gridSpan w:val="2"/>
            <w:tcMar>
              <w:top w:w="11" w:type="dxa"/>
              <w:left w:w="57" w:type="dxa"/>
              <w:bottom w:w="11" w:type="dxa"/>
              <w:right w:w="57" w:type="dxa"/>
            </w:tcMar>
          </w:tcPr>
          <w:p w14:paraId="15A67503"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76" w:type="dxa"/>
            <w:tcBorders>
              <w:top w:val="single" w:sz="4" w:space="0" w:color="auto"/>
            </w:tcBorders>
            <w:tcMar>
              <w:top w:w="11" w:type="dxa"/>
              <w:left w:w="57" w:type="dxa"/>
              <w:bottom w:w="11" w:type="dxa"/>
              <w:right w:w="57" w:type="dxa"/>
            </w:tcMar>
            <w:vAlign w:val="center"/>
          </w:tcPr>
          <w:p w14:paraId="2DE3BE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(1.9)</w:t>
            </w:r>
          </w:p>
        </w:tc>
        <w:tc>
          <w:tcPr>
            <w:tcW w:w="1339" w:type="dxa"/>
            <w:tcBorders>
              <w:top w:val="single" w:sz="4" w:space="0" w:color="auto"/>
            </w:tcBorders>
            <w:tcMar>
              <w:top w:w="11" w:type="dxa"/>
              <w:left w:w="57" w:type="dxa"/>
              <w:bottom w:w="11" w:type="dxa"/>
              <w:right w:w="57" w:type="dxa"/>
            </w:tcMar>
            <w:vAlign w:val="center"/>
          </w:tcPr>
          <w:p w14:paraId="1512AFA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670" w:type="dxa"/>
            <w:tcBorders>
              <w:top w:val="single" w:sz="4" w:space="0" w:color="auto"/>
            </w:tcBorders>
            <w:tcMar>
              <w:top w:w="11" w:type="dxa"/>
              <w:left w:w="57" w:type="dxa"/>
              <w:bottom w:w="11" w:type="dxa"/>
              <w:right w:w="57" w:type="dxa"/>
            </w:tcMar>
            <w:vAlign w:val="center"/>
          </w:tcPr>
          <w:p w14:paraId="08E927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(1.9)</w:t>
            </w:r>
          </w:p>
        </w:tc>
        <w:tc>
          <w:tcPr>
            <w:tcW w:w="1090" w:type="dxa"/>
            <w:tcBorders>
              <w:top w:val="single" w:sz="4" w:space="0" w:color="auto"/>
            </w:tcBorders>
            <w:vAlign w:val="center"/>
          </w:tcPr>
          <w:p w14:paraId="738FF7A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2.5</w:t>
            </w:r>
          </w:p>
        </w:tc>
        <w:tc>
          <w:tcPr>
            <w:tcW w:w="1206" w:type="dxa"/>
            <w:tcBorders>
              <w:top w:val="single" w:sz="4" w:space="0" w:color="auto"/>
            </w:tcBorders>
            <w:vAlign w:val="center"/>
          </w:tcPr>
          <w:p w14:paraId="751DB95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w:t>
            </w:r>
          </w:p>
        </w:tc>
        <w:tc>
          <w:tcPr>
            <w:tcW w:w="670" w:type="dxa"/>
            <w:tcBorders>
              <w:top w:val="single" w:sz="4" w:space="0" w:color="auto"/>
            </w:tcBorders>
            <w:vAlign w:val="center"/>
          </w:tcPr>
          <w:p w14:paraId="105CCEA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2.5</w:t>
            </w:r>
          </w:p>
        </w:tc>
      </w:tr>
      <w:bookmarkEnd w:id="169"/>
      <w:bookmarkEnd w:id="170"/>
      <w:tr w:rsidR="00646F4F" w:rsidRPr="00735726" w14:paraId="1197BA61" w14:textId="77777777" w:rsidTr="00CE19B2">
        <w:trPr>
          <w:trHeight w:val="215"/>
        </w:trPr>
        <w:tc>
          <w:tcPr>
            <w:tcW w:w="3253" w:type="dxa"/>
            <w:tcMar>
              <w:top w:w="11" w:type="dxa"/>
              <w:left w:w="57" w:type="dxa"/>
              <w:bottom w:w="11" w:type="dxa"/>
              <w:right w:w="57" w:type="dxa"/>
            </w:tcMar>
          </w:tcPr>
          <w:p w14:paraId="402EBE5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Items that may be reclassified subsequently to profit or loss</w:t>
            </w:r>
          </w:p>
        </w:tc>
        <w:tc>
          <w:tcPr>
            <w:tcW w:w="708" w:type="dxa"/>
            <w:gridSpan w:val="2"/>
            <w:tcMar>
              <w:top w:w="11" w:type="dxa"/>
              <w:left w:w="57" w:type="dxa"/>
              <w:bottom w:w="11" w:type="dxa"/>
              <w:right w:w="57" w:type="dxa"/>
            </w:tcMar>
          </w:tcPr>
          <w:p w14:paraId="5C491CD8"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76" w:type="dxa"/>
            <w:tcMar>
              <w:top w:w="11" w:type="dxa"/>
              <w:left w:w="57" w:type="dxa"/>
              <w:bottom w:w="11" w:type="dxa"/>
              <w:right w:w="57" w:type="dxa"/>
            </w:tcMar>
            <w:vAlign w:val="center"/>
          </w:tcPr>
          <w:p w14:paraId="7BE4735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339" w:type="dxa"/>
            <w:tcMar>
              <w:top w:w="11" w:type="dxa"/>
              <w:left w:w="57" w:type="dxa"/>
              <w:bottom w:w="11" w:type="dxa"/>
              <w:right w:w="57" w:type="dxa"/>
            </w:tcMar>
            <w:vAlign w:val="center"/>
          </w:tcPr>
          <w:p w14:paraId="062AC26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670" w:type="dxa"/>
            <w:tcMar>
              <w:top w:w="11" w:type="dxa"/>
              <w:left w:w="57" w:type="dxa"/>
              <w:bottom w:w="11" w:type="dxa"/>
              <w:right w:w="57" w:type="dxa"/>
            </w:tcMar>
            <w:vAlign w:val="center"/>
          </w:tcPr>
          <w:p w14:paraId="316FC600"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90" w:type="dxa"/>
            <w:vAlign w:val="center"/>
          </w:tcPr>
          <w:p w14:paraId="280BC1C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06" w:type="dxa"/>
            <w:vAlign w:val="center"/>
          </w:tcPr>
          <w:p w14:paraId="66157F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670" w:type="dxa"/>
            <w:vAlign w:val="center"/>
          </w:tcPr>
          <w:p w14:paraId="61BFAE8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3A3E9870" w14:textId="77777777" w:rsidTr="00CE19B2">
        <w:trPr>
          <w:trHeight w:val="296"/>
        </w:trPr>
        <w:tc>
          <w:tcPr>
            <w:tcW w:w="3253" w:type="dxa"/>
            <w:tcMar>
              <w:top w:w="11" w:type="dxa"/>
              <w:left w:w="57" w:type="dxa"/>
              <w:bottom w:w="11" w:type="dxa"/>
              <w:right w:w="57" w:type="dxa"/>
            </w:tcMar>
          </w:tcPr>
          <w:p w14:paraId="04D5D15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Loss on cash flow hedging</w:t>
            </w:r>
          </w:p>
        </w:tc>
        <w:tc>
          <w:tcPr>
            <w:tcW w:w="708" w:type="dxa"/>
            <w:gridSpan w:val="2"/>
            <w:tcMar>
              <w:top w:w="11" w:type="dxa"/>
              <w:left w:w="57" w:type="dxa"/>
              <w:bottom w:w="11" w:type="dxa"/>
              <w:right w:w="57" w:type="dxa"/>
            </w:tcMar>
          </w:tcPr>
          <w:p w14:paraId="19CCAFA1"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76" w:type="dxa"/>
            <w:tcMar>
              <w:top w:w="11" w:type="dxa"/>
              <w:left w:w="57" w:type="dxa"/>
              <w:bottom w:w="11" w:type="dxa"/>
              <w:right w:w="57" w:type="dxa"/>
            </w:tcMar>
            <w:vAlign w:val="center"/>
          </w:tcPr>
          <w:p w14:paraId="5C7A6FB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(6.6)</w:t>
            </w:r>
          </w:p>
        </w:tc>
        <w:tc>
          <w:tcPr>
            <w:tcW w:w="1339" w:type="dxa"/>
            <w:tcMar>
              <w:top w:w="11" w:type="dxa"/>
              <w:left w:w="57" w:type="dxa"/>
              <w:bottom w:w="11" w:type="dxa"/>
              <w:right w:w="57" w:type="dxa"/>
            </w:tcMar>
            <w:vAlign w:val="center"/>
          </w:tcPr>
          <w:p w14:paraId="601D344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670" w:type="dxa"/>
            <w:tcMar>
              <w:top w:w="11" w:type="dxa"/>
              <w:left w:w="57" w:type="dxa"/>
              <w:bottom w:w="11" w:type="dxa"/>
              <w:right w:w="57" w:type="dxa"/>
            </w:tcMar>
            <w:vAlign w:val="center"/>
          </w:tcPr>
          <w:p w14:paraId="5B6B25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(6.6)</w:t>
            </w:r>
          </w:p>
        </w:tc>
        <w:tc>
          <w:tcPr>
            <w:tcW w:w="1090" w:type="dxa"/>
            <w:vAlign w:val="center"/>
          </w:tcPr>
          <w:p w14:paraId="3877DE2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(19.5)</w:t>
            </w:r>
          </w:p>
        </w:tc>
        <w:tc>
          <w:tcPr>
            <w:tcW w:w="1206" w:type="dxa"/>
            <w:vAlign w:val="center"/>
          </w:tcPr>
          <w:p w14:paraId="69922D8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670" w:type="dxa"/>
            <w:vAlign w:val="center"/>
          </w:tcPr>
          <w:p w14:paraId="27E93FB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(19.5)</w:t>
            </w:r>
          </w:p>
        </w:tc>
      </w:tr>
      <w:tr w:rsidR="00646F4F" w:rsidRPr="00735726" w14:paraId="4750B6E6" w14:textId="77777777" w:rsidTr="00CE19B2">
        <w:trPr>
          <w:trHeight w:val="215"/>
        </w:trPr>
        <w:tc>
          <w:tcPr>
            <w:tcW w:w="3253" w:type="dxa"/>
            <w:tcMar>
              <w:top w:w="11" w:type="dxa"/>
              <w:left w:w="57" w:type="dxa"/>
              <w:bottom w:w="11" w:type="dxa"/>
              <w:right w:w="57" w:type="dxa"/>
            </w:tcMar>
          </w:tcPr>
          <w:p w14:paraId="0E6AE0A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Hedging losses recycled to profit or loss</w:t>
            </w:r>
          </w:p>
        </w:tc>
        <w:tc>
          <w:tcPr>
            <w:tcW w:w="708" w:type="dxa"/>
            <w:gridSpan w:val="2"/>
            <w:tcMar>
              <w:top w:w="11" w:type="dxa"/>
              <w:left w:w="57" w:type="dxa"/>
              <w:bottom w:w="11" w:type="dxa"/>
              <w:right w:w="57" w:type="dxa"/>
            </w:tcMar>
          </w:tcPr>
          <w:p w14:paraId="3539F41C"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76" w:type="dxa"/>
            <w:tcMar>
              <w:top w:w="11" w:type="dxa"/>
              <w:left w:w="57" w:type="dxa"/>
              <w:bottom w:w="11" w:type="dxa"/>
              <w:right w:w="57" w:type="dxa"/>
            </w:tcMar>
            <w:vAlign w:val="center"/>
          </w:tcPr>
          <w:p w14:paraId="0B56B6E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7.3</w:t>
            </w:r>
          </w:p>
        </w:tc>
        <w:tc>
          <w:tcPr>
            <w:tcW w:w="1339" w:type="dxa"/>
            <w:tcMar>
              <w:top w:w="11" w:type="dxa"/>
              <w:left w:w="57" w:type="dxa"/>
              <w:bottom w:w="11" w:type="dxa"/>
              <w:right w:w="57" w:type="dxa"/>
            </w:tcMar>
            <w:vAlign w:val="center"/>
          </w:tcPr>
          <w:p w14:paraId="18B3A8D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670" w:type="dxa"/>
            <w:tcMar>
              <w:top w:w="11" w:type="dxa"/>
              <w:left w:w="57" w:type="dxa"/>
              <w:bottom w:w="11" w:type="dxa"/>
              <w:right w:w="57" w:type="dxa"/>
            </w:tcMar>
            <w:vAlign w:val="center"/>
          </w:tcPr>
          <w:p w14:paraId="3F62042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7.3</w:t>
            </w:r>
          </w:p>
        </w:tc>
        <w:tc>
          <w:tcPr>
            <w:tcW w:w="1090" w:type="dxa"/>
            <w:vAlign w:val="center"/>
          </w:tcPr>
          <w:p w14:paraId="2E46D6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15.1</w:t>
            </w:r>
          </w:p>
        </w:tc>
        <w:tc>
          <w:tcPr>
            <w:tcW w:w="1206" w:type="dxa"/>
            <w:vAlign w:val="center"/>
          </w:tcPr>
          <w:p w14:paraId="6E989C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670" w:type="dxa"/>
            <w:vAlign w:val="center"/>
          </w:tcPr>
          <w:p w14:paraId="6FA9272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15.1</w:t>
            </w:r>
          </w:p>
        </w:tc>
      </w:tr>
      <w:tr w:rsidR="00646F4F" w:rsidRPr="00735726" w14:paraId="01398B42" w14:textId="77777777" w:rsidTr="00CE19B2">
        <w:trPr>
          <w:trHeight w:val="215"/>
        </w:trPr>
        <w:tc>
          <w:tcPr>
            <w:tcW w:w="3253" w:type="dxa"/>
            <w:tcMar>
              <w:top w:w="11" w:type="dxa"/>
              <w:left w:w="57" w:type="dxa"/>
              <w:bottom w:w="11" w:type="dxa"/>
              <w:right w:w="57" w:type="dxa"/>
            </w:tcMar>
          </w:tcPr>
          <w:p w14:paraId="7E856F64" w14:textId="60653418"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71" w:name="XMETag_413eeaf3d6cc4815a442852ddef89f75" w:colFirst="4" w:colLast="4"/>
            <w:bookmarkStart w:id="172" w:name="XMETag_7825d2eb122b4f149cffbf2bb6325e4a" w:colFirst="7" w:colLast="7"/>
            <w:r w:rsidRPr="00735726">
              <w:rPr>
                <w:rFonts w:ascii="Arial" w:eastAsia="Times New Roman" w:hAnsi="Arial" w:cs="DINOT-Light"/>
                <w:color w:val="000000"/>
                <w:sz w:val="18"/>
                <w:szCs w:val="18"/>
              </w:rPr>
              <w:t xml:space="preserve">Tax relating to components of other comprehensive </w:t>
            </w:r>
            <w:r w:rsidR="00145904" w:rsidRPr="00735726">
              <w:rPr>
                <w:rFonts w:ascii="Arial" w:eastAsia="Times New Roman" w:hAnsi="Arial" w:cs="DINOT-Light"/>
                <w:color w:val="000000"/>
                <w:sz w:val="18"/>
                <w:szCs w:val="18"/>
              </w:rPr>
              <w:t>(loss)/</w:t>
            </w:r>
            <w:r w:rsidRPr="00735726">
              <w:rPr>
                <w:rFonts w:ascii="Arial" w:eastAsia="Times New Roman" w:hAnsi="Arial" w:cs="DINOT-Light"/>
                <w:color w:val="000000"/>
                <w:sz w:val="18"/>
                <w:szCs w:val="18"/>
              </w:rPr>
              <w:t>income</w:t>
            </w:r>
          </w:p>
        </w:tc>
        <w:tc>
          <w:tcPr>
            <w:tcW w:w="708" w:type="dxa"/>
            <w:gridSpan w:val="2"/>
            <w:tcMar>
              <w:top w:w="11" w:type="dxa"/>
              <w:left w:w="57" w:type="dxa"/>
              <w:bottom w:w="11" w:type="dxa"/>
              <w:right w:w="57" w:type="dxa"/>
            </w:tcMar>
            <w:vAlign w:val="center"/>
          </w:tcPr>
          <w:p w14:paraId="600F475D" w14:textId="2FE2E25C"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9</w:t>
            </w:r>
            <w:r w:rsidR="00646F4F" w:rsidRPr="009A2CAE">
              <w:rPr>
                <w:rFonts w:ascii="Arial" w:eastAsia="Times New Roman" w:hAnsi="Arial" w:cs="DINOT-Light"/>
                <w:color w:val="000000"/>
                <w:sz w:val="18"/>
                <w:szCs w:val="18"/>
              </w:rPr>
              <w:t>, 2</w:t>
            </w:r>
            <w:r w:rsidRPr="009A2CAE">
              <w:rPr>
                <w:rFonts w:ascii="Arial" w:eastAsia="Times New Roman" w:hAnsi="Arial" w:cs="DINOT-Light"/>
                <w:color w:val="000000"/>
                <w:sz w:val="18"/>
                <w:szCs w:val="18"/>
              </w:rPr>
              <w:t>7</w:t>
            </w:r>
          </w:p>
        </w:tc>
        <w:tc>
          <w:tcPr>
            <w:tcW w:w="1176" w:type="dxa"/>
            <w:tcBorders>
              <w:bottom w:val="single" w:sz="4" w:space="0" w:color="auto"/>
            </w:tcBorders>
            <w:tcMar>
              <w:top w:w="11" w:type="dxa"/>
              <w:left w:w="57" w:type="dxa"/>
              <w:bottom w:w="11" w:type="dxa"/>
              <w:right w:w="57" w:type="dxa"/>
            </w:tcMar>
            <w:vAlign w:val="center"/>
          </w:tcPr>
          <w:p w14:paraId="453194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339" w:type="dxa"/>
            <w:tcBorders>
              <w:bottom w:val="single" w:sz="4" w:space="0" w:color="auto"/>
            </w:tcBorders>
            <w:tcMar>
              <w:top w:w="11" w:type="dxa"/>
              <w:left w:w="57" w:type="dxa"/>
              <w:bottom w:w="11" w:type="dxa"/>
              <w:right w:w="57" w:type="dxa"/>
            </w:tcMar>
            <w:vAlign w:val="center"/>
          </w:tcPr>
          <w:p w14:paraId="1A1410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70" w:type="dxa"/>
            <w:tcBorders>
              <w:bottom w:val="single" w:sz="4" w:space="0" w:color="auto"/>
            </w:tcBorders>
            <w:tcMar>
              <w:top w:w="11" w:type="dxa"/>
              <w:left w:w="57" w:type="dxa"/>
              <w:bottom w:w="11" w:type="dxa"/>
              <w:right w:w="57" w:type="dxa"/>
            </w:tcMar>
            <w:vAlign w:val="center"/>
          </w:tcPr>
          <w:p w14:paraId="0EC2B6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090" w:type="dxa"/>
            <w:tcBorders>
              <w:bottom w:val="single" w:sz="4" w:space="0" w:color="auto"/>
            </w:tcBorders>
            <w:vAlign w:val="center"/>
          </w:tcPr>
          <w:p w14:paraId="5EF0E1E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w:t>
            </w:r>
          </w:p>
        </w:tc>
        <w:tc>
          <w:tcPr>
            <w:tcW w:w="1206" w:type="dxa"/>
            <w:tcBorders>
              <w:bottom w:val="single" w:sz="4" w:space="0" w:color="auto"/>
            </w:tcBorders>
            <w:vAlign w:val="center"/>
          </w:tcPr>
          <w:p w14:paraId="5A17A7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670" w:type="dxa"/>
            <w:tcBorders>
              <w:bottom w:val="single" w:sz="4" w:space="0" w:color="auto"/>
            </w:tcBorders>
            <w:vAlign w:val="center"/>
          </w:tcPr>
          <w:p w14:paraId="588F01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w:t>
            </w:r>
          </w:p>
        </w:tc>
      </w:tr>
      <w:tr w:rsidR="00646F4F" w:rsidRPr="00735726" w14:paraId="67E3F9E0" w14:textId="77777777" w:rsidTr="00CE19B2">
        <w:trPr>
          <w:trHeight w:val="215"/>
        </w:trPr>
        <w:tc>
          <w:tcPr>
            <w:tcW w:w="3253" w:type="dxa"/>
            <w:tcMar>
              <w:top w:w="11" w:type="dxa"/>
              <w:left w:w="57" w:type="dxa"/>
              <w:bottom w:w="11" w:type="dxa"/>
              <w:right w:w="57" w:type="dxa"/>
            </w:tcMar>
          </w:tcPr>
          <w:p w14:paraId="17A00AD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73" w:name="XMETag_2833437ab51742b6b68937e3ace42700" w:colFirst="4" w:colLast="4"/>
            <w:bookmarkStart w:id="174" w:name="XMETag_1f65cbd1adb04302a6278440ef5500c3" w:colFirst="7" w:colLast="7"/>
            <w:bookmarkEnd w:id="171"/>
            <w:bookmarkEnd w:id="172"/>
            <w:r w:rsidRPr="00735726">
              <w:rPr>
                <w:rFonts w:ascii="Arial" w:eastAsia="Times New Roman" w:hAnsi="Arial" w:cs="DINOT-Light"/>
                <w:b/>
                <w:color w:val="000000"/>
                <w:sz w:val="18"/>
                <w:szCs w:val="18"/>
              </w:rPr>
              <w:t>Total items that may be reclassified subsequently to profit or loss</w:t>
            </w:r>
          </w:p>
        </w:tc>
        <w:tc>
          <w:tcPr>
            <w:tcW w:w="708" w:type="dxa"/>
            <w:gridSpan w:val="2"/>
            <w:tcMar>
              <w:top w:w="11" w:type="dxa"/>
              <w:left w:w="57" w:type="dxa"/>
              <w:bottom w:w="11" w:type="dxa"/>
              <w:right w:w="57" w:type="dxa"/>
            </w:tcMar>
          </w:tcPr>
          <w:p w14:paraId="71CCA5DB"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76" w:type="dxa"/>
            <w:tcBorders>
              <w:top w:val="single" w:sz="4" w:space="0" w:color="auto"/>
              <w:bottom w:val="single" w:sz="4" w:space="0" w:color="auto"/>
            </w:tcBorders>
            <w:tcMar>
              <w:top w:w="11" w:type="dxa"/>
              <w:left w:w="57" w:type="dxa"/>
              <w:bottom w:w="11" w:type="dxa"/>
              <w:right w:w="57" w:type="dxa"/>
            </w:tcMar>
            <w:vAlign w:val="center"/>
          </w:tcPr>
          <w:p w14:paraId="5303C06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0.5</w:t>
            </w:r>
          </w:p>
        </w:tc>
        <w:tc>
          <w:tcPr>
            <w:tcW w:w="1339" w:type="dxa"/>
            <w:tcBorders>
              <w:top w:val="single" w:sz="4" w:space="0" w:color="auto"/>
              <w:bottom w:val="single" w:sz="4" w:space="0" w:color="auto"/>
            </w:tcBorders>
            <w:tcMar>
              <w:top w:w="11" w:type="dxa"/>
              <w:left w:w="57" w:type="dxa"/>
              <w:bottom w:w="11" w:type="dxa"/>
              <w:right w:w="57" w:type="dxa"/>
            </w:tcMar>
            <w:vAlign w:val="center"/>
          </w:tcPr>
          <w:p w14:paraId="51F8F89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w:t>
            </w:r>
          </w:p>
        </w:tc>
        <w:tc>
          <w:tcPr>
            <w:tcW w:w="670" w:type="dxa"/>
            <w:tcBorders>
              <w:top w:val="single" w:sz="4" w:space="0" w:color="auto"/>
              <w:bottom w:val="single" w:sz="4" w:space="0" w:color="auto"/>
            </w:tcBorders>
            <w:tcMar>
              <w:top w:w="11" w:type="dxa"/>
              <w:left w:w="57" w:type="dxa"/>
              <w:bottom w:w="11" w:type="dxa"/>
              <w:right w:w="57" w:type="dxa"/>
            </w:tcMar>
            <w:vAlign w:val="center"/>
          </w:tcPr>
          <w:p w14:paraId="5766D75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0.5</w:t>
            </w:r>
          </w:p>
        </w:tc>
        <w:tc>
          <w:tcPr>
            <w:tcW w:w="1090" w:type="dxa"/>
            <w:tcBorders>
              <w:top w:val="single" w:sz="4" w:space="0" w:color="auto"/>
              <w:bottom w:val="single" w:sz="4" w:space="0" w:color="auto"/>
            </w:tcBorders>
            <w:vAlign w:val="center"/>
          </w:tcPr>
          <w:p w14:paraId="1F60B7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(2.0)</w:t>
            </w:r>
          </w:p>
        </w:tc>
        <w:tc>
          <w:tcPr>
            <w:tcW w:w="1206" w:type="dxa"/>
            <w:tcBorders>
              <w:top w:val="single" w:sz="4" w:space="0" w:color="auto"/>
              <w:bottom w:val="single" w:sz="4" w:space="0" w:color="auto"/>
            </w:tcBorders>
            <w:vAlign w:val="center"/>
          </w:tcPr>
          <w:p w14:paraId="5C7E6CE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w:t>
            </w:r>
          </w:p>
        </w:tc>
        <w:tc>
          <w:tcPr>
            <w:tcW w:w="670" w:type="dxa"/>
            <w:tcBorders>
              <w:top w:val="single" w:sz="4" w:space="0" w:color="auto"/>
              <w:bottom w:val="single" w:sz="4" w:space="0" w:color="auto"/>
            </w:tcBorders>
            <w:vAlign w:val="center"/>
          </w:tcPr>
          <w:p w14:paraId="7923A7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(2.0)</w:t>
            </w:r>
          </w:p>
        </w:tc>
      </w:tr>
      <w:tr w:rsidR="00646F4F" w:rsidRPr="00735726" w14:paraId="274927DE" w14:textId="77777777" w:rsidTr="00CE19B2">
        <w:trPr>
          <w:trHeight w:val="215"/>
        </w:trPr>
        <w:tc>
          <w:tcPr>
            <w:tcW w:w="3253" w:type="dxa"/>
            <w:tcMar>
              <w:top w:w="11" w:type="dxa"/>
              <w:left w:w="57" w:type="dxa"/>
              <w:bottom w:w="11" w:type="dxa"/>
              <w:right w:w="57" w:type="dxa"/>
            </w:tcMar>
          </w:tcPr>
          <w:p w14:paraId="2FF5ED6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75" w:name="XMETag_1afbad568a5343f19456e4f8ad4bb36f" w:colFirst="4" w:colLast="4"/>
            <w:bookmarkStart w:id="176" w:name="XMETag_50f2150bd8454c0089e48eca332f663b" w:colFirst="7" w:colLast="7"/>
            <w:bookmarkEnd w:id="173"/>
            <w:bookmarkEnd w:id="174"/>
            <w:r w:rsidRPr="00735726">
              <w:rPr>
                <w:rFonts w:ascii="Arial" w:eastAsia="Times New Roman" w:hAnsi="Arial" w:cs="DINOT-Light"/>
                <w:b/>
                <w:color w:val="000000"/>
                <w:sz w:val="18"/>
                <w:szCs w:val="18"/>
              </w:rPr>
              <w:t>Other comprehensive (loss)/income for the year net of tax</w:t>
            </w:r>
          </w:p>
        </w:tc>
        <w:tc>
          <w:tcPr>
            <w:tcW w:w="708" w:type="dxa"/>
            <w:gridSpan w:val="2"/>
            <w:tcMar>
              <w:top w:w="11" w:type="dxa"/>
              <w:left w:w="57" w:type="dxa"/>
              <w:bottom w:w="11" w:type="dxa"/>
              <w:right w:w="57" w:type="dxa"/>
            </w:tcMar>
          </w:tcPr>
          <w:p w14:paraId="08A158E5"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76" w:type="dxa"/>
            <w:tcBorders>
              <w:top w:val="single" w:sz="4" w:space="0" w:color="auto"/>
              <w:bottom w:val="single" w:sz="4" w:space="0" w:color="auto"/>
            </w:tcBorders>
            <w:tcMar>
              <w:top w:w="11" w:type="dxa"/>
              <w:left w:w="57" w:type="dxa"/>
              <w:bottom w:w="11" w:type="dxa"/>
              <w:right w:w="57" w:type="dxa"/>
            </w:tcMar>
            <w:vAlign w:val="center"/>
          </w:tcPr>
          <w:p w14:paraId="30DBFFD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(1.4)</w:t>
            </w:r>
          </w:p>
        </w:tc>
        <w:tc>
          <w:tcPr>
            <w:tcW w:w="1339" w:type="dxa"/>
            <w:tcBorders>
              <w:top w:val="single" w:sz="4" w:space="0" w:color="auto"/>
              <w:bottom w:val="single" w:sz="4" w:space="0" w:color="auto"/>
            </w:tcBorders>
            <w:tcMar>
              <w:top w:w="11" w:type="dxa"/>
              <w:left w:w="57" w:type="dxa"/>
              <w:bottom w:w="11" w:type="dxa"/>
              <w:right w:w="57" w:type="dxa"/>
            </w:tcMar>
            <w:vAlign w:val="center"/>
          </w:tcPr>
          <w:p w14:paraId="02F1B8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w:t>
            </w:r>
          </w:p>
        </w:tc>
        <w:tc>
          <w:tcPr>
            <w:tcW w:w="670" w:type="dxa"/>
            <w:tcBorders>
              <w:top w:val="single" w:sz="4" w:space="0" w:color="auto"/>
              <w:bottom w:val="single" w:sz="4" w:space="0" w:color="auto"/>
            </w:tcBorders>
            <w:tcMar>
              <w:top w:w="11" w:type="dxa"/>
              <w:left w:w="57" w:type="dxa"/>
              <w:bottom w:w="11" w:type="dxa"/>
              <w:right w:w="57" w:type="dxa"/>
            </w:tcMar>
            <w:vAlign w:val="center"/>
          </w:tcPr>
          <w:p w14:paraId="0E3A8D8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(1.4)</w:t>
            </w:r>
          </w:p>
        </w:tc>
        <w:tc>
          <w:tcPr>
            <w:tcW w:w="1090" w:type="dxa"/>
            <w:tcBorders>
              <w:top w:val="single" w:sz="4" w:space="0" w:color="auto"/>
              <w:bottom w:val="single" w:sz="4" w:space="0" w:color="auto"/>
            </w:tcBorders>
            <w:vAlign w:val="center"/>
          </w:tcPr>
          <w:p w14:paraId="7754EB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0.5</w:t>
            </w:r>
          </w:p>
        </w:tc>
        <w:tc>
          <w:tcPr>
            <w:tcW w:w="1206" w:type="dxa"/>
            <w:tcBorders>
              <w:top w:val="single" w:sz="4" w:space="0" w:color="auto"/>
              <w:bottom w:val="single" w:sz="4" w:space="0" w:color="auto"/>
            </w:tcBorders>
            <w:vAlign w:val="center"/>
          </w:tcPr>
          <w:p w14:paraId="0FD9CF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w:t>
            </w:r>
          </w:p>
        </w:tc>
        <w:tc>
          <w:tcPr>
            <w:tcW w:w="670" w:type="dxa"/>
            <w:tcBorders>
              <w:top w:val="single" w:sz="4" w:space="0" w:color="auto"/>
              <w:bottom w:val="single" w:sz="4" w:space="0" w:color="auto"/>
            </w:tcBorders>
            <w:vAlign w:val="center"/>
          </w:tcPr>
          <w:p w14:paraId="3205E5A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0.5</w:t>
            </w:r>
          </w:p>
        </w:tc>
      </w:tr>
      <w:tr w:rsidR="00646F4F" w:rsidRPr="00735726" w14:paraId="17E357BD" w14:textId="77777777" w:rsidTr="00CE19B2">
        <w:trPr>
          <w:trHeight w:val="53"/>
        </w:trPr>
        <w:tc>
          <w:tcPr>
            <w:tcW w:w="3530" w:type="dxa"/>
            <w:gridSpan w:val="2"/>
            <w:tcMar>
              <w:top w:w="11" w:type="dxa"/>
              <w:left w:w="57" w:type="dxa"/>
              <w:bottom w:w="11" w:type="dxa"/>
              <w:right w:w="57" w:type="dxa"/>
            </w:tcMar>
          </w:tcPr>
          <w:p w14:paraId="3C8B397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77" w:name="XMETag_4e30844c464f43b69e10edb7f90156c7" w:colFirst="4" w:colLast="4"/>
            <w:bookmarkStart w:id="178" w:name="XMETag_cc3c5de735dc42119e4a0d2e4c96a282" w:colFirst="7" w:colLast="7"/>
            <w:bookmarkEnd w:id="175"/>
            <w:bookmarkEnd w:id="176"/>
            <w:r w:rsidRPr="00735726">
              <w:rPr>
                <w:rFonts w:ascii="Arial" w:eastAsia="Times New Roman" w:hAnsi="Arial" w:cs="DINOT-Light"/>
                <w:b/>
                <w:color w:val="000000"/>
                <w:sz w:val="18"/>
                <w:szCs w:val="18"/>
              </w:rPr>
              <w:t>Total comprehensive income/(loss) for the year</w:t>
            </w:r>
          </w:p>
        </w:tc>
        <w:tc>
          <w:tcPr>
            <w:tcW w:w="431" w:type="dxa"/>
            <w:tcMar>
              <w:top w:w="11" w:type="dxa"/>
              <w:left w:w="57" w:type="dxa"/>
              <w:bottom w:w="11" w:type="dxa"/>
              <w:right w:w="57" w:type="dxa"/>
            </w:tcMar>
          </w:tcPr>
          <w:p w14:paraId="4427EDC2"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76" w:type="dxa"/>
            <w:tcBorders>
              <w:top w:val="single" w:sz="4" w:space="0" w:color="auto"/>
              <w:bottom w:val="single" w:sz="4" w:space="0" w:color="auto"/>
            </w:tcBorders>
            <w:tcMar>
              <w:top w:w="11" w:type="dxa"/>
              <w:left w:w="57" w:type="dxa"/>
              <w:bottom w:w="11" w:type="dxa"/>
              <w:right w:w="57" w:type="dxa"/>
            </w:tcMar>
            <w:vAlign w:val="center"/>
          </w:tcPr>
          <w:p w14:paraId="4AD9046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102.4</w:t>
            </w:r>
          </w:p>
        </w:tc>
        <w:tc>
          <w:tcPr>
            <w:tcW w:w="1339" w:type="dxa"/>
            <w:tcBorders>
              <w:top w:val="single" w:sz="4" w:space="0" w:color="auto"/>
              <w:bottom w:val="single" w:sz="4" w:space="0" w:color="auto"/>
            </w:tcBorders>
            <w:tcMar>
              <w:top w:w="11" w:type="dxa"/>
              <w:left w:w="57" w:type="dxa"/>
              <w:bottom w:w="11" w:type="dxa"/>
              <w:right w:w="57" w:type="dxa"/>
            </w:tcMar>
            <w:vAlign w:val="center"/>
          </w:tcPr>
          <w:p w14:paraId="028B47A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(12.4)</w:t>
            </w:r>
          </w:p>
        </w:tc>
        <w:tc>
          <w:tcPr>
            <w:tcW w:w="670" w:type="dxa"/>
            <w:tcBorders>
              <w:top w:val="single" w:sz="4" w:space="0" w:color="auto"/>
              <w:bottom w:val="single" w:sz="4" w:space="0" w:color="auto"/>
            </w:tcBorders>
            <w:tcMar>
              <w:top w:w="11" w:type="dxa"/>
              <w:left w:w="57" w:type="dxa"/>
              <w:bottom w:w="11" w:type="dxa"/>
              <w:right w:w="57" w:type="dxa"/>
            </w:tcMar>
            <w:vAlign w:val="center"/>
          </w:tcPr>
          <w:p w14:paraId="34488FC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90.0</w:t>
            </w:r>
          </w:p>
        </w:tc>
        <w:tc>
          <w:tcPr>
            <w:tcW w:w="1090" w:type="dxa"/>
            <w:tcBorders>
              <w:top w:val="single" w:sz="4" w:space="0" w:color="auto"/>
              <w:bottom w:val="single" w:sz="4" w:space="0" w:color="auto"/>
            </w:tcBorders>
            <w:vAlign w:val="center"/>
          </w:tcPr>
          <w:p w14:paraId="5EC0DBC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(23.8)</w:t>
            </w:r>
          </w:p>
        </w:tc>
        <w:tc>
          <w:tcPr>
            <w:tcW w:w="1206" w:type="dxa"/>
            <w:tcBorders>
              <w:top w:val="single" w:sz="4" w:space="0" w:color="auto"/>
              <w:bottom w:val="single" w:sz="4" w:space="0" w:color="auto"/>
            </w:tcBorders>
            <w:vAlign w:val="center"/>
          </w:tcPr>
          <w:p w14:paraId="27BB3B6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(24.3)</w:t>
            </w:r>
          </w:p>
        </w:tc>
        <w:tc>
          <w:tcPr>
            <w:tcW w:w="670" w:type="dxa"/>
            <w:tcBorders>
              <w:top w:val="single" w:sz="4" w:space="0" w:color="auto"/>
              <w:bottom w:val="single" w:sz="4" w:space="0" w:color="auto"/>
            </w:tcBorders>
            <w:vAlign w:val="center"/>
          </w:tcPr>
          <w:p w14:paraId="54E2B2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(48.1)</w:t>
            </w:r>
          </w:p>
        </w:tc>
      </w:tr>
      <w:bookmarkEnd w:id="177"/>
      <w:bookmarkEnd w:id="178"/>
    </w:tbl>
    <w:p w14:paraId="07A9AF3A" w14:textId="77777777" w:rsidR="00646F4F" w:rsidRPr="009A2CAE"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p>
    <w:p w14:paraId="13B3F514" w14:textId="77777777" w:rsidR="00646F4F" w:rsidRPr="009A2CAE"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p>
    <w:p w14:paraId="79CDABCC" w14:textId="74108957" w:rsidR="00646F4F" w:rsidRPr="009A2CAE"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notes on </w:t>
      </w:r>
      <w:r w:rsidRPr="00735726">
        <w:rPr>
          <w:rFonts w:ascii="Arial" w:eastAsia="Calibri" w:hAnsi="Arial" w:cs="Arial"/>
          <w:sz w:val="18"/>
          <w:szCs w:val="18"/>
        </w:rPr>
        <w:t xml:space="preserve">pages </w:t>
      </w:r>
      <w:r w:rsidR="00C52378" w:rsidRPr="009A2CAE">
        <w:rPr>
          <w:rFonts w:ascii="Arial" w:eastAsia="Calibri" w:hAnsi="Arial" w:cs="Arial"/>
          <w:sz w:val="18"/>
          <w:szCs w:val="18"/>
        </w:rPr>
        <w:t xml:space="preserve">181 </w:t>
      </w:r>
      <w:r w:rsidRPr="009A2CAE">
        <w:rPr>
          <w:rFonts w:ascii="Arial" w:eastAsia="Calibri" w:hAnsi="Arial" w:cs="Arial"/>
          <w:sz w:val="18"/>
          <w:szCs w:val="18"/>
        </w:rPr>
        <w:t xml:space="preserve">to </w:t>
      </w:r>
      <w:r w:rsidR="00C52378" w:rsidRPr="009A2CAE">
        <w:rPr>
          <w:rFonts w:ascii="Arial" w:eastAsia="Calibri" w:hAnsi="Arial" w:cs="Arial"/>
          <w:sz w:val="18"/>
          <w:szCs w:val="18"/>
        </w:rPr>
        <w:t>226</w:t>
      </w:r>
      <w:r w:rsidRPr="009A2CAE">
        <w:rPr>
          <w:rFonts w:ascii="Arial" w:eastAsia="Calibri" w:hAnsi="Arial" w:cs="Arial"/>
          <w:sz w:val="18"/>
          <w:szCs w:val="18"/>
        </w:rPr>
        <w:t xml:space="preserve"> </w:t>
      </w:r>
      <w:r w:rsidRPr="00735726">
        <w:rPr>
          <w:rFonts w:ascii="Arial" w:eastAsia="Times New Roman" w:hAnsi="Arial" w:cs="DINOT-Light"/>
          <w:sz w:val="18"/>
          <w:szCs w:val="18"/>
        </w:rPr>
        <w:t>form part of these financial</w:t>
      </w:r>
      <w:r w:rsidRPr="00735726">
        <w:rPr>
          <w:rFonts w:ascii="Arial" w:eastAsia="Times New Roman" w:hAnsi="Arial" w:cs="DINOT-Light"/>
          <w:color w:val="000000"/>
          <w:sz w:val="18"/>
          <w:szCs w:val="18"/>
        </w:rPr>
        <w:t xml:space="preserve"> statements.</w:t>
      </w:r>
      <w:r w:rsidRPr="009A2CAE">
        <w:rPr>
          <w:rFonts w:ascii="Arial" w:eastAsia="Times New Roman" w:hAnsi="Arial" w:cs="DINOT-Light"/>
          <w:color w:val="000000"/>
          <w:sz w:val="18"/>
          <w:szCs w:val="18"/>
        </w:rPr>
        <w:br w:type="page"/>
      </w:r>
    </w:p>
    <w:p w14:paraId="62449F67" w14:textId="77777777" w:rsidR="00646F4F" w:rsidRPr="00735726" w:rsidRDefault="00646F4F" w:rsidP="00646F4F">
      <w:pPr>
        <w:widowControl w:val="0"/>
        <w:suppressAutoHyphens/>
        <w:autoSpaceDE w:val="0"/>
        <w:autoSpaceDN w:val="0"/>
        <w:adjustRightInd w:val="0"/>
        <w:spacing w:after="0" w:line="288" w:lineRule="auto"/>
        <w:textAlignment w:val="center"/>
        <w:outlineLvl w:val="0"/>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 xml:space="preserve">BALANCE SHEET </w:t>
      </w:r>
    </w:p>
    <w:p w14:paraId="1B9EF8D2" w14:textId="3971B542" w:rsidR="00646F4F" w:rsidRPr="009A2CAE" w:rsidRDefault="00646F4F" w:rsidP="009A6ACA">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r w:rsidRPr="00735726">
        <w:rPr>
          <w:rFonts w:ascii="Arial" w:eastAsia="Times New Roman" w:hAnsi="Arial" w:cs="DINOT-Light"/>
          <w:caps/>
          <w:color w:val="000000"/>
          <w:sz w:val="24"/>
          <w:szCs w:val="24"/>
        </w:rPr>
        <w:t xml:space="preserve">AS at </w:t>
      </w:r>
      <w:bookmarkStart w:id="179" w:name="XMETag_fd435f7caa094d8f8fff5c47535a2023"/>
      <w:r w:rsidRPr="00735726">
        <w:rPr>
          <w:rFonts w:ascii="Arial" w:eastAsia="Times New Roman" w:hAnsi="Arial" w:cs="DINOT-Light"/>
          <w:caps/>
          <w:color w:val="000000"/>
          <w:sz w:val="24"/>
          <w:szCs w:val="24"/>
        </w:rPr>
        <w:t>31 March 20</w:t>
      </w:r>
      <w:bookmarkEnd w:id="179"/>
      <w:r w:rsidRPr="00735726">
        <w:rPr>
          <w:rFonts w:ascii="Arial" w:eastAsia="Times New Roman" w:hAnsi="Arial" w:cs="DINOT-Light"/>
          <w:caps/>
          <w:color w:val="000000"/>
          <w:sz w:val="24"/>
          <w:szCs w:val="24"/>
        </w:rPr>
        <w:t>26</w:t>
      </w:r>
    </w:p>
    <w:tbl>
      <w:tblPr>
        <w:tblW w:w="9972" w:type="dxa"/>
        <w:tblInd w:w="8" w:type="dxa"/>
        <w:tblLayout w:type="fixed"/>
        <w:tblCellMar>
          <w:left w:w="0" w:type="dxa"/>
          <w:right w:w="0" w:type="dxa"/>
        </w:tblCellMar>
        <w:tblLook w:val="0000" w:firstRow="0" w:lastRow="0" w:firstColumn="0" w:lastColumn="0" w:noHBand="0" w:noVBand="0"/>
      </w:tblPr>
      <w:tblGrid>
        <w:gridCol w:w="6605"/>
        <w:gridCol w:w="1134"/>
        <w:gridCol w:w="1133"/>
        <w:gridCol w:w="1100"/>
      </w:tblGrid>
      <w:tr w:rsidR="00646F4F" w:rsidRPr="00735726" w14:paraId="541DF4C1" w14:textId="77777777" w:rsidTr="00CE19B2">
        <w:trPr>
          <w:trHeight w:val="60"/>
          <w:tblHeader/>
        </w:trPr>
        <w:tc>
          <w:tcPr>
            <w:tcW w:w="6605" w:type="dxa"/>
            <w:tcMar>
              <w:top w:w="11" w:type="dxa"/>
              <w:left w:w="57" w:type="dxa"/>
              <w:bottom w:w="11" w:type="dxa"/>
              <w:right w:w="57" w:type="dxa"/>
            </w:tcMar>
          </w:tcPr>
          <w:p w14:paraId="3CBC51DA"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1F9CEF90"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629F3935"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Notes</w:t>
            </w:r>
          </w:p>
        </w:tc>
        <w:tc>
          <w:tcPr>
            <w:tcW w:w="1133" w:type="dxa"/>
            <w:tcMar>
              <w:top w:w="11" w:type="dxa"/>
              <w:left w:w="57" w:type="dxa"/>
              <w:bottom w:w="11" w:type="dxa"/>
              <w:right w:w="57" w:type="dxa"/>
            </w:tcMar>
          </w:tcPr>
          <w:p w14:paraId="1162948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0DE9A7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57BBC3D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00" w:type="dxa"/>
          </w:tcPr>
          <w:p w14:paraId="5956036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53CE360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8FB84A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32F966F" w14:textId="77777777" w:rsidTr="00CE19B2">
        <w:trPr>
          <w:trHeight w:val="226"/>
        </w:trPr>
        <w:tc>
          <w:tcPr>
            <w:tcW w:w="6605" w:type="dxa"/>
            <w:tcMar>
              <w:top w:w="11" w:type="dxa"/>
              <w:left w:w="57" w:type="dxa"/>
              <w:bottom w:w="11" w:type="dxa"/>
              <w:right w:w="57" w:type="dxa"/>
            </w:tcMar>
          </w:tcPr>
          <w:p w14:paraId="1C437F6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Assets</w:t>
            </w:r>
          </w:p>
        </w:tc>
        <w:tc>
          <w:tcPr>
            <w:tcW w:w="1134" w:type="dxa"/>
            <w:tcMar>
              <w:top w:w="11" w:type="dxa"/>
              <w:left w:w="57" w:type="dxa"/>
              <w:bottom w:w="11" w:type="dxa"/>
              <w:right w:w="57" w:type="dxa"/>
            </w:tcMar>
          </w:tcPr>
          <w:p w14:paraId="647AA253"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4FB22E2E"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0" w:type="dxa"/>
          </w:tcPr>
          <w:p w14:paraId="01A2875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62984FCE" w14:textId="77777777" w:rsidTr="00CE19B2">
        <w:trPr>
          <w:trHeight w:val="226"/>
        </w:trPr>
        <w:tc>
          <w:tcPr>
            <w:tcW w:w="6605" w:type="dxa"/>
            <w:tcMar>
              <w:top w:w="11" w:type="dxa"/>
              <w:left w:w="57" w:type="dxa"/>
              <w:bottom w:w="11" w:type="dxa"/>
              <w:right w:w="57" w:type="dxa"/>
            </w:tcMar>
          </w:tcPr>
          <w:p w14:paraId="63AAFB23" w14:textId="66DC92C1"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Non</w:t>
            </w:r>
            <w:r w:rsidR="006C1BA9" w:rsidRPr="00735726">
              <w:rPr>
                <w:rFonts w:ascii="Arial" w:eastAsia="Times New Roman" w:hAnsi="Arial" w:cs="DINOT-Light"/>
                <w:b/>
                <w:color w:val="000000"/>
                <w:sz w:val="18"/>
                <w:szCs w:val="18"/>
              </w:rPr>
              <w:t>-</w:t>
            </w:r>
            <w:r w:rsidRPr="00735726">
              <w:rPr>
                <w:rFonts w:ascii="Arial" w:eastAsia="Times New Roman" w:hAnsi="Arial" w:cs="DINOT-Light"/>
                <w:b/>
                <w:color w:val="000000"/>
                <w:sz w:val="18"/>
                <w:szCs w:val="18"/>
              </w:rPr>
              <w:t>current assets</w:t>
            </w:r>
          </w:p>
        </w:tc>
        <w:tc>
          <w:tcPr>
            <w:tcW w:w="1134" w:type="dxa"/>
            <w:tcMar>
              <w:top w:w="11" w:type="dxa"/>
              <w:left w:w="57" w:type="dxa"/>
              <w:bottom w:w="11" w:type="dxa"/>
              <w:right w:w="57" w:type="dxa"/>
            </w:tcMar>
          </w:tcPr>
          <w:p w14:paraId="317158B7"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646526A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0" w:type="dxa"/>
          </w:tcPr>
          <w:p w14:paraId="17884A5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78202481" w14:textId="77777777" w:rsidTr="00CE19B2">
        <w:trPr>
          <w:trHeight w:val="226"/>
        </w:trPr>
        <w:tc>
          <w:tcPr>
            <w:tcW w:w="6605" w:type="dxa"/>
            <w:tcMar>
              <w:top w:w="11" w:type="dxa"/>
              <w:left w:w="57" w:type="dxa"/>
              <w:bottom w:w="11" w:type="dxa"/>
              <w:right w:w="57" w:type="dxa"/>
            </w:tcMar>
          </w:tcPr>
          <w:p w14:paraId="083A832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Goodwill</w:t>
            </w:r>
          </w:p>
        </w:tc>
        <w:tc>
          <w:tcPr>
            <w:tcW w:w="1134" w:type="dxa"/>
            <w:tcMar>
              <w:top w:w="11" w:type="dxa"/>
              <w:left w:w="57" w:type="dxa"/>
              <w:bottom w:w="11" w:type="dxa"/>
              <w:right w:w="57" w:type="dxa"/>
            </w:tcMar>
          </w:tcPr>
          <w:p w14:paraId="47C5550A" w14:textId="698A736D"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sz w:val="18"/>
                <w:szCs w:val="18"/>
              </w:rPr>
              <w:t>1</w:t>
            </w:r>
            <w:r w:rsidR="00B63B15" w:rsidRPr="009A2CAE">
              <w:rPr>
                <w:rFonts w:ascii="Arial" w:eastAsia="Times New Roman" w:hAnsi="Arial" w:cs="DINOT-Light"/>
                <w:sz w:val="18"/>
                <w:szCs w:val="18"/>
              </w:rPr>
              <w:t>3</w:t>
            </w:r>
          </w:p>
        </w:tc>
        <w:tc>
          <w:tcPr>
            <w:tcW w:w="1133" w:type="dxa"/>
            <w:tcMar>
              <w:top w:w="11" w:type="dxa"/>
              <w:left w:w="57" w:type="dxa"/>
              <w:bottom w:w="11" w:type="dxa"/>
              <w:right w:w="57" w:type="dxa"/>
            </w:tcMar>
          </w:tcPr>
          <w:p w14:paraId="785C487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299.6</w:t>
            </w:r>
          </w:p>
        </w:tc>
        <w:tc>
          <w:tcPr>
            <w:tcW w:w="1100" w:type="dxa"/>
          </w:tcPr>
          <w:p w14:paraId="07558D7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299.6</w:t>
            </w:r>
          </w:p>
        </w:tc>
      </w:tr>
      <w:tr w:rsidR="00646F4F" w:rsidRPr="00735726" w14:paraId="69E5E3DB" w14:textId="77777777" w:rsidTr="00CE19B2">
        <w:trPr>
          <w:trHeight w:val="226"/>
        </w:trPr>
        <w:tc>
          <w:tcPr>
            <w:tcW w:w="6605" w:type="dxa"/>
            <w:tcMar>
              <w:top w:w="11" w:type="dxa"/>
              <w:left w:w="57" w:type="dxa"/>
              <w:bottom w:w="11" w:type="dxa"/>
              <w:right w:w="57" w:type="dxa"/>
            </w:tcMar>
          </w:tcPr>
          <w:p w14:paraId="04255DC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Other intangible assets</w:t>
            </w:r>
          </w:p>
        </w:tc>
        <w:tc>
          <w:tcPr>
            <w:tcW w:w="1134" w:type="dxa"/>
            <w:tcMar>
              <w:top w:w="11" w:type="dxa"/>
              <w:left w:w="57" w:type="dxa"/>
              <w:bottom w:w="11" w:type="dxa"/>
              <w:right w:w="57" w:type="dxa"/>
            </w:tcMar>
          </w:tcPr>
          <w:p w14:paraId="288A7661" w14:textId="2C2D2E46"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14</w:t>
            </w:r>
          </w:p>
        </w:tc>
        <w:tc>
          <w:tcPr>
            <w:tcW w:w="1133" w:type="dxa"/>
            <w:tcMar>
              <w:top w:w="11" w:type="dxa"/>
              <w:left w:w="57" w:type="dxa"/>
              <w:bottom w:w="11" w:type="dxa"/>
              <w:right w:w="57" w:type="dxa"/>
            </w:tcMar>
          </w:tcPr>
          <w:p w14:paraId="62EC22B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18.5</w:t>
            </w:r>
          </w:p>
        </w:tc>
        <w:tc>
          <w:tcPr>
            <w:tcW w:w="1100" w:type="dxa"/>
          </w:tcPr>
          <w:p w14:paraId="17FD42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13.9</w:t>
            </w:r>
          </w:p>
        </w:tc>
      </w:tr>
      <w:tr w:rsidR="00646F4F" w:rsidRPr="00735726" w14:paraId="5D9A29A7" w14:textId="77777777" w:rsidTr="00CE19B2">
        <w:trPr>
          <w:trHeight w:val="53"/>
        </w:trPr>
        <w:tc>
          <w:tcPr>
            <w:tcW w:w="6605" w:type="dxa"/>
            <w:tcMar>
              <w:top w:w="11" w:type="dxa"/>
              <w:left w:w="57" w:type="dxa"/>
              <w:bottom w:w="11" w:type="dxa"/>
              <w:right w:w="57" w:type="dxa"/>
            </w:tcMar>
          </w:tcPr>
          <w:p w14:paraId="33633ED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80" w:name="XMETag_ce3ecc841d7840bda0f636c780df96f1" w:colFirst="2" w:colLast="2"/>
            <w:bookmarkStart w:id="181" w:name="XMETag_d55a4491db3745f7bbfed1c30b30239c" w:colFirst="3" w:colLast="3"/>
            <w:r w:rsidRPr="00735726">
              <w:rPr>
                <w:rFonts w:ascii="Arial" w:eastAsia="Times New Roman" w:hAnsi="Arial" w:cs="DINOT-Light"/>
                <w:color w:val="000000"/>
                <w:sz w:val="18"/>
                <w:szCs w:val="18"/>
              </w:rPr>
              <w:t>Property, plant and equipment</w:t>
            </w:r>
          </w:p>
        </w:tc>
        <w:tc>
          <w:tcPr>
            <w:tcW w:w="1134" w:type="dxa"/>
            <w:tcMar>
              <w:top w:w="11" w:type="dxa"/>
              <w:left w:w="57" w:type="dxa"/>
              <w:bottom w:w="11" w:type="dxa"/>
              <w:right w:w="57" w:type="dxa"/>
            </w:tcMar>
          </w:tcPr>
          <w:p w14:paraId="016FC396" w14:textId="43ABFB9B"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r w:rsidRPr="009A2CAE">
              <w:rPr>
                <w:rFonts w:ascii="Arial" w:eastAsia="Times New Roman" w:hAnsi="Arial" w:cs="DINOT-Light"/>
                <w:color w:val="000000"/>
                <w:sz w:val="18"/>
                <w:szCs w:val="18"/>
              </w:rPr>
              <w:t>1</w:t>
            </w:r>
            <w:r w:rsidR="00B63B15" w:rsidRPr="009A2CAE">
              <w:rPr>
                <w:rFonts w:ascii="Arial" w:eastAsia="Times New Roman" w:hAnsi="Arial" w:cs="DINOT-Light"/>
                <w:color w:val="000000"/>
                <w:sz w:val="18"/>
                <w:szCs w:val="18"/>
              </w:rPr>
              <w:t>5</w:t>
            </w:r>
          </w:p>
        </w:tc>
        <w:tc>
          <w:tcPr>
            <w:tcW w:w="1133" w:type="dxa"/>
            <w:tcMar>
              <w:top w:w="11" w:type="dxa"/>
              <w:left w:w="57" w:type="dxa"/>
              <w:bottom w:w="11" w:type="dxa"/>
              <w:right w:w="57" w:type="dxa"/>
            </w:tcMar>
          </w:tcPr>
          <w:p w14:paraId="37AF0B6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5,402.4</w:t>
            </w:r>
          </w:p>
        </w:tc>
        <w:tc>
          <w:tcPr>
            <w:tcW w:w="1100" w:type="dxa"/>
          </w:tcPr>
          <w:p w14:paraId="5155A4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5,005.0</w:t>
            </w:r>
          </w:p>
        </w:tc>
      </w:tr>
      <w:tr w:rsidR="00646F4F" w:rsidRPr="00735726" w14:paraId="7AC5E578" w14:textId="77777777" w:rsidTr="00CE19B2">
        <w:trPr>
          <w:trHeight w:val="226"/>
        </w:trPr>
        <w:tc>
          <w:tcPr>
            <w:tcW w:w="6605" w:type="dxa"/>
            <w:tcMar>
              <w:top w:w="11" w:type="dxa"/>
              <w:left w:w="57" w:type="dxa"/>
              <w:bottom w:w="11" w:type="dxa"/>
              <w:right w:w="57" w:type="dxa"/>
            </w:tcMar>
          </w:tcPr>
          <w:p w14:paraId="7E3CD21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82" w:name="XMETag_88d09f698f794429923f380c2122b852" w:colFirst="2" w:colLast="2"/>
            <w:bookmarkStart w:id="183" w:name="XMETag_441c7079717c4d3484ee0eaa22fd277d" w:colFirst="3" w:colLast="3"/>
            <w:bookmarkEnd w:id="180"/>
            <w:bookmarkEnd w:id="181"/>
            <w:r w:rsidRPr="00735726">
              <w:rPr>
                <w:rFonts w:ascii="Arial" w:eastAsia="Times New Roman" w:hAnsi="Arial" w:cs="DINOT-Light"/>
                <w:color w:val="000000"/>
                <w:sz w:val="18"/>
                <w:szCs w:val="18"/>
              </w:rPr>
              <w:t>Derivative financial instruments</w:t>
            </w:r>
          </w:p>
        </w:tc>
        <w:tc>
          <w:tcPr>
            <w:tcW w:w="1134" w:type="dxa"/>
            <w:tcMar>
              <w:top w:w="11" w:type="dxa"/>
              <w:left w:w="57" w:type="dxa"/>
              <w:bottom w:w="11" w:type="dxa"/>
              <w:right w:w="57" w:type="dxa"/>
            </w:tcMar>
          </w:tcPr>
          <w:p w14:paraId="7E54C82B" w14:textId="2E74BD65"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20</w:t>
            </w:r>
          </w:p>
        </w:tc>
        <w:tc>
          <w:tcPr>
            <w:tcW w:w="1133" w:type="dxa"/>
            <w:tcMar>
              <w:top w:w="11" w:type="dxa"/>
              <w:left w:w="57" w:type="dxa"/>
              <w:bottom w:w="11" w:type="dxa"/>
              <w:right w:w="57" w:type="dxa"/>
            </w:tcMar>
          </w:tcPr>
          <w:p w14:paraId="159017B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21.4</w:t>
            </w:r>
          </w:p>
        </w:tc>
        <w:tc>
          <w:tcPr>
            <w:tcW w:w="1100" w:type="dxa"/>
          </w:tcPr>
          <w:p w14:paraId="53EB090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22.3</w:t>
            </w:r>
          </w:p>
        </w:tc>
      </w:tr>
      <w:tr w:rsidR="00646F4F" w:rsidRPr="00735726" w14:paraId="13E48F3A" w14:textId="77777777" w:rsidTr="00CE19B2">
        <w:trPr>
          <w:trHeight w:val="226"/>
        </w:trPr>
        <w:tc>
          <w:tcPr>
            <w:tcW w:w="6605" w:type="dxa"/>
            <w:tcMar>
              <w:top w:w="11" w:type="dxa"/>
              <w:left w:w="57" w:type="dxa"/>
              <w:bottom w:w="11" w:type="dxa"/>
              <w:right w:w="57" w:type="dxa"/>
            </w:tcMar>
          </w:tcPr>
          <w:p w14:paraId="150138F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84" w:name="XMETag_dfe8e451279446718455e670216c5eb7" w:colFirst="2" w:colLast="2"/>
            <w:bookmarkStart w:id="185" w:name="XMETag_3961e8f80e114817a6e4d14adee6b44e" w:colFirst="3" w:colLast="3"/>
            <w:bookmarkEnd w:id="182"/>
            <w:bookmarkEnd w:id="183"/>
            <w:r w:rsidRPr="00735726">
              <w:rPr>
                <w:rFonts w:ascii="Arial" w:eastAsia="Times New Roman" w:hAnsi="Arial" w:cs="DINOT-Light"/>
                <w:color w:val="000000"/>
                <w:sz w:val="18"/>
                <w:szCs w:val="18"/>
              </w:rPr>
              <w:t>Investment in subsidiary undertakings</w:t>
            </w:r>
          </w:p>
        </w:tc>
        <w:tc>
          <w:tcPr>
            <w:tcW w:w="1134" w:type="dxa"/>
            <w:tcMar>
              <w:top w:w="11" w:type="dxa"/>
              <w:left w:w="57" w:type="dxa"/>
              <w:bottom w:w="11" w:type="dxa"/>
              <w:right w:w="57" w:type="dxa"/>
            </w:tcMar>
          </w:tcPr>
          <w:p w14:paraId="6AF20AE7" w14:textId="47D9A498"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1</w:t>
            </w:r>
            <w:r w:rsidR="00B63B15" w:rsidRPr="009A2CAE">
              <w:rPr>
                <w:rFonts w:ascii="Arial" w:eastAsia="Times New Roman" w:hAnsi="Arial" w:cs="DINOT-Light"/>
                <w:color w:val="000000"/>
                <w:sz w:val="18"/>
                <w:szCs w:val="18"/>
              </w:rPr>
              <w:t>7</w:t>
            </w:r>
          </w:p>
        </w:tc>
        <w:tc>
          <w:tcPr>
            <w:tcW w:w="1133" w:type="dxa"/>
            <w:tcMar>
              <w:top w:w="11" w:type="dxa"/>
              <w:left w:w="57" w:type="dxa"/>
              <w:bottom w:w="11" w:type="dxa"/>
              <w:right w:w="57" w:type="dxa"/>
            </w:tcMar>
          </w:tcPr>
          <w:p w14:paraId="629937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21.7</w:t>
            </w:r>
          </w:p>
        </w:tc>
        <w:tc>
          <w:tcPr>
            <w:tcW w:w="1100" w:type="dxa"/>
          </w:tcPr>
          <w:p w14:paraId="2AE7A6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21.7</w:t>
            </w:r>
          </w:p>
        </w:tc>
      </w:tr>
      <w:tr w:rsidR="00646F4F" w:rsidRPr="00735726" w14:paraId="5D829F3F" w14:textId="77777777" w:rsidTr="00277639">
        <w:trPr>
          <w:trHeight w:val="226"/>
        </w:trPr>
        <w:tc>
          <w:tcPr>
            <w:tcW w:w="6605" w:type="dxa"/>
            <w:tcBorders>
              <w:bottom w:val="single" w:sz="4" w:space="0" w:color="auto"/>
            </w:tcBorders>
            <w:tcMar>
              <w:top w:w="11" w:type="dxa"/>
              <w:left w:w="57" w:type="dxa"/>
              <w:bottom w:w="11" w:type="dxa"/>
              <w:right w:w="57" w:type="dxa"/>
            </w:tcMar>
          </w:tcPr>
          <w:p w14:paraId="42576C1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86" w:name="XMETag_97e3411bea5e44cba6b2875328bc1d84" w:colFirst="2" w:colLast="2"/>
            <w:bookmarkStart w:id="187" w:name="XMETag_053693df1b55493bb0c22461ccaf9767" w:colFirst="3" w:colLast="3"/>
            <w:bookmarkEnd w:id="184"/>
            <w:bookmarkEnd w:id="185"/>
            <w:r w:rsidRPr="00735726">
              <w:rPr>
                <w:rFonts w:ascii="Arial" w:eastAsia="Times New Roman" w:hAnsi="Arial" w:cs="DINOT-Light"/>
                <w:color w:val="000000"/>
                <w:sz w:val="18"/>
                <w:szCs w:val="18"/>
              </w:rPr>
              <w:t>Retirement benefit asset</w:t>
            </w:r>
          </w:p>
        </w:tc>
        <w:tc>
          <w:tcPr>
            <w:tcW w:w="1134" w:type="dxa"/>
            <w:tcBorders>
              <w:bottom w:val="single" w:sz="4" w:space="0" w:color="auto"/>
            </w:tcBorders>
            <w:tcMar>
              <w:top w:w="11" w:type="dxa"/>
              <w:left w:w="57" w:type="dxa"/>
              <w:bottom w:w="11" w:type="dxa"/>
              <w:right w:w="57" w:type="dxa"/>
            </w:tcMar>
          </w:tcPr>
          <w:p w14:paraId="2EDA0419" w14:textId="37437672"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5</w:t>
            </w:r>
          </w:p>
        </w:tc>
        <w:tc>
          <w:tcPr>
            <w:tcW w:w="1133" w:type="dxa"/>
            <w:tcBorders>
              <w:bottom w:val="single" w:sz="4" w:space="0" w:color="auto"/>
            </w:tcBorders>
            <w:tcMar>
              <w:top w:w="11" w:type="dxa"/>
              <w:left w:w="57" w:type="dxa"/>
              <w:bottom w:w="11" w:type="dxa"/>
              <w:right w:w="57" w:type="dxa"/>
            </w:tcMar>
          </w:tcPr>
          <w:p w14:paraId="7CDBFB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13.3</w:t>
            </w:r>
          </w:p>
        </w:tc>
        <w:tc>
          <w:tcPr>
            <w:tcW w:w="1100" w:type="dxa"/>
            <w:tcBorders>
              <w:bottom w:val="single" w:sz="4" w:space="0" w:color="auto"/>
            </w:tcBorders>
          </w:tcPr>
          <w:p w14:paraId="1E5928E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14.7</w:t>
            </w:r>
          </w:p>
        </w:tc>
      </w:tr>
      <w:tr w:rsidR="00646F4F" w:rsidRPr="00735726" w14:paraId="6716FE00" w14:textId="77777777" w:rsidTr="00277639">
        <w:trPr>
          <w:trHeight w:val="226"/>
        </w:trPr>
        <w:tc>
          <w:tcPr>
            <w:tcW w:w="6605" w:type="dxa"/>
            <w:tcBorders>
              <w:top w:val="single" w:sz="4" w:space="0" w:color="auto"/>
              <w:bottom w:val="single" w:sz="4" w:space="0" w:color="auto"/>
            </w:tcBorders>
            <w:tcMar>
              <w:top w:w="11" w:type="dxa"/>
              <w:left w:w="57" w:type="dxa"/>
              <w:bottom w:w="11" w:type="dxa"/>
              <w:right w:w="57" w:type="dxa"/>
            </w:tcMar>
          </w:tcPr>
          <w:p w14:paraId="77242DB8"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88" w:name="XMETag_a09df7b090114470a05099c9c59c5e5a" w:colFirst="2" w:colLast="2"/>
            <w:bookmarkStart w:id="189" w:name="XMETag_f3ced4301abf49b59b8a542db85090b6" w:colFirst="3" w:colLast="3"/>
            <w:bookmarkEnd w:id="186"/>
            <w:bookmarkEnd w:id="187"/>
          </w:p>
        </w:tc>
        <w:tc>
          <w:tcPr>
            <w:tcW w:w="1134" w:type="dxa"/>
            <w:tcBorders>
              <w:top w:val="single" w:sz="4" w:space="0" w:color="auto"/>
              <w:bottom w:val="single" w:sz="4" w:space="0" w:color="auto"/>
            </w:tcBorders>
            <w:tcMar>
              <w:top w:w="11" w:type="dxa"/>
              <w:left w:w="57" w:type="dxa"/>
              <w:bottom w:w="11" w:type="dxa"/>
              <w:right w:w="57" w:type="dxa"/>
            </w:tcMar>
          </w:tcPr>
          <w:p w14:paraId="41FAD305"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Borders>
              <w:top w:val="single" w:sz="4" w:space="0" w:color="auto"/>
              <w:bottom w:val="single" w:sz="4" w:space="0" w:color="auto"/>
            </w:tcBorders>
            <w:tcMar>
              <w:top w:w="11" w:type="dxa"/>
              <w:left w:w="57" w:type="dxa"/>
              <w:bottom w:w="11" w:type="dxa"/>
              <w:right w:w="57" w:type="dxa"/>
            </w:tcMar>
          </w:tcPr>
          <w:p w14:paraId="4E7E45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5,776.9</w:t>
            </w:r>
          </w:p>
        </w:tc>
        <w:tc>
          <w:tcPr>
            <w:tcW w:w="1100" w:type="dxa"/>
            <w:tcBorders>
              <w:top w:val="single" w:sz="4" w:space="0" w:color="auto"/>
              <w:bottom w:val="single" w:sz="4" w:space="0" w:color="auto"/>
            </w:tcBorders>
          </w:tcPr>
          <w:p w14:paraId="5D3576A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5,377.2</w:t>
            </w:r>
          </w:p>
        </w:tc>
      </w:tr>
      <w:bookmarkEnd w:id="188"/>
      <w:bookmarkEnd w:id="189"/>
      <w:tr w:rsidR="00646F4F" w:rsidRPr="00735726" w14:paraId="18519E50" w14:textId="77777777" w:rsidTr="00277639">
        <w:trPr>
          <w:trHeight w:val="226"/>
        </w:trPr>
        <w:tc>
          <w:tcPr>
            <w:tcW w:w="6605" w:type="dxa"/>
            <w:tcBorders>
              <w:top w:val="single" w:sz="4" w:space="0" w:color="auto"/>
            </w:tcBorders>
            <w:tcMar>
              <w:top w:w="11" w:type="dxa"/>
              <w:left w:w="57" w:type="dxa"/>
              <w:bottom w:w="11" w:type="dxa"/>
              <w:right w:w="57" w:type="dxa"/>
            </w:tcMar>
          </w:tcPr>
          <w:p w14:paraId="781B2B7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Current assets</w:t>
            </w:r>
          </w:p>
        </w:tc>
        <w:tc>
          <w:tcPr>
            <w:tcW w:w="1134" w:type="dxa"/>
            <w:tcBorders>
              <w:top w:val="single" w:sz="4" w:space="0" w:color="auto"/>
            </w:tcBorders>
            <w:tcMar>
              <w:top w:w="11" w:type="dxa"/>
              <w:left w:w="57" w:type="dxa"/>
              <w:bottom w:w="11" w:type="dxa"/>
              <w:right w:w="57" w:type="dxa"/>
            </w:tcMar>
          </w:tcPr>
          <w:p w14:paraId="455ED8BB"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Borders>
              <w:top w:val="single" w:sz="4" w:space="0" w:color="auto"/>
            </w:tcBorders>
            <w:tcMar>
              <w:top w:w="11" w:type="dxa"/>
              <w:left w:w="57" w:type="dxa"/>
              <w:bottom w:w="11" w:type="dxa"/>
              <w:right w:w="57" w:type="dxa"/>
            </w:tcMar>
          </w:tcPr>
          <w:p w14:paraId="62AD64C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0" w:type="dxa"/>
            <w:tcBorders>
              <w:top w:val="single" w:sz="4" w:space="0" w:color="auto"/>
            </w:tcBorders>
          </w:tcPr>
          <w:p w14:paraId="3101421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0DE60345" w14:textId="77777777" w:rsidTr="00CE19B2">
        <w:trPr>
          <w:trHeight w:val="226"/>
        </w:trPr>
        <w:tc>
          <w:tcPr>
            <w:tcW w:w="6605" w:type="dxa"/>
            <w:tcMar>
              <w:top w:w="11" w:type="dxa"/>
              <w:left w:w="57" w:type="dxa"/>
              <w:bottom w:w="11" w:type="dxa"/>
              <w:right w:w="57" w:type="dxa"/>
            </w:tcMar>
          </w:tcPr>
          <w:p w14:paraId="0E3325C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90" w:name="XMETag_a851a9e6fa6f4afe903c28a120779ad8" w:colFirst="2" w:colLast="2"/>
            <w:bookmarkStart w:id="191" w:name="XMETag_300852bad3b9410a97c04e9065e5762a" w:colFirst="3" w:colLast="3"/>
            <w:r w:rsidRPr="00735726">
              <w:rPr>
                <w:rFonts w:ascii="Arial" w:eastAsia="Times New Roman" w:hAnsi="Arial" w:cs="DINOT-Light"/>
                <w:color w:val="000000"/>
                <w:sz w:val="18"/>
                <w:szCs w:val="18"/>
              </w:rPr>
              <w:t>Inventories</w:t>
            </w:r>
          </w:p>
        </w:tc>
        <w:tc>
          <w:tcPr>
            <w:tcW w:w="1134" w:type="dxa"/>
            <w:tcMar>
              <w:top w:w="11" w:type="dxa"/>
              <w:left w:w="57" w:type="dxa"/>
              <w:bottom w:w="11" w:type="dxa"/>
              <w:right w:w="57" w:type="dxa"/>
            </w:tcMar>
          </w:tcPr>
          <w:p w14:paraId="5B3C038D" w14:textId="3DEC6893"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1</w:t>
            </w:r>
            <w:r w:rsidR="00B63B15" w:rsidRPr="009A2CAE">
              <w:rPr>
                <w:rFonts w:ascii="Arial" w:eastAsia="Times New Roman" w:hAnsi="Arial" w:cs="DINOT-Light"/>
                <w:color w:val="000000"/>
                <w:sz w:val="18"/>
                <w:szCs w:val="18"/>
              </w:rPr>
              <w:t>8</w:t>
            </w:r>
          </w:p>
        </w:tc>
        <w:tc>
          <w:tcPr>
            <w:tcW w:w="1133" w:type="dxa"/>
            <w:tcMar>
              <w:top w:w="11" w:type="dxa"/>
              <w:left w:w="57" w:type="dxa"/>
              <w:bottom w:w="11" w:type="dxa"/>
              <w:right w:w="57" w:type="dxa"/>
            </w:tcMar>
          </w:tcPr>
          <w:p w14:paraId="2861190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13.8</w:t>
            </w:r>
          </w:p>
        </w:tc>
        <w:tc>
          <w:tcPr>
            <w:tcW w:w="1100" w:type="dxa"/>
          </w:tcPr>
          <w:p w14:paraId="300A15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10.7</w:t>
            </w:r>
          </w:p>
        </w:tc>
      </w:tr>
      <w:tr w:rsidR="00646F4F" w:rsidRPr="00735726" w14:paraId="7B2B6A90" w14:textId="77777777" w:rsidTr="00CE19B2">
        <w:trPr>
          <w:trHeight w:val="226"/>
        </w:trPr>
        <w:tc>
          <w:tcPr>
            <w:tcW w:w="6605" w:type="dxa"/>
            <w:tcMar>
              <w:top w:w="11" w:type="dxa"/>
              <w:left w:w="57" w:type="dxa"/>
              <w:bottom w:w="11" w:type="dxa"/>
              <w:right w:w="57" w:type="dxa"/>
            </w:tcMar>
          </w:tcPr>
          <w:p w14:paraId="4C1838C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92" w:name="XMETag_fe02550a5dd04bf58271a3d1d07bbcaa" w:colFirst="2" w:colLast="2"/>
            <w:bookmarkStart w:id="193" w:name="XMETag_e3892a4b12e44f1bb33d37a165aeeee8" w:colFirst="3" w:colLast="3"/>
            <w:bookmarkEnd w:id="190"/>
            <w:bookmarkEnd w:id="191"/>
            <w:r w:rsidRPr="00735726">
              <w:rPr>
                <w:rFonts w:ascii="Arial" w:eastAsia="Times New Roman" w:hAnsi="Arial" w:cs="DINOT-Light"/>
                <w:color w:val="000000"/>
                <w:sz w:val="18"/>
                <w:szCs w:val="18"/>
              </w:rPr>
              <w:t>Derivative financial instruments</w:t>
            </w:r>
          </w:p>
        </w:tc>
        <w:tc>
          <w:tcPr>
            <w:tcW w:w="1134" w:type="dxa"/>
            <w:tcMar>
              <w:top w:w="11" w:type="dxa"/>
              <w:left w:w="57" w:type="dxa"/>
              <w:bottom w:w="11" w:type="dxa"/>
              <w:right w:w="57" w:type="dxa"/>
            </w:tcMar>
          </w:tcPr>
          <w:p w14:paraId="5846BB13" w14:textId="638201B6"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0</w:t>
            </w:r>
          </w:p>
        </w:tc>
        <w:tc>
          <w:tcPr>
            <w:tcW w:w="1133" w:type="dxa"/>
            <w:tcMar>
              <w:top w:w="11" w:type="dxa"/>
              <w:left w:w="57" w:type="dxa"/>
              <w:bottom w:w="11" w:type="dxa"/>
              <w:right w:w="57" w:type="dxa"/>
            </w:tcMar>
          </w:tcPr>
          <w:p w14:paraId="2C83BC1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7.8</w:t>
            </w:r>
          </w:p>
        </w:tc>
        <w:tc>
          <w:tcPr>
            <w:tcW w:w="1100" w:type="dxa"/>
          </w:tcPr>
          <w:p w14:paraId="54D49A2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9.3</w:t>
            </w:r>
          </w:p>
        </w:tc>
      </w:tr>
      <w:tr w:rsidR="00646F4F" w:rsidRPr="00735726" w14:paraId="223998BE" w14:textId="77777777" w:rsidTr="00CE19B2">
        <w:trPr>
          <w:trHeight w:val="226"/>
        </w:trPr>
        <w:tc>
          <w:tcPr>
            <w:tcW w:w="6605" w:type="dxa"/>
            <w:tcMar>
              <w:top w:w="11" w:type="dxa"/>
              <w:left w:w="57" w:type="dxa"/>
              <w:bottom w:w="11" w:type="dxa"/>
              <w:right w:w="57" w:type="dxa"/>
            </w:tcMar>
          </w:tcPr>
          <w:p w14:paraId="4BA41BA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94" w:name="XMETag_ef41c658df0041b6a0e97708a6ec1abc" w:colFirst="2" w:colLast="2"/>
            <w:bookmarkStart w:id="195" w:name="XMETag_5e6ae42e4b7d44798998c28f2190dd60" w:colFirst="3" w:colLast="3"/>
            <w:bookmarkEnd w:id="192"/>
            <w:bookmarkEnd w:id="193"/>
            <w:r w:rsidRPr="00735726">
              <w:rPr>
                <w:rFonts w:ascii="Arial" w:eastAsia="Times New Roman" w:hAnsi="Arial" w:cs="DINOT-Light"/>
                <w:color w:val="000000"/>
                <w:sz w:val="18"/>
                <w:szCs w:val="18"/>
              </w:rPr>
              <w:t>Trade and other receivables</w:t>
            </w:r>
          </w:p>
        </w:tc>
        <w:tc>
          <w:tcPr>
            <w:tcW w:w="1134" w:type="dxa"/>
            <w:tcMar>
              <w:top w:w="11" w:type="dxa"/>
              <w:left w:w="57" w:type="dxa"/>
              <w:bottom w:w="11" w:type="dxa"/>
              <w:right w:w="57" w:type="dxa"/>
            </w:tcMar>
          </w:tcPr>
          <w:p w14:paraId="71C6EEB3" w14:textId="4A95B900"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19</w:t>
            </w:r>
          </w:p>
        </w:tc>
        <w:tc>
          <w:tcPr>
            <w:tcW w:w="1133" w:type="dxa"/>
            <w:tcMar>
              <w:top w:w="11" w:type="dxa"/>
              <w:left w:w="57" w:type="dxa"/>
              <w:bottom w:w="11" w:type="dxa"/>
              <w:right w:w="57" w:type="dxa"/>
            </w:tcMar>
          </w:tcPr>
          <w:p w14:paraId="77C038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307.2</w:t>
            </w:r>
          </w:p>
        </w:tc>
        <w:tc>
          <w:tcPr>
            <w:tcW w:w="1100" w:type="dxa"/>
          </w:tcPr>
          <w:p w14:paraId="24566A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267.8</w:t>
            </w:r>
          </w:p>
        </w:tc>
      </w:tr>
      <w:tr w:rsidR="00646F4F" w:rsidRPr="00735726" w14:paraId="32159326" w14:textId="77777777" w:rsidTr="00CE19B2">
        <w:trPr>
          <w:trHeight w:val="226"/>
        </w:trPr>
        <w:tc>
          <w:tcPr>
            <w:tcW w:w="6605" w:type="dxa"/>
            <w:tcMar>
              <w:top w:w="11" w:type="dxa"/>
              <w:left w:w="57" w:type="dxa"/>
              <w:bottom w:w="11" w:type="dxa"/>
              <w:right w:w="57" w:type="dxa"/>
            </w:tcMar>
          </w:tcPr>
          <w:p w14:paraId="16A5796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96" w:name="XMETag_89d2edf306214976a018e3e35f7b3213" w:colFirst="2" w:colLast="2"/>
            <w:bookmarkStart w:id="197" w:name="XMETag_d0af266105c3419f991a6639756feb22" w:colFirst="3" w:colLast="3"/>
            <w:bookmarkEnd w:id="194"/>
            <w:bookmarkEnd w:id="195"/>
            <w:r w:rsidRPr="00735726">
              <w:rPr>
                <w:rFonts w:ascii="Arial" w:eastAsia="Times New Roman" w:hAnsi="Arial" w:cs="DINOT-Light"/>
                <w:color w:val="000000"/>
                <w:sz w:val="18"/>
                <w:szCs w:val="18"/>
              </w:rPr>
              <w:t>Current tax receivable</w:t>
            </w:r>
          </w:p>
        </w:tc>
        <w:tc>
          <w:tcPr>
            <w:tcW w:w="1134" w:type="dxa"/>
            <w:tcMar>
              <w:top w:w="11" w:type="dxa"/>
              <w:left w:w="57" w:type="dxa"/>
              <w:bottom w:w="11" w:type="dxa"/>
              <w:right w:w="57" w:type="dxa"/>
            </w:tcMar>
          </w:tcPr>
          <w:p w14:paraId="652F5017" w14:textId="77311FC6"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6</w:t>
            </w:r>
          </w:p>
        </w:tc>
        <w:tc>
          <w:tcPr>
            <w:tcW w:w="1133" w:type="dxa"/>
            <w:tcMar>
              <w:top w:w="11" w:type="dxa"/>
              <w:left w:w="57" w:type="dxa"/>
              <w:bottom w:w="11" w:type="dxa"/>
              <w:right w:w="57" w:type="dxa"/>
            </w:tcMar>
          </w:tcPr>
          <w:p w14:paraId="63205CD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00" w:type="dxa"/>
          </w:tcPr>
          <w:p w14:paraId="6B979A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w:t>
            </w:r>
          </w:p>
        </w:tc>
      </w:tr>
      <w:tr w:rsidR="00646F4F" w:rsidRPr="00735726" w14:paraId="45932AB4" w14:textId="77777777" w:rsidTr="00CE19B2">
        <w:trPr>
          <w:trHeight w:val="226"/>
        </w:trPr>
        <w:tc>
          <w:tcPr>
            <w:tcW w:w="6605" w:type="dxa"/>
            <w:tcMar>
              <w:top w:w="11" w:type="dxa"/>
              <w:left w:w="57" w:type="dxa"/>
              <w:bottom w:w="11" w:type="dxa"/>
              <w:right w:w="57" w:type="dxa"/>
            </w:tcMar>
          </w:tcPr>
          <w:p w14:paraId="00BAEA8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Cash and cash equivalents</w:t>
            </w:r>
          </w:p>
        </w:tc>
        <w:tc>
          <w:tcPr>
            <w:tcW w:w="1134" w:type="dxa"/>
            <w:tcMar>
              <w:top w:w="11" w:type="dxa"/>
              <w:left w:w="57" w:type="dxa"/>
              <w:bottom w:w="11" w:type="dxa"/>
              <w:right w:w="57" w:type="dxa"/>
            </w:tcMar>
          </w:tcPr>
          <w:p w14:paraId="1DC50395" w14:textId="49833D9E"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1</w:t>
            </w:r>
          </w:p>
        </w:tc>
        <w:tc>
          <w:tcPr>
            <w:tcW w:w="1133" w:type="dxa"/>
            <w:tcMar>
              <w:top w:w="11" w:type="dxa"/>
              <w:left w:w="57" w:type="dxa"/>
              <w:bottom w:w="11" w:type="dxa"/>
              <w:right w:w="57" w:type="dxa"/>
            </w:tcMar>
          </w:tcPr>
          <w:p w14:paraId="2A27353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249.7</w:t>
            </w:r>
          </w:p>
        </w:tc>
        <w:tc>
          <w:tcPr>
            <w:tcW w:w="1100" w:type="dxa"/>
          </w:tcPr>
          <w:p w14:paraId="3D32166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280.6</w:t>
            </w:r>
          </w:p>
        </w:tc>
      </w:tr>
      <w:tr w:rsidR="00646F4F" w:rsidRPr="00735726" w14:paraId="5EDCE708" w14:textId="77777777" w:rsidTr="00277639">
        <w:trPr>
          <w:trHeight w:val="226"/>
        </w:trPr>
        <w:tc>
          <w:tcPr>
            <w:tcW w:w="6605" w:type="dxa"/>
            <w:tcBorders>
              <w:bottom w:val="single" w:sz="4" w:space="0" w:color="auto"/>
            </w:tcBorders>
            <w:tcMar>
              <w:top w:w="11" w:type="dxa"/>
              <w:left w:w="57" w:type="dxa"/>
              <w:bottom w:w="11" w:type="dxa"/>
              <w:right w:w="57" w:type="dxa"/>
            </w:tcMar>
          </w:tcPr>
          <w:p w14:paraId="39DA081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98" w:name="XMETag_46b1a9833b314bcfabe3aa2f6080740a" w:colFirst="2" w:colLast="2"/>
            <w:bookmarkStart w:id="199" w:name="XMETag_ea300462168d45dcbdeb5dd914a06eac" w:colFirst="3" w:colLast="3"/>
            <w:bookmarkEnd w:id="196"/>
            <w:bookmarkEnd w:id="197"/>
            <w:r w:rsidRPr="00735726">
              <w:rPr>
                <w:rFonts w:ascii="Arial" w:eastAsia="Times New Roman" w:hAnsi="Arial" w:cs="DINOT-Light"/>
                <w:color w:val="000000"/>
                <w:sz w:val="18"/>
                <w:szCs w:val="18"/>
              </w:rPr>
              <w:t>Restricted funds</w:t>
            </w:r>
          </w:p>
        </w:tc>
        <w:tc>
          <w:tcPr>
            <w:tcW w:w="1134" w:type="dxa"/>
            <w:tcBorders>
              <w:bottom w:val="single" w:sz="4" w:space="0" w:color="auto"/>
            </w:tcBorders>
            <w:tcMar>
              <w:top w:w="11" w:type="dxa"/>
              <w:left w:w="57" w:type="dxa"/>
              <w:bottom w:w="11" w:type="dxa"/>
              <w:right w:w="57" w:type="dxa"/>
            </w:tcMar>
          </w:tcPr>
          <w:p w14:paraId="7C7640BC" w14:textId="002BA059"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1</w:t>
            </w:r>
          </w:p>
        </w:tc>
        <w:tc>
          <w:tcPr>
            <w:tcW w:w="1133" w:type="dxa"/>
            <w:tcBorders>
              <w:bottom w:val="single" w:sz="4" w:space="0" w:color="auto"/>
            </w:tcBorders>
            <w:tcMar>
              <w:top w:w="11" w:type="dxa"/>
              <w:left w:w="57" w:type="dxa"/>
              <w:bottom w:w="11" w:type="dxa"/>
              <w:right w:w="57" w:type="dxa"/>
            </w:tcMar>
          </w:tcPr>
          <w:p w14:paraId="5F9E645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46.2</w:t>
            </w:r>
          </w:p>
        </w:tc>
        <w:tc>
          <w:tcPr>
            <w:tcW w:w="1100" w:type="dxa"/>
            <w:tcBorders>
              <w:bottom w:val="single" w:sz="4" w:space="0" w:color="auto"/>
            </w:tcBorders>
          </w:tcPr>
          <w:p w14:paraId="5A7BEA6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46.1</w:t>
            </w:r>
          </w:p>
        </w:tc>
      </w:tr>
      <w:tr w:rsidR="00646F4F" w:rsidRPr="00735726" w14:paraId="55EA5377" w14:textId="77777777" w:rsidTr="00277639">
        <w:trPr>
          <w:trHeight w:val="226"/>
        </w:trPr>
        <w:tc>
          <w:tcPr>
            <w:tcW w:w="6605" w:type="dxa"/>
            <w:tcBorders>
              <w:top w:val="single" w:sz="4" w:space="0" w:color="auto"/>
              <w:bottom w:val="single" w:sz="4" w:space="0" w:color="auto"/>
            </w:tcBorders>
            <w:tcMar>
              <w:top w:w="11" w:type="dxa"/>
              <w:left w:w="57" w:type="dxa"/>
              <w:bottom w:w="11" w:type="dxa"/>
              <w:right w:w="57" w:type="dxa"/>
            </w:tcMar>
          </w:tcPr>
          <w:p w14:paraId="5B9807C7"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00" w:name="XMETag_beb498273b744d6db76f4b2fdfc7146c" w:colFirst="2" w:colLast="2"/>
            <w:bookmarkStart w:id="201" w:name="XMETag_785f1c75ef4f44ad9e21daf1c2ce19c4" w:colFirst="3" w:colLast="3"/>
            <w:bookmarkEnd w:id="198"/>
            <w:bookmarkEnd w:id="199"/>
          </w:p>
        </w:tc>
        <w:tc>
          <w:tcPr>
            <w:tcW w:w="1134" w:type="dxa"/>
            <w:tcBorders>
              <w:top w:val="single" w:sz="4" w:space="0" w:color="auto"/>
              <w:bottom w:val="single" w:sz="4" w:space="0" w:color="auto"/>
            </w:tcBorders>
            <w:tcMar>
              <w:top w:w="11" w:type="dxa"/>
              <w:left w:w="57" w:type="dxa"/>
              <w:bottom w:w="11" w:type="dxa"/>
              <w:right w:w="57" w:type="dxa"/>
            </w:tcMar>
          </w:tcPr>
          <w:p w14:paraId="726F5061"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Borders>
              <w:top w:val="single" w:sz="4" w:space="0" w:color="auto"/>
              <w:bottom w:val="single" w:sz="4" w:space="0" w:color="auto"/>
            </w:tcBorders>
            <w:tcMar>
              <w:top w:w="11" w:type="dxa"/>
              <w:left w:w="57" w:type="dxa"/>
              <w:bottom w:w="11" w:type="dxa"/>
              <w:right w:w="57" w:type="dxa"/>
            </w:tcMar>
          </w:tcPr>
          <w:p w14:paraId="336B99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624.7</w:t>
            </w:r>
          </w:p>
        </w:tc>
        <w:tc>
          <w:tcPr>
            <w:tcW w:w="1100" w:type="dxa"/>
            <w:tcBorders>
              <w:top w:val="single" w:sz="4" w:space="0" w:color="auto"/>
              <w:bottom w:val="single" w:sz="4" w:space="0" w:color="auto"/>
            </w:tcBorders>
          </w:tcPr>
          <w:p w14:paraId="41EA55C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617.7</w:t>
            </w:r>
          </w:p>
        </w:tc>
      </w:tr>
      <w:bookmarkEnd w:id="200"/>
      <w:bookmarkEnd w:id="201"/>
      <w:tr w:rsidR="00646F4F" w:rsidRPr="00735726" w14:paraId="12B262FC" w14:textId="77777777" w:rsidTr="00277639">
        <w:trPr>
          <w:trHeight w:val="226"/>
        </w:trPr>
        <w:tc>
          <w:tcPr>
            <w:tcW w:w="6605" w:type="dxa"/>
            <w:tcBorders>
              <w:top w:val="single" w:sz="4" w:space="0" w:color="auto"/>
            </w:tcBorders>
            <w:tcMar>
              <w:top w:w="11" w:type="dxa"/>
              <w:left w:w="57" w:type="dxa"/>
              <w:bottom w:w="11" w:type="dxa"/>
              <w:right w:w="57" w:type="dxa"/>
            </w:tcMar>
          </w:tcPr>
          <w:p w14:paraId="1990ECB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Liabilities</w:t>
            </w:r>
          </w:p>
        </w:tc>
        <w:tc>
          <w:tcPr>
            <w:tcW w:w="1134" w:type="dxa"/>
            <w:tcBorders>
              <w:top w:val="single" w:sz="4" w:space="0" w:color="auto"/>
            </w:tcBorders>
            <w:tcMar>
              <w:top w:w="11" w:type="dxa"/>
              <w:left w:w="57" w:type="dxa"/>
              <w:bottom w:w="11" w:type="dxa"/>
              <w:right w:w="57" w:type="dxa"/>
            </w:tcMar>
          </w:tcPr>
          <w:p w14:paraId="67D55B27"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Borders>
              <w:top w:val="single" w:sz="4" w:space="0" w:color="auto"/>
            </w:tcBorders>
            <w:tcMar>
              <w:top w:w="11" w:type="dxa"/>
              <w:left w:w="57" w:type="dxa"/>
              <w:bottom w:w="11" w:type="dxa"/>
              <w:right w:w="57" w:type="dxa"/>
            </w:tcMar>
          </w:tcPr>
          <w:p w14:paraId="7F16D5F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0" w:type="dxa"/>
            <w:tcBorders>
              <w:top w:val="single" w:sz="4" w:space="0" w:color="auto"/>
            </w:tcBorders>
          </w:tcPr>
          <w:p w14:paraId="2A1C173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494F48DA" w14:textId="77777777" w:rsidTr="00CE19B2">
        <w:trPr>
          <w:trHeight w:val="226"/>
        </w:trPr>
        <w:tc>
          <w:tcPr>
            <w:tcW w:w="6605" w:type="dxa"/>
            <w:tcMar>
              <w:top w:w="11" w:type="dxa"/>
              <w:left w:w="57" w:type="dxa"/>
              <w:bottom w:w="11" w:type="dxa"/>
              <w:right w:w="57" w:type="dxa"/>
            </w:tcMar>
          </w:tcPr>
          <w:p w14:paraId="608C092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Current liabilities</w:t>
            </w:r>
          </w:p>
        </w:tc>
        <w:tc>
          <w:tcPr>
            <w:tcW w:w="1134" w:type="dxa"/>
            <w:tcMar>
              <w:top w:w="11" w:type="dxa"/>
              <w:left w:w="57" w:type="dxa"/>
              <w:bottom w:w="11" w:type="dxa"/>
              <w:right w:w="57" w:type="dxa"/>
            </w:tcMar>
          </w:tcPr>
          <w:p w14:paraId="7748126D"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22F7EA1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0" w:type="dxa"/>
          </w:tcPr>
          <w:p w14:paraId="1BDB5B6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20AB7303" w14:textId="77777777" w:rsidTr="00CE19B2">
        <w:trPr>
          <w:trHeight w:val="235"/>
        </w:trPr>
        <w:tc>
          <w:tcPr>
            <w:tcW w:w="6605" w:type="dxa"/>
            <w:tcMar>
              <w:top w:w="11" w:type="dxa"/>
              <w:left w:w="57" w:type="dxa"/>
              <w:bottom w:w="11" w:type="dxa"/>
              <w:right w:w="57" w:type="dxa"/>
            </w:tcMar>
          </w:tcPr>
          <w:p w14:paraId="01AAAE6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02" w:name="XMETag_2bca471464a442a7834cac9871e956c0" w:colFirst="2" w:colLast="2"/>
            <w:bookmarkStart w:id="203" w:name="XMETag_923f75fbaab7490fa5dbd17a1764b727" w:colFirst="3" w:colLast="3"/>
            <w:r w:rsidRPr="00735726">
              <w:rPr>
                <w:rFonts w:ascii="Arial" w:eastAsia="Times New Roman" w:hAnsi="Arial" w:cs="DINOT-Light"/>
                <w:color w:val="000000"/>
                <w:sz w:val="18"/>
                <w:szCs w:val="18"/>
              </w:rPr>
              <w:t>Borrowings</w:t>
            </w:r>
          </w:p>
        </w:tc>
        <w:tc>
          <w:tcPr>
            <w:tcW w:w="1134" w:type="dxa"/>
            <w:tcMar>
              <w:top w:w="11" w:type="dxa"/>
              <w:left w:w="57" w:type="dxa"/>
              <w:bottom w:w="11" w:type="dxa"/>
              <w:right w:w="57" w:type="dxa"/>
            </w:tcMar>
          </w:tcPr>
          <w:p w14:paraId="0BF0C19E" w14:textId="12B81CB5"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3</w:t>
            </w:r>
          </w:p>
        </w:tc>
        <w:tc>
          <w:tcPr>
            <w:tcW w:w="1133" w:type="dxa"/>
            <w:tcMar>
              <w:top w:w="11" w:type="dxa"/>
              <w:left w:w="57" w:type="dxa"/>
              <w:bottom w:w="11" w:type="dxa"/>
              <w:right w:w="57" w:type="dxa"/>
            </w:tcMar>
          </w:tcPr>
          <w:p w14:paraId="2E407F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(89.1)</w:t>
            </w:r>
          </w:p>
        </w:tc>
        <w:tc>
          <w:tcPr>
            <w:tcW w:w="1100" w:type="dxa"/>
          </w:tcPr>
          <w:p w14:paraId="7B7A5F6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(137.2)</w:t>
            </w:r>
          </w:p>
        </w:tc>
      </w:tr>
      <w:tr w:rsidR="00646F4F" w:rsidRPr="00735726" w14:paraId="6BD7212B" w14:textId="77777777" w:rsidTr="00CE19B2">
        <w:trPr>
          <w:trHeight w:val="226"/>
        </w:trPr>
        <w:tc>
          <w:tcPr>
            <w:tcW w:w="6605" w:type="dxa"/>
            <w:tcMar>
              <w:top w:w="11" w:type="dxa"/>
              <w:left w:w="57" w:type="dxa"/>
              <w:bottom w:w="11" w:type="dxa"/>
              <w:right w:w="57" w:type="dxa"/>
            </w:tcMar>
          </w:tcPr>
          <w:p w14:paraId="6C6801F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04" w:name="XMETag_4e4b434aaf3b41a1ab037d3e47db9b99" w:colFirst="2" w:colLast="2"/>
            <w:bookmarkStart w:id="205" w:name="XMETag_e8b586b1bd5f429dbea02e90d9ab17b1" w:colFirst="3" w:colLast="3"/>
            <w:bookmarkEnd w:id="202"/>
            <w:bookmarkEnd w:id="203"/>
            <w:r w:rsidRPr="00735726">
              <w:rPr>
                <w:rFonts w:ascii="Arial" w:eastAsia="Times New Roman" w:hAnsi="Arial" w:cs="DINOT-Light"/>
                <w:color w:val="000000"/>
                <w:sz w:val="18"/>
                <w:szCs w:val="18"/>
              </w:rPr>
              <w:t>Derivative financial instruments</w:t>
            </w:r>
          </w:p>
        </w:tc>
        <w:tc>
          <w:tcPr>
            <w:tcW w:w="1134" w:type="dxa"/>
            <w:tcMar>
              <w:top w:w="11" w:type="dxa"/>
              <w:left w:w="57" w:type="dxa"/>
              <w:bottom w:w="11" w:type="dxa"/>
              <w:right w:w="57" w:type="dxa"/>
            </w:tcMar>
          </w:tcPr>
          <w:p w14:paraId="6D1F822B" w14:textId="667DBC11"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0</w:t>
            </w:r>
          </w:p>
        </w:tc>
        <w:tc>
          <w:tcPr>
            <w:tcW w:w="1133" w:type="dxa"/>
            <w:tcMar>
              <w:top w:w="11" w:type="dxa"/>
              <w:left w:w="57" w:type="dxa"/>
              <w:bottom w:w="11" w:type="dxa"/>
              <w:right w:w="57" w:type="dxa"/>
            </w:tcMar>
          </w:tcPr>
          <w:p w14:paraId="6CD1A32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(0.6)</w:t>
            </w:r>
          </w:p>
        </w:tc>
        <w:tc>
          <w:tcPr>
            <w:tcW w:w="1100" w:type="dxa"/>
          </w:tcPr>
          <w:p w14:paraId="416C1E6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(0.4)</w:t>
            </w:r>
          </w:p>
        </w:tc>
      </w:tr>
      <w:tr w:rsidR="00646F4F" w:rsidRPr="00735726" w14:paraId="76A86AD7" w14:textId="77777777" w:rsidTr="00CE19B2">
        <w:trPr>
          <w:trHeight w:val="226"/>
        </w:trPr>
        <w:tc>
          <w:tcPr>
            <w:tcW w:w="6605" w:type="dxa"/>
            <w:tcMar>
              <w:top w:w="11" w:type="dxa"/>
              <w:left w:w="57" w:type="dxa"/>
              <w:bottom w:w="11" w:type="dxa"/>
              <w:right w:w="57" w:type="dxa"/>
            </w:tcMar>
          </w:tcPr>
          <w:p w14:paraId="372060F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06" w:name="XMETag_7a3e7b67541e4dcf928039b7d17ca846" w:colFirst="2" w:colLast="2"/>
            <w:bookmarkStart w:id="207" w:name="XMETag_9c2afb3897dd4c86afc09a4da9924108" w:colFirst="3" w:colLast="3"/>
            <w:bookmarkEnd w:id="204"/>
            <w:bookmarkEnd w:id="205"/>
            <w:r w:rsidRPr="00735726">
              <w:rPr>
                <w:rFonts w:ascii="Arial" w:eastAsia="Times New Roman" w:hAnsi="Arial" w:cs="DINOT-Light"/>
                <w:color w:val="000000"/>
                <w:sz w:val="18"/>
                <w:szCs w:val="18"/>
              </w:rPr>
              <w:t>Trade and other payables</w:t>
            </w:r>
          </w:p>
        </w:tc>
        <w:tc>
          <w:tcPr>
            <w:tcW w:w="1134" w:type="dxa"/>
            <w:tcMar>
              <w:top w:w="11" w:type="dxa"/>
              <w:left w:w="57" w:type="dxa"/>
              <w:bottom w:w="11" w:type="dxa"/>
              <w:right w:w="57" w:type="dxa"/>
            </w:tcMar>
          </w:tcPr>
          <w:p w14:paraId="70349E66" w14:textId="4D2528E5"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2</w:t>
            </w:r>
          </w:p>
        </w:tc>
        <w:tc>
          <w:tcPr>
            <w:tcW w:w="1133" w:type="dxa"/>
            <w:tcMar>
              <w:top w:w="11" w:type="dxa"/>
              <w:left w:w="57" w:type="dxa"/>
              <w:bottom w:w="11" w:type="dxa"/>
              <w:right w:w="57" w:type="dxa"/>
            </w:tcMar>
          </w:tcPr>
          <w:p w14:paraId="2DAD91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(467.4)</w:t>
            </w:r>
          </w:p>
        </w:tc>
        <w:tc>
          <w:tcPr>
            <w:tcW w:w="1100" w:type="dxa"/>
          </w:tcPr>
          <w:p w14:paraId="76B41C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(265.1)</w:t>
            </w:r>
          </w:p>
        </w:tc>
      </w:tr>
      <w:tr w:rsidR="00646F4F" w:rsidRPr="00735726" w14:paraId="04AD409A" w14:textId="77777777" w:rsidTr="00CE19B2">
        <w:trPr>
          <w:trHeight w:val="226"/>
        </w:trPr>
        <w:tc>
          <w:tcPr>
            <w:tcW w:w="6605" w:type="dxa"/>
            <w:tcBorders>
              <w:bottom w:val="single" w:sz="4" w:space="0" w:color="auto"/>
            </w:tcBorders>
            <w:tcMar>
              <w:top w:w="11" w:type="dxa"/>
              <w:left w:w="57" w:type="dxa"/>
              <w:bottom w:w="11" w:type="dxa"/>
              <w:right w:w="57" w:type="dxa"/>
            </w:tcMar>
          </w:tcPr>
          <w:p w14:paraId="3617AB5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08" w:name="XMETag_2b552b0490ec46af8cfecc181a43eb04" w:colFirst="2" w:colLast="2"/>
            <w:bookmarkStart w:id="209" w:name="XMETag_c58c1d9e5b2945e0861e64bef7e247b0" w:colFirst="3" w:colLast="3"/>
            <w:bookmarkEnd w:id="206"/>
            <w:bookmarkEnd w:id="207"/>
            <w:r w:rsidRPr="00735726">
              <w:rPr>
                <w:rFonts w:ascii="Arial" w:eastAsia="Times New Roman" w:hAnsi="Arial" w:cs="DINOT-Light"/>
                <w:color w:val="000000"/>
                <w:sz w:val="18"/>
                <w:szCs w:val="18"/>
              </w:rPr>
              <w:t>Provisions</w:t>
            </w:r>
          </w:p>
        </w:tc>
        <w:tc>
          <w:tcPr>
            <w:tcW w:w="1134" w:type="dxa"/>
            <w:tcBorders>
              <w:bottom w:val="single" w:sz="4" w:space="0" w:color="auto"/>
            </w:tcBorders>
            <w:tcMar>
              <w:top w:w="11" w:type="dxa"/>
              <w:left w:w="57" w:type="dxa"/>
              <w:bottom w:w="11" w:type="dxa"/>
              <w:right w:w="57" w:type="dxa"/>
            </w:tcMar>
          </w:tcPr>
          <w:p w14:paraId="45145450" w14:textId="55B7067D"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8</w:t>
            </w:r>
          </w:p>
        </w:tc>
        <w:tc>
          <w:tcPr>
            <w:tcW w:w="1133" w:type="dxa"/>
            <w:tcBorders>
              <w:bottom w:val="single" w:sz="4" w:space="0" w:color="auto"/>
            </w:tcBorders>
            <w:tcMar>
              <w:top w:w="11" w:type="dxa"/>
              <w:left w:w="57" w:type="dxa"/>
              <w:bottom w:w="11" w:type="dxa"/>
              <w:right w:w="57" w:type="dxa"/>
            </w:tcMar>
          </w:tcPr>
          <w:p w14:paraId="37F34DA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(6.1)</w:t>
            </w:r>
          </w:p>
        </w:tc>
        <w:tc>
          <w:tcPr>
            <w:tcW w:w="1100" w:type="dxa"/>
            <w:tcBorders>
              <w:bottom w:val="single" w:sz="4" w:space="0" w:color="auto"/>
            </w:tcBorders>
          </w:tcPr>
          <w:p w14:paraId="0BF6587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(5.1)</w:t>
            </w:r>
          </w:p>
        </w:tc>
      </w:tr>
      <w:tr w:rsidR="00646F4F" w:rsidRPr="00735726" w14:paraId="169D5BF8" w14:textId="77777777" w:rsidTr="00CE19B2">
        <w:trPr>
          <w:trHeight w:val="226"/>
        </w:trPr>
        <w:tc>
          <w:tcPr>
            <w:tcW w:w="6605" w:type="dxa"/>
            <w:tcBorders>
              <w:top w:val="single" w:sz="4" w:space="0" w:color="auto"/>
              <w:bottom w:val="single" w:sz="4" w:space="0" w:color="auto"/>
            </w:tcBorders>
            <w:tcMar>
              <w:top w:w="11" w:type="dxa"/>
              <w:left w:w="57" w:type="dxa"/>
              <w:bottom w:w="11" w:type="dxa"/>
              <w:right w:w="57" w:type="dxa"/>
            </w:tcMar>
          </w:tcPr>
          <w:p w14:paraId="0594063A"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10" w:name="XMETag_ae6cc116217e441cb898c1ff19833f87" w:colFirst="2" w:colLast="2"/>
            <w:bookmarkStart w:id="211" w:name="XMETag_a5584a55e83942a5ad58609a8ec777c6" w:colFirst="3" w:colLast="3"/>
            <w:bookmarkEnd w:id="208"/>
            <w:bookmarkEnd w:id="209"/>
          </w:p>
        </w:tc>
        <w:tc>
          <w:tcPr>
            <w:tcW w:w="1134" w:type="dxa"/>
            <w:tcBorders>
              <w:top w:val="single" w:sz="4" w:space="0" w:color="auto"/>
              <w:bottom w:val="single" w:sz="4" w:space="0" w:color="auto"/>
            </w:tcBorders>
            <w:tcMar>
              <w:top w:w="11" w:type="dxa"/>
              <w:left w:w="57" w:type="dxa"/>
              <w:bottom w:w="11" w:type="dxa"/>
              <w:right w:w="57" w:type="dxa"/>
            </w:tcMar>
          </w:tcPr>
          <w:p w14:paraId="1ABF8DFA"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Borders>
              <w:top w:val="single" w:sz="4" w:space="0" w:color="auto"/>
              <w:bottom w:val="single" w:sz="4" w:space="0" w:color="auto"/>
            </w:tcBorders>
            <w:tcMar>
              <w:top w:w="11" w:type="dxa"/>
              <w:left w:w="57" w:type="dxa"/>
              <w:bottom w:w="11" w:type="dxa"/>
              <w:right w:w="57" w:type="dxa"/>
            </w:tcMar>
          </w:tcPr>
          <w:p w14:paraId="41B67E6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(563.2)</w:t>
            </w:r>
          </w:p>
        </w:tc>
        <w:tc>
          <w:tcPr>
            <w:tcW w:w="1100" w:type="dxa"/>
            <w:tcBorders>
              <w:top w:val="single" w:sz="4" w:space="0" w:color="auto"/>
              <w:bottom w:val="single" w:sz="4" w:space="0" w:color="auto"/>
            </w:tcBorders>
          </w:tcPr>
          <w:p w14:paraId="111CBD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(407.8)</w:t>
            </w:r>
          </w:p>
        </w:tc>
      </w:tr>
      <w:tr w:rsidR="00646F4F" w:rsidRPr="00735726" w14:paraId="7CB54CCD" w14:textId="77777777" w:rsidTr="00CE19B2">
        <w:trPr>
          <w:trHeight w:val="226"/>
        </w:trPr>
        <w:tc>
          <w:tcPr>
            <w:tcW w:w="6605" w:type="dxa"/>
            <w:tcBorders>
              <w:top w:val="single" w:sz="4" w:space="0" w:color="auto"/>
              <w:bottom w:val="single" w:sz="4" w:space="0" w:color="auto"/>
            </w:tcBorders>
            <w:tcMar>
              <w:top w:w="11" w:type="dxa"/>
              <w:left w:w="57" w:type="dxa"/>
              <w:bottom w:w="11" w:type="dxa"/>
              <w:right w:w="57" w:type="dxa"/>
            </w:tcMar>
          </w:tcPr>
          <w:p w14:paraId="2DDDF57D"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12" w:name="XMETag_1f6849b38e3f4066afe46dc4d6926330" w:colFirst="2" w:colLast="2"/>
            <w:bookmarkStart w:id="213" w:name="XMETag_7fdcdcd86d3c4ba2ab55cb5a48327898" w:colFirst="3" w:colLast="3"/>
            <w:bookmarkEnd w:id="210"/>
            <w:bookmarkEnd w:id="211"/>
            <w:r w:rsidRPr="00735726">
              <w:rPr>
                <w:rFonts w:ascii="Arial" w:eastAsia="Times New Roman" w:hAnsi="Arial" w:cs="DINOT-Light"/>
                <w:b/>
                <w:color w:val="000000"/>
                <w:sz w:val="18"/>
                <w:szCs w:val="18"/>
              </w:rPr>
              <w:t>Net current assets</w:t>
            </w:r>
          </w:p>
        </w:tc>
        <w:tc>
          <w:tcPr>
            <w:tcW w:w="1134" w:type="dxa"/>
            <w:tcBorders>
              <w:top w:val="single" w:sz="4" w:space="0" w:color="auto"/>
              <w:bottom w:val="single" w:sz="4" w:space="0" w:color="auto"/>
            </w:tcBorders>
            <w:tcMar>
              <w:top w:w="11" w:type="dxa"/>
              <w:left w:w="57" w:type="dxa"/>
              <w:bottom w:w="11" w:type="dxa"/>
              <w:right w:w="57" w:type="dxa"/>
            </w:tcMar>
          </w:tcPr>
          <w:p w14:paraId="371F7F52"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Borders>
              <w:top w:val="single" w:sz="4" w:space="0" w:color="auto"/>
              <w:bottom w:val="single" w:sz="4" w:space="0" w:color="auto"/>
            </w:tcBorders>
            <w:tcMar>
              <w:top w:w="11" w:type="dxa"/>
              <w:left w:w="57" w:type="dxa"/>
              <w:bottom w:w="11" w:type="dxa"/>
              <w:right w:w="57" w:type="dxa"/>
            </w:tcMar>
          </w:tcPr>
          <w:p w14:paraId="4E644E7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61.5</w:t>
            </w:r>
          </w:p>
        </w:tc>
        <w:tc>
          <w:tcPr>
            <w:tcW w:w="1100" w:type="dxa"/>
            <w:tcBorders>
              <w:top w:val="single" w:sz="4" w:space="0" w:color="auto"/>
              <w:bottom w:val="single" w:sz="4" w:space="0" w:color="auto"/>
            </w:tcBorders>
          </w:tcPr>
          <w:p w14:paraId="7924329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209.9</w:t>
            </w:r>
          </w:p>
        </w:tc>
      </w:tr>
      <w:bookmarkEnd w:id="212"/>
      <w:bookmarkEnd w:id="213"/>
      <w:tr w:rsidR="00646F4F" w:rsidRPr="00735726" w14:paraId="2D775339" w14:textId="77777777" w:rsidTr="00CE19B2">
        <w:trPr>
          <w:trHeight w:val="226"/>
        </w:trPr>
        <w:tc>
          <w:tcPr>
            <w:tcW w:w="6605" w:type="dxa"/>
            <w:tcBorders>
              <w:top w:val="single" w:sz="4" w:space="0" w:color="auto"/>
            </w:tcBorders>
            <w:tcMar>
              <w:top w:w="11" w:type="dxa"/>
              <w:left w:w="57" w:type="dxa"/>
              <w:bottom w:w="11" w:type="dxa"/>
              <w:right w:w="57" w:type="dxa"/>
            </w:tcMar>
          </w:tcPr>
          <w:p w14:paraId="52504A2F" w14:textId="36F6D6FF"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Non</w:t>
            </w:r>
            <w:r w:rsidR="006C1BA9" w:rsidRPr="00735726">
              <w:rPr>
                <w:rFonts w:ascii="Arial" w:eastAsia="Times New Roman" w:hAnsi="Arial" w:cs="DINOT-Light"/>
                <w:b/>
                <w:color w:val="000000"/>
                <w:sz w:val="18"/>
                <w:szCs w:val="18"/>
              </w:rPr>
              <w:t>-</w:t>
            </w:r>
            <w:r w:rsidRPr="00735726">
              <w:rPr>
                <w:rFonts w:ascii="Arial" w:eastAsia="Times New Roman" w:hAnsi="Arial" w:cs="DINOT-Light"/>
                <w:b/>
                <w:color w:val="000000"/>
                <w:sz w:val="18"/>
                <w:szCs w:val="18"/>
              </w:rPr>
              <w:t>current liabilities</w:t>
            </w:r>
          </w:p>
        </w:tc>
        <w:tc>
          <w:tcPr>
            <w:tcW w:w="1134" w:type="dxa"/>
            <w:tcBorders>
              <w:top w:val="single" w:sz="4" w:space="0" w:color="auto"/>
            </w:tcBorders>
            <w:tcMar>
              <w:top w:w="11" w:type="dxa"/>
              <w:left w:w="57" w:type="dxa"/>
              <w:bottom w:w="11" w:type="dxa"/>
              <w:right w:w="57" w:type="dxa"/>
            </w:tcMar>
          </w:tcPr>
          <w:p w14:paraId="6D3AD4B3"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Borders>
              <w:top w:val="single" w:sz="4" w:space="0" w:color="auto"/>
            </w:tcBorders>
            <w:tcMar>
              <w:top w:w="11" w:type="dxa"/>
              <w:left w:w="57" w:type="dxa"/>
              <w:bottom w:w="11" w:type="dxa"/>
              <w:right w:w="57" w:type="dxa"/>
            </w:tcMar>
          </w:tcPr>
          <w:p w14:paraId="04FEB8E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0" w:type="dxa"/>
            <w:tcBorders>
              <w:top w:val="single" w:sz="4" w:space="0" w:color="auto"/>
            </w:tcBorders>
          </w:tcPr>
          <w:p w14:paraId="3B0798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2E1FF8D9" w14:textId="77777777" w:rsidTr="00CE19B2">
        <w:trPr>
          <w:trHeight w:val="226"/>
        </w:trPr>
        <w:tc>
          <w:tcPr>
            <w:tcW w:w="6605" w:type="dxa"/>
            <w:tcMar>
              <w:top w:w="11" w:type="dxa"/>
              <w:left w:w="57" w:type="dxa"/>
              <w:bottom w:w="11" w:type="dxa"/>
              <w:right w:w="57" w:type="dxa"/>
            </w:tcMar>
          </w:tcPr>
          <w:p w14:paraId="55C0796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14" w:name="XMETag_12daa45fa09946768d8ec284e42b06c1" w:colFirst="2" w:colLast="2"/>
            <w:bookmarkStart w:id="215" w:name="XMETag_dfe5bd4fef314365853ad57e9a548264" w:colFirst="3" w:colLast="3"/>
            <w:r w:rsidRPr="00735726">
              <w:rPr>
                <w:rFonts w:ascii="Arial" w:eastAsia="Times New Roman" w:hAnsi="Arial" w:cs="DINOT-Light"/>
                <w:color w:val="000000"/>
                <w:sz w:val="18"/>
                <w:szCs w:val="18"/>
              </w:rPr>
              <w:t>Borrowings</w:t>
            </w:r>
          </w:p>
        </w:tc>
        <w:tc>
          <w:tcPr>
            <w:tcW w:w="1134" w:type="dxa"/>
            <w:tcMar>
              <w:top w:w="11" w:type="dxa"/>
              <w:left w:w="57" w:type="dxa"/>
              <w:bottom w:w="11" w:type="dxa"/>
              <w:right w:w="57" w:type="dxa"/>
            </w:tcMar>
          </w:tcPr>
          <w:p w14:paraId="53FEAAD4" w14:textId="486307F5"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3</w:t>
            </w:r>
          </w:p>
        </w:tc>
        <w:tc>
          <w:tcPr>
            <w:tcW w:w="1133" w:type="dxa"/>
            <w:tcMar>
              <w:top w:w="11" w:type="dxa"/>
              <w:left w:w="57" w:type="dxa"/>
              <w:bottom w:w="11" w:type="dxa"/>
              <w:right w:w="57" w:type="dxa"/>
            </w:tcMar>
          </w:tcPr>
          <w:p w14:paraId="6BEC604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(4,063.2)</w:t>
            </w:r>
          </w:p>
        </w:tc>
        <w:tc>
          <w:tcPr>
            <w:tcW w:w="1100" w:type="dxa"/>
          </w:tcPr>
          <w:p w14:paraId="6635844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(3,747.1)</w:t>
            </w:r>
          </w:p>
        </w:tc>
      </w:tr>
      <w:tr w:rsidR="00646F4F" w:rsidRPr="00735726" w14:paraId="5F06D2CC" w14:textId="77777777" w:rsidTr="00CE19B2">
        <w:trPr>
          <w:trHeight w:val="226"/>
        </w:trPr>
        <w:tc>
          <w:tcPr>
            <w:tcW w:w="6605" w:type="dxa"/>
            <w:tcMar>
              <w:top w:w="11" w:type="dxa"/>
              <w:left w:w="57" w:type="dxa"/>
              <w:bottom w:w="11" w:type="dxa"/>
              <w:right w:w="57" w:type="dxa"/>
            </w:tcMar>
          </w:tcPr>
          <w:p w14:paraId="1B9A7600" w14:textId="36A2C928"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16" w:name="XMETag_909f241ede004c5ba9a7a0470dc2f83e" w:colFirst="2" w:colLast="2"/>
            <w:bookmarkStart w:id="217" w:name="XMETag_33a8133b74cc45eaa725864f6a0090dd" w:colFirst="3" w:colLast="3"/>
            <w:bookmarkEnd w:id="214"/>
            <w:bookmarkEnd w:id="215"/>
            <w:r w:rsidRPr="00735726">
              <w:rPr>
                <w:rFonts w:ascii="Arial" w:eastAsia="Times New Roman" w:hAnsi="Arial" w:cs="DINOT-Light"/>
                <w:color w:val="000000"/>
                <w:sz w:val="18"/>
                <w:szCs w:val="18"/>
              </w:rPr>
              <w:t>Other non</w:t>
            </w:r>
            <w:r w:rsidR="006C1BA9" w:rsidRPr="00735726">
              <w:rPr>
                <w:rFonts w:ascii="Arial" w:eastAsia="Times New Roman" w:hAnsi="Arial" w:cs="DINOT-Light"/>
                <w:color w:val="000000"/>
                <w:sz w:val="18"/>
                <w:szCs w:val="18"/>
              </w:rPr>
              <w:t>-</w:t>
            </w:r>
            <w:r w:rsidRPr="00735726">
              <w:rPr>
                <w:rFonts w:ascii="Arial" w:eastAsia="Times New Roman" w:hAnsi="Arial" w:cs="DINOT-Light"/>
                <w:color w:val="000000"/>
                <w:sz w:val="18"/>
                <w:szCs w:val="18"/>
              </w:rPr>
              <w:t>current liabilities</w:t>
            </w:r>
          </w:p>
        </w:tc>
        <w:tc>
          <w:tcPr>
            <w:tcW w:w="1134" w:type="dxa"/>
            <w:tcMar>
              <w:top w:w="11" w:type="dxa"/>
              <w:left w:w="57" w:type="dxa"/>
              <w:bottom w:w="11" w:type="dxa"/>
              <w:right w:w="57" w:type="dxa"/>
            </w:tcMar>
          </w:tcPr>
          <w:p w14:paraId="0FAD9753" w14:textId="0254A0D3"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4</w:t>
            </w:r>
          </w:p>
        </w:tc>
        <w:tc>
          <w:tcPr>
            <w:tcW w:w="1133" w:type="dxa"/>
            <w:tcMar>
              <w:top w:w="11" w:type="dxa"/>
              <w:left w:w="57" w:type="dxa"/>
              <w:bottom w:w="11" w:type="dxa"/>
              <w:right w:w="57" w:type="dxa"/>
            </w:tcMar>
          </w:tcPr>
          <w:p w14:paraId="1192FCE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(206.1)</w:t>
            </w:r>
          </w:p>
        </w:tc>
        <w:tc>
          <w:tcPr>
            <w:tcW w:w="1100" w:type="dxa"/>
          </w:tcPr>
          <w:p w14:paraId="4EFD1B2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(191.7)</w:t>
            </w:r>
          </w:p>
        </w:tc>
      </w:tr>
      <w:tr w:rsidR="00646F4F" w:rsidRPr="00735726" w14:paraId="02AA3663" w14:textId="77777777" w:rsidTr="00CE19B2">
        <w:trPr>
          <w:trHeight w:val="226"/>
        </w:trPr>
        <w:tc>
          <w:tcPr>
            <w:tcW w:w="6605" w:type="dxa"/>
            <w:tcMar>
              <w:top w:w="11" w:type="dxa"/>
              <w:left w:w="57" w:type="dxa"/>
              <w:bottom w:w="11" w:type="dxa"/>
              <w:right w:w="57" w:type="dxa"/>
            </w:tcMar>
          </w:tcPr>
          <w:p w14:paraId="23D1C81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18" w:name="XMETag_a86b4c85758943cdaedfd2ee69a43416" w:colFirst="2" w:colLast="2"/>
            <w:bookmarkStart w:id="219" w:name="XMETag_286c573181da4e1d81d6d4ec1e750c1d" w:colFirst="3" w:colLast="3"/>
            <w:bookmarkEnd w:id="216"/>
            <w:bookmarkEnd w:id="217"/>
            <w:r w:rsidRPr="00735726">
              <w:rPr>
                <w:rFonts w:ascii="Arial" w:eastAsia="Times New Roman" w:hAnsi="Arial" w:cs="DINOT-Light"/>
                <w:color w:val="000000"/>
                <w:sz w:val="18"/>
                <w:szCs w:val="18"/>
              </w:rPr>
              <w:t>Derivative financial instruments</w:t>
            </w:r>
          </w:p>
        </w:tc>
        <w:tc>
          <w:tcPr>
            <w:tcW w:w="1134" w:type="dxa"/>
            <w:tcMar>
              <w:top w:w="11" w:type="dxa"/>
              <w:left w:w="57" w:type="dxa"/>
              <w:bottom w:w="11" w:type="dxa"/>
              <w:right w:w="57" w:type="dxa"/>
            </w:tcMar>
          </w:tcPr>
          <w:p w14:paraId="41F59DA7" w14:textId="3F1F7430"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0</w:t>
            </w:r>
          </w:p>
        </w:tc>
        <w:tc>
          <w:tcPr>
            <w:tcW w:w="1133" w:type="dxa"/>
            <w:tcMar>
              <w:top w:w="11" w:type="dxa"/>
              <w:left w:w="57" w:type="dxa"/>
              <w:bottom w:w="11" w:type="dxa"/>
              <w:right w:w="57" w:type="dxa"/>
            </w:tcMar>
          </w:tcPr>
          <w:p w14:paraId="06ADE93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w:t>
            </w:r>
          </w:p>
        </w:tc>
        <w:tc>
          <w:tcPr>
            <w:tcW w:w="1100" w:type="dxa"/>
          </w:tcPr>
          <w:p w14:paraId="58D8726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r>
      <w:tr w:rsidR="00646F4F" w:rsidRPr="00735726" w14:paraId="3675BBD0" w14:textId="77777777" w:rsidTr="00CE19B2">
        <w:trPr>
          <w:trHeight w:val="226"/>
        </w:trPr>
        <w:tc>
          <w:tcPr>
            <w:tcW w:w="6605" w:type="dxa"/>
            <w:tcBorders>
              <w:bottom w:val="single" w:sz="4" w:space="0" w:color="auto"/>
            </w:tcBorders>
            <w:tcMar>
              <w:top w:w="11" w:type="dxa"/>
              <w:left w:w="57" w:type="dxa"/>
              <w:bottom w:w="11" w:type="dxa"/>
              <w:right w:w="57" w:type="dxa"/>
            </w:tcMar>
          </w:tcPr>
          <w:p w14:paraId="56F51A5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20" w:name="XMETag_cc064b768ec242f381f37287548c6d14" w:colFirst="2" w:colLast="2"/>
            <w:bookmarkStart w:id="221" w:name="XMETag_2ab491fd53dc41a8a63b53b4d047c4ca" w:colFirst="3" w:colLast="3"/>
            <w:bookmarkEnd w:id="218"/>
            <w:bookmarkEnd w:id="219"/>
            <w:r w:rsidRPr="00735726">
              <w:rPr>
                <w:rFonts w:ascii="Arial" w:eastAsia="Times New Roman" w:hAnsi="Arial" w:cs="DINOT-Light"/>
                <w:color w:val="000000"/>
                <w:sz w:val="18"/>
                <w:szCs w:val="18"/>
              </w:rPr>
              <w:t>Deferred tax liabilities</w:t>
            </w:r>
          </w:p>
        </w:tc>
        <w:tc>
          <w:tcPr>
            <w:tcW w:w="1134" w:type="dxa"/>
            <w:tcBorders>
              <w:bottom w:val="single" w:sz="4" w:space="0" w:color="auto"/>
            </w:tcBorders>
            <w:tcMar>
              <w:top w:w="11" w:type="dxa"/>
              <w:left w:w="57" w:type="dxa"/>
              <w:bottom w:w="11" w:type="dxa"/>
              <w:right w:w="57" w:type="dxa"/>
            </w:tcMar>
          </w:tcPr>
          <w:p w14:paraId="13FFE25C" w14:textId="3C0A127A"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7</w:t>
            </w:r>
          </w:p>
        </w:tc>
        <w:tc>
          <w:tcPr>
            <w:tcW w:w="1133" w:type="dxa"/>
            <w:tcBorders>
              <w:bottom w:val="single" w:sz="4" w:space="0" w:color="auto"/>
            </w:tcBorders>
            <w:tcMar>
              <w:top w:w="11" w:type="dxa"/>
              <w:left w:w="57" w:type="dxa"/>
              <w:bottom w:w="11" w:type="dxa"/>
              <w:right w:w="57" w:type="dxa"/>
            </w:tcMar>
          </w:tcPr>
          <w:p w14:paraId="5A9BA5B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(483.0)</w:t>
            </w:r>
          </w:p>
        </w:tc>
        <w:tc>
          <w:tcPr>
            <w:tcW w:w="1100" w:type="dxa"/>
            <w:tcBorders>
              <w:bottom w:val="single" w:sz="4" w:space="0" w:color="auto"/>
            </w:tcBorders>
          </w:tcPr>
          <w:p w14:paraId="2031ED9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(453.3)</w:t>
            </w:r>
          </w:p>
        </w:tc>
      </w:tr>
      <w:tr w:rsidR="00646F4F" w:rsidRPr="00735726" w14:paraId="23644720" w14:textId="77777777" w:rsidTr="00CE19B2">
        <w:trPr>
          <w:trHeight w:val="226"/>
        </w:trPr>
        <w:tc>
          <w:tcPr>
            <w:tcW w:w="6605" w:type="dxa"/>
            <w:tcBorders>
              <w:top w:val="single" w:sz="4" w:space="0" w:color="auto"/>
              <w:bottom w:val="single" w:sz="4" w:space="0" w:color="auto"/>
            </w:tcBorders>
            <w:tcMar>
              <w:top w:w="11" w:type="dxa"/>
              <w:left w:w="57" w:type="dxa"/>
              <w:bottom w:w="11" w:type="dxa"/>
              <w:right w:w="57" w:type="dxa"/>
            </w:tcMar>
          </w:tcPr>
          <w:p w14:paraId="5DB2E63D"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22" w:name="XMETag_624045cd9ad24de5a502d48f042522d8" w:colFirst="2" w:colLast="2"/>
            <w:bookmarkStart w:id="223" w:name="XMETag_78de744ca6cd44ac9a226a6ddb075089" w:colFirst="3" w:colLast="3"/>
            <w:bookmarkEnd w:id="220"/>
            <w:bookmarkEnd w:id="221"/>
          </w:p>
        </w:tc>
        <w:tc>
          <w:tcPr>
            <w:tcW w:w="1134" w:type="dxa"/>
            <w:tcBorders>
              <w:top w:val="single" w:sz="4" w:space="0" w:color="auto"/>
              <w:bottom w:val="single" w:sz="4" w:space="0" w:color="auto"/>
            </w:tcBorders>
            <w:tcMar>
              <w:top w:w="11" w:type="dxa"/>
              <w:left w:w="57" w:type="dxa"/>
              <w:bottom w:w="11" w:type="dxa"/>
              <w:right w:w="57" w:type="dxa"/>
            </w:tcMar>
          </w:tcPr>
          <w:p w14:paraId="33379D89"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Borders>
              <w:top w:val="single" w:sz="4" w:space="0" w:color="auto"/>
              <w:bottom w:val="single" w:sz="4" w:space="0" w:color="auto"/>
            </w:tcBorders>
            <w:tcMar>
              <w:top w:w="11" w:type="dxa"/>
              <w:left w:w="57" w:type="dxa"/>
              <w:bottom w:w="11" w:type="dxa"/>
              <w:right w:w="57" w:type="dxa"/>
            </w:tcMar>
          </w:tcPr>
          <w:p w14:paraId="77A34F6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(4,754.2)</w:t>
            </w:r>
          </w:p>
        </w:tc>
        <w:tc>
          <w:tcPr>
            <w:tcW w:w="1100" w:type="dxa"/>
            <w:tcBorders>
              <w:top w:val="single" w:sz="4" w:space="0" w:color="auto"/>
              <w:bottom w:val="single" w:sz="4" w:space="0" w:color="auto"/>
            </w:tcBorders>
          </w:tcPr>
          <w:p w14:paraId="4F2A43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(4,393.7)</w:t>
            </w:r>
          </w:p>
        </w:tc>
      </w:tr>
      <w:tr w:rsidR="00646F4F" w:rsidRPr="00735726" w14:paraId="3B6A2006" w14:textId="77777777" w:rsidTr="00CE19B2">
        <w:trPr>
          <w:trHeight w:val="226"/>
        </w:trPr>
        <w:tc>
          <w:tcPr>
            <w:tcW w:w="6605" w:type="dxa"/>
            <w:tcBorders>
              <w:top w:val="single" w:sz="4" w:space="0" w:color="auto"/>
              <w:bottom w:val="single" w:sz="4" w:space="0" w:color="auto"/>
            </w:tcBorders>
            <w:tcMar>
              <w:top w:w="11" w:type="dxa"/>
              <w:left w:w="57" w:type="dxa"/>
              <w:bottom w:w="11" w:type="dxa"/>
              <w:right w:w="57" w:type="dxa"/>
            </w:tcMar>
          </w:tcPr>
          <w:p w14:paraId="590956EA"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24" w:name="XMETag_deb9daeabbd14e96bc2763b0c0971ea3" w:colFirst="2" w:colLast="2"/>
            <w:bookmarkStart w:id="225" w:name="XMETag_f85e88f2000341afb686dba90591418c" w:colFirst="3" w:colLast="3"/>
            <w:bookmarkEnd w:id="222"/>
            <w:bookmarkEnd w:id="223"/>
            <w:r w:rsidRPr="00735726">
              <w:rPr>
                <w:rFonts w:ascii="Arial" w:eastAsia="Times New Roman" w:hAnsi="Arial" w:cs="DINOT-Light"/>
                <w:b/>
                <w:color w:val="000000"/>
                <w:sz w:val="18"/>
                <w:szCs w:val="18"/>
              </w:rPr>
              <w:t xml:space="preserve">Net assets </w:t>
            </w:r>
          </w:p>
        </w:tc>
        <w:tc>
          <w:tcPr>
            <w:tcW w:w="1134" w:type="dxa"/>
            <w:tcBorders>
              <w:top w:val="single" w:sz="4" w:space="0" w:color="auto"/>
              <w:bottom w:val="single" w:sz="4" w:space="0" w:color="auto"/>
            </w:tcBorders>
            <w:tcMar>
              <w:top w:w="11" w:type="dxa"/>
              <w:left w:w="57" w:type="dxa"/>
              <w:bottom w:w="11" w:type="dxa"/>
              <w:right w:w="57" w:type="dxa"/>
            </w:tcMar>
          </w:tcPr>
          <w:p w14:paraId="56582300"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Borders>
              <w:top w:val="single" w:sz="4" w:space="0" w:color="auto"/>
              <w:bottom w:val="single" w:sz="4" w:space="0" w:color="auto"/>
            </w:tcBorders>
            <w:tcMar>
              <w:top w:w="11" w:type="dxa"/>
              <w:left w:w="57" w:type="dxa"/>
              <w:bottom w:w="11" w:type="dxa"/>
              <w:right w:w="57" w:type="dxa"/>
            </w:tcMar>
          </w:tcPr>
          <w:p w14:paraId="0E43A8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1,084.2</w:t>
            </w:r>
          </w:p>
        </w:tc>
        <w:tc>
          <w:tcPr>
            <w:tcW w:w="1100" w:type="dxa"/>
            <w:tcBorders>
              <w:top w:val="single" w:sz="4" w:space="0" w:color="auto"/>
              <w:bottom w:val="single" w:sz="4" w:space="0" w:color="auto"/>
            </w:tcBorders>
          </w:tcPr>
          <w:p w14:paraId="54A790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1,193.4</w:t>
            </w:r>
          </w:p>
        </w:tc>
      </w:tr>
      <w:bookmarkEnd w:id="224"/>
      <w:bookmarkEnd w:id="225"/>
      <w:tr w:rsidR="00646F4F" w:rsidRPr="00735726" w14:paraId="2C1688AB" w14:textId="77777777" w:rsidTr="00CE19B2">
        <w:trPr>
          <w:trHeight w:val="226"/>
        </w:trPr>
        <w:tc>
          <w:tcPr>
            <w:tcW w:w="6605" w:type="dxa"/>
            <w:tcBorders>
              <w:top w:val="single" w:sz="4" w:space="0" w:color="auto"/>
            </w:tcBorders>
            <w:tcMar>
              <w:top w:w="11" w:type="dxa"/>
              <w:left w:w="57" w:type="dxa"/>
              <w:bottom w:w="11" w:type="dxa"/>
              <w:right w:w="57" w:type="dxa"/>
            </w:tcMar>
          </w:tcPr>
          <w:p w14:paraId="715B5813"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584EBF32"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Borders>
              <w:top w:val="single" w:sz="4" w:space="0" w:color="auto"/>
            </w:tcBorders>
            <w:tcMar>
              <w:top w:w="11" w:type="dxa"/>
              <w:left w:w="57" w:type="dxa"/>
              <w:bottom w:w="11" w:type="dxa"/>
              <w:right w:w="57" w:type="dxa"/>
            </w:tcMar>
          </w:tcPr>
          <w:p w14:paraId="6009C96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0" w:type="dxa"/>
            <w:tcBorders>
              <w:top w:val="single" w:sz="4" w:space="0" w:color="auto"/>
            </w:tcBorders>
          </w:tcPr>
          <w:p w14:paraId="727FCE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37545C19" w14:textId="77777777" w:rsidTr="00CE19B2">
        <w:trPr>
          <w:trHeight w:val="226"/>
        </w:trPr>
        <w:tc>
          <w:tcPr>
            <w:tcW w:w="6605" w:type="dxa"/>
            <w:tcMar>
              <w:top w:w="11" w:type="dxa"/>
              <w:left w:w="57" w:type="dxa"/>
              <w:bottom w:w="11" w:type="dxa"/>
              <w:right w:w="57" w:type="dxa"/>
            </w:tcMar>
          </w:tcPr>
          <w:p w14:paraId="7785D19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r w:rsidRPr="00735726">
              <w:rPr>
                <w:rFonts w:ascii="Arial" w:eastAsia="Times New Roman" w:hAnsi="Arial" w:cs="DINOT-Light"/>
                <w:b/>
                <w:sz w:val="18"/>
                <w:szCs w:val="18"/>
              </w:rPr>
              <w:t>Equity</w:t>
            </w:r>
          </w:p>
        </w:tc>
        <w:tc>
          <w:tcPr>
            <w:tcW w:w="1134" w:type="dxa"/>
            <w:tcMar>
              <w:top w:w="11" w:type="dxa"/>
              <w:left w:w="57" w:type="dxa"/>
              <w:bottom w:w="11" w:type="dxa"/>
              <w:right w:w="57" w:type="dxa"/>
            </w:tcMar>
          </w:tcPr>
          <w:p w14:paraId="63C7C83B"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1133" w:type="dxa"/>
            <w:tcMar>
              <w:top w:w="11" w:type="dxa"/>
              <w:left w:w="57" w:type="dxa"/>
              <w:bottom w:w="11" w:type="dxa"/>
              <w:right w:w="57" w:type="dxa"/>
            </w:tcMar>
          </w:tcPr>
          <w:p w14:paraId="025968D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c>
          <w:tcPr>
            <w:tcW w:w="1100" w:type="dxa"/>
          </w:tcPr>
          <w:p w14:paraId="3B1889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r>
      <w:tr w:rsidR="00646F4F" w:rsidRPr="00735726" w14:paraId="666FE06F" w14:textId="77777777" w:rsidTr="00CE19B2">
        <w:trPr>
          <w:trHeight w:val="226"/>
        </w:trPr>
        <w:tc>
          <w:tcPr>
            <w:tcW w:w="6605" w:type="dxa"/>
            <w:tcMar>
              <w:top w:w="11" w:type="dxa"/>
              <w:left w:w="57" w:type="dxa"/>
              <w:bottom w:w="11" w:type="dxa"/>
              <w:right w:w="57" w:type="dxa"/>
            </w:tcMar>
          </w:tcPr>
          <w:p w14:paraId="3A5DEB2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226" w:name="XMETag_3acdfc95b9544f938ca488f2f0017c0c" w:colFirst="2" w:colLast="2"/>
            <w:bookmarkStart w:id="227" w:name="XMETag_477965fc2dd24f55a175af21f6082502" w:colFirst="3" w:colLast="3"/>
            <w:r w:rsidRPr="00735726">
              <w:rPr>
                <w:rFonts w:ascii="Arial" w:eastAsia="Times New Roman" w:hAnsi="Arial" w:cs="DINOT-Light"/>
                <w:sz w:val="18"/>
                <w:szCs w:val="18"/>
              </w:rPr>
              <w:t>Called up share capital</w:t>
            </w:r>
          </w:p>
        </w:tc>
        <w:tc>
          <w:tcPr>
            <w:tcW w:w="1134" w:type="dxa"/>
            <w:tcMar>
              <w:top w:w="11" w:type="dxa"/>
              <w:left w:w="57" w:type="dxa"/>
              <w:bottom w:w="11" w:type="dxa"/>
              <w:right w:w="57" w:type="dxa"/>
            </w:tcMar>
          </w:tcPr>
          <w:p w14:paraId="4012CFE5" w14:textId="221141B1"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r w:rsidRPr="009A2CAE">
              <w:rPr>
                <w:rFonts w:ascii="Arial" w:eastAsia="Times New Roman" w:hAnsi="Arial" w:cs="DINOT-Light"/>
                <w:sz w:val="18"/>
                <w:szCs w:val="18"/>
              </w:rPr>
              <w:t>29</w:t>
            </w:r>
          </w:p>
        </w:tc>
        <w:tc>
          <w:tcPr>
            <w:tcW w:w="1133" w:type="dxa"/>
            <w:tcMar>
              <w:top w:w="11" w:type="dxa"/>
              <w:left w:w="57" w:type="dxa"/>
              <w:bottom w:w="11" w:type="dxa"/>
              <w:right w:w="57" w:type="dxa"/>
            </w:tcMar>
          </w:tcPr>
          <w:p w14:paraId="2CBE5BC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625.9</w:t>
            </w:r>
          </w:p>
        </w:tc>
        <w:tc>
          <w:tcPr>
            <w:tcW w:w="1100" w:type="dxa"/>
          </w:tcPr>
          <w:p w14:paraId="1DD3EE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625.9</w:t>
            </w:r>
          </w:p>
        </w:tc>
      </w:tr>
      <w:tr w:rsidR="00646F4F" w:rsidRPr="00735726" w14:paraId="33056222" w14:textId="77777777" w:rsidTr="00CE19B2">
        <w:trPr>
          <w:trHeight w:val="226"/>
        </w:trPr>
        <w:tc>
          <w:tcPr>
            <w:tcW w:w="6605" w:type="dxa"/>
            <w:tcMar>
              <w:top w:w="11" w:type="dxa"/>
              <w:left w:w="57" w:type="dxa"/>
              <w:bottom w:w="11" w:type="dxa"/>
              <w:right w:w="57" w:type="dxa"/>
            </w:tcMar>
          </w:tcPr>
          <w:p w14:paraId="6D01EBA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Share premium account</w:t>
            </w:r>
          </w:p>
        </w:tc>
        <w:tc>
          <w:tcPr>
            <w:tcW w:w="1134" w:type="dxa"/>
            <w:tcMar>
              <w:top w:w="11" w:type="dxa"/>
              <w:left w:w="57" w:type="dxa"/>
              <w:bottom w:w="11" w:type="dxa"/>
              <w:right w:w="57" w:type="dxa"/>
            </w:tcMar>
          </w:tcPr>
          <w:p w14:paraId="7DBB0E28" w14:textId="4B20ABA6"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r w:rsidRPr="009A2CAE">
              <w:rPr>
                <w:rFonts w:ascii="Arial" w:eastAsia="Times New Roman" w:hAnsi="Arial" w:cs="DINOT-Light"/>
                <w:sz w:val="18"/>
                <w:szCs w:val="18"/>
              </w:rPr>
              <w:t>3</w:t>
            </w:r>
            <w:r w:rsidR="00B63B15" w:rsidRPr="009A2CAE">
              <w:rPr>
                <w:rFonts w:ascii="Arial" w:eastAsia="Times New Roman" w:hAnsi="Arial" w:cs="DINOT-Light"/>
                <w:sz w:val="18"/>
                <w:szCs w:val="18"/>
              </w:rPr>
              <w:t>1</w:t>
            </w:r>
          </w:p>
        </w:tc>
        <w:tc>
          <w:tcPr>
            <w:tcW w:w="1133" w:type="dxa"/>
            <w:tcMar>
              <w:top w:w="11" w:type="dxa"/>
              <w:left w:w="57" w:type="dxa"/>
              <w:bottom w:w="11" w:type="dxa"/>
              <w:right w:w="57" w:type="dxa"/>
            </w:tcMar>
          </w:tcPr>
          <w:p w14:paraId="0C1B0B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413.0</w:t>
            </w:r>
          </w:p>
        </w:tc>
        <w:tc>
          <w:tcPr>
            <w:tcW w:w="1100" w:type="dxa"/>
          </w:tcPr>
          <w:p w14:paraId="048D125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413.0</w:t>
            </w:r>
          </w:p>
        </w:tc>
      </w:tr>
      <w:tr w:rsidR="00646F4F" w:rsidRPr="00735726" w14:paraId="13795C75" w14:textId="77777777" w:rsidTr="00CE19B2">
        <w:trPr>
          <w:trHeight w:val="226"/>
        </w:trPr>
        <w:tc>
          <w:tcPr>
            <w:tcW w:w="6605" w:type="dxa"/>
            <w:tcBorders>
              <w:bottom w:val="single" w:sz="4" w:space="0" w:color="auto"/>
            </w:tcBorders>
            <w:tcMar>
              <w:top w:w="11" w:type="dxa"/>
              <w:left w:w="57" w:type="dxa"/>
              <w:bottom w:w="11" w:type="dxa"/>
              <w:right w:w="57" w:type="dxa"/>
            </w:tcMar>
          </w:tcPr>
          <w:p w14:paraId="7092739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228" w:name="XMETag_4aff7d186cfc4bf081e0466d09da25d2" w:colFirst="2" w:colLast="2"/>
            <w:bookmarkStart w:id="229" w:name="XMETag_f90225ddaab84144b765c6d08ba47e9a" w:colFirst="3" w:colLast="3"/>
            <w:bookmarkEnd w:id="226"/>
            <w:bookmarkEnd w:id="227"/>
            <w:r w:rsidRPr="00735726">
              <w:rPr>
                <w:rFonts w:ascii="Arial" w:eastAsia="Times New Roman" w:hAnsi="Arial" w:cs="DINOT-Light"/>
                <w:sz w:val="18"/>
                <w:szCs w:val="18"/>
              </w:rPr>
              <w:t>Retained earnings and other reserves</w:t>
            </w:r>
          </w:p>
        </w:tc>
        <w:tc>
          <w:tcPr>
            <w:tcW w:w="1134" w:type="dxa"/>
            <w:tcBorders>
              <w:bottom w:val="single" w:sz="4" w:space="0" w:color="auto"/>
            </w:tcBorders>
            <w:tcMar>
              <w:top w:w="11" w:type="dxa"/>
              <w:left w:w="57" w:type="dxa"/>
              <w:bottom w:w="11" w:type="dxa"/>
              <w:right w:w="57" w:type="dxa"/>
            </w:tcMar>
          </w:tcPr>
          <w:p w14:paraId="3D6A2FE4" w14:textId="408A7AA6"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r w:rsidRPr="009A2CAE">
              <w:rPr>
                <w:rFonts w:ascii="Arial" w:eastAsia="Times New Roman" w:hAnsi="Arial" w:cs="DINOT-Light"/>
                <w:sz w:val="18"/>
                <w:szCs w:val="18"/>
              </w:rPr>
              <w:t>3</w:t>
            </w:r>
            <w:r w:rsidR="00B63B15" w:rsidRPr="009A2CAE">
              <w:rPr>
                <w:rFonts w:ascii="Arial" w:eastAsia="Times New Roman" w:hAnsi="Arial" w:cs="DINOT-Light"/>
                <w:sz w:val="18"/>
                <w:szCs w:val="18"/>
              </w:rPr>
              <w:t>2</w:t>
            </w:r>
          </w:p>
        </w:tc>
        <w:tc>
          <w:tcPr>
            <w:tcW w:w="1133" w:type="dxa"/>
            <w:tcBorders>
              <w:bottom w:val="single" w:sz="4" w:space="0" w:color="auto"/>
            </w:tcBorders>
            <w:tcMar>
              <w:top w:w="11" w:type="dxa"/>
              <w:left w:w="57" w:type="dxa"/>
              <w:bottom w:w="11" w:type="dxa"/>
              <w:right w:w="57" w:type="dxa"/>
            </w:tcMar>
          </w:tcPr>
          <w:p w14:paraId="2DBC205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45.3</w:t>
            </w:r>
          </w:p>
        </w:tc>
        <w:tc>
          <w:tcPr>
            <w:tcW w:w="1100" w:type="dxa"/>
            <w:tcBorders>
              <w:bottom w:val="single" w:sz="4" w:space="0" w:color="auto"/>
            </w:tcBorders>
          </w:tcPr>
          <w:p w14:paraId="25323D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154.5</w:t>
            </w:r>
          </w:p>
        </w:tc>
      </w:tr>
      <w:tr w:rsidR="00646F4F" w:rsidRPr="00735726" w14:paraId="614BFE41" w14:textId="77777777" w:rsidTr="00CE19B2">
        <w:trPr>
          <w:trHeight w:val="226"/>
        </w:trPr>
        <w:tc>
          <w:tcPr>
            <w:tcW w:w="6605" w:type="dxa"/>
            <w:tcBorders>
              <w:top w:val="single" w:sz="4" w:space="0" w:color="auto"/>
              <w:bottom w:val="single" w:sz="4" w:space="0" w:color="auto"/>
            </w:tcBorders>
            <w:tcMar>
              <w:top w:w="11" w:type="dxa"/>
              <w:left w:w="57" w:type="dxa"/>
              <w:bottom w:w="11" w:type="dxa"/>
              <w:right w:w="57" w:type="dxa"/>
            </w:tcMar>
          </w:tcPr>
          <w:p w14:paraId="31DCA17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bookmarkStart w:id="230" w:name="XMETag_7fffd0d4b1374f1daa13763636dfa1ca" w:colFirst="2" w:colLast="2"/>
            <w:bookmarkStart w:id="231" w:name="XMETag_04da5de0aeb4495da82953c213e0fb9c" w:colFirst="3" w:colLast="3"/>
            <w:bookmarkEnd w:id="228"/>
            <w:bookmarkEnd w:id="229"/>
            <w:r w:rsidRPr="00735726">
              <w:rPr>
                <w:rFonts w:ascii="Arial" w:eastAsia="Times New Roman" w:hAnsi="Arial" w:cs="DINOT-Light"/>
                <w:b/>
                <w:sz w:val="18"/>
                <w:szCs w:val="18"/>
              </w:rPr>
              <w:t xml:space="preserve">Total Equity </w:t>
            </w:r>
          </w:p>
        </w:tc>
        <w:tc>
          <w:tcPr>
            <w:tcW w:w="1134" w:type="dxa"/>
            <w:tcBorders>
              <w:top w:val="single" w:sz="4" w:space="0" w:color="auto"/>
              <w:bottom w:val="single" w:sz="4" w:space="0" w:color="auto"/>
            </w:tcBorders>
            <w:tcMar>
              <w:top w:w="11" w:type="dxa"/>
              <w:left w:w="57" w:type="dxa"/>
              <w:bottom w:w="11" w:type="dxa"/>
              <w:right w:w="57" w:type="dxa"/>
            </w:tcMar>
          </w:tcPr>
          <w:p w14:paraId="782B051B"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sz w:val="18"/>
                <w:szCs w:val="18"/>
              </w:rPr>
            </w:pPr>
          </w:p>
        </w:tc>
        <w:tc>
          <w:tcPr>
            <w:tcW w:w="1133" w:type="dxa"/>
            <w:tcBorders>
              <w:top w:val="single" w:sz="4" w:space="0" w:color="auto"/>
              <w:bottom w:val="single" w:sz="4" w:space="0" w:color="auto"/>
            </w:tcBorders>
            <w:tcMar>
              <w:top w:w="11" w:type="dxa"/>
              <w:left w:w="57" w:type="dxa"/>
              <w:bottom w:w="11" w:type="dxa"/>
              <w:right w:w="57" w:type="dxa"/>
            </w:tcMar>
          </w:tcPr>
          <w:p w14:paraId="256FC3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1,084.2</w:t>
            </w:r>
          </w:p>
        </w:tc>
        <w:tc>
          <w:tcPr>
            <w:tcW w:w="1100" w:type="dxa"/>
            <w:tcBorders>
              <w:top w:val="single" w:sz="4" w:space="0" w:color="auto"/>
              <w:bottom w:val="single" w:sz="4" w:space="0" w:color="auto"/>
            </w:tcBorders>
          </w:tcPr>
          <w:p w14:paraId="4BAA5A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1,193.4</w:t>
            </w:r>
          </w:p>
        </w:tc>
      </w:tr>
      <w:bookmarkEnd w:id="230"/>
      <w:bookmarkEnd w:id="231"/>
    </w:tbl>
    <w:p w14:paraId="3B65E34C" w14:textId="77777777" w:rsidR="00646F4F" w:rsidRPr="009A2CAE"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sz w:val="18"/>
          <w:szCs w:val="18"/>
        </w:rPr>
      </w:pPr>
    </w:p>
    <w:p w14:paraId="4ECDB2B9" w14:textId="4676171B" w:rsidR="00646F4F" w:rsidRPr="009A2CAE"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sz w:val="18"/>
          <w:szCs w:val="18"/>
        </w:rPr>
      </w:pPr>
      <w:r w:rsidRPr="00735726">
        <w:rPr>
          <w:rFonts w:ascii="Arial" w:eastAsia="Times New Roman" w:hAnsi="Arial" w:cs="DINOT-Light"/>
          <w:sz w:val="18"/>
          <w:szCs w:val="18"/>
        </w:rPr>
        <w:t xml:space="preserve">The notes on </w:t>
      </w:r>
      <w:r w:rsidRPr="00735726">
        <w:rPr>
          <w:rFonts w:ascii="Arial" w:eastAsia="Calibri" w:hAnsi="Arial" w:cs="Arial"/>
          <w:sz w:val="18"/>
          <w:szCs w:val="18"/>
        </w:rPr>
        <w:t xml:space="preserve">pages </w:t>
      </w:r>
      <w:r w:rsidR="00C52378" w:rsidRPr="009A2CAE">
        <w:rPr>
          <w:rFonts w:ascii="Arial" w:eastAsia="Calibri" w:hAnsi="Arial" w:cs="Arial"/>
          <w:sz w:val="18"/>
          <w:szCs w:val="18"/>
        </w:rPr>
        <w:t xml:space="preserve">181 </w:t>
      </w:r>
      <w:r w:rsidRPr="009A2CAE">
        <w:rPr>
          <w:rFonts w:ascii="Arial" w:eastAsia="Calibri" w:hAnsi="Arial" w:cs="Arial"/>
          <w:sz w:val="18"/>
          <w:szCs w:val="18"/>
        </w:rPr>
        <w:t xml:space="preserve">to </w:t>
      </w:r>
      <w:r w:rsidR="00C52378" w:rsidRPr="009A2CAE">
        <w:rPr>
          <w:rFonts w:ascii="Arial" w:eastAsia="Calibri" w:hAnsi="Arial" w:cs="Arial"/>
          <w:sz w:val="18"/>
          <w:szCs w:val="18"/>
        </w:rPr>
        <w:t>226</w:t>
      </w:r>
      <w:r w:rsidRPr="009A2CAE">
        <w:rPr>
          <w:rFonts w:ascii="Arial" w:eastAsia="Calibri" w:hAnsi="Arial" w:cs="Arial"/>
          <w:sz w:val="18"/>
          <w:szCs w:val="18"/>
        </w:rPr>
        <w:t xml:space="preserve"> </w:t>
      </w:r>
      <w:r w:rsidRPr="00735726">
        <w:rPr>
          <w:rFonts w:ascii="Arial" w:eastAsia="Times New Roman" w:hAnsi="Arial" w:cs="DINOT-Light"/>
          <w:sz w:val="18"/>
          <w:szCs w:val="18"/>
        </w:rPr>
        <w:t xml:space="preserve">form part of these financial statements. </w:t>
      </w:r>
    </w:p>
    <w:p w14:paraId="444E546C"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p w14:paraId="0C099EAF" w14:textId="6179E3A6"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The financial statements on </w:t>
      </w:r>
      <w:r w:rsidRPr="00735726">
        <w:rPr>
          <w:rFonts w:ascii="Arial" w:eastAsia="Calibri" w:hAnsi="Arial" w:cs="Arial"/>
          <w:sz w:val="18"/>
          <w:szCs w:val="18"/>
        </w:rPr>
        <w:t>pages</w:t>
      </w:r>
      <w:r w:rsidRPr="009A2CAE">
        <w:rPr>
          <w:rFonts w:ascii="Arial" w:eastAsia="Calibri" w:hAnsi="Arial" w:cs="Arial"/>
          <w:sz w:val="18"/>
          <w:szCs w:val="18"/>
        </w:rPr>
        <w:t xml:space="preserve"> </w:t>
      </w:r>
      <w:r w:rsidR="00C52378" w:rsidRPr="009A2CAE">
        <w:rPr>
          <w:rFonts w:ascii="Arial" w:eastAsia="Calibri" w:hAnsi="Arial" w:cs="Arial"/>
          <w:sz w:val="18"/>
          <w:szCs w:val="18"/>
        </w:rPr>
        <w:t xml:space="preserve">176 </w:t>
      </w:r>
      <w:r w:rsidRPr="009A2CAE">
        <w:rPr>
          <w:rFonts w:ascii="Arial" w:eastAsia="Calibri" w:hAnsi="Arial" w:cs="Arial"/>
          <w:sz w:val="18"/>
          <w:szCs w:val="18"/>
        </w:rPr>
        <w:t xml:space="preserve">to </w:t>
      </w:r>
      <w:r w:rsidR="00644FAB" w:rsidRPr="009A2CAE">
        <w:rPr>
          <w:rFonts w:ascii="Arial" w:eastAsia="Calibri" w:hAnsi="Arial" w:cs="Arial"/>
          <w:sz w:val="18"/>
          <w:szCs w:val="18"/>
        </w:rPr>
        <w:t>226</w:t>
      </w:r>
      <w:r w:rsidRPr="009A2CAE">
        <w:rPr>
          <w:rFonts w:ascii="Arial" w:eastAsia="Calibri" w:hAnsi="Arial" w:cs="Arial"/>
          <w:sz w:val="18"/>
          <w:szCs w:val="18"/>
        </w:rPr>
        <w:t xml:space="preserve"> </w:t>
      </w:r>
      <w:r w:rsidRPr="00735726">
        <w:rPr>
          <w:rFonts w:ascii="Arial" w:eastAsia="Times New Roman" w:hAnsi="Arial" w:cs="DINOT-Light"/>
          <w:sz w:val="18"/>
          <w:szCs w:val="18"/>
        </w:rPr>
        <w:t xml:space="preserve">were approved and authorised for issue by the </w:t>
      </w:r>
      <w:bookmarkStart w:id="232" w:name="XMETag_909fd08fbc794905a8717d7643b766c2"/>
      <w:r w:rsidRPr="00735726">
        <w:rPr>
          <w:rFonts w:ascii="Arial" w:eastAsia="Times New Roman" w:hAnsi="Arial" w:cs="DINOT-Light"/>
          <w:sz w:val="18"/>
          <w:szCs w:val="18"/>
        </w:rPr>
        <w:t xml:space="preserve">Board of </w:t>
      </w:r>
      <w:r w:rsidRPr="00735726">
        <w:rPr>
          <w:rFonts w:ascii="Arial" w:eastAsia="Times New Roman" w:hAnsi="Arial" w:cs="Arial"/>
          <w:sz w:val="18"/>
          <w:szCs w:val="18"/>
        </w:rPr>
        <w:t>Directors</w:t>
      </w:r>
      <w:bookmarkEnd w:id="232"/>
      <w:r w:rsidRPr="00735726">
        <w:rPr>
          <w:rFonts w:ascii="Arial" w:eastAsia="Times New Roman" w:hAnsi="Arial" w:cs="Arial"/>
          <w:sz w:val="18"/>
          <w:szCs w:val="18"/>
        </w:rPr>
        <w:t xml:space="preserve"> on </w:t>
      </w:r>
      <w:bookmarkStart w:id="233" w:name="XMETag_182927909af349b6b39918fe53cf4817"/>
      <w:r w:rsidR="00B96DEF" w:rsidRPr="009A2CAE">
        <w:rPr>
          <w:rFonts w:ascii="Arial" w:eastAsia="Times New Roman" w:hAnsi="Arial" w:cs="Arial"/>
          <w:sz w:val="18"/>
          <w:szCs w:val="18"/>
        </w:rPr>
        <w:t>1</w:t>
      </w:r>
      <w:r w:rsidR="00C956AD">
        <w:rPr>
          <w:rFonts w:ascii="Arial" w:eastAsia="Times New Roman" w:hAnsi="Arial" w:cs="Arial"/>
          <w:sz w:val="18"/>
          <w:szCs w:val="18"/>
        </w:rPr>
        <w:t>5</w:t>
      </w:r>
      <w:r w:rsidR="00B96DEF" w:rsidRPr="009A2CAE">
        <w:rPr>
          <w:rFonts w:ascii="Arial" w:eastAsia="Times New Roman" w:hAnsi="Arial" w:cs="Arial"/>
          <w:sz w:val="18"/>
          <w:szCs w:val="18"/>
        </w:rPr>
        <w:t xml:space="preserve"> </w:t>
      </w:r>
      <w:r w:rsidRPr="009A2CAE">
        <w:rPr>
          <w:rFonts w:ascii="Arial" w:eastAsia="Times New Roman" w:hAnsi="Arial" w:cs="Arial"/>
          <w:sz w:val="18"/>
          <w:szCs w:val="18"/>
        </w:rPr>
        <w:t>July</w:t>
      </w:r>
      <w:r w:rsidRPr="009A2CAE">
        <w:rPr>
          <w:rFonts w:ascii="Arial" w:eastAsia="Times New Roman" w:hAnsi="Arial" w:cs="Arial"/>
          <w:color w:val="000000"/>
          <w:sz w:val="18"/>
          <w:szCs w:val="18"/>
        </w:rPr>
        <w:t xml:space="preserve"> </w:t>
      </w:r>
      <w:r w:rsidRPr="00735726">
        <w:rPr>
          <w:rFonts w:ascii="Arial" w:eastAsia="Times New Roman" w:hAnsi="Arial" w:cs="Arial"/>
          <w:color w:val="000000"/>
          <w:sz w:val="18"/>
          <w:szCs w:val="18"/>
        </w:rPr>
        <w:t>202</w:t>
      </w:r>
      <w:bookmarkEnd w:id="233"/>
      <w:r w:rsidRPr="00735726">
        <w:rPr>
          <w:rFonts w:ascii="Arial" w:eastAsia="Times New Roman" w:hAnsi="Arial" w:cs="Arial"/>
          <w:color w:val="000000"/>
          <w:sz w:val="18"/>
          <w:szCs w:val="18"/>
        </w:rPr>
        <w:t>6</w:t>
      </w:r>
      <w:r w:rsidRPr="00735726">
        <w:rPr>
          <w:rFonts w:ascii="Arial" w:eastAsia="Times New Roman" w:hAnsi="Arial" w:cs="DINOT-Light"/>
          <w:color w:val="000000"/>
          <w:sz w:val="18"/>
          <w:szCs w:val="18"/>
        </w:rPr>
        <w:t xml:space="preserve"> </w:t>
      </w:r>
      <w:r w:rsidRPr="00735726">
        <w:rPr>
          <w:rFonts w:ascii="Arial" w:eastAsia="Times New Roman" w:hAnsi="Arial" w:cs="DINOT-Light"/>
          <w:sz w:val="18"/>
          <w:szCs w:val="18"/>
        </w:rPr>
        <w:t>and were signed on its behalf by:</w:t>
      </w:r>
    </w:p>
    <w:p w14:paraId="6819652E"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p w14:paraId="314B8C19" w14:textId="18C4593A" w:rsidR="00646F4F" w:rsidRPr="009A2CAE" w:rsidRDefault="00CD595C"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br/>
      </w:r>
      <w:r w:rsidRPr="009A2CAE">
        <w:rPr>
          <w:rFonts w:ascii="Arial" w:eastAsia="Times New Roman" w:hAnsi="Arial" w:cs="DINOT-Light"/>
          <w:color w:val="000000"/>
          <w:sz w:val="18"/>
          <w:szCs w:val="18"/>
        </w:rPr>
        <w:br/>
      </w:r>
    </w:p>
    <w:p w14:paraId="3A4A749F"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L Flowerdew</w:t>
      </w:r>
    </w:p>
    <w:p w14:paraId="5568D3EC"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Chief Financial Officer</w:t>
      </w:r>
    </w:p>
    <w:p w14:paraId="3196EE9C" w14:textId="77777777" w:rsidR="00646F4F" w:rsidRPr="00735726"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Registered office: Peninsula House, Rydon Lane, Exeter, Devon, England EX2 7HR </w:t>
      </w:r>
    </w:p>
    <w:p w14:paraId="064CA367"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Registered Number: 02366665</w:t>
      </w:r>
    </w:p>
    <w:p w14:paraId="452559E5" w14:textId="361D003C" w:rsidR="00646F4F" w:rsidRPr="00735726" w:rsidRDefault="00646F4F" w:rsidP="00646F4F">
      <w:pPr>
        <w:widowControl w:val="0"/>
        <w:suppressAutoHyphens/>
        <w:autoSpaceDE w:val="0"/>
        <w:autoSpaceDN w:val="0"/>
        <w:adjustRightInd w:val="0"/>
        <w:spacing w:after="0" w:line="288" w:lineRule="auto"/>
        <w:textAlignment w:val="center"/>
        <w:outlineLvl w:val="0"/>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 xml:space="preserve">STATEMENT OF CHANGES IN EQUITY </w:t>
      </w:r>
    </w:p>
    <w:p w14:paraId="44F677DD"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DINOT-Light"/>
          <w:caps/>
          <w:color w:val="000000"/>
          <w:sz w:val="24"/>
          <w:szCs w:val="24"/>
        </w:rPr>
      </w:pPr>
      <w:r w:rsidRPr="00735726">
        <w:rPr>
          <w:rFonts w:ascii="Arial" w:eastAsia="Times New Roman" w:hAnsi="Arial" w:cs="DINOT-Light"/>
          <w:caps/>
          <w:color w:val="000000"/>
          <w:sz w:val="24"/>
          <w:szCs w:val="24"/>
        </w:rPr>
        <w:t>FOR THE YEAR ENDED 31 MARCH 2026</w:t>
      </w:r>
    </w:p>
    <w:p w14:paraId="3E6132AD"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tbl>
      <w:tblPr>
        <w:tblW w:w="10125" w:type="dxa"/>
        <w:tblInd w:w="8" w:type="dxa"/>
        <w:tblLayout w:type="fixed"/>
        <w:tblCellMar>
          <w:left w:w="0" w:type="dxa"/>
          <w:right w:w="0" w:type="dxa"/>
        </w:tblCellMar>
        <w:tblLook w:val="0000" w:firstRow="0" w:lastRow="0" w:firstColumn="0" w:lastColumn="0" w:noHBand="0" w:noVBand="0"/>
      </w:tblPr>
      <w:tblGrid>
        <w:gridCol w:w="5466"/>
        <w:gridCol w:w="938"/>
        <w:gridCol w:w="938"/>
        <w:gridCol w:w="937"/>
        <w:gridCol w:w="937"/>
        <w:gridCol w:w="909"/>
      </w:tblGrid>
      <w:tr w:rsidR="00646F4F" w:rsidRPr="00735726" w14:paraId="3CF36FE3" w14:textId="77777777" w:rsidTr="00CE19B2">
        <w:trPr>
          <w:trHeight w:val="261"/>
          <w:tblHeader/>
        </w:trPr>
        <w:tc>
          <w:tcPr>
            <w:tcW w:w="5466" w:type="dxa"/>
            <w:tcMar>
              <w:top w:w="11" w:type="dxa"/>
              <w:left w:w="57" w:type="dxa"/>
              <w:bottom w:w="11" w:type="dxa"/>
              <w:right w:w="57" w:type="dxa"/>
            </w:tcMar>
          </w:tcPr>
          <w:p w14:paraId="31E1E513"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938" w:type="dxa"/>
            <w:vAlign w:val="bottom"/>
          </w:tcPr>
          <w:p w14:paraId="421DD5A8" w14:textId="0FC06B62"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938" w:type="dxa"/>
            <w:tcMar>
              <w:top w:w="11" w:type="dxa"/>
              <w:left w:w="57" w:type="dxa"/>
              <w:bottom w:w="11" w:type="dxa"/>
              <w:right w:w="57" w:type="dxa"/>
            </w:tcMar>
          </w:tcPr>
          <w:p w14:paraId="0D9A5A0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757BDF9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Called up </w:t>
            </w:r>
          </w:p>
          <w:p w14:paraId="2C3E3831" w14:textId="15561ECE"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share capital </w:t>
            </w:r>
            <w:r w:rsidRPr="009A2CAE">
              <w:rPr>
                <w:rFonts w:ascii="Arial" w:eastAsia="Times New Roman" w:hAnsi="Arial" w:cs="DINOT-Light"/>
                <w:b/>
                <w:color w:val="000000"/>
                <w:sz w:val="18"/>
                <w:szCs w:val="18"/>
              </w:rPr>
              <w:t xml:space="preserve">(note </w:t>
            </w:r>
            <w:r w:rsidR="00B63B15" w:rsidRPr="009A2CAE">
              <w:rPr>
                <w:rFonts w:ascii="Arial" w:eastAsia="Times New Roman" w:hAnsi="Arial" w:cs="DINOT-Light"/>
                <w:b/>
                <w:color w:val="000000"/>
                <w:sz w:val="18"/>
                <w:szCs w:val="18"/>
              </w:rPr>
              <w:t>29</w:t>
            </w:r>
            <w:r w:rsidRPr="009A2CAE">
              <w:rPr>
                <w:rFonts w:ascii="Arial" w:eastAsia="Times New Roman" w:hAnsi="Arial" w:cs="DINOT-Light"/>
                <w:b/>
                <w:color w:val="000000"/>
                <w:sz w:val="18"/>
                <w:szCs w:val="18"/>
              </w:rPr>
              <w:t>)</w:t>
            </w:r>
          </w:p>
          <w:p w14:paraId="69FE857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37" w:type="dxa"/>
          </w:tcPr>
          <w:p w14:paraId="6452317E"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04188C3" w14:textId="28C3E215"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Share Premium account </w:t>
            </w:r>
            <w:r w:rsidRPr="009A2CAE">
              <w:rPr>
                <w:rFonts w:ascii="Arial" w:eastAsia="Times New Roman" w:hAnsi="Arial" w:cs="DINOT-Light"/>
                <w:b/>
                <w:color w:val="000000"/>
                <w:sz w:val="18"/>
                <w:szCs w:val="18"/>
              </w:rPr>
              <w:t>(note 3</w:t>
            </w:r>
            <w:r w:rsidR="00B63B15" w:rsidRPr="009A2CAE">
              <w:rPr>
                <w:rFonts w:ascii="Arial" w:eastAsia="Times New Roman" w:hAnsi="Arial" w:cs="DINOT-Light"/>
                <w:b/>
                <w:color w:val="000000"/>
                <w:sz w:val="18"/>
                <w:szCs w:val="18"/>
              </w:rPr>
              <w:t>1</w:t>
            </w:r>
            <w:r w:rsidRPr="009A2CAE">
              <w:rPr>
                <w:rFonts w:ascii="Arial" w:eastAsia="Times New Roman" w:hAnsi="Arial" w:cs="DINOT-Light"/>
                <w:b/>
                <w:color w:val="000000"/>
                <w:sz w:val="18"/>
                <w:szCs w:val="18"/>
              </w:rPr>
              <w:t>)</w:t>
            </w:r>
          </w:p>
          <w:p w14:paraId="2D28807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37" w:type="dxa"/>
            <w:tcMar>
              <w:top w:w="11" w:type="dxa"/>
              <w:left w:w="57" w:type="dxa"/>
              <w:bottom w:w="11" w:type="dxa"/>
              <w:right w:w="57" w:type="dxa"/>
            </w:tcMar>
          </w:tcPr>
          <w:p w14:paraId="05D48CEE" w14:textId="08615C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Retained earnings and other reserves </w:t>
            </w:r>
            <w:r w:rsidRPr="009A2CAE">
              <w:rPr>
                <w:rFonts w:ascii="Arial" w:eastAsia="Times New Roman" w:hAnsi="Arial" w:cs="DINOT-Light"/>
                <w:b/>
                <w:color w:val="000000"/>
                <w:sz w:val="18"/>
                <w:szCs w:val="18"/>
              </w:rPr>
              <w:t>(note 3</w:t>
            </w:r>
            <w:r w:rsidR="00B63B15" w:rsidRPr="009A2CAE">
              <w:rPr>
                <w:rFonts w:ascii="Arial" w:eastAsia="Times New Roman" w:hAnsi="Arial" w:cs="DINOT-Light"/>
                <w:b/>
                <w:color w:val="000000"/>
                <w:sz w:val="18"/>
                <w:szCs w:val="18"/>
              </w:rPr>
              <w:t>2</w:t>
            </w:r>
            <w:r w:rsidRPr="009A2CAE">
              <w:rPr>
                <w:rFonts w:ascii="Arial" w:eastAsia="Times New Roman" w:hAnsi="Arial" w:cs="DINOT-Light"/>
                <w:b/>
                <w:color w:val="000000"/>
                <w:sz w:val="18"/>
                <w:szCs w:val="18"/>
              </w:rPr>
              <w:t>)</w:t>
            </w:r>
          </w:p>
          <w:p w14:paraId="462F2F12"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09" w:type="dxa"/>
            <w:tcMar>
              <w:top w:w="11" w:type="dxa"/>
              <w:left w:w="57" w:type="dxa"/>
              <w:bottom w:w="11" w:type="dxa"/>
              <w:right w:w="57" w:type="dxa"/>
            </w:tcMar>
          </w:tcPr>
          <w:p w14:paraId="1B2DB09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9A2CAE">
              <w:rPr>
                <w:rFonts w:ascii="Arial" w:eastAsia="Times New Roman" w:hAnsi="Arial" w:cs="DINOT-Light"/>
                <w:b/>
                <w:color w:val="000000"/>
                <w:sz w:val="18"/>
                <w:szCs w:val="18"/>
              </w:rPr>
              <w:br/>
            </w:r>
            <w:r w:rsidRPr="009A2CAE">
              <w:rPr>
                <w:rFonts w:ascii="Arial" w:eastAsia="Times New Roman" w:hAnsi="Arial" w:cs="DINOT-Light"/>
                <w:b/>
                <w:color w:val="000000"/>
                <w:sz w:val="18"/>
                <w:szCs w:val="18"/>
              </w:rPr>
              <w:br/>
            </w:r>
          </w:p>
          <w:p w14:paraId="42DD402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Total </w:t>
            </w:r>
            <w:r w:rsidRPr="00735726">
              <w:rPr>
                <w:rFonts w:ascii="Arial" w:eastAsia="Times New Roman" w:hAnsi="Arial" w:cs="DINOT-Light"/>
                <w:b/>
                <w:color w:val="000000"/>
                <w:sz w:val="18"/>
                <w:szCs w:val="18"/>
              </w:rPr>
              <w:br/>
              <w:t>Equity</w:t>
            </w:r>
            <w:r w:rsidRPr="00735726">
              <w:rPr>
                <w:rFonts w:ascii="Arial" w:eastAsia="Times New Roman" w:hAnsi="Arial" w:cs="DINOT-Light"/>
                <w:b/>
                <w:color w:val="000000"/>
                <w:sz w:val="18"/>
                <w:szCs w:val="18"/>
              </w:rPr>
              <w:br/>
              <w:t>£m</w:t>
            </w:r>
          </w:p>
        </w:tc>
      </w:tr>
      <w:tr w:rsidR="00646F4F" w:rsidRPr="00735726" w14:paraId="3C6B7462" w14:textId="77777777" w:rsidTr="00CE19B2">
        <w:trPr>
          <w:trHeight w:val="398"/>
        </w:trPr>
        <w:tc>
          <w:tcPr>
            <w:tcW w:w="5466" w:type="dxa"/>
            <w:tcMar>
              <w:top w:w="11" w:type="dxa"/>
              <w:left w:w="57" w:type="dxa"/>
              <w:bottom w:w="11" w:type="dxa"/>
              <w:right w:w="57" w:type="dxa"/>
            </w:tcMar>
          </w:tcPr>
          <w:p w14:paraId="62182F21"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938" w:type="dxa"/>
            <w:vAlign w:val="bottom"/>
          </w:tcPr>
          <w:p w14:paraId="54D4F2C2"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938" w:type="dxa"/>
            <w:tcMar>
              <w:top w:w="11" w:type="dxa"/>
              <w:left w:w="57" w:type="dxa"/>
              <w:bottom w:w="11" w:type="dxa"/>
              <w:right w:w="57" w:type="dxa"/>
            </w:tcMar>
          </w:tcPr>
          <w:p w14:paraId="0871DA4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37" w:type="dxa"/>
          </w:tcPr>
          <w:p w14:paraId="12D00C3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37" w:type="dxa"/>
            <w:tcMar>
              <w:top w:w="11" w:type="dxa"/>
              <w:left w:w="57" w:type="dxa"/>
              <w:bottom w:w="11" w:type="dxa"/>
              <w:right w:w="57" w:type="dxa"/>
            </w:tcMar>
          </w:tcPr>
          <w:p w14:paraId="52728BA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09" w:type="dxa"/>
            <w:tcMar>
              <w:top w:w="11" w:type="dxa"/>
              <w:left w:w="57" w:type="dxa"/>
              <w:bottom w:w="11" w:type="dxa"/>
              <w:right w:w="57" w:type="dxa"/>
            </w:tcMar>
          </w:tcPr>
          <w:p w14:paraId="0F654DE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0A3EC4E6" w14:textId="77777777" w:rsidTr="00CE19B2">
        <w:trPr>
          <w:trHeight w:val="222"/>
        </w:trPr>
        <w:tc>
          <w:tcPr>
            <w:tcW w:w="5466" w:type="dxa"/>
            <w:tcMar>
              <w:top w:w="11" w:type="dxa"/>
              <w:left w:w="57" w:type="dxa"/>
              <w:bottom w:w="11" w:type="dxa"/>
              <w:right w:w="57" w:type="dxa"/>
            </w:tcMar>
          </w:tcPr>
          <w:p w14:paraId="015CB40A" w14:textId="515CF71F"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34" w:name="XMETag_84362489a56846c8808c3ace5d5ed7bc" w:colFirst="2" w:colLast="2"/>
            <w:bookmarkStart w:id="235" w:name="XMETag_1fe2a826757d4ffd9f1e817111b1e386" w:colFirst="3" w:colLast="3"/>
            <w:bookmarkStart w:id="236" w:name="XMETag_c060799edcae476aa41a9c87f98ead4e" w:colFirst="4" w:colLast="4"/>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938" w:type="dxa"/>
            <w:vAlign w:val="bottom"/>
          </w:tcPr>
          <w:p w14:paraId="5C738E57"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Cs/>
                <w:color w:val="000000"/>
                <w:sz w:val="18"/>
                <w:szCs w:val="18"/>
              </w:rPr>
            </w:pPr>
          </w:p>
        </w:tc>
        <w:tc>
          <w:tcPr>
            <w:tcW w:w="938" w:type="dxa"/>
            <w:tcMar>
              <w:top w:w="11" w:type="dxa"/>
              <w:left w:w="57" w:type="dxa"/>
              <w:bottom w:w="11" w:type="dxa"/>
              <w:right w:w="57" w:type="dxa"/>
            </w:tcMar>
          </w:tcPr>
          <w:p w14:paraId="58288D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
                <w:color w:val="000000"/>
                <w:sz w:val="18"/>
                <w:szCs w:val="18"/>
              </w:rPr>
              <w:t>295.9</w:t>
            </w:r>
          </w:p>
        </w:tc>
        <w:tc>
          <w:tcPr>
            <w:tcW w:w="937" w:type="dxa"/>
          </w:tcPr>
          <w:p w14:paraId="26DB841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
                <w:bCs/>
                <w:sz w:val="18"/>
                <w:szCs w:val="18"/>
              </w:rPr>
              <w:t>413.0</w:t>
            </w:r>
          </w:p>
        </w:tc>
        <w:tc>
          <w:tcPr>
            <w:tcW w:w="937" w:type="dxa"/>
            <w:tcMar>
              <w:top w:w="11" w:type="dxa"/>
              <w:left w:w="57" w:type="dxa"/>
              <w:bottom w:w="11" w:type="dxa"/>
              <w:right w:w="57" w:type="dxa"/>
            </w:tcMar>
          </w:tcPr>
          <w:p w14:paraId="4E6833A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
                <w:color w:val="000000"/>
                <w:sz w:val="18"/>
                <w:szCs w:val="18"/>
              </w:rPr>
              <w:t>202.3</w:t>
            </w:r>
          </w:p>
        </w:tc>
        <w:tc>
          <w:tcPr>
            <w:tcW w:w="909" w:type="dxa"/>
            <w:tcMar>
              <w:top w:w="11" w:type="dxa"/>
              <w:left w:w="57" w:type="dxa"/>
              <w:bottom w:w="11" w:type="dxa"/>
              <w:right w:w="57" w:type="dxa"/>
            </w:tcMar>
          </w:tcPr>
          <w:p w14:paraId="0E91CB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
                <w:color w:val="000000"/>
                <w:sz w:val="18"/>
                <w:szCs w:val="18"/>
              </w:rPr>
              <w:t>911.2</w:t>
            </w:r>
          </w:p>
        </w:tc>
      </w:tr>
      <w:tr w:rsidR="00646F4F" w:rsidRPr="00735726" w14:paraId="436A255A" w14:textId="77777777" w:rsidTr="00CE19B2">
        <w:trPr>
          <w:trHeight w:val="222"/>
        </w:trPr>
        <w:tc>
          <w:tcPr>
            <w:tcW w:w="5466" w:type="dxa"/>
            <w:tcMar>
              <w:top w:w="11" w:type="dxa"/>
              <w:left w:w="57" w:type="dxa"/>
              <w:bottom w:w="11" w:type="dxa"/>
              <w:right w:w="57" w:type="dxa"/>
            </w:tcMar>
          </w:tcPr>
          <w:p w14:paraId="25146F5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37" w:name="XMETag_609174946c2c4c8494205711ec35e3f2" w:colFirst="3" w:colLast="3"/>
            <w:bookmarkStart w:id="238" w:name="XMETag_32ce41c6cb2c41fab2cd2c5b2aad6522" w:colFirst="4" w:colLast="4"/>
            <w:bookmarkEnd w:id="234"/>
            <w:bookmarkEnd w:id="235"/>
            <w:bookmarkEnd w:id="236"/>
            <w:r w:rsidRPr="00735726">
              <w:rPr>
                <w:rFonts w:ascii="Arial" w:eastAsia="Times New Roman" w:hAnsi="Arial" w:cs="DINOT-Light"/>
                <w:color w:val="000000"/>
                <w:sz w:val="18"/>
                <w:szCs w:val="18"/>
              </w:rPr>
              <w:t>Loss for the year</w:t>
            </w:r>
          </w:p>
        </w:tc>
        <w:tc>
          <w:tcPr>
            <w:tcW w:w="938" w:type="dxa"/>
            <w:vAlign w:val="bottom"/>
          </w:tcPr>
          <w:p w14:paraId="1C012B63"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Mar>
              <w:top w:w="11" w:type="dxa"/>
              <w:left w:w="57" w:type="dxa"/>
              <w:bottom w:w="11" w:type="dxa"/>
              <w:right w:w="57" w:type="dxa"/>
            </w:tcMar>
          </w:tcPr>
          <w:p w14:paraId="73EA3E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Pr>
          <w:p w14:paraId="7C65A2F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Mar>
              <w:top w:w="11" w:type="dxa"/>
              <w:left w:w="57" w:type="dxa"/>
              <w:bottom w:w="11" w:type="dxa"/>
              <w:right w:w="57" w:type="dxa"/>
            </w:tcMar>
          </w:tcPr>
          <w:p w14:paraId="622982D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(48.6)</w:t>
            </w:r>
          </w:p>
        </w:tc>
        <w:tc>
          <w:tcPr>
            <w:tcW w:w="909" w:type="dxa"/>
            <w:tcMar>
              <w:top w:w="11" w:type="dxa"/>
              <w:left w:w="57" w:type="dxa"/>
              <w:bottom w:w="11" w:type="dxa"/>
              <w:right w:w="57" w:type="dxa"/>
            </w:tcMar>
          </w:tcPr>
          <w:p w14:paraId="6D8C88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(48.6)</w:t>
            </w:r>
          </w:p>
        </w:tc>
      </w:tr>
      <w:tr w:rsidR="00646F4F" w:rsidRPr="00735726" w14:paraId="69C836AD" w14:textId="77777777" w:rsidTr="00CE19B2">
        <w:trPr>
          <w:trHeight w:val="222"/>
        </w:trPr>
        <w:tc>
          <w:tcPr>
            <w:tcW w:w="5466" w:type="dxa"/>
            <w:tcMar>
              <w:top w:w="11" w:type="dxa"/>
              <w:left w:w="57" w:type="dxa"/>
              <w:bottom w:w="11" w:type="dxa"/>
              <w:right w:w="57" w:type="dxa"/>
            </w:tcMar>
          </w:tcPr>
          <w:p w14:paraId="5A27BCB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39" w:name="XMETag_79399259f8d9498b86fbaf7b758cd063" w:colFirst="3" w:colLast="3"/>
            <w:bookmarkStart w:id="240" w:name="XMETag_476e21d93e6d43c381271db7591046f8" w:colFirst="4" w:colLast="4"/>
            <w:bookmarkEnd w:id="237"/>
            <w:bookmarkEnd w:id="238"/>
            <w:r w:rsidRPr="00735726">
              <w:rPr>
                <w:rFonts w:ascii="Arial" w:eastAsia="Times New Roman" w:hAnsi="Arial" w:cs="DINOT-Light"/>
                <w:color w:val="000000"/>
                <w:sz w:val="18"/>
                <w:szCs w:val="18"/>
              </w:rPr>
              <w:t>Other comprehensive income for the year</w:t>
            </w:r>
          </w:p>
        </w:tc>
        <w:tc>
          <w:tcPr>
            <w:tcW w:w="938" w:type="dxa"/>
            <w:vAlign w:val="bottom"/>
          </w:tcPr>
          <w:p w14:paraId="4180B711"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Borders>
              <w:bottom w:val="single" w:sz="4" w:space="0" w:color="auto"/>
            </w:tcBorders>
            <w:tcMar>
              <w:top w:w="11" w:type="dxa"/>
              <w:left w:w="57" w:type="dxa"/>
              <w:bottom w:w="11" w:type="dxa"/>
              <w:right w:w="57" w:type="dxa"/>
            </w:tcMar>
          </w:tcPr>
          <w:p w14:paraId="01FBCC3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bottom w:val="single" w:sz="4" w:space="0" w:color="auto"/>
            </w:tcBorders>
          </w:tcPr>
          <w:p w14:paraId="33D50C1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bottom w:val="single" w:sz="4" w:space="0" w:color="auto"/>
            </w:tcBorders>
            <w:tcMar>
              <w:top w:w="11" w:type="dxa"/>
              <w:left w:w="57" w:type="dxa"/>
              <w:bottom w:w="11" w:type="dxa"/>
              <w:right w:w="57" w:type="dxa"/>
            </w:tcMar>
          </w:tcPr>
          <w:p w14:paraId="0F3D2F6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0.5</w:t>
            </w:r>
          </w:p>
        </w:tc>
        <w:tc>
          <w:tcPr>
            <w:tcW w:w="909" w:type="dxa"/>
            <w:tcBorders>
              <w:bottom w:val="single" w:sz="4" w:space="0" w:color="auto"/>
            </w:tcBorders>
            <w:tcMar>
              <w:top w:w="11" w:type="dxa"/>
              <w:left w:w="57" w:type="dxa"/>
              <w:bottom w:w="11" w:type="dxa"/>
              <w:right w:w="57" w:type="dxa"/>
            </w:tcMar>
          </w:tcPr>
          <w:p w14:paraId="3950BF5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0.5</w:t>
            </w:r>
          </w:p>
        </w:tc>
      </w:tr>
      <w:tr w:rsidR="00646F4F" w:rsidRPr="00735726" w14:paraId="28192AAA" w14:textId="77777777" w:rsidTr="00CE19B2">
        <w:trPr>
          <w:trHeight w:val="222"/>
        </w:trPr>
        <w:tc>
          <w:tcPr>
            <w:tcW w:w="5466" w:type="dxa"/>
            <w:tcMar>
              <w:top w:w="11" w:type="dxa"/>
              <w:left w:w="57" w:type="dxa"/>
              <w:bottom w:w="11" w:type="dxa"/>
              <w:right w:w="57" w:type="dxa"/>
            </w:tcMar>
          </w:tcPr>
          <w:p w14:paraId="40E68A2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41" w:name="XMETag_acc77154242747e0b6b6d9d037435bd9" w:colFirst="3" w:colLast="3"/>
            <w:bookmarkStart w:id="242" w:name="XMETag_7deed52597c44ab7a0659457806ed7b4" w:colFirst="4" w:colLast="4"/>
            <w:bookmarkEnd w:id="239"/>
            <w:bookmarkEnd w:id="240"/>
            <w:r w:rsidRPr="00735726">
              <w:rPr>
                <w:rFonts w:ascii="Arial" w:eastAsia="Times New Roman" w:hAnsi="Arial" w:cs="DINOT-Light"/>
                <w:color w:val="000000"/>
                <w:sz w:val="18"/>
                <w:szCs w:val="18"/>
              </w:rPr>
              <w:t>Total comprehensive loss for the year</w:t>
            </w:r>
          </w:p>
        </w:tc>
        <w:tc>
          <w:tcPr>
            <w:tcW w:w="938" w:type="dxa"/>
            <w:vAlign w:val="bottom"/>
          </w:tcPr>
          <w:p w14:paraId="674EC4F2"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Borders>
              <w:top w:val="single" w:sz="4" w:space="0" w:color="auto"/>
            </w:tcBorders>
            <w:tcMar>
              <w:top w:w="11" w:type="dxa"/>
              <w:left w:w="57" w:type="dxa"/>
              <w:bottom w:w="11" w:type="dxa"/>
              <w:right w:w="57" w:type="dxa"/>
            </w:tcMar>
          </w:tcPr>
          <w:p w14:paraId="53E65C6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top w:val="single" w:sz="4" w:space="0" w:color="auto"/>
            </w:tcBorders>
          </w:tcPr>
          <w:p w14:paraId="4773586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top w:val="single" w:sz="4" w:space="0" w:color="auto"/>
            </w:tcBorders>
            <w:tcMar>
              <w:top w:w="11" w:type="dxa"/>
              <w:left w:w="57" w:type="dxa"/>
              <w:bottom w:w="11" w:type="dxa"/>
              <w:right w:w="57" w:type="dxa"/>
            </w:tcMar>
          </w:tcPr>
          <w:p w14:paraId="2F13F6E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(48.1)</w:t>
            </w:r>
          </w:p>
        </w:tc>
        <w:tc>
          <w:tcPr>
            <w:tcW w:w="909" w:type="dxa"/>
            <w:tcBorders>
              <w:top w:val="single" w:sz="4" w:space="0" w:color="auto"/>
            </w:tcBorders>
            <w:tcMar>
              <w:top w:w="11" w:type="dxa"/>
              <w:left w:w="57" w:type="dxa"/>
              <w:bottom w:w="11" w:type="dxa"/>
              <w:right w:w="57" w:type="dxa"/>
            </w:tcMar>
          </w:tcPr>
          <w:p w14:paraId="2BF319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(48.1)</w:t>
            </w:r>
          </w:p>
        </w:tc>
      </w:tr>
      <w:bookmarkEnd w:id="241"/>
      <w:bookmarkEnd w:id="242"/>
      <w:tr w:rsidR="00646F4F" w:rsidRPr="00735726" w14:paraId="13D2824D" w14:textId="77777777" w:rsidTr="00CE19B2">
        <w:trPr>
          <w:trHeight w:val="222"/>
        </w:trPr>
        <w:tc>
          <w:tcPr>
            <w:tcW w:w="5466" w:type="dxa"/>
            <w:tcMar>
              <w:top w:w="11" w:type="dxa"/>
              <w:left w:w="57" w:type="dxa"/>
              <w:bottom w:w="11" w:type="dxa"/>
              <w:right w:w="57" w:type="dxa"/>
            </w:tcMar>
          </w:tcPr>
          <w:p w14:paraId="68867D6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i/>
                <w:color w:val="000000"/>
                <w:sz w:val="18"/>
                <w:szCs w:val="18"/>
              </w:rPr>
            </w:pPr>
          </w:p>
        </w:tc>
        <w:tc>
          <w:tcPr>
            <w:tcW w:w="938" w:type="dxa"/>
            <w:vAlign w:val="bottom"/>
          </w:tcPr>
          <w:p w14:paraId="0A856A08"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i/>
                <w:sz w:val="18"/>
                <w:szCs w:val="18"/>
              </w:rPr>
            </w:pPr>
          </w:p>
        </w:tc>
        <w:tc>
          <w:tcPr>
            <w:tcW w:w="938" w:type="dxa"/>
            <w:tcMar>
              <w:top w:w="11" w:type="dxa"/>
              <w:left w:w="57" w:type="dxa"/>
              <w:bottom w:w="11" w:type="dxa"/>
              <w:right w:w="57" w:type="dxa"/>
            </w:tcMar>
          </w:tcPr>
          <w:p w14:paraId="3B415C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37" w:type="dxa"/>
          </w:tcPr>
          <w:p w14:paraId="557F7E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37" w:type="dxa"/>
            <w:tcMar>
              <w:top w:w="11" w:type="dxa"/>
              <w:left w:w="57" w:type="dxa"/>
              <w:bottom w:w="11" w:type="dxa"/>
              <w:right w:w="57" w:type="dxa"/>
            </w:tcMar>
          </w:tcPr>
          <w:p w14:paraId="1715436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09" w:type="dxa"/>
            <w:tcMar>
              <w:top w:w="11" w:type="dxa"/>
              <w:left w:w="57" w:type="dxa"/>
              <w:bottom w:w="11" w:type="dxa"/>
              <w:right w:w="57" w:type="dxa"/>
            </w:tcMar>
          </w:tcPr>
          <w:p w14:paraId="25C864D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r>
      <w:tr w:rsidR="00646F4F" w:rsidRPr="00735726" w14:paraId="0CF3AB70" w14:textId="77777777" w:rsidTr="00CE19B2">
        <w:trPr>
          <w:trHeight w:val="222"/>
        </w:trPr>
        <w:tc>
          <w:tcPr>
            <w:tcW w:w="5466" w:type="dxa"/>
            <w:tcMar>
              <w:top w:w="11" w:type="dxa"/>
              <w:left w:w="57" w:type="dxa"/>
              <w:bottom w:w="11" w:type="dxa"/>
              <w:right w:w="57" w:type="dxa"/>
            </w:tcMar>
          </w:tcPr>
          <w:p w14:paraId="0DDD7BCC" w14:textId="716DE461"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i/>
                <w:color w:val="000000"/>
                <w:sz w:val="18"/>
                <w:szCs w:val="18"/>
              </w:rPr>
            </w:pPr>
            <w:r w:rsidRPr="00735726">
              <w:rPr>
                <w:rFonts w:ascii="Arial" w:eastAsia="Times New Roman" w:hAnsi="Arial" w:cs="DINOT-Light"/>
                <w:i/>
                <w:color w:val="000000"/>
                <w:sz w:val="18"/>
                <w:szCs w:val="18"/>
              </w:rPr>
              <w:t xml:space="preserve">Transactions with </w:t>
            </w:r>
            <w:r w:rsidR="00C306AB" w:rsidRPr="00735726">
              <w:rPr>
                <w:rFonts w:ascii="Arial" w:eastAsia="Times New Roman" w:hAnsi="Arial" w:cs="DINOT-Light"/>
                <w:i/>
                <w:color w:val="000000"/>
                <w:sz w:val="18"/>
                <w:szCs w:val="18"/>
              </w:rPr>
              <w:t>equity shareholders</w:t>
            </w:r>
          </w:p>
        </w:tc>
        <w:tc>
          <w:tcPr>
            <w:tcW w:w="938" w:type="dxa"/>
            <w:vAlign w:val="bottom"/>
          </w:tcPr>
          <w:p w14:paraId="04E300F4"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i/>
                <w:sz w:val="18"/>
                <w:szCs w:val="18"/>
              </w:rPr>
            </w:pPr>
          </w:p>
        </w:tc>
        <w:tc>
          <w:tcPr>
            <w:tcW w:w="938" w:type="dxa"/>
            <w:tcMar>
              <w:top w:w="11" w:type="dxa"/>
              <w:left w:w="57" w:type="dxa"/>
              <w:bottom w:w="11" w:type="dxa"/>
              <w:right w:w="57" w:type="dxa"/>
            </w:tcMar>
          </w:tcPr>
          <w:p w14:paraId="13A83A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37" w:type="dxa"/>
          </w:tcPr>
          <w:p w14:paraId="37E5949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37" w:type="dxa"/>
            <w:tcMar>
              <w:top w:w="11" w:type="dxa"/>
              <w:left w:w="57" w:type="dxa"/>
              <w:bottom w:w="11" w:type="dxa"/>
              <w:right w:w="57" w:type="dxa"/>
            </w:tcMar>
          </w:tcPr>
          <w:p w14:paraId="7D82E3F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09" w:type="dxa"/>
            <w:tcMar>
              <w:top w:w="11" w:type="dxa"/>
              <w:left w:w="57" w:type="dxa"/>
              <w:bottom w:w="11" w:type="dxa"/>
              <w:right w:w="57" w:type="dxa"/>
            </w:tcMar>
          </w:tcPr>
          <w:p w14:paraId="2171270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r>
      <w:tr w:rsidR="00646F4F" w:rsidRPr="00735726" w14:paraId="2F0FC9FE" w14:textId="77777777" w:rsidTr="00CE19B2">
        <w:trPr>
          <w:trHeight w:val="222"/>
        </w:trPr>
        <w:tc>
          <w:tcPr>
            <w:tcW w:w="5466" w:type="dxa"/>
            <w:tcMar>
              <w:top w:w="11" w:type="dxa"/>
              <w:left w:w="57" w:type="dxa"/>
              <w:bottom w:w="11" w:type="dxa"/>
              <w:right w:w="57" w:type="dxa"/>
            </w:tcMar>
          </w:tcPr>
          <w:p w14:paraId="7B04A46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iCs/>
                <w:color w:val="000000"/>
                <w:sz w:val="18"/>
                <w:szCs w:val="18"/>
              </w:rPr>
              <w:t>Issue of ordinary shares</w:t>
            </w:r>
          </w:p>
        </w:tc>
        <w:tc>
          <w:tcPr>
            <w:tcW w:w="938" w:type="dxa"/>
            <w:vAlign w:val="bottom"/>
          </w:tcPr>
          <w:p w14:paraId="7C22FC05"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Mar>
              <w:top w:w="11" w:type="dxa"/>
              <w:left w:w="57" w:type="dxa"/>
              <w:bottom w:w="11" w:type="dxa"/>
              <w:right w:w="57" w:type="dxa"/>
            </w:tcMar>
          </w:tcPr>
          <w:p w14:paraId="652B437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iCs/>
                <w:sz w:val="18"/>
                <w:szCs w:val="18"/>
              </w:rPr>
              <w:t>330.0</w:t>
            </w:r>
          </w:p>
        </w:tc>
        <w:tc>
          <w:tcPr>
            <w:tcW w:w="937" w:type="dxa"/>
          </w:tcPr>
          <w:p w14:paraId="47C87C4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iCs/>
                <w:sz w:val="18"/>
                <w:szCs w:val="18"/>
              </w:rPr>
              <w:t>-</w:t>
            </w:r>
          </w:p>
        </w:tc>
        <w:tc>
          <w:tcPr>
            <w:tcW w:w="937" w:type="dxa"/>
            <w:tcMar>
              <w:top w:w="11" w:type="dxa"/>
              <w:left w:w="57" w:type="dxa"/>
              <w:bottom w:w="11" w:type="dxa"/>
              <w:right w:w="57" w:type="dxa"/>
            </w:tcMar>
          </w:tcPr>
          <w:p w14:paraId="7155A62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iCs/>
                <w:sz w:val="18"/>
                <w:szCs w:val="18"/>
              </w:rPr>
              <w:t>-</w:t>
            </w:r>
          </w:p>
        </w:tc>
        <w:tc>
          <w:tcPr>
            <w:tcW w:w="909" w:type="dxa"/>
            <w:tcMar>
              <w:top w:w="11" w:type="dxa"/>
              <w:left w:w="57" w:type="dxa"/>
              <w:bottom w:w="11" w:type="dxa"/>
              <w:right w:w="57" w:type="dxa"/>
            </w:tcMar>
          </w:tcPr>
          <w:p w14:paraId="7DD352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iCs/>
                <w:sz w:val="18"/>
                <w:szCs w:val="18"/>
              </w:rPr>
              <w:t>330.0</w:t>
            </w:r>
          </w:p>
        </w:tc>
      </w:tr>
      <w:tr w:rsidR="00646F4F" w:rsidRPr="00735726" w14:paraId="0CC7EEFE" w14:textId="77777777" w:rsidTr="00CE19B2">
        <w:trPr>
          <w:trHeight w:val="222"/>
        </w:trPr>
        <w:tc>
          <w:tcPr>
            <w:tcW w:w="5466" w:type="dxa"/>
            <w:tcMar>
              <w:top w:w="11" w:type="dxa"/>
              <w:left w:w="57" w:type="dxa"/>
              <w:bottom w:w="11" w:type="dxa"/>
              <w:right w:w="57" w:type="dxa"/>
            </w:tcMar>
          </w:tcPr>
          <w:p w14:paraId="0BC4ED9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43" w:name="XMETag_6c8070564fc148b0b98a76415cd7830b" w:colFirst="3" w:colLast="3"/>
            <w:bookmarkStart w:id="244" w:name="XMETag_c3d67f7c513e40eebec9c7ceaecb27ac" w:colFirst="4" w:colLast="4"/>
            <w:r w:rsidRPr="00735726">
              <w:rPr>
                <w:rFonts w:ascii="Arial" w:eastAsia="Times New Roman" w:hAnsi="Arial" w:cs="DINOT-Light"/>
                <w:color w:val="000000"/>
                <w:sz w:val="18"/>
                <w:szCs w:val="18"/>
              </w:rPr>
              <w:t>Share based payments (net of tax)</w:t>
            </w:r>
          </w:p>
        </w:tc>
        <w:tc>
          <w:tcPr>
            <w:tcW w:w="938" w:type="dxa"/>
            <w:vAlign w:val="bottom"/>
          </w:tcPr>
          <w:p w14:paraId="1CDC7FCC"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Mar>
              <w:top w:w="11" w:type="dxa"/>
              <w:left w:w="57" w:type="dxa"/>
              <w:bottom w:w="11" w:type="dxa"/>
              <w:right w:w="57" w:type="dxa"/>
            </w:tcMar>
          </w:tcPr>
          <w:p w14:paraId="521F6D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Pr>
          <w:p w14:paraId="1AC54B1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Mar>
              <w:top w:w="11" w:type="dxa"/>
              <w:left w:w="57" w:type="dxa"/>
              <w:bottom w:w="11" w:type="dxa"/>
              <w:right w:w="57" w:type="dxa"/>
            </w:tcMar>
          </w:tcPr>
          <w:p w14:paraId="1DDF5C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0.3</w:t>
            </w:r>
          </w:p>
        </w:tc>
        <w:tc>
          <w:tcPr>
            <w:tcW w:w="909" w:type="dxa"/>
            <w:tcMar>
              <w:top w:w="11" w:type="dxa"/>
              <w:left w:w="57" w:type="dxa"/>
              <w:bottom w:w="11" w:type="dxa"/>
              <w:right w:w="57" w:type="dxa"/>
            </w:tcMar>
          </w:tcPr>
          <w:p w14:paraId="1CFF64B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0.3</w:t>
            </w:r>
          </w:p>
        </w:tc>
      </w:tr>
      <w:tr w:rsidR="00646F4F" w:rsidRPr="00735726" w14:paraId="23C1469C" w14:textId="77777777" w:rsidTr="00CE19B2">
        <w:trPr>
          <w:trHeight w:val="222"/>
        </w:trPr>
        <w:tc>
          <w:tcPr>
            <w:tcW w:w="5466" w:type="dxa"/>
            <w:tcMar>
              <w:top w:w="11" w:type="dxa"/>
              <w:left w:w="57" w:type="dxa"/>
              <w:bottom w:w="11" w:type="dxa"/>
              <w:right w:w="57" w:type="dxa"/>
            </w:tcMar>
          </w:tcPr>
          <w:p w14:paraId="6D283B52" w14:textId="03D4A1C2"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45" w:name="XMETag_c7f61c5af558431cab29ad0b0c2aa848" w:colFirst="2" w:colLast="2"/>
            <w:bookmarkStart w:id="246" w:name="XMETag_48436c7248b14d93807ec1f8490a7f58" w:colFirst="3" w:colLast="3"/>
            <w:bookmarkStart w:id="247" w:name="XMETag_7bb1ac951dfa4db3bdd923aace7a9b62" w:colFirst="4" w:colLast="4"/>
            <w:bookmarkEnd w:id="243"/>
            <w:bookmarkEnd w:id="244"/>
            <w:r w:rsidRPr="00735726">
              <w:rPr>
                <w:rFonts w:ascii="Arial" w:eastAsia="Times New Roman" w:hAnsi="Arial" w:cs="DINOT-Light"/>
                <w:color w:val="000000"/>
                <w:sz w:val="18"/>
                <w:szCs w:val="18"/>
              </w:rPr>
              <w:t xml:space="preserve">Total transactions with </w:t>
            </w:r>
            <w:r w:rsidR="00C306AB" w:rsidRPr="00735726">
              <w:rPr>
                <w:rFonts w:ascii="Arial" w:eastAsia="Times New Roman" w:hAnsi="Arial" w:cs="DINOT-Light"/>
                <w:color w:val="000000"/>
                <w:sz w:val="18"/>
                <w:szCs w:val="18"/>
              </w:rPr>
              <w:t>equity shareholders</w:t>
            </w:r>
          </w:p>
        </w:tc>
        <w:tc>
          <w:tcPr>
            <w:tcW w:w="938" w:type="dxa"/>
            <w:vAlign w:val="bottom"/>
          </w:tcPr>
          <w:p w14:paraId="3B78A9B5"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Borders>
              <w:top w:val="single" w:sz="4" w:space="0" w:color="auto"/>
              <w:bottom w:val="single" w:sz="4" w:space="0" w:color="auto"/>
            </w:tcBorders>
            <w:tcMar>
              <w:top w:w="11" w:type="dxa"/>
              <w:left w:w="57" w:type="dxa"/>
              <w:bottom w:w="11" w:type="dxa"/>
              <w:right w:w="57" w:type="dxa"/>
            </w:tcMar>
          </w:tcPr>
          <w:p w14:paraId="1F13546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330.0</w:t>
            </w:r>
          </w:p>
        </w:tc>
        <w:tc>
          <w:tcPr>
            <w:tcW w:w="937" w:type="dxa"/>
            <w:tcBorders>
              <w:top w:val="single" w:sz="4" w:space="0" w:color="auto"/>
              <w:bottom w:val="single" w:sz="4" w:space="0" w:color="auto"/>
            </w:tcBorders>
          </w:tcPr>
          <w:p w14:paraId="4399D07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top w:val="single" w:sz="4" w:space="0" w:color="auto"/>
              <w:bottom w:val="single" w:sz="4" w:space="0" w:color="auto"/>
            </w:tcBorders>
            <w:tcMar>
              <w:top w:w="11" w:type="dxa"/>
              <w:left w:w="57" w:type="dxa"/>
              <w:bottom w:w="11" w:type="dxa"/>
              <w:right w:w="57" w:type="dxa"/>
            </w:tcMar>
          </w:tcPr>
          <w:p w14:paraId="7EDFC91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0.3</w:t>
            </w:r>
          </w:p>
        </w:tc>
        <w:tc>
          <w:tcPr>
            <w:tcW w:w="909" w:type="dxa"/>
            <w:tcBorders>
              <w:top w:val="single" w:sz="4" w:space="0" w:color="auto"/>
              <w:bottom w:val="single" w:sz="4" w:space="0" w:color="auto"/>
            </w:tcBorders>
            <w:tcMar>
              <w:top w:w="11" w:type="dxa"/>
              <w:left w:w="57" w:type="dxa"/>
              <w:bottom w:w="11" w:type="dxa"/>
              <w:right w:w="57" w:type="dxa"/>
            </w:tcMar>
          </w:tcPr>
          <w:p w14:paraId="6A3238F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330.3</w:t>
            </w:r>
          </w:p>
        </w:tc>
      </w:tr>
      <w:tr w:rsidR="00646F4F" w:rsidRPr="00735726" w14:paraId="375E142C" w14:textId="77777777" w:rsidTr="00CE19B2">
        <w:trPr>
          <w:trHeight w:val="222"/>
        </w:trPr>
        <w:tc>
          <w:tcPr>
            <w:tcW w:w="5466" w:type="dxa"/>
            <w:tcMar>
              <w:top w:w="11" w:type="dxa"/>
              <w:left w:w="57" w:type="dxa"/>
              <w:bottom w:w="11" w:type="dxa"/>
              <w:right w:w="57" w:type="dxa"/>
            </w:tcMar>
          </w:tcPr>
          <w:p w14:paraId="48BE9C7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48" w:name="XMETag_fd7fd2d677f24313af0087be5d3770a9" w:colFirst="2" w:colLast="2"/>
            <w:bookmarkStart w:id="249" w:name="XMETag_f91e8d244488418cb15464e5967b72b7" w:colFirst="3" w:colLast="3"/>
            <w:bookmarkStart w:id="250" w:name="XMETag_0e71dcca15534b828a4ec5b31c6413f3" w:colFirst="4" w:colLast="4"/>
            <w:bookmarkEnd w:id="245"/>
            <w:bookmarkEnd w:id="246"/>
            <w:bookmarkEnd w:id="247"/>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938" w:type="dxa"/>
            <w:vAlign w:val="bottom"/>
          </w:tcPr>
          <w:p w14:paraId="5384B015"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938" w:type="dxa"/>
            <w:tcBorders>
              <w:top w:val="single" w:sz="4" w:space="0" w:color="auto"/>
              <w:bottom w:val="single" w:sz="4" w:space="0" w:color="auto"/>
            </w:tcBorders>
            <w:tcMar>
              <w:top w:w="11" w:type="dxa"/>
              <w:left w:w="57" w:type="dxa"/>
              <w:bottom w:w="11" w:type="dxa"/>
              <w:right w:w="57" w:type="dxa"/>
            </w:tcMar>
          </w:tcPr>
          <w:p w14:paraId="2463FA5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625.9</w:t>
            </w:r>
          </w:p>
        </w:tc>
        <w:tc>
          <w:tcPr>
            <w:tcW w:w="937" w:type="dxa"/>
            <w:tcBorders>
              <w:top w:val="single" w:sz="4" w:space="0" w:color="auto"/>
              <w:bottom w:val="single" w:sz="4" w:space="0" w:color="auto"/>
            </w:tcBorders>
          </w:tcPr>
          <w:p w14:paraId="2A876D8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sz w:val="18"/>
                <w:szCs w:val="18"/>
              </w:rPr>
              <w:t>413.0</w:t>
            </w:r>
          </w:p>
        </w:tc>
        <w:tc>
          <w:tcPr>
            <w:tcW w:w="937" w:type="dxa"/>
            <w:tcBorders>
              <w:top w:val="single" w:sz="4" w:space="0" w:color="auto"/>
              <w:bottom w:val="single" w:sz="4" w:space="0" w:color="auto"/>
            </w:tcBorders>
            <w:tcMar>
              <w:top w:w="11" w:type="dxa"/>
              <w:left w:w="57" w:type="dxa"/>
              <w:bottom w:w="11" w:type="dxa"/>
              <w:right w:w="57" w:type="dxa"/>
            </w:tcMar>
          </w:tcPr>
          <w:p w14:paraId="288124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sz w:val="18"/>
                <w:szCs w:val="18"/>
              </w:rPr>
              <w:t>154.5</w:t>
            </w:r>
          </w:p>
        </w:tc>
        <w:tc>
          <w:tcPr>
            <w:tcW w:w="909" w:type="dxa"/>
            <w:tcBorders>
              <w:top w:val="single" w:sz="4" w:space="0" w:color="auto"/>
              <w:bottom w:val="single" w:sz="4" w:space="0" w:color="auto"/>
            </w:tcBorders>
            <w:tcMar>
              <w:top w:w="11" w:type="dxa"/>
              <w:left w:w="57" w:type="dxa"/>
              <w:bottom w:w="11" w:type="dxa"/>
              <w:right w:w="57" w:type="dxa"/>
            </w:tcMar>
          </w:tcPr>
          <w:p w14:paraId="7D58165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sz w:val="18"/>
                <w:szCs w:val="18"/>
              </w:rPr>
              <w:t>1,193.4</w:t>
            </w:r>
          </w:p>
        </w:tc>
      </w:tr>
      <w:bookmarkEnd w:id="248"/>
      <w:bookmarkEnd w:id="249"/>
      <w:bookmarkEnd w:id="250"/>
      <w:tr w:rsidR="00646F4F" w:rsidRPr="00735726" w14:paraId="58AA26B2" w14:textId="77777777" w:rsidTr="00CE19B2">
        <w:trPr>
          <w:trHeight w:val="86"/>
        </w:trPr>
        <w:tc>
          <w:tcPr>
            <w:tcW w:w="5466" w:type="dxa"/>
            <w:tcMar>
              <w:top w:w="11" w:type="dxa"/>
              <w:left w:w="57" w:type="dxa"/>
              <w:bottom w:w="11" w:type="dxa"/>
              <w:right w:w="57" w:type="dxa"/>
            </w:tcMar>
          </w:tcPr>
          <w:p w14:paraId="2F38AC89"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938" w:type="dxa"/>
            <w:vAlign w:val="bottom"/>
          </w:tcPr>
          <w:p w14:paraId="2C3FC15D"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938" w:type="dxa"/>
            <w:tcBorders>
              <w:top w:val="single" w:sz="4" w:space="0" w:color="auto"/>
            </w:tcBorders>
            <w:tcMar>
              <w:top w:w="11" w:type="dxa"/>
              <w:left w:w="57" w:type="dxa"/>
              <w:bottom w:w="11" w:type="dxa"/>
              <w:right w:w="57" w:type="dxa"/>
            </w:tcMar>
          </w:tcPr>
          <w:p w14:paraId="24E9CC1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37" w:type="dxa"/>
            <w:tcBorders>
              <w:top w:val="single" w:sz="4" w:space="0" w:color="auto"/>
            </w:tcBorders>
          </w:tcPr>
          <w:p w14:paraId="3847C79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37" w:type="dxa"/>
            <w:tcBorders>
              <w:top w:val="single" w:sz="4" w:space="0" w:color="auto"/>
            </w:tcBorders>
            <w:tcMar>
              <w:top w:w="11" w:type="dxa"/>
              <w:left w:w="57" w:type="dxa"/>
              <w:bottom w:w="11" w:type="dxa"/>
              <w:right w:w="57" w:type="dxa"/>
            </w:tcMar>
          </w:tcPr>
          <w:p w14:paraId="34C05335"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09" w:type="dxa"/>
            <w:tcBorders>
              <w:top w:val="single" w:sz="4" w:space="0" w:color="auto"/>
            </w:tcBorders>
            <w:tcMar>
              <w:top w:w="11" w:type="dxa"/>
              <w:left w:w="57" w:type="dxa"/>
              <w:bottom w:w="11" w:type="dxa"/>
              <w:right w:w="57" w:type="dxa"/>
            </w:tcMar>
          </w:tcPr>
          <w:p w14:paraId="5144D4F2"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4A72B692" w14:textId="77777777" w:rsidTr="00CE19B2">
        <w:trPr>
          <w:trHeight w:val="222"/>
        </w:trPr>
        <w:tc>
          <w:tcPr>
            <w:tcW w:w="5466" w:type="dxa"/>
            <w:tcMar>
              <w:top w:w="11" w:type="dxa"/>
              <w:left w:w="57" w:type="dxa"/>
              <w:bottom w:w="11" w:type="dxa"/>
              <w:right w:w="57" w:type="dxa"/>
            </w:tcMar>
          </w:tcPr>
          <w:p w14:paraId="129B724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51" w:name="XMETag_ad04cfab0aef450f8af6a8c75f265970" w:colFirst="3" w:colLast="3"/>
            <w:bookmarkStart w:id="252" w:name="XMETag_79ecdc0b20724e50b1b8a01f6029ce52" w:colFirst="4" w:colLast="4"/>
            <w:r w:rsidRPr="00735726">
              <w:rPr>
                <w:rFonts w:ascii="Arial" w:eastAsia="Times New Roman" w:hAnsi="Arial" w:cs="DINOT-Light"/>
                <w:color w:val="000000"/>
                <w:sz w:val="18"/>
                <w:szCs w:val="18"/>
              </w:rPr>
              <w:t>Profit for the year</w:t>
            </w:r>
          </w:p>
        </w:tc>
        <w:tc>
          <w:tcPr>
            <w:tcW w:w="938" w:type="dxa"/>
            <w:vAlign w:val="bottom"/>
          </w:tcPr>
          <w:p w14:paraId="707AD731"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Mar>
              <w:top w:w="11" w:type="dxa"/>
              <w:left w:w="57" w:type="dxa"/>
              <w:bottom w:w="11" w:type="dxa"/>
              <w:right w:w="57" w:type="dxa"/>
            </w:tcMar>
          </w:tcPr>
          <w:p w14:paraId="339E59C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Pr>
          <w:p w14:paraId="5CE60AC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Mar>
              <w:top w:w="11" w:type="dxa"/>
              <w:left w:w="57" w:type="dxa"/>
              <w:bottom w:w="11" w:type="dxa"/>
              <w:right w:w="57" w:type="dxa"/>
            </w:tcMar>
          </w:tcPr>
          <w:p w14:paraId="0037F0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91.4</w:t>
            </w:r>
          </w:p>
        </w:tc>
        <w:tc>
          <w:tcPr>
            <w:tcW w:w="909" w:type="dxa"/>
            <w:tcMar>
              <w:top w:w="11" w:type="dxa"/>
              <w:left w:w="57" w:type="dxa"/>
              <w:bottom w:w="11" w:type="dxa"/>
              <w:right w:w="57" w:type="dxa"/>
            </w:tcMar>
          </w:tcPr>
          <w:p w14:paraId="7D0882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91.4</w:t>
            </w:r>
          </w:p>
        </w:tc>
      </w:tr>
      <w:tr w:rsidR="00646F4F" w:rsidRPr="00735726" w14:paraId="0DDEE06B" w14:textId="77777777" w:rsidTr="00CE19B2">
        <w:trPr>
          <w:trHeight w:val="222"/>
        </w:trPr>
        <w:tc>
          <w:tcPr>
            <w:tcW w:w="5466" w:type="dxa"/>
            <w:tcMar>
              <w:top w:w="11" w:type="dxa"/>
              <w:left w:w="57" w:type="dxa"/>
              <w:bottom w:w="11" w:type="dxa"/>
              <w:right w:w="57" w:type="dxa"/>
            </w:tcMar>
          </w:tcPr>
          <w:p w14:paraId="2DD2D29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53" w:name="XMETag_2316bd4577c145b099b35692f4cf15e7" w:colFirst="3" w:colLast="3"/>
            <w:bookmarkStart w:id="254" w:name="XMETag_32e711b9f46f46259d873a06838c3ef1" w:colFirst="4" w:colLast="4"/>
            <w:bookmarkEnd w:id="251"/>
            <w:bookmarkEnd w:id="252"/>
            <w:r w:rsidRPr="00735726">
              <w:rPr>
                <w:rFonts w:ascii="Arial" w:eastAsia="Times New Roman" w:hAnsi="Arial" w:cs="DINOT-Light"/>
                <w:color w:val="000000"/>
                <w:sz w:val="18"/>
                <w:szCs w:val="18"/>
              </w:rPr>
              <w:t>Other comprehensive loss for the year</w:t>
            </w:r>
          </w:p>
        </w:tc>
        <w:tc>
          <w:tcPr>
            <w:tcW w:w="938" w:type="dxa"/>
            <w:vAlign w:val="bottom"/>
          </w:tcPr>
          <w:p w14:paraId="0BE58C47"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Borders>
              <w:bottom w:val="single" w:sz="4" w:space="0" w:color="auto"/>
            </w:tcBorders>
            <w:tcMar>
              <w:top w:w="11" w:type="dxa"/>
              <w:left w:w="57" w:type="dxa"/>
              <w:bottom w:w="11" w:type="dxa"/>
              <w:right w:w="57" w:type="dxa"/>
            </w:tcMar>
          </w:tcPr>
          <w:p w14:paraId="004333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bottom w:val="single" w:sz="4" w:space="0" w:color="auto"/>
            </w:tcBorders>
          </w:tcPr>
          <w:p w14:paraId="2D23EEF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bottom w:val="single" w:sz="4" w:space="0" w:color="auto"/>
            </w:tcBorders>
            <w:tcMar>
              <w:top w:w="11" w:type="dxa"/>
              <w:left w:w="57" w:type="dxa"/>
              <w:bottom w:w="11" w:type="dxa"/>
              <w:right w:w="57" w:type="dxa"/>
            </w:tcMar>
          </w:tcPr>
          <w:p w14:paraId="56933A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(1.4)</w:t>
            </w:r>
          </w:p>
        </w:tc>
        <w:tc>
          <w:tcPr>
            <w:tcW w:w="909" w:type="dxa"/>
            <w:tcBorders>
              <w:bottom w:val="single" w:sz="4" w:space="0" w:color="auto"/>
            </w:tcBorders>
            <w:tcMar>
              <w:top w:w="11" w:type="dxa"/>
              <w:left w:w="57" w:type="dxa"/>
              <w:bottom w:w="11" w:type="dxa"/>
              <w:right w:w="57" w:type="dxa"/>
            </w:tcMar>
          </w:tcPr>
          <w:p w14:paraId="6934138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(1.4)</w:t>
            </w:r>
          </w:p>
        </w:tc>
      </w:tr>
      <w:tr w:rsidR="00646F4F" w:rsidRPr="00735726" w14:paraId="69A2CC68" w14:textId="77777777" w:rsidTr="00CE19B2">
        <w:trPr>
          <w:trHeight w:val="222"/>
        </w:trPr>
        <w:tc>
          <w:tcPr>
            <w:tcW w:w="5466" w:type="dxa"/>
            <w:tcMar>
              <w:top w:w="11" w:type="dxa"/>
              <w:left w:w="57" w:type="dxa"/>
              <w:bottom w:w="11" w:type="dxa"/>
              <w:right w:w="57" w:type="dxa"/>
            </w:tcMar>
          </w:tcPr>
          <w:p w14:paraId="3A54145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55" w:name="XMETag_30ab56787fd145f0be20b761c4f9f994" w:colFirst="3" w:colLast="3"/>
            <w:bookmarkStart w:id="256" w:name="XMETag_ffcd13db23ae4fe0b69ddf324e1a602c" w:colFirst="4" w:colLast="4"/>
            <w:bookmarkEnd w:id="253"/>
            <w:bookmarkEnd w:id="254"/>
            <w:r w:rsidRPr="00735726">
              <w:rPr>
                <w:rFonts w:ascii="Arial" w:eastAsia="Times New Roman" w:hAnsi="Arial" w:cs="DINOT-Light"/>
                <w:color w:val="000000"/>
                <w:sz w:val="18"/>
                <w:szCs w:val="18"/>
              </w:rPr>
              <w:t>Total comprehensive profit for the year</w:t>
            </w:r>
          </w:p>
        </w:tc>
        <w:tc>
          <w:tcPr>
            <w:tcW w:w="938" w:type="dxa"/>
            <w:vAlign w:val="bottom"/>
          </w:tcPr>
          <w:p w14:paraId="469CC1D7"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Borders>
              <w:top w:val="single" w:sz="4" w:space="0" w:color="auto"/>
            </w:tcBorders>
            <w:tcMar>
              <w:top w:w="11" w:type="dxa"/>
              <w:left w:w="57" w:type="dxa"/>
              <w:bottom w:w="11" w:type="dxa"/>
              <w:right w:w="57" w:type="dxa"/>
            </w:tcMar>
          </w:tcPr>
          <w:p w14:paraId="06C541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top w:val="single" w:sz="4" w:space="0" w:color="auto"/>
            </w:tcBorders>
          </w:tcPr>
          <w:p w14:paraId="586CCBA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top w:val="single" w:sz="4" w:space="0" w:color="auto"/>
            </w:tcBorders>
            <w:tcMar>
              <w:top w:w="11" w:type="dxa"/>
              <w:left w:w="57" w:type="dxa"/>
              <w:bottom w:w="11" w:type="dxa"/>
              <w:right w:w="57" w:type="dxa"/>
            </w:tcMar>
          </w:tcPr>
          <w:p w14:paraId="60CD3DE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90.0</w:t>
            </w:r>
          </w:p>
        </w:tc>
        <w:tc>
          <w:tcPr>
            <w:tcW w:w="909" w:type="dxa"/>
            <w:tcBorders>
              <w:top w:val="single" w:sz="4" w:space="0" w:color="auto"/>
            </w:tcBorders>
            <w:tcMar>
              <w:top w:w="11" w:type="dxa"/>
              <w:left w:w="57" w:type="dxa"/>
              <w:bottom w:w="11" w:type="dxa"/>
              <w:right w:w="57" w:type="dxa"/>
            </w:tcMar>
          </w:tcPr>
          <w:p w14:paraId="3CCB98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90.0</w:t>
            </w:r>
          </w:p>
        </w:tc>
      </w:tr>
      <w:bookmarkEnd w:id="255"/>
      <w:bookmarkEnd w:id="256"/>
      <w:tr w:rsidR="00646F4F" w:rsidRPr="00735726" w14:paraId="7392A7B1" w14:textId="77777777" w:rsidTr="00CE19B2">
        <w:trPr>
          <w:trHeight w:val="222"/>
        </w:trPr>
        <w:tc>
          <w:tcPr>
            <w:tcW w:w="5466" w:type="dxa"/>
            <w:tcMar>
              <w:top w:w="11" w:type="dxa"/>
              <w:left w:w="57" w:type="dxa"/>
              <w:bottom w:w="11" w:type="dxa"/>
              <w:right w:w="57" w:type="dxa"/>
            </w:tcMar>
          </w:tcPr>
          <w:p w14:paraId="2588B0F0"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i/>
                <w:color w:val="000000"/>
                <w:sz w:val="18"/>
                <w:szCs w:val="18"/>
              </w:rPr>
            </w:pPr>
          </w:p>
        </w:tc>
        <w:tc>
          <w:tcPr>
            <w:tcW w:w="938" w:type="dxa"/>
            <w:vAlign w:val="bottom"/>
          </w:tcPr>
          <w:p w14:paraId="07F8A408"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i/>
                <w:sz w:val="18"/>
                <w:szCs w:val="18"/>
              </w:rPr>
            </w:pPr>
          </w:p>
        </w:tc>
        <w:tc>
          <w:tcPr>
            <w:tcW w:w="938" w:type="dxa"/>
            <w:tcMar>
              <w:top w:w="11" w:type="dxa"/>
              <w:left w:w="57" w:type="dxa"/>
              <w:bottom w:w="11" w:type="dxa"/>
              <w:right w:w="57" w:type="dxa"/>
            </w:tcMar>
          </w:tcPr>
          <w:p w14:paraId="68B98D4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37" w:type="dxa"/>
          </w:tcPr>
          <w:p w14:paraId="316D32A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37" w:type="dxa"/>
            <w:tcMar>
              <w:top w:w="11" w:type="dxa"/>
              <w:left w:w="57" w:type="dxa"/>
              <w:bottom w:w="11" w:type="dxa"/>
              <w:right w:w="57" w:type="dxa"/>
            </w:tcMar>
          </w:tcPr>
          <w:p w14:paraId="453E3A4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09" w:type="dxa"/>
            <w:tcMar>
              <w:top w:w="11" w:type="dxa"/>
              <w:left w:w="57" w:type="dxa"/>
              <w:bottom w:w="11" w:type="dxa"/>
              <w:right w:w="57" w:type="dxa"/>
            </w:tcMar>
          </w:tcPr>
          <w:p w14:paraId="7F4E229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r>
      <w:tr w:rsidR="00C306AB" w:rsidRPr="00735726" w14:paraId="270B58EF" w14:textId="77777777" w:rsidTr="00CE19B2">
        <w:trPr>
          <w:trHeight w:val="222"/>
        </w:trPr>
        <w:tc>
          <w:tcPr>
            <w:tcW w:w="5466" w:type="dxa"/>
            <w:tcMar>
              <w:top w:w="11" w:type="dxa"/>
              <w:left w:w="57" w:type="dxa"/>
              <w:bottom w:w="11" w:type="dxa"/>
              <w:right w:w="57" w:type="dxa"/>
            </w:tcMar>
          </w:tcPr>
          <w:p w14:paraId="5C38163A" w14:textId="57450FDC" w:rsidR="00C306AB" w:rsidRPr="00735726" w:rsidRDefault="00C306AB" w:rsidP="00C306AB">
            <w:pPr>
              <w:widowControl w:val="0"/>
              <w:suppressAutoHyphens/>
              <w:autoSpaceDE w:val="0"/>
              <w:autoSpaceDN w:val="0"/>
              <w:adjustRightInd w:val="0"/>
              <w:spacing w:after="0" w:line="220" w:lineRule="atLeast"/>
              <w:textAlignment w:val="center"/>
              <w:rPr>
                <w:rFonts w:ascii="Arial" w:eastAsia="Times New Roman" w:hAnsi="Arial" w:cs="DINOT-Light"/>
                <w:i/>
                <w:color w:val="000000"/>
                <w:sz w:val="18"/>
                <w:szCs w:val="18"/>
              </w:rPr>
            </w:pPr>
            <w:r w:rsidRPr="00735726">
              <w:rPr>
                <w:rFonts w:ascii="Arial" w:eastAsia="Times New Roman" w:hAnsi="Arial" w:cs="DINOT-Light"/>
                <w:i/>
                <w:color w:val="000000"/>
                <w:sz w:val="18"/>
                <w:szCs w:val="18"/>
              </w:rPr>
              <w:t>Transactions with equity shareholders</w:t>
            </w:r>
          </w:p>
        </w:tc>
        <w:tc>
          <w:tcPr>
            <w:tcW w:w="938" w:type="dxa"/>
            <w:vAlign w:val="bottom"/>
          </w:tcPr>
          <w:p w14:paraId="6EB9A2AF" w14:textId="77777777" w:rsidR="00C306AB" w:rsidRPr="00735726" w:rsidRDefault="00C306AB" w:rsidP="00C306AB">
            <w:pPr>
              <w:widowControl w:val="0"/>
              <w:suppressAutoHyphens/>
              <w:autoSpaceDE w:val="0"/>
              <w:autoSpaceDN w:val="0"/>
              <w:adjustRightInd w:val="0"/>
              <w:spacing w:after="0" w:line="220" w:lineRule="atLeast"/>
              <w:jc w:val="center"/>
              <w:textAlignment w:val="center"/>
              <w:rPr>
                <w:rFonts w:ascii="Arial" w:eastAsia="Times New Roman" w:hAnsi="Arial" w:cs="DINOT-Light"/>
                <w:i/>
                <w:sz w:val="18"/>
                <w:szCs w:val="18"/>
              </w:rPr>
            </w:pPr>
          </w:p>
        </w:tc>
        <w:tc>
          <w:tcPr>
            <w:tcW w:w="938" w:type="dxa"/>
            <w:tcMar>
              <w:top w:w="11" w:type="dxa"/>
              <w:left w:w="57" w:type="dxa"/>
              <w:bottom w:w="11" w:type="dxa"/>
              <w:right w:w="57" w:type="dxa"/>
            </w:tcMar>
          </w:tcPr>
          <w:p w14:paraId="62A2F7D4" w14:textId="77777777" w:rsidR="00C306AB" w:rsidRPr="00735726" w:rsidRDefault="00C306A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37" w:type="dxa"/>
          </w:tcPr>
          <w:p w14:paraId="210A5B5B" w14:textId="77777777" w:rsidR="00C306AB" w:rsidRPr="00735726" w:rsidRDefault="00C306A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37" w:type="dxa"/>
            <w:tcMar>
              <w:top w:w="11" w:type="dxa"/>
              <w:left w:w="57" w:type="dxa"/>
              <w:bottom w:w="11" w:type="dxa"/>
              <w:right w:w="57" w:type="dxa"/>
            </w:tcMar>
          </w:tcPr>
          <w:p w14:paraId="255F75A5" w14:textId="77777777" w:rsidR="00C306AB" w:rsidRPr="00735726" w:rsidRDefault="00C306A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c>
          <w:tcPr>
            <w:tcW w:w="909" w:type="dxa"/>
            <w:tcMar>
              <w:top w:w="11" w:type="dxa"/>
              <w:left w:w="57" w:type="dxa"/>
              <w:bottom w:w="11" w:type="dxa"/>
              <w:right w:w="57" w:type="dxa"/>
            </w:tcMar>
          </w:tcPr>
          <w:p w14:paraId="5A310EA3" w14:textId="77777777" w:rsidR="00C306AB" w:rsidRPr="00735726" w:rsidRDefault="00C306A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i/>
                <w:sz w:val="18"/>
                <w:szCs w:val="18"/>
              </w:rPr>
            </w:pPr>
          </w:p>
        </w:tc>
      </w:tr>
      <w:tr w:rsidR="00B444CB" w:rsidRPr="00735726" w14:paraId="51878A2A" w14:textId="77777777" w:rsidTr="00CE19B2">
        <w:trPr>
          <w:trHeight w:val="222"/>
        </w:trPr>
        <w:tc>
          <w:tcPr>
            <w:tcW w:w="5466" w:type="dxa"/>
            <w:tcMar>
              <w:top w:w="11" w:type="dxa"/>
              <w:left w:w="57" w:type="dxa"/>
              <w:bottom w:w="11" w:type="dxa"/>
              <w:right w:w="57" w:type="dxa"/>
            </w:tcMar>
          </w:tcPr>
          <w:p w14:paraId="64991798" w14:textId="70885E4E" w:rsidR="00B444CB" w:rsidRPr="00735726" w:rsidRDefault="00B444CB" w:rsidP="00C306AB">
            <w:pPr>
              <w:widowControl w:val="0"/>
              <w:suppressAutoHyphens/>
              <w:autoSpaceDE w:val="0"/>
              <w:autoSpaceDN w:val="0"/>
              <w:adjustRightInd w:val="0"/>
              <w:spacing w:after="0" w:line="220" w:lineRule="atLeast"/>
              <w:textAlignment w:val="center"/>
              <w:rPr>
                <w:rFonts w:ascii="Arial" w:eastAsia="Times New Roman" w:hAnsi="Arial" w:cs="DINOT-Light"/>
                <w:iCs/>
                <w:color w:val="000000"/>
                <w:sz w:val="18"/>
                <w:szCs w:val="18"/>
              </w:rPr>
            </w:pPr>
            <w:r w:rsidRPr="00735726">
              <w:rPr>
                <w:rFonts w:ascii="Arial" w:eastAsia="Times New Roman" w:hAnsi="Arial" w:cs="DINOT-Light"/>
                <w:iCs/>
                <w:color w:val="000000"/>
                <w:sz w:val="18"/>
                <w:szCs w:val="18"/>
              </w:rPr>
              <w:t>Dividends paid</w:t>
            </w:r>
          </w:p>
        </w:tc>
        <w:tc>
          <w:tcPr>
            <w:tcW w:w="938" w:type="dxa"/>
            <w:vAlign w:val="bottom"/>
          </w:tcPr>
          <w:p w14:paraId="602B1947" w14:textId="77777777" w:rsidR="00B444CB" w:rsidRPr="00735726" w:rsidRDefault="00B444CB" w:rsidP="00C306AB">
            <w:pPr>
              <w:widowControl w:val="0"/>
              <w:suppressAutoHyphens/>
              <w:autoSpaceDE w:val="0"/>
              <w:autoSpaceDN w:val="0"/>
              <w:adjustRightInd w:val="0"/>
              <w:spacing w:after="0" w:line="220" w:lineRule="atLeast"/>
              <w:jc w:val="center"/>
              <w:textAlignment w:val="center"/>
              <w:rPr>
                <w:rFonts w:ascii="Arial" w:eastAsia="Times New Roman" w:hAnsi="Arial" w:cs="DINOT-Light"/>
                <w:i/>
                <w:sz w:val="18"/>
                <w:szCs w:val="18"/>
              </w:rPr>
            </w:pPr>
          </w:p>
        </w:tc>
        <w:tc>
          <w:tcPr>
            <w:tcW w:w="938" w:type="dxa"/>
            <w:tcMar>
              <w:top w:w="11" w:type="dxa"/>
              <w:left w:w="57" w:type="dxa"/>
              <w:bottom w:w="11" w:type="dxa"/>
              <w:right w:w="57" w:type="dxa"/>
            </w:tcMar>
          </w:tcPr>
          <w:p w14:paraId="7075AAAE" w14:textId="2C44A39E" w:rsidR="00B444CB" w:rsidRPr="00735726" w:rsidRDefault="00B444C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iCs/>
                <w:sz w:val="18"/>
                <w:szCs w:val="18"/>
              </w:rPr>
            </w:pPr>
            <w:r w:rsidRPr="00735726">
              <w:rPr>
                <w:rFonts w:ascii="Arial" w:eastAsia="Times New Roman" w:hAnsi="Arial" w:cs="DINOT-Light"/>
                <w:iCs/>
                <w:sz w:val="18"/>
                <w:szCs w:val="18"/>
              </w:rPr>
              <w:t>-</w:t>
            </w:r>
          </w:p>
        </w:tc>
        <w:tc>
          <w:tcPr>
            <w:tcW w:w="937" w:type="dxa"/>
          </w:tcPr>
          <w:p w14:paraId="6D21D902" w14:textId="74D8E187" w:rsidR="00B444CB" w:rsidRPr="00735726" w:rsidRDefault="00B444C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iCs/>
                <w:sz w:val="18"/>
                <w:szCs w:val="18"/>
              </w:rPr>
            </w:pPr>
            <w:r w:rsidRPr="00735726">
              <w:rPr>
                <w:rFonts w:ascii="Arial" w:eastAsia="Times New Roman" w:hAnsi="Arial" w:cs="DINOT-Light"/>
                <w:iCs/>
                <w:sz w:val="18"/>
                <w:szCs w:val="18"/>
              </w:rPr>
              <w:t>-</w:t>
            </w:r>
          </w:p>
        </w:tc>
        <w:tc>
          <w:tcPr>
            <w:tcW w:w="937" w:type="dxa"/>
            <w:tcMar>
              <w:top w:w="11" w:type="dxa"/>
              <w:left w:w="57" w:type="dxa"/>
              <w:bottom w:w="11" w:type="dxa"/>
              <w:right w:w="57" w:type="dxa"/>
            </w:tcMar>
          </w:tcPr>
          <w:p w14:paraId="468F0F0C" w14:textId="5DA89440" w:rsidR="00B444CB" w:rsidRPr="00735726" w:rsidRDefault="00B444C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iCs/>
                <w:sz w:val="18"/>
                <w:szCs w:val="18"/>
              </w:rPr>
            </w:pPr>
            <w:r w:rsidRPr="00735726">
              <w:rPr>
                <w:rFonts w:ascii="Arial" w:eastAsia="Times New Roman" w:hAnsi="Arial" w:cs="DINOT-Light"/>
                <w:iCs/>
                <w:sz w:val="18"/>
                <w:szCs w:val="18"/>
              </w:rPr>
              <w:t>(75.0)</w:t>
            </w:r>
          </w:p>
        </w:tc>
        <w:tc>
          <w:tcPr>
            <w:tcW w:w="909" w:type="dxa"/>
            <w:tcMar>
              <w:top w:w="11" w:type="dxa"/>
              <w:left w:w="57" w:type="dxa"/>
              <w:bottom w:w="11" w:type="dxa"/>
              <w:right w:w="57" w:type="dxa"/>
            </w:tcMar>
          </w:tcPr>
          <w:p w14:paraId="794119CB" w14:textId="0B846973" w:rsidR="00B444CB" w:rsidRPr="00735726" w:rsidRDefault="00B444C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iCs/>
                <w:sz w:val="18"/>
                <w:szCs w:val="18"/>
              </w:rPr>
            </w:pPr>
            <w:r w:rsidRPr="00735726">
              <w:rPr>
                <w:rFonts w:ascii="Arial" w:eastAsia="Times New Roman" w:hAnsi="Arial" w:cs="DINOT-Light"/>
                <w:iCs/>
                <w:sz w:val="18"/>
                <w:szCs w:val="18"/>
              </w:rPr>
              <w:t>(75.0)</w:t>
            </w:r>
          </w:p>
        </w:tc>
      </w:tr>
      <w:tr w:rsidR="00646F4F" w:rsidRPr="00735726" w14:paraId="4179A986" w14:textId="77777777" w:rsidTr="00CE19B2">
        <w:trPr>
          <w:trHeight w:val="222"/>
        </w:trPr>
        <w:tc>
          <w:tcPr>
            <w:tcW w:w="5466" w:type="dxa"/>
            <w:tcMar>
              <w:top w:w="11" w:type="dxa"/>
              <w:left w:w="57" w:type="dxa"/>
              <w:bottom w:w="11" w:type="dxa"/>
              <w:right w:w="57" w:type="dxa"/>
            </w:tcMar>
          </w:tcPr>
          <w:p w14:paraId="795F9AD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iCs/>
                <w:color w:val="000000"/>
                <w:sz w:val="18"/>
                <w:szCs w:val="18"/>
              </w:rPr>
            </w:pPr>
            <w:r w:rsidRPr="00735726">
              <w:rPr>
                <w:rFonts w:ascii="Arial" w:eastAsia="Times New Roman" w:hAnsi="Arial" w:cs="DINOT-Light"/>
                <w:iCs/>
                <w:color w:val="000000"/>
                <w:sz w:val="18"/>
                <w:szCs w:val="18"/>
              </w:rPr>
              <w:t>Dividends deferred</w:t>
            </w:r>
          </w:p>
        </w:tc>
        <w:tc>
          <w:tcPr>
            <w:tcW w:w="938" w:type="dxa"/>
            <w:vAlign w:val="bottom"/>
          </w:tcPr>
          <w:p w14:paraId="63C532E1"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i/>
                <w:sz w:val="18"/>
                <w:szCs w:val="18"/>
              </w:rPr>
            </w:pPr>
          </w:p>
        </w:tc>
        <w:tc>
          <w:tcPr>
            <w:tcW w:w="938" w:type="dxa"/>
            <w:tcMar>
              <w:top w:w="11" w:type="dxa"/>
              <w:left w:w="57" w:type="dxa"/>
              <w:bottom w:w="11" w:type="dxa"/>
              <w:right w:w="57" w:type="dxa"/>
            </w:tcMar>
          </w:tcPr>
          <w:p w14:paraId="1F3DC1E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Cs/>
                <w:sz w:val="18"/>
                <w:szCs w:val="18"/>
              </w:rPr>
            </w:pPr>
            <w:r w:rsidRPr="00735726">
              <w:rPr>
                <w:rFonts w:ascii="Arial" w:eastAsia="Times New Roman" w:hAnsi="Arial" w:cs="DINOT-Light"/>
                <w:iCs/>
                <w:sz w:val="18"/>
                <w:szCs w:val="18"/>
              </w:rPr>
              <w:t>-</w:t>
            </w:r>
          </w:p>
        </w:tc>
        <w:tc>
          <w:tcPr>
            <w:tcW w:w="937" w:type="dxa"/>
          </w:tcPr>
          <w:p w14:paraId="1F43639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Cs/>
                <w:sz w:val="18"/>
                <w:szCs w:val="18"/>
              </w:rPr>
            </w:pPr>
            <w:r w:rsidRPr="00735726">
              <w:rPr>
                <w:rFonts w:ascii="Arial" w:eastAsia="Times New Roman" w:hAnsi="Arial" w:cs="DINOT-Light"/>
                <w:iCs/>
                <w:sz w:val="18"/>
                <w:szCs w:val="18"/>
              </w:rPr>
              <w:t>-</w:t>
            </w:r>
          </w:p>
        </w:tc>
        <w:tc>
          <w:tcPr>
            <w:tcW w:w="937" w:type="dxa"/>
            <w:tcMar>
              <w:top w:w="11" w:type="dxa"/>
              <w:left w:w="57" w:type="dxa"/>
              <w:bottom w:w="11" w:type="dxa"/>
              <w:right w:w="57" w:type="dxa"/>
            </w:tcMar>
          </w:tcPr>
          <w:p w14:paraId="774FD6E4" w14:textId="2C671F94"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Cs/>
                <w:sz w:val="18"/>
                <w:szCs w:val="18"/>
              </w:rPr>
            </w:pPr>
            <w:r w:rsidRPr="00735726">
              <w:rPr>
                <w:rFonts w:ascii="Arial" w:eastAsia="Times New Roman" w:hAnsi="Arial" w:cs="DINOT-Light"/>
                <w:iCs/>
                <w:sz w:val="18"/>
                <w:szCs w:val="18"/>
              </w:rPr>
              <w:t>(</w:t>
            </w:r>
            <w:r w:rsidR="00B444CB" w:rsidRPr="00735726">
              <w:rPr>
                <w:rFonts w:ascii="Arial" w:eastAsia="Times New Roman" w:hAnsi="Arial" w:cs="DINOT-Light"/>
                <w:iCs/>
                <w:sz w:val="18"/>
                <w:szCs w:val="18"/>
              </w:rPr>
              <w:t>125.0</w:t>
            </w:r>
            <w:r w:rsidRPr="00735726">
              <w:rPr>
                <w:rFonts w:ascii="Arial" w:eastAsia="Times New Roman" w:hAnsi="Arial" w:cs="DINOT-Light"/>
                <w:iCs/>
                <w:sz w:val="18"/>
                <w:szCs w:val="18"/>
              </w:rPr>
              <w:t>)</w:t>
            </w:r>
          </w:p>
        </w:tc>
        <w:tc>
          <w:tcPr>
            <w:tcW w:w="909" w:type="dxa"/>
            <w:tcMar>
              <w:top w:w="11" w:type="dxa"/>
              <w:left w:w="57" w:type="dxa"/>
              <w:bottom w:w="11" w:type="dxa"/>
              <w:right w:w="57" w:type="dxa"/>
            </w:tcMar>
          </w:tcPr>
          <w:p w14:paraId="4CF3D686" w14:textId="0B3339D3" w:rsidR="00646F4F" w:rsidRPr="00735726" w:rsidRDefault="00B444CB"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Cs/>
                <w:sz w:val="18"/>
                <w:szCs w:val="18"/>
              </w:rPr>
            </w:pPr>
            <w:r w:rsidRPr="00735726">
              <w:rPr>
                <w:rFonts w:ascii="Arial" w:eastAsia="Times New Roman" w:hAnsi="Arial" w:cs="DINOT-Light"/>
                <w:iCs/>
                <w:sz w:val="18"/>
                <w:szCs w:val="18"/>
              </w:rPr>
              <w:t>(125.0)</w:t>
            </w:r>
          </w:p>
        </w:tc>
      </w:tr>
      <w:tr w:rsidR="00646F4F" w:rsidRPr="00735726" w14:paraId="20D631EA" w14:textId="77777777" w:rsidTr="00CE19B2">
        <w:trPr>
          <w:trHeight w:val="222"/>
        </w:trPr>
        <w:tc>
          <w:tcPr>
            <w:tcW w:w="5466" w:type="dxa"/>
            <w:tcMar>
              <w:top w:w="11" w:type="dxa"/>
              <w:left w:w="57" w:type="dxa"/>
              <w:bottom w:w="11" w:type="dxa"/>
              <w:right w:w="57" w:type="dxa"/>
            </w:tcMar>
          </w:tcPr>
          <w:p w14:paraId="7369412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57" w:name="XMETag_c01b4258b08445a2a61d0b5d174e5c9c" w:colFirst="3" w:colLast="3"/>
            <w:bookmarkStart w:id="258" w:name="XMETag_f7bc4cd5912f4b31adb594a42509192f" w:colFirst="4" w:colLast="4"/>
            <w:r w:rsidRPr="00735726">
              <w:rPr>
                <w:rFonts w:ascii="Arial" w:eastAsia="Times New Roman" w:hAnsi="Arial" w:cs="DINOT-Light"/>
                <w:color w:val="000000"/>
                <w:sz w:val="18"/>
                <w:szCs w:val="18"/>
              </w:rPr>
              <w:t>Share based payments (net of tax)</w:t>
            </w:r>
          </w:p>
        </w:tc>
        <w:tc>
          <w:tcPr>
            <w:tcW w:w="938" w:type="dxa"/>
            <w:vAlign w:val="bottom"/>
          </w:tcPr>
          <w:p w14:paraId="27F5A6AD"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Borders>
              <w:bottom w:val="single" w:sz="4" w:space="0" w:color="auto"/>
            </w:tcBorders>
            <w:tcMar>
              <w:top w:w="11" w:type="dxa"/>
              <w:left w:w="57" w:type="dxa"/>
              <w:bottom w:w="11" w:type="dxa"/>
              <w:right w:w="57" w:type="dxa"/>
            </w:tcMar>
          </w:tcPr>
          <w:p w14:paraId="1607FA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FF0000"/>
                <w:sz w:val="18"/>
                <w:szCs w:val="18"/>
              </w:rPr>
            </w:pPr>
            <w:r w:rsidRPr="00735726">
              <w:rPr>
                <w:rFonts w:ascii="Arial" w:eastAsia="Times New Roman" w:hAnsi="Arial" w:cs="DINOT-Light"/>
                <w:sz w:val="18"/>
                <w:szCs w:val="18"/>
              </w:rPr>
              <w:t>-</w:t>
            </w:r>
          </w:p>
        </w:tc>
        <w:tc>
          <w:tcPr>
            <w:tcW w:w="937" w:type="dxa"/>
            <w:tcBorders>
              <w:bottom w:val="single" w:sz="4" w:space="0" w:color="auto"/>
            </w:tcBorders>
          </w:tcPr>
          <w:p w14:paraId="4B14E36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bottom w:val="single" w:sz="4" w:space="0" w:color="auto"/>
            </w:tcBorders>
            <w:tcMar>
              <w:top w:w="11" w:type="dxa"/>
              <w:left w:w="57" w:type="dxa"/>
              <w:bottom w:w="11" w:type="dxa"/>
              <w:right w:w="57" w:type="dxa"/>
            </w:tcMar>
          </w:tcPr>
          <w:p w14:paraId="7B644D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0.8</w:t>
            </w:r>
          </w:p>
        </w:tc>
        <w:tc>
          <w:tcPr>
            <w:tcW w:w="909" w:type="dxa"/>
            <w:tcBorders>
              <w:bottom w:val="single" w:sz="4" w:space="0" w:color="auto"/>
            </w:tcBorders>
            <w:tcMar>
              <w:top w:w="11" w:type="dxa"/>
              <w:left w:w="57" w:type="dxa"/>
              <w:bottom w:w="11" w:type="dxa"/>
              <w:right w:w="57" w:type="dxa"/>
            </w:tcMar>
          </w:tcPr>
          <w:p w14:paraId="52083B4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0.8</w:t>
            </w:r>
          </w:p>
        </w:tc>
      </w:tr>
      <w:tr w:rsidR="00C306AB" w:rsidRPr="00735726" w14:paraId="7506080F" w14:textId="77777777" w:rsidTr="00CE19B2">
        <w:trPr>
          <w:trHeight w:val="222"/>
        </w:trPr>
        <w:tc>
          <w:tcPr>
            <w:tcW w:w="5466" w:type="dxa"/>
            <w:tcMar>
              <w:top w:w="11" w:type="dxa"/>
              <w:left w:w="57" w:type="dxa"/>
              <w:bottom w:w="11" w:type="dxa"/>
              <w:right w:w="57" w:type="dxa"/>
            </w:tcMar>
          </w:tcPr>
          <w:p w14:paraId="544596CD" w14:textId="5443FA6C" w:rsidR="00C306AB" w:rsidRPr="00735726" w:rsidRDefault="00C306AB" w:rsidP="00C306AB">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59" w:name="XMETag_4fda4207fa7c4a7aa774b85e789d1d71" w:colFirst="2" w:colLast="2"/>
            <w:bookmarkStart w:id="260" w:name="XMETag_b58c5731bc8640ae98e53d8e6ca482b5" w:colFirst="3" w:colLast="3"/>
            <w:bookmarkStart w:id="261" w:name="XMETag_5c3f0510805948bc9eced796dcdc43d9" w:colFirst="4" w:colLast="4"/>
            <w:bookmarkEnd w:id="257"/>
            <w:bookmarkEnd w:id="258"/>
            <w:r w:rsidRPr="00735726">
              <w:rPr>
                <w:rFonts w:ascii="Arial" w:eastAsia="Times New Roman" w:hAnsi="Arial" w:cs="DINOT-Light"/>
                <w:color w:val="000000"/>
                <w:sz w:val="18"/>
                <w:szCs w:val="18"/>
              </w:rPr>
              <w:t>Total transactions with equity shareholders</w:t>
            </w:r>
          </w:p>
        </w:tc>
        <w:tc>
          <w:tcPr>
            <w:tcW w:w="938" w:type="dxa"/>
            <w:vAlign w:val="bottom"/>
          </w:tcPr>
          <w:p w14:paraId="0CB72A8A" w14:textId="77777777" w:rsidR="00C306AB" w:rsidRPr="00735726" w:rsidRDefault="00C306AB" w:rsidP="00C306AB">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938" w:type="dxa"/>
            <w:tcBorders>
              <w:top w:val="single" w:sz="4" w:space="0" w:color="auto"/>
              <w:bottom w:val="single" w:sz="4" w:space="0" w:color="auto"/>
            </w:tcBorders>
            <w:tcMar>
              <w:top w:w="11" w:type="dxa"/>
              <w:left w:w="57" w:type="dxa"/>
              <w:bottom w:w="11" w:type="dxa"/>
              <w:right w:w="57" w:type="dxa"/>
            </w:tcMar>
          </w:tcPr>
          <w:p w14:paraId="69E7B178" w14:textId="77777777" w:rsidR="00C306AB" w:rsidRPr="00735726" w:rsidRDefault="00C306A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top w:val="single" w:sz="4" w:space="0" w:color="auto"/>
              <w:bottom w:val="single" w:sz="4" w:space="0" w:color="auto"/>
            </w:tcBorders>
          </w:tcPr>
          <w:p w14:paraId="7890316A" w14:textId="77777777" w:rsidR="00C306AB" w:rsidRPr="00735726" w:rsidRDefault="00C306A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937" w:type="dxa"/>
            <w:tcBorders>
              <w:top w:val="single" w:sz="4" w:space="0" w:color="auto"/>
              <w:bottom w:val="single" w:sz="4" w:space="0" w:color="auto"/>
            </w:tcBorders>
            <w:tcMar>
              <w:top w:w="11" w:type="dxa"/>
              <w:left w:w="57" w:type="dxa"/>
              <w:bottom w:w="11" w:type="dxa"/>
              <w:right w:w="57" w:type="dxa"/>
            </w:tcMar>
          </w:tcPr>
          <w:p w14:paraId="4EC4B421" w14:textId="77777777" w:rsidR="00C306AB" w:rsidRPr="00735726" w:rsidRDefault="00C306A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(199.2)</w:t>
            </w:r>
          </w:p>
        </w:tc>
        <w:tc>
          <w:tcPr>
            <w:tcW w:w="909" w:type="dxa"/>
            <w:tcBorders>
              <w:top w:val="single" w:sz="4" w:space="0" w:color="auto"/>
              <w:bottom w:val="single" w:sz="4" w:space="0" w:color="auto"/>
            </w:tcBorders>
            <w:tcMar>
              <w:top w:w="11" w:type="dxa"/>
              <w:left w:w="57" w:type="dxa"/>
              <w:bottom w:w="11" w:type="dxa"/>
              <w:right w:w="57" w:type="dxa"/>
            </w:tcMar>
          </w:tcPr>
          <w:p w14:paraId="6B3F434E" w14:textId="77777777" w:rsidR="00C306AB" w:rsidRPr="00735726" w:rsidRDefault="00C306AB" w:rsidP="00C306AB">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(199.2)</w:t>
            </w:r>
          </w:p>
        </w:tc>
      </w:tr>
      <w:tr w:rsidR="00646F4F" w:rsidRPr="00735726" w14:paraId="3F61FC75" w14:textId="77777777" w:rsidTr="00CE19B2">
        <w:trPr>
          <w:trHeight w:val="222"/>
        </w:trPr>
        <w:tc>
          <w:tcPr>
            <w:tcW w:w="5466" w:type="dxa"/>
            <w:tcMar>
              <w:top w:w="11" w:type="dxa"/>
              <w:left w:w="57" w:type="dxa"/>
              <w:bottom w:w="11" w:type="dxa"/>
              <w:right w:w="57" w:type="dxa"/>
            </w:tcMar>
          </w:tcPr>
          <w:p w14:paraId="03702A0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62" w:name="XMETag_9c7f6560141c4e87b077d684a24d1265" w:colFirst="2" w:colLast="2"/>
            <w:bookmarkStart w:id="263" w:name="XMETag_be7c3f90c7f84149b2cace6644081559" w:colFirst="3" w:colLast="3"/>
            <w:bookmarkStart w:id="264" w:name="XMETag_2b43dd4ce1604f8181d8c8ae14a7c367" w:colFirst="4" w:colLast="4"/>
            <w:bookmarkEnd w:id="259"/>
            <w:bookmarkEnd w:id="260"/>
            <w:bookmarkEnd w:id="261"/>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938" w:type="dxa"/>
            <w:vAlign w:val="bottom"/>
          </w:tcPr>
          <w:p w14:paraId="0109FF48"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938" w:type="dxa"/>
            <w:tcBorders>
              <w:top w:val="single" w:sz="4" w:space="0" w:color="auto"/>
              <w:bottom w:val="single" w:sz="4" w:space="0" w:color="auto"/>
            </w:tcBorders>
            <w:tcMar>
              <w:top w:w="11" w:type="dxa"/>
              <w:left w:w="57" w:type="dxa"/>
              <w:bottom w:w="11" w:type="dxa"/>
              <w:right w:w="57" w:type="dxa"/>
            </w:tcMar>
          </w:tcPr>
          <w:p w14:paraId="7793165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625.9</w:t>
            </w:r>
          </w:p>
        </w:tc>
        <w:tc>
          <w:tcPr>
            <w:tcW w:w="937" w:type="dxa"/>
            <w:tcBorders>
              <w:top w:val="single" w:sz="4" w:space="0" w:color="auto"/>
              <w:bottom w:val="single" w:sz="4" w:space="0" w:color="auto"/>
            </w:tcBorders>
          </w:tcPr>
          <w:p w14:paraId="60CDEA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sz w:val="18"/>
                <w:szCs w:val="18"/>
              </w:rPr>
              <w:t>413.0</w:t>
            </w:r>
          </w:p>
        </w:tc>
        <w:tc>
          <w:tcPr>
            <w:tcW w:w="937" w:type="dxa"/>
            <w:tcBorders>
              <w:top w:val="single" w:sz="4" w:space="0" w:color="auto"/>
              <w:bottom w:val="single" w:sz="4" w:space="0" w:color="auto"/>
            </w:tcBorders>
            <w:tcMar>
              <w:top w:w="11" w:type="dxa"/>
              <w:left w:w="57" w:type="dxa"/>
              <w:bottom w:w="11" w:type="dxa"/>
              <w:right w:w="57" w:type="dxa"/>
            </w:tcMar>
          </w:tcPr>
          <w:p w14:paraId="56A026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sz w:val="18"/>
                <w:szCs w:val="18"/>
              </w:rPr>
              <w:t>45.3</w:t>
            </w:r>
          </w:p>
        </w:tc>
        <w:tc>
          <w:tcPr>
            <w:tcW w:w="909" w:type="dxa"/>
            <w:tcBorders>
              <w:top w:val="single" w:sz="4" w:space="0" w:color="auto"/>
              <w:bottom w:val="single" w:sz="4" w:space="0" w:color="auto"/>
            </w:tcBorders>
            <w:tcMar>
              <w:top w:w="11" w:type="dxa"/>
              <w:left w:w="57" w:type="dxa"/>
              <w:bottom w:w="11" w:type="dxa"/>
              <w:right w:w="57" w:type="dxa"/>
            </w:tcMar>
          </w:tcPr>
          <w:p w14:paraId="58F80EF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sz w:val="18"/>
                <w:szCs w:val="18"/>
              </w:rPr>
              <w:t>1,084.2</w:t>
            </w:r>
          </w:p>
        </w:tc>
      </w:tr>
      <w:bookmarkEnd w:id="262"/>
      <w:bookmarkEnd w:id="263"/>
      <w:bookmarkEnd w:id="264"/>
    </w:tbl>
    <w:p w14:paraId="2D1EE43B"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1526691A" w14:textId="1A25014C"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The notes on </w:t>
      </w:r>
      <w:r w:rsidRPr="00735726">
        <w:rPr>
          <w:rFonts w:ascii="Arial" w:eastAsia="Calibri" w:hAnsi="Arial" w:cs="Arial"/>
          <w:sz w:val="18"/>
          <w:szCs w:val="18"/>
        </w:rPr>
        <w:t xml:space="preserve">pages </w:t>
      </w:r>
      <w:r w:rsidR="00644FAB" w:rsidRPr="009A2CAE">
        <w:rPr>
          <w:rFonts w:ascii="Arial" w:eastAsia="Calibri" w:hAnsi="Arial" w:cs="Arial"/>
          <w:sz w:val="18"/>
          <w:szCs w:val="18"/>
        </w:rPr>
        <w:t xml:space="preserve">181 </w:t>
      </w:r>
      <w:r w:rsidRPr="009A2CAE">
        <w:rPr>
          <w:rFonts w:ascii="Arial" w:eastAsia="Calibri" w:hAnsi="Arial" w:cs="Arial"/>
          <w:sz w:val="18"/>
          <w:szCs w:val="18"/>
        </w:rPr>
        <w:t xml:space="preserve">to </w:t>
      </w:r>
      <w:r w:rsidR="00644FAB" w:rsidRPr="009A2CAE">
        <w:rPr>
          <w:rFonts w:ascii="Arial" w:eastAsia="Calibri" w:hAnsi="Arial" w:cs="Arial"/>
          <w:sz w:val="18"/>
          <w:szCs w:val="18"/>
        </w:rPr>
        <w:t xml:space="preserve">226 </w:t>
      </w:r>
      <w:r w:rsidRPr="00735726">
        <w:rPr>
          <w:rFonts w:ascii="Arial" w:eastAsia="Times New Roman" w:hAnsi="Arial" w:cs="DINOT-Light"/>
          <w:sz w:val="18"/>
          <w:szCs w:val="18"/>
        </w:rPr>
        <w:t>form part of these financial statements.</w:t>
      </w:r>
    </w:p>
    <w:p w14:paraId="7D9AD0BA" w14:textId="77777777" w:rsidR="00646F4F" w:rsidRPr="009A2CAE" w:rsidRDefault="00646F4F" w:rsidP="00646F4F">
      <w:pPr>
        <w:rPr>
          <w:rFonts w:ascii="Arial" w:eastAsia="Calibri" w:hAnsi="Arial" w:cs="DINOT-Light"/>
          <w:sz w:val="18"/>
          <w:szCs w:val="18"/>
        </w:rPr>
      </w:pPr>
      <w:r w:rsidRPr="009A2CAE">
        <w:rPr>
          <w:rFonts w:ascii="Calibri" w:eastAsia="Calibri" w:hAnsi="Calibri" w:cs="Times New Roman"/>
        </w:rPr>
        <w:br w:type="page"/>
      </w:r>
    </w:p>
    <w:p w14:paraId="374657F2" w14:textId="77777777" w:rsidR="00646F4F" w:rsidRPr="00735726" w:rsidRDefault="00646F4F" w:rsidP="00646F4F">
      <w:pPr>
        <w:widowControl w:val="0"/>
        <w:suppressAutoHyphens/>
        <w:autoSpaceDE w:val="0"/>
        <w:autoSpaceDN w:val="0"/>
        <w:adjustRightInd w:val="0"/>
        <w:spacing w:after="0" w:line="288" w:lineRule="auto"/>
        <w:textAlignment w:val="center"/>
        <w:outlineLvl w:val="0"/>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 xml:space="preserve">CASH FLOW STATEMENT </w:t>
      </w:r>
    </w:p>
    <w:p w14:paraId="20A8B9CE"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DINOT-Light"/>
          <w:caps/>
          <w:color w:val="000000"/>
          <w:sz w:val="24"/>
          <w:szCs w:val="24"/>
        </w:rPr>
      </w:pPr>
      <w:r w:rsidRPr="00735726">
        <w:rPr>
          <w:rFonts w:ascii="Arial" w:eastAsia="Times New Roman" w:hAnsi="Arial" w:cs="DINOT-Light"/>
          <w:caps/>
          <w:color w:val="000000"/>
          <w:sz w:val="24"/>
          <w:szCs w:val="24"/>
        </w:rPr>
        <w:t>FOR THE YEAR ENDED 31 MARCH 2026</w:t>
      </w:r>
    </w:p>
    <w:p w14:paraId="03ECD3FB"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10006" w:type="dxa"/>
        <w:tblInd w:w="8" w:type="dxa"/>
        <w:tblLayout w:type="fixed"/>
        <w:tblCellMar>
          <w:left w:w="0" w:type="dxa"/>
          <w:right w:w="0" w:type="dxa"/>
        </w:tblCellMar>
        <w:tblLook w:val="0000" w:firstRow="0" w:lastRow="0" w:firstColumn="0" w:lastColumn="0" w:noHBand="0" w:noVBand="0"/>
      </w:tblPr>
      <w:tblGrid>
        <w:gridCol w:w="6605"/>
        <w:gridCol w:w="1134"/>
        <w:gridCol w:w="1133"/>
        <w:gridCol w:w="1134"/>
      </w:tblGrid>
      <w:tr w:rsidR="00646F4F" w:rsidRPr="00735726" w14:paraId="3E491163" w14:textId="77777777" w:rsidTr="00CE19B2">
        <w:trPr>
          <w:trHeight w:val="60"/>
          <w:tblHeader/>
        </w:trPr>
        <w:tc>
          <w:tcPr>
            <w:tcW w:w="6605" w:type="dxa"/>
            <w:tcMar>
              <w:top w:w="11" w:type="dxa"/>
              <w:left w:w="57" w:type="dxa"/>
              <w:bottom w:w="11" w:type="dxa"/>
              <w:right w:w="57" w:type="dxa"/>
            </w:tcMar>
          </w:tcPr>
          <w:p w14:paraId="2F8CE3E1"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4B0F0235"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19D4926F"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Notes</w:t>
            </w:r>
          </w:p>
        </w:tc>
        <w:tc>
          <w:tcPr>
            <w:tcW w:w="1133" w:type="dxa"/>
            <w:tcMar>
              <w:top w:w="11" w:type="dxa"/>
              <w:left w:w="57" w:type="dxa"/>
              <w:bottom w:w="11" w:type="dxa"/>
              <w:right w:w="57" w:type="dxa"/>
            </w:tcMar>
          </w:tcPr>
          <w:p w14:paraId="0B02646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75D1654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7D26592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43375F1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DA74FFD" w14:textId="77777777" w:rsidTr="00CE19B2">
        <w:trPr>
          <w:trHeight w:val="226"/>
        </w:trPr>
        <w:tc>
          <w:tcPr>
            <w:tcW w:w="6605" w:type="dxa"/>
            <w:tcMar>
              <w:top w:w="11" w:type="dxa"/>
              <w:left w:w="57" w:type="dxa"/>
              <w:bottom w:w="11" w:type="dxa"/>
              <w:right w:w="57" w:type="dxa"/>
            </w:tcMar>
          </w:tcPr>
          <w:p w14:paraId="142CD6B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Cash flows from operating activities</w:t>
            </w:r>
          </w:p>
        </w:tc>
        <w:tc>
          <w:tcPr>
            <w:tcW w:w="1134" w:type="dxa"/>
            <w:tcMar>
              <w:top w:w="11" w:type="dxa"/>
              <w:left w:w="57" w:type="dxa"/>
              <w:bottom w:w="11" w:type="dxa"/>
              <w:right w:w="57" w:type="dxa"/>
            </w:tcMar>
          </w:tcPr>
          <w:p w14:paraId="1736C6FC"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2B7C7F79"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62331B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47EEC2E7" w14:textId="77777777" w:rsidTr="00CE19B2">
        <w:trPr>
          <w:trHeight w:val="226"/>
        </w:trPr>
        <w:tc>
          <w:tcPr>
            <w:tcW w:w="6605" w:type="dxa"/>
            <w:tcMar>
              <w:top w:w="11" w:type="dxa"/>
              <w:left w:w="57" w:type="dxa"/>
              <w:bottom w:w="11" w:type="dxa"/>
              <w:right w:w="57" w:type="dxa"/>
            </w:tcMar>
          </w:tcPr>
          <w:p w14:paraId="76B47C4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65" w:name="XMETag_f22e4502efa84afd8a15e83231ed28a5" w:colFirst="2" w:colLast="2"/>
            <w:bookmarkStart w:id="266" w:name="XMETag_e97e88519dee49079ccd577458e3771d" w:colFirst="3" w:colLast="3"/>
            <w:r w:rsidRPr="00735726">
              <w:rPr>
                <w:rFonts w:ascii="Arial" w:eastAsia="Times New Roman" w:hAnsi="Arial" w:cs="DINOT-Light"/>
                <w:color w:val="000000"/>
                <w:sz w:val="18"/>
                <w:szCs w:val="18"/>
              </w:rPr>
              <w:t>Cash generated from operations</w:t>
            </w:r>
          </w:p>
        </w:tc>
        <w:tc>
          <w:tcPr>
            <w:tcW w:w="1134" w:type="dxa"/>
            <w:tcMar>
              <w:top w:w="11" w:type="dxa"/>
              <w:left w:w="57" w:type="dxa"/>
              <w:bottom w:w="11" w:type="dxa"/>
              <w:right w:w="57" w:type="dxa"/>
            </w:tcMar>
          </w:tcPr>
          <w:p w14:paraId="05112BDB" w14:textId="1FC2CD9F"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3</w:t>
            </w:r>
            <w:r w:rsidR="00B63B15" w:rsidRPr="009A2CAE">
              <w:rPr>
                <w:rFonts w:ascii="Arial" w:eastAsia="Times New Roman" w:hAnsi="Arial" w:cs="DINOT-Light"/>
                <w:color w:val="000000"/>
                <w:sz w:val="18"/>
                <w:szCs w:val="18"/>
              </w:rPr>
              <w:t>3</w:t>
            </w:r>
          </w:p>
        </w:tc>
        <w:tc>
          <w:tcPr>
            <w:tcW w:w="1133" w:type="dxa"/>
            <w:tcMar>
              <w:top w:w="11" w:type="dxa"/>
              <w:left w:w="57" w:type="dxa"/>
              <w:bottom w:w="11" w:type="dxa"/>
              <w:right w:w="57" w:type="dxa"/>
            </w:tcMar>
          </w:tcPr>
          <w:p w14:paraId="7ECC2588" w14:textId="1391B8CF" w:rsidR="00646F4F" w:rsidRPr="00735726" w:rsidRDefault="00935C64"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503.8</w:t>
            </w:r>
          </w:p>
        </w:tc>
        <w:tc>
          <w:tcPr>
            <w:tcW w:w="1134" w:type="dxa"/>
            <w:tcMar>
              <w:top w:w="11" w:type="dxa"/>
              <w:left w:w="57" w:type="dxa"/>
              <w:bottom w:w="11" w:type="dxa"/>
              <w:right w:w="57" w:type="dxa"/>
            </w:tcMar>
          </w:tcPr>
          <w:p w14:paraId="78C8BC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218.8</w:t>
            </w:r>
          </w:p>
        </w:tc>
      </w:tr>
      <w:tr w:rsidR="00646F4F" w:rsidRPr="00735726" w14:paraId="29F4C8CA" w14:textId="77777777" w:rsidTr="00CE19B2">
        <w:trPr>
          <w:trHeight w:val="226"/>
        </w:trPr>
        <w:tc>
          <w:tcPr>
            <w:tcW w:w="6605" w:type="dxa"/>
            <w:tcMar>
              <w:top w:w="11" w:type="dxa"/>
              <w:left w:w="57" w:type="dxa"/>
              <w:bottom w:w="11" w:type="dxa"/>
              <w:right w:w="57" w:type="dxa"/>
            </w:tcMar>
          </w:tcPr>
          <w:p w14:paraId="2DB7FBA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67" w:name="XMETag_28dfdd48cdc24acc9ec940b92323f955" w:colFirst="2" w:colLast="2"/>
            <w:bookmarkStart w:id="268" w:name="XMETag_2532f697f2e942f9acad7fa67c64e839" w:colFirst="3" w:colLast="3"/>
            <w:bookmarkEnd w:id="265"/>
            <w:bookmarkEnd w:id="266"/>
            <w:r w:rsidRPr="00735726">
              <w:rPr>
                <w:rFonts w:ascii="Arial" w:eastAsia="Times New Roman" w:hAnsi="Arial" w:cs="DINOT-Light"/>
                <w:color w:val="000000"/>
                <w:sz w:val="18"/>
                <w:szCs w:val="18"/>
              </w:rPr>
              <w:t>Interest paid</w:t>
            </w:r>
          </w:p>
        </w:tc>
        <w:tc>
          <w:tcPr>
            <w:tcW w:w="1134" w:type="dxa"/>
            <w:tcMar>
              <w:top w:w="11" w:type="dxa"/>
              <w:left w:w="57" w:type="dxa"/>
              <w:bottom w:w="11" w:type="dxa"/>
              <w:right w:w="57" w:type="dxa"/>
            </w:tcMar>
          </w:tcPr>
          <w:p w14:paraId="063DE015"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0ECA31C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(144.4)</w:t>
            </w:r>
          </w:p>
        </w:tc>
        <w:tc>
          <w:tcPr>
            <w:tcW w:w="1134" w:type="dxa"/>
            <w:tcMar>
              <w:top w:w="11" w:type="dxa"/>
              <w:left w:w="57" w:type="dxa"/>
              <w:bottom w:w="11" w:type="dxa"/>
              <w:right w:w="57" w:type="dxa"/>
            </w:tcMar>
          </w:tcPr>
          <w:p w14:paraId="7DE3DF2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(118.2)</w:t>
            </w:r>
          </w:p>
        </w:tc>
      </w:tr>
      <w:tr w:rsidR="00646F4F" w:rsidRPr="00735726" w14:paraId="2346D687" w14:textId="77777777" w:rsidTr="00CE19B2">
        <w:trPr>
          <w:trHeight w:val="226"/>
        </w:trPr>
        <w:tc>
          <w:tcPr>
            <w:tcW w:w="6605" w:type="dxa"/>
            <w:tcMar>
              <w:top w:w="11" w:type="dxa"/>
              <w:left w:w="57" w:type="dxa"/>
              <w:bottom w:w="11" w:type="dxa"/>
              <w:right w:w="57" w:type="dxa"/>
            </w:tcMar>
          </w:tcPr>
          <w:p w14:paraId="2EC7BD5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69" w:name="XMETag_9ea2ed7f17664004818c0e77269e37af" w:colFirst="2" w:colLast="2"/>
            <w:bookmarkStart w:id="270" w:name="XMETag_d91f30c6d75b4349921ef571468caa43" w:colFirst="3" w:colLast="3"/>
            <w:bookmarkEnd w:id="267"/>
            <w:bookmarkEnd w:id="268"/>
            <w:r w:rsidRPr="00735726">
              <w:rPr>
                <w:rFonts w:ascii="Arial" w:eastAsia="Times New Roman" w:hAnsi="Arial" w:cs="DINOT-Light"/>
                <w:color w:val="000000"/>
                <w:sz w:val="18"/>
                <w:szCs w:val="18"/>
              </w:rPr>
              <w:t>Tax recovered</w:t>
            </w:r>
          </w:p>
        </w:tc>
        <w:tc>
          <w:tcPr>
            <w:tcW w:w="1134" w:type="dxa"/>
            <w:tcMar>
              <w:top w:w="11" w:type="dxa"/>
              <w:left w:w="57" w:type="dxa"/>
              <w:bottom w:w="11" w:type="dxa"/>
              <w:right w:w="57" w:type="dxa"/>
            </w:tcMar>
          </w:tcPr>
          <w:p w14:paraId="3FB73873"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Borders>
              <w:bottom w:val="single" w:sz="4" w:space="0" w:color="auto"/>
            </w:tcBorders>
            <w:tcMar>
              <w:top w:w="11" w:type="dxa"/>
              <w:left w:w="57" w:type="dxa"/>
              <w:bottom w:w="11" w:type="dxa"/>
              <w:right w:w="57" w:type="dxa"/>
            </w:tcMar>
          </w:tcPr>
          <w:p w14:paraId="72FD740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005A4C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w:t>
            </w:r>
          </w:p>
        </w:tc>
      </w:tr>
      <w:tr w:rsidR="00646F4F" w:rsidRPr="00735726" w14:paraId="39549594" w14:textId="77777777" w:rsidTr="00CE19B2">
        <w:trPr>
          <w:trHeight w:val="226"/>
        </w:trPr>
        <w:tc>
          <w:tcPr>
            <w:tcW w:w="6605" w:type="dxa"/>
            <w:tcMar>
              <w:top w:w="11" w:type="dxa"/>
              <w:left w:w="57" w:type="dxa"/>
              <w:bottom w:w="11" w:type="dxa"/>
              <w:right w:w="57" w:type="dxa"/>
            </w:tcMar>
          </w:tcPr>
          <w:p w14:paraId="6FA0C11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71" w:name="XMETag_af7d999e8c954d7abfca6eb5bdf4730f" w:colFirst="2" w:colLast="2"/>
            <w:bookmarkStart w:id="272" w:name="XMETag_dcb46043ffbb44c4b7a97035103ec1d4" w:colFirst="3" w:colLast="3"/>
            <w:bookmarkEnd w:id="269"/>
            <w:bookmarkEnd w:id="270"/>
            <w:r w:rsidRPr="00735726">
              <w:rPr>
                <w:rFonts w:ascii="Arial" w:eastAsia="Times New Roman" w:hAnsi="Arial" w:cs="DINOT-Light"/>
                <w:b/>
                <w:color w:val="000000"/>
                <w:sz w:val="18"/>
                <w:szCs w:val="18"/>
              </w:rPr>
              <w:t>Net cash generated from operating activities</w:t>
            </w:r>
          </w:p>
        </w:tc>
        <w:tc>
          <w:tcPr>
            <w:tcW w:w="1134" w:type="dxa"/>
            <w:tcMar>
              <w:top w:w="11" w:type="dxa"/>
              <w:left w:w="57" w:type="dxa"/>
              <w:bottom w:w="11" w:type="dxa"/>
              <w:right w:w="57" w:type="dxa"/>
            </w:tcMar>
          </w:tcPr>
          <w:p w14:paraId="051DC6D0"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Borders>
              <w:top w:val="single" w:sz="4" w:space="0" w:color="auto"/>
            </w:tcBorders>
            <w:tcMar>
              <w:top w:w="11" w:type="dxa"/>
              <w:left w:w="57" w:type="dxa"/>
              <w:bottom w:w="11" w:type="dxa"/>
              <w:right w:w="57" w:type="dxa"/>
            </w:tcMar>
          </w:tcPr>
          <w:p w14:paraId="6260D979" w14:textId="33E47423" w:rsidR="00646F4F" w:rsidRPr="00735726" w:rsidRDefault="00935C64"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359.4</w:t>
            </w:r>
          </w:p>
        </w:tc>
        <w:tc>
          <w:tcPr>
            <w:tcW w:w="1134" w:type="dxa"/>
            <w:tcBorders>
              <w:top w:val="single" w:sz="4" w:space="0" w:color="auto"/>
            </w:tcBorders>
            <w:tcMar>
              <w:top w:w="11" w:type="dxa"/>
              <w:left w:w="57" w:type="dxa"/>
              <w:bottom w:w="11" w:type="dxa"/>
              <w:right w:w="57" w:type="dxa"/>
            </w:tcMar>
          </w:tcPr>
          <w:p w14:paraId="3883F4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103.9</w:t>
            </w:r>
          </w:p>
        </w:tc>
      </w:tr>
      <w:bookmarkEnd w:id="271"/>
      <w:bookmarkEnd w:id="272"/>
      <w:tr w:rsidR="00646F4F" w:rsidRPr="00735726" w14:paraId="0497A05B" w14:textId="77777777" w:rsidTr="00CE19B2">
        <w:trPr>
          <w:trHeight w:val="226"/>
        </w:trPr>
        <w:tc>
          <w:tcPr>
            <w:tcW w:w="6605" w:type="dxa"/>
            <w:tcMar>
              <w:top w:w="11" w:type="dxa"/>
              <w:left w:w="57" w:type="dxa"/>
              <w:bottom w:w="11" w:type="dxa"/>
              <w:right w:w="57" w:type="dxa"/>
            </w:tcMar>
          </w:tcPr>
          <w:p w14:paraId="7CFB0E7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4666611D"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60A881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3B88A7B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73301B5D" w14:textId="77777777" w:rsidTr="00CE19B2">
        <w:trPr>
          <w:trHeight w:val="226"/>
        </w:trPr>
        <w:tc>
          <w:tcPr>
            <w:tcW w:w="6605" w:type="dxa"/>
            <w:tcMar>
              <w:top w:w="11" w:type="dxa"/>
              <w:left w:w="57" w:type="dxa"/>
              <w:bottom w:w="11" w:type="dxa"/>
              <w:right w:w="57" w:type="dxa"/>
            </w:tcMar>
          </w:tcPr>
          <w:p w14:paraId="47EF7A5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Cash flows used in investing activities</w:t>
            </w:r>
          </w:p>
        </w:tc>
        <w:tc>
          <w:tcPr>
            <w:tcW w:w="1134" w:type="dxa"/>
            <w:tcMar>
              <w:top w:w="11" w:type="dxa"/>
              <w:left w:w="57" w:type="dxa"/>
              <w:bottom w:w="11" w:type="dxa"/>
              <w:right w:w="57" w:type="dxa"/>
            </w:tcMar>
          </w:tcPr>
          <w:p w14:paraId="4935D0D8"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3099DBD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19948E9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24259A05" w14:textId="77777777" w:rsidTr="00CE19B2">
        <w:trPr>
          <w:trHeight w:val="226"/>
        </w:trPr>
        <w:tc>
          <w:tcPr>
            <w:tcW w:w="6605" w:type="dxa"/>
            <w:tcMar>
              <w:top w:w="11" w:type="dxa"/>
              <w:left w:w="57" w:type="dxa"/>
              <w:bottom w:w="11" w:type="dxa"/>
              <w:right w:w="57" w:type="dxa"/>
            </w:tcMar>
          </w:tcPr>
          <w:p w14:paraId="1796A21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73" w:name="XMETag_a5a701d5c71946f1bb6a3624fec54a44" w:colFirst="2" w:colLast="2"/>
            <w:bookmarkStart w:id="274" w:name="XMETag_5368bad7479242efb0d4ad49b1a79f5e" w:colFirst="3" w:colLast="3"/>
            <w:r w:rsidRPr="00735726">
              <w:rPr>
                <w:rFonts w:ascii="Arial" w:eastAsia="Times New Roman" w:hAnsi="Arial" w:cs="DINOT-Light"/>
                <w:color w:val="000000"/>
                <w:sz w:val="18"/>
                <w:szCs w:val="18"/>
              </w:rPr>
              <w:t>Interest received</w:t>
            </w:r>
          </w:p>
        </w:tc>
        <w:tc>
          <w:tcPr>
            <w:tcW w:w="1134" w:type="dxa"/>
            <w:tcMar>
              <w:top w:w="11" w:type="dxa"/>
              <w:left w:w="57" w:type="dxa"/>
              <w:bottom w:w="11" w:type="dxa"/>
              <w:right w:w="57" w:type="dxa"/>
            </w:tcMar>
          </w:tcPr>
          <w:p w14:paraId="08D43395"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4FCB80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15.5</w:t>
            </w:r>
          </w:p>
        </w:tc>
        <w:tc>
          <w:tcPr>
            <w:tcW w:w="1134" w:type="dxa"/>
            <w:tcMar>
              <w:top w:w="11" w:type="dxa"/>
              <w:left w:w="57" w:type="dxa"/>
              <w:bottom w:w="11" w:type="dxa"/>
              <w:right w:w="57" w:type="dxa"/>
            </w:tcMar>
          </w:tcPr>
          <w:p w14:paraId="4D111A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5.9</w:t>
            </w:r>
          </w:p>
        </w:tc>
      </w:tr>
      <w:tr w:rsidR="00646F4F" w:rsidRPr="00735726" w14:paraId="02B44460" w14:textId="77777777" w:rsidTr="00CE19B2">
        <w:trPr>
          <w:trHeight w:val="226"/>
        </w:trPr>
        <w:tc>
          <w:tcPr>
            <w:tcW w:w="6605" w:type="dxa"/>
            <w:tcMar>
              <w:top w:w="11" w:type="dxa"/>
              <w:left w:w="57" w:type="dxa"/>
              <w:bottom w:w="11" w:type="dxa"/>
              <w:right w:w="57" w:type="dxa"/>
            </w:tcMar>
          </w:tcPr>
          <w:p w14:paraId="519286B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75" w:name="XMETag_f4d77045970f4ca1b894385b3f61b592" w:colFirst="2" w:colLast="2"/>
            <w:bookmarkStart w:id="276" w:name="XMETag_0b403631a20b47b881bd1653a4d47712" w:colFirst="3" w:colLast="3"/>
            <w:bookmarkEnd w:id="273"/>
            <w:bookmarkEnd w:id="274"/>
            <w:r w:rsidRPr="00735726">
              <w:rPr>
                <w:rFonts w:ascii="Arial" w:eastAsia="Times New Roman" w:hAnsi="Arial" w:cs="DINOT-Light"/>
                <w:color w:val="000000"/>
                <w:sz w:val="18"/>
                <w:szCs w:val="18"/>
              </w:rPr>
              <w:t>Purchase of property, plant and equipment</w:t>
            </w:r>
          </w:p>
        </w:tc>
        <w:tc>
          <w:tcPr>
            <w:tcW w:w="1134" w:type="dxa"/>
            <w:tcMar>
              <w:top w:w="11" w:type="dxa"/>
              <w:left w:w="57" w:type="dxa"/>
              <w:bottom w:w="11" w:type="dxa"/>
              <w:right w:w="57" w:type="dxa"/>
            </w:tcMar>
          </w:tcPr>
          <w:p w14:paraId="7D46C63C"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1F2FEF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(562.7)</w:t>
            </w:r>
          </w:p>
        </w:tc>
        <w:tc>
          <w:tcPr>
            <w:tcW w:w="1134" w:type="dxa"/>
            <w:tcMar>
              <w:top w:w="11" w:type="dxa"/>
              <w:left w:w="57" w:type="dxa"/>
              <w:bottom w:w="11" w:type="dxa"/>
              <w:right w:w="57" w:type="dxa"/>
            </w:tcMar>
          </w:tcPr>
          <w:p w14:paraId="0CF0889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(603.5)</w:t>
            </w:r>
          </w:p>
        </w:tc>
      </w:tr>
      <w:tr w:rsidR="00646F4F" w:rsidRPr="00735726" w14:paraId="26B10AA9" w14:textId="77777777" w:rsidTr="00CE19B2">
        <w:trPr>
          <w:trHeight w:val="226"/>
        </w:trPr>
        <w:tc>
          <w:tcPr>
            <w:tcW w:w="6605" w:type="dxa"/>
            <w:tcMar>
              <w:top w:w="11" w:type="dxa"/>
              <w:left w:w="57" w:type="dxa"/>
              <w:bottom w:w="11" w:type="dxa"/>
              <w:right w:w="57" w:type="dxa"/>
            </w:tcMar>
          </w:tcPr>
          <w:p w14:paraId="58AFC99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Purchase of intangible fixed assets</w:t>
            </w:r>
          </w:p>
        </w:tc>
        <w:tc>
          <w:tcPr>
            <w:tcW w:w="1134" w:type="dxa"/>
            <w:tcMar>
              <w:top w:w="11" w:type="dxa"/>
              <w:left w:w="57" w:type="dxa"/>
              <w:bottom w:w="11" w:type="dxa"/>
              <w:right w:w="57" w:type="dxa"/>
            </w:tcMar>
          </w:tcPr>
          <w:p w14:paraId="6AD5F1A9" w14:textId="06EC2ACA"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1</w:t>
            </w:r>
            <w:r w:rsidR="00B63B15" w:rsidRPr="009A2CAE">
              <w:rPr>
                <w:rFonts w:ascii="Arial" w:eastAsia="Times New Roman" w:hAnsi="Arial" w:cs="DINOT-Light"/>
                <w:color w:val="000000"/>
                <w:sz w:val="18"/>
                <w:szCs w:val="18"/>
              </w:rPr>
              <w:t>4</w:t>
            </w:r>
          </w:p>
        </w:tc>
        <w:tc>
          <w:tcPr>
            <w:tcW w:w="1133" w:type="dxa"/>
            <w:tcMar>
              <w:top w:w="11" w:type="dxa"/>
              <w:left w:w="57" w:type="dxa"/>
              <w:bottom w:w="11" w:type="dxa"/>
              <w:right w:w="57" w:type="dxa"/>
            </w:tcMar>
          </w:tcPr>
          <w:p w14:paraId="2CA4D3A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(5.9)</w:t>
            </w:r>
          </w:p>
        </w:tc>
        <w:tc>
          <w:tcPr>
            <w:tcW w:w="1134" w:type="dxa"/>
            <w:tcMar>
              <w:top w:w="11" w:type="dxa"/>
              <w:left w:w="57" w:type="dxa"/>
              <w:bottom w:w="11" w:type="dxa"/>
              <w:right w:w="57" w:type="dxa"/>
            </w:tcMar>
          </w:tcPr>
          <w:p w14:paraId="4A57D5C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(2.2)</w:t>
            </w:r>
          </w:p>
        </w:tc>
      </w:tr>
      <w:tr w:rsidR="00646F4F" w:rsidRPr="00735726" w14:paraId="6ED77591" w14:textId="77777777" w:rsidTr="00CE19B2">
        <w:trPr>
          <w:trHeight w:val="226"/>
        </w:trPr>
        <w:tc>
          <w:tcPr>
            <w:tcW w:w="6605" w:type="dxa"/>
            <w:tcMar>
              <w:top w:w="11" w:type="dxa"/>
              <w:left w:w="57" w:type="dxa"/>
              <w:bottom w:w="11" w:type="dxa"/>
              <w:right w:w="57" w:type="dxa"/>
            </w:tcMar>
          </w:tcPr>
          <w:p w14:paraId="70F2C74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77" w:name="XMETag_e6bf8d7e004b4f51a92c9761d4aee133" w:colFirst="2" w:colLast="2"/>
            <w:bookmarkStart w:id="278" w:name="XMETag_38926e2b51784ec084acb21f47ccf30c" w:colFirst="3" w:colLast="3"/>
            <w:bookmarkEnd w:id="275"/>
            <w:bookmarkEnd w:id="276"/>
            <w:r w:rsidRPr="00735726">
              <w:rPr>
                <w:rFonts w:ascii="Arial" w:eastAsia="Times New Roman" w:hAnsi="Arial" w:cs="DINOT-Light"/>
                <w:color w:val="000000"/>
                <w:sz w:val="18"/>
                <w:szCs w:val="18"/>
              </w:rPr>
              <w:t>Proceeds from sale of property, plant and equipment</w:t>
            </w:r>
          </w:p>
        </w:tc>
        <w:tc>
          <w:tcPr>
            <w:tcW w:w="1134" w:type="dxa"/>
            <w:tcMar>
              <w:top w:w="11" w:type="dxa"/>
              <w:left w:w="57" w:type="dxa"/>
              <w:bottom w:w="11" w:type="dxa"/>
              <w:right w:w="57" w:type="dxa"/>
            </w:tcMar>
          </w:tcPr>
          <w:p w14:paraId="2CD4502E"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6814B692" w14:textId="7DD943B3"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w:t>
            </w:r>
            <w:r w:rsidR="000C41AC" w:rsidRPr="00735726">
              <w:rPr>
                <w:rFonts w:ascii="Arial" w:eastAsia="Times New Roman" w:hAnsi="Arial" w:cs="DINOT-Light"/>
                <w:color w:val="000000"/>
                <w:sz w:val="18"/>
                <w:szCs w:val="18"/>
              </w:rPr>
              <w:t>3</w:t>
            </w:r>
          </w:p>
        </w:tc>
        <w:tc>
          <w:tcPr>
            <w:tcW w:w="1134" w:type="dxa"/>
            <w:tcMar>
              <w:top w:w="11" w:type="dxa"/>
              <w:left w:w="57" w:type="dxa"/>
              <w:bottom w:w="11" w:type="dxa"/>
              <w:right w:w="57" w:type="dxa"/>
            </w:tcMar>
          </w:tcPr>
          <w:p w14:paraId="7DACF24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r>
      <w:tr w:rsidR="00646F4F" w:rsidRPr="00735726" w14:paraId="6137A226" w14:textId="77777777" w:rsidTr="00CE19B2">
        <w:trPr>
          <w:trHeight w:val="226"/>
        </w:trPr>
        <w:tc>
          <w:tcPr>
            <w:tcW w:w="6605" w:type="dxa"/>
            <w:tcMar>
              <w:top w:w="11" w:type="dxa"/>
              <w:left w:w="57" w:type="dxa"/>
              <w:bottom w:w="11" w:type="dxa"/>
              <w:right w:w="57" w:type="dxa"/>
            </w:tcMar>
          </w:tcPr>
          <w:p w14:paraId="5AC62B8B" w14:textId="119631AB" w:rsidR="00646F4F" w:rsidRPr="00735726" w:rsidRDefault="00D804BB"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w:t>
            </w:r>
            <w:r w:rsidR="00C306AB" w:rsidRPr="00735726">
              <w:rPr>
                <w:rFonts w:ascii="Arial" w:eastAsia="Times New Roman" w:hAnsi="Arial" w:cs="DINOT-Light"/>
                <w:color w:val="000000"/>
                <w:sz w:val="18"/>
                <w:szCs w:val="18"/>
              </w:rPr>
              <w:t>eposit</w:t>
            </w:r>
            <w:r w:rsidR="00646F4F" w:rsidRPr="00735726">
              <w:rPr>
                <w:rFonts w:ascii="Arial" w:eastAsia="Times New Roman" w:hAnsi="Arial" w:cs="DINOT-Light"/>
                <w:color w:val="000000"/>
                <w:sz w:val="18"/>
                <w:szCs w:val="18"/>
              </w:rPr>
              <w:t xml:space="preserve"> of restricted funds</w:t>
            </w:r>
          </w:p>
        </w:tc>
        <w:tc>
          <w:tcPr>
            <w:tcW w:w="1134" w:type="dxa"/>
            <w:tcMar>
              <w:top w:w="11" w:type="dxa"/>
              <w:left w:w="57" w:type="dxa"/>
              <w:bottom w:w="11" w:type="dxa"/>
              <w:right w:w="57" w:type="dxa"/>
            </w:tcMar>
          </w:tcPr>
          <w:p w14:paraId="7F8154AD" w14:textId="7C508CD9"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1</w:t>
            </w:r>
          </w:p>
        </w:tc>
        <w:tc>
          <w:tcPr>
            <w:tcW w:w="1133" w:type="dxa"/>
            <w:tcMar>
              <w:top w:w="11" w:type="dxa"/>
              <w:left w:w="57" w:type="dxa"/>
              <w:bottom w:w="11" w:type="dxa"/>
              <w:right w:w="57" w:type="dxa"/>
            </w:tcMar>
          </w:tcPr>
          <w:p w14:paraId="1F9A61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(0.1)</w:t>
            </w:r>
          </w:p>
        </w:tc>
        <w:tc>
          <w:tcPr>
            <w:tcW w:w="1134" w:type="dxa"/>
            <w:tcMar>
              <w:top w:w="11" w:type="dxa"/>
              <w:left w:w="57" w:type="dxa"/>
              <w:bottom w:w="11" w:type="dxa"/>
              <w:right w:w="57" w:type="dxa"/>
            </w:tcMar>
          </w:tcPr>
          <w:p w14:paraId="00914CB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(20.1)</w:t>
            </w:r>
          </w:p>
        </w:tc>
      </w:tr>
      <w:tr w:rsidR="00646F4F" w:rsidRPr="00735726" w14:paraId="50AEDEB8" w14:textId="77777777" w:rsidTr="00CE19B2">
        <w:trPr>
          <w:trHeight w:val="120"/>
        </w:trPr>
        <w:tc>
          <w:tcPr>
            <w:tcW w:w="6605" w:type="dxa"/>
            <w:tcMar>
              <w:top w:w="11" w:type="dxa"/>
              <w:left w:w="57" w:type="dxa"/>
              <w:bottom w:w="11" w:type="dxa"/>
              <w:right w:w="57" w:type="dxa"/>
            </w:tcMar>
          </w:tcPr>
          <w:p w14:paraId="2E547E1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79" w:name="XMETag_442ffc399a104b22b16ba371ec136ce5" w:colFirst="2" w:colLast="2"/>
            <w:bookmarkStart w:id="280" w:name="XMETag_bf8e96d9f76d40439763c990744ccc0b" w:colFirst="3" w:colLast="3"/>
            <w:bookmarkEnd w:id="277"/>
            <w:bookmarkEnd w:id="278"/>
            <w:r w:rsidRPr="00735726">
              <w:rPr>
                <w:rFonts w:ascii="Arial" w:eastAsia="Times New Roman" w:hAnsi="Arial" w:cs="DINOT-Light"/>
                <w:b/>
                <w:color w:val="000000"/>
                <w:sz w:val="18"/>
                <w:szCs w:val="18"/>
              </w:rPr>
              <w:t>Net cash used in investing activities</w:t>
            </w:r>
          </w:p>
        </w:tc>
        <w:tc>
          <w:tcPr>
            <w:tcW w:w="1134" w:type="dxa"/>
            <w:tcMar>
              <w:top w:w="11" w:type="dxa"/>
              <w:left w:w="57" w:type="dxa"/>
              <w:bottom w:w="11" w:type="dxa"/>
              <w:right w:w="57" w:type="dxa"/>
            </w:tcMar>
          </w:tcPr>
          <w:p w14:paraId="7A755DEA"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Borders>
              <w:top w:val="single" w:sz="4" w:space="0" w:color="auto"/>
            </w:tcBorders>
            <w:tcMar>
              <w:top w:w="11" w:type="dxa"/>
              <w:left w:w="57" w:type="dxa"/>
              <w:bottom w:w="11" w:type="dxa"/>
              <w:right w:w="57" w:type="dxa"/>
            </w:tcMar>
          </w:tcPr>
          <w:p w14:paraId="03A0D0FF" w14:textId="69F3EE4F"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r w:rsidR="000C41AC" w:rsidRPr="00735726">
              <w:rPr>
                <w:rFonts w:ascii="Arial" w:eastAsia="Times New Roman" w:hAnsi="Arial" w:cs="DINOT-Light"/>
                <w:b/>
                <w:bCs/>
                <w:color w:val="000000"/>
                <w:sz w:val="18"/>
                <w:szCs w:val="18"/>
              </w:rPr>
              <w:t>548.9</w:t>
            </w:r>
            <w:r w:rsidRPr="00735726">
              <w:rPr>
                <w:rFonts w:ascii="Arial" w:eastAsia="Times New Roman" w:hAnsi="Arial" w:cs="DINOT-Light"/>
                <w:b/>
                <w:bCs/>
                <w:color w:val="000000"/>
                <w:sz w:val="18"/>
                <w:szCs w:val="18"/>
              </w:rPr>
              <w:t>)</w:t>
            </w:r>
          </w:p>
        </w:tc>
        <w:tc>
          <w:tcPr>
            <w:tcW w:w="1134" w:type="dxa"/>
            <w:tcBorders>
              <w:top w:val="single" w:sz="4" w:space="0" w:color="auto"/>
            </w:tcBorders>
            <w:tcMar>
              <w:top w:w="11" w:type="dxa"/>
              <w:left w:w="57" w:type="dxa"/>
              <w:bottom w:w="11" w:type="dxa"/>
              <w:right w:w="57" w:type="dxa"/>
            </w:tcMar>
          </w:tcPr>
          <w:p w14:paraId="4B7E8B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(618.3)</w:t>
            </w:r>
          </w:p>
        </w:tc>
      </w:tr>
      <w:bookmarkEnd w:id="279"/>
      <w:bookmarkEnd w:id="280"/>
      <w:tr w:rsidR="00646F4F" w:rsidRPr="00735726" w14:paraId="79F0A84A" w14:textId="77777777" w:rsidTr="00CE19B2">
        <w:trPr>
          <w:trHeight w:val="226"/>
        </w:trPr>
        <w:tc>
          <w:tcPr>
            <w:tcW w:w="6605" w:type="dxa"/>
            <w:tcMar>
              <w:top w:w="11" w:type="dxa"/>
              <w:left w:w="57" w:type="dxa"/>
              <w:bottom w:w="11" w:type="dxa"/>
              <w:right w:w="57" w:type="dxa"/>
            </w:tcMar>
          </w:tcPr>
          <w:p w14:paraId="5FA325B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10EAB467"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17177B8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7AE9E48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199D6474" w14:textId="77777777" w:rsidTr="00CE19B2">
        <w:trPr>
          <w:trHeight w:val="226"/>
        </w:trPr>
        <w:tc>
          <w:tcPr>
            <w:tcW w:w="6605" w:type="dxa"/>
            <w:tcMar>
              <w:top w:w="11" w:type="dxa"/>
              <w:left w:w="57" w:type="dxa"/>
              <w:bottom w:w="11" w:type="dxa"/>
              <w:right w:w="57" w:type="dxa"/>
            </w:tcMar>
          </w:tcPr>
          <w:p w14:paraId="2075275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Cash flows from financing activities</w:t>
            </w:r>
          </w:p>
        </w:tc>
        <w:tc>
          <w:tcPr>
            <w:tcW w:w="1134" w:type="dxa"/>
            <w:tcMar>
              <w:top w:w="11" w:type="dxa"/>
              <w:left w:w="57" w:type="dxa"/>
              <w:bottom w:w="11" w:type="dxa"/>
              <w:right w:w="57" w:type="dxa"/>
            </w:tcMar>
          </w:tcPr>
          <w:p w14:paraId="49729283"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4B6B92F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78F2E7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2C460340" w14:textId="77777777" w:rsidTr="00CE19B2">
        <w:trPr>
          <w:trHeight w:val="226"/>
        </w:trPr>
        <w:tc>
          <w:tcPr>
            <w:tcW w:w="6605" w:type="dxa"/>
            <w:tcMar>
              <w:top w:w="11" w:type="dxa"/>
              <w:left w:w="57" w:type="dxa"/>
              <w:bottom w:w="11" w:type="dxa"/>
              <w:right w:w="57" w:type="dxa"/>
            </w:tcMar>
          </w:tcPr>
          <w:p w14:paraId="46237B9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Proceeds from issue of ordinary share capital</w:t>
            </w:r>
          </w:p>
        </w:tc>
        <w:tc>
          <w:tcPr>
            <w:tcW w:w="1134" w:type="dxa"/>
            <w:tcMar>
              <w:top w:w="11" w:type="dxa"/>
              <w:left w:w="57" w:type="dxa"/>
              <w:bottom w:w="11" w:type="dxa"/>
              <w:right w:w="57" w:type="dxa"/>
            </w:tcMar>
          </w:tcPr>
          <w:p w14:paraId="5A498508" w14:textId="791FB712" w:rsidR="00646F4F" w:rsidRPr="009A2CAE" w:rsidRDefault="00B63B15"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29</w:t>
            </w:r>
          </w:p>
        </w:tc>
        <w:tc>
          <w:tcPr>
            <w:tcW w:w="1133" w:type="dxa"/>
            <w:tcMar>
              <w:top w:w="11" w:type="dxa"/>
              <w:left w:w="57" w:type="dxa"/>
              <w:bottom w:w="11" w:type="dxa"/>
              <w:right w:w="57" w:type="dxa"/>
            </w:tcMar>
          </w:tcPr>
          <w:p w14:paraId="518165B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6C26EC5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330.0</w:t>
            </w:r>
          </w:p>
        </w:tc>
      </w:tr>
      <w:tr w:rsidR="00646F4F" w:rsidRPr="00735726" w14:paraId="071C203E" w14:textId="77777777" w:rsidTr="00CE19B2">
        <w:trPr>
          <w:trHeight w:val="226"/>
        </w:trPr>
        <w:tc>
          <w:tcPr>
            <w:tcW w:w="6605" w:type="dxa"/>
            <w:tcMar>
              <w:top w:w="11" w:type="dxa"/>
              <w:left w:w="57" w:type="dxa"/>
              <w:bottom w:w="11" w:type="dxa"/>
              <w:right w:w="57" w:type="dxa"/>
            </w:tcMar>
          </w:tcPr>
          <w:p w14:paraId="14F77DE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81" w:name="XMETag_a4d97a9d542244e8b1b35987f475597d" w:colFirst="2" w:colLast="2"/>
            <w:bookmarkStart w:id="282" w:name="XMETag_acea51636ce54107ac13c16d1fc02fe2" w:colFirst="3" w:colLast="3"/>
            <w:r w:rsidRPr="00735726">
              <w:rPr>
                <w:rFonts w:ascii="Arial" w:eastAsia="Times New Roman" w:hAnsi="Arial" w:cs="DINOT-Light"/>
                <w:color w:val="000000"/>
                <w:sz w:val="18"/>
                <w:szCs w:val="18"/>
              </w:rPr>
              <w:t>Proceeds from new borrowings</w:t>
            </w:r>
          </w:p>
        </w:tc>
        <w:tc>
          <w:tcPr>
            <w:tcW w:w="1134" w:type="dxa"/>
            <w:tcMar>
              <w:top w:w="11" w:type="dxa"/>
              <w:left w:w="57" w:type="dxa"/>
              <w:bottom w:w="11" w:type="dxa"/>
              <w:right w:w="57" w:type="dxa"/>
            </w:tcMar>
          </w:tcPr>
          <w:p w14:paraId="75A5BD9D"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726820CD" w14:textId="669F1BDF" w:rsidR="00646F4F" w:rsidRPr="00735726" w:rsidRDefault="00935C64"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1FBF408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345.8</w:t>
            </w:r>
          </w:p>
        </w:tc>
      </w:tr>
      <w:tr w:rsidR="00646F4F" w:rsidRPr="00735726" w14:paraId="23C2920E" w14:textId="77777777" w:rsidTr="00CE19B2">
        <w:trPr>
          <w:trHeight w:val="226"/>
        </w:trPr>
        <w:tc>
          <w:tcPr>
            <w:tcW w:w="6605" w:type="dxa"/>
            <w:tcMar>
              <w:top w:w="11" w:type="dxa"/>
              <w:left w:w="57" w:type="dxa"/>
              <w:bottom w:w="11" w:type="dxa"/>
              <w:right w:w="57" w:type="dxa"/>
            </w:tcMar>
          </w:tcPr>
          <w:p w14:paraId="5D0D94C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83" w:name="XMETag_836aa0096211420e8dd5a456c3ceb20b" w:colFirst="2" w:colLast="2"/>
            <w:bookmarkStart w:id="284" w:name="XMETag_d3d343d42b214124809c108591d452c2" w:colFirst="3" w:colLast="3"/>
            <w:bookmarkEnd w:id="281"/>
            <w:bookmarkEnd w:id="282"/>
            <w:r w:rsidRPr="00735726">
              <w:rPr>
                <w:rFonts w:ascii="Arial" w:eastAsia="Times New Roman" w:hAnsi="Arial" w:cs="DINOT-Light"/>
                <w:color w:val="000000"/>
                <w:sz w:val="18"/>
                <w:szCs w:val="18"/>
              </w:rPr>
              <w:t>Repayment of borrowings</w:t>
            </w:r>
          </w:p>
        </w:tc>
        <w:tc>
          <w:tcPr>
            <w:tcW w:w="1134" w:type="dxa"/>
            <w:tcMar>
              <w:top w:w="11" w:type="dxa"/>
              <w:left w:w="57" w:type="dxa"/>
              <w:bottom w:w="11" w:type="dxa"/>
              <w:right w:w="57" w:type="dxa"/>
            </w:tcMar>
          </w:tcPr>
          <w:p w14:paraId="6D11A79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5956BA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(104.7)</w:t>
            </w:r>
          </w:p>
        </w:tc>
        <w:tc>
          <w:tcPr>
            <w:tcW w:w="1134" w:type="dxa"/>
            <w:tcMar>
              <w:top w:w="11" w:type="dxa"/>
              <w:left w:w="57" w:type="dxa"/>
              <w:bottom w:w="11" w:type="dxa"/>
              <w:right w:w="57" w:type="dxa"/>
            </w:tcMar>
          </w:tcPr>
          <w:p w14:paraId="6F36C8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(354.7)</w:t>
            </w:r>
          </w:p>
        </w:tc>
      </w:tr>
      <w:tr w:rsidR="00646F4F" w:rsidRPr="00735726" w14:paraId="22F13F08" w14:textId="77777777" w:rsidTr="00CE19B2">
        <w:trPr>
          <w:trHeight w:val="226"/>
        </w:trPr>
        <w:tc>
          <w:tcPr>
            <w:tcW w:w="6605" w:type="dxa"/>
            <w:tcMar>
              <w:top w:w="11" w:type="dxa"/>
              <w:left w:w="57" w:type="dxa"/>
              <w:bottom w:w="11" w:type="dxa"/>
              <w:right w:w="57" w:type="dxa"/>
            </w:tcMar>
          </w:tcPr>
          <w:p w14:paraId="7A69E97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Proceeds from intercompany borrowings</w:t>
            </w:r>
          </w:p>
        </w:tc>
        <w:tc>
          <w:tcPr>
            <w:tcW w:w="1134" w:type="dxa"/>
            <w:tcMar>
              <w:top w:w="11" w:type="dxa"/>
              <w:left w:w="57" w:type="dxa"/>
              <w:bottom w:w="11" w:type="dxa"/>
              <w:right w:w="57" w:type="dxa"/>
            </w:tcMar>
          </w:tcPr>
          <w:p w14:paraId="4C2D8365"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09169089" w14:textId="77777777" w:rsidR="00646F4F" w:rsidRPr="00735726" w:rsidDel="0082017F"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297.2</w:t>
            </w:r>
          </w:p>
        </w:tc>
        <w:tc>
          <w:tcPr>
            <w:tcW w:w="1134" w:type="dxa"/>
            <w:tcMar>
              <w:top w:w="11" w:type="dxa"/>
              <w:left w:w="57" w:type="dxa"/>
              <w:bottom w:w="11" w:type="dxa"/>
              <w:right w:w="57" w:type="dxa"/>
            </w:tcMar>
          </w:tcPr>
          <w:p w14:paraId="41B39F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650.0</w:t>
            </w:r>
          </w:p>
        </w:tc>
      </w:tr>
      <w:tr w:rsidR="00646F4F" w:rsidRPr="00735726" w14:paraId="61DE3AA3" w14:textId="77777777" w:rsidTr="00CE19B2">
        <w:trPr>
          <w:trHeight w:val="226"/>
        </w:trPr>
        <w:tc>
          <w:tcPr>
            <w:tcW w:w="6605" w:type="dxa"/>
            <w:tcMar>
              <w:top w:w="11" w:type="dxa"/>
              <w:left w:w="57" w:type="dxa"/>
              <w:bottom w:w="11" w:type="dxa"/>
              <w:right w:w="57" w:type="dxa"/>
            </w:tcMar>
          </w:tcPr>
          <w:p w14:paraId="1C0BD52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85" w:name="XMETag_c9d0b91d72b4422299e38f2812be2876" w:colFirst="2" w:colLast="2"/>
            <w:bookmarkStart w:id="286" w:name="XMETag_1f43bf9ecaee465eaf310f0126488a12" w:colFirst="3" w:colLast="3"/>
            <w:bookmarkEnd w:id="283"/>
            <w:bookmarkEnd w:id="284"/>
            <w:r w:rsidRPr="00735726">
              <w:rPr>
                <w:rFonts w:ascii="Arial" w:eastAsia="Times New Roman" w:hAnsi="Arial" w:cs="DINOT-Light"/>
                <w:color w:val="000000"/>
                <w:sz w:val="18"/>
                <w:szCs w:val="18"/>
              </w:rPr>
              <w:t>Repayments of intercompany borrowings</w:t>
            </w:r>
          </w:p>
        </w:tc>
        <w:tc>
          <w:tcPr>
            <w:tcW w:w="1134" w:type="dxa"/>
            <w:tcMar>
              <w:top w:w="11" w:type="dxa"/>
              <w:left w:w="57" w:type="dxa"/>
              <w:bottom w:w="11" w:type="dxa"/>
              <w:right w:w="57" w:type="dxa"/>
            </w:tcMar>
          </w:tcPr>
          <w:p w14:paraId="0CFCD1F9"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5A0FF5A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w:t>
            </w:r>
          </w:p>
        </w:tc>
        <w:tc>
          <w:tcPr>
            <w:tcW w:w="1134" w:type="dxa"/>
            <w:tcMar>
              <w:top w:w="11" w:type="dxa"/>
              <w:left w:w="57" w:type="dxa"/>
              <w:bottom w:w="11" w:type="dxa"/>
              <w:right w:w="57" w:type="dxa"/>
            </w:tcMar>
          </w:tcPr>
          <w:p w14:paraId="314FEA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(103.5)</w:t>
            </w:r>
          </w:p>
        </w:tc>
      </w:tr>
      <w:tr w:rsidR="00646F4F" w:rsidRPr="00735726" w14:paraId="5FF4402A" w14:textId="77777777" w:rsidTr="00CE19B2">
        <w:trPr>
          <w:trHeight w:val="226"/>
        </w:trPr>
        <w:tc>
          <w:tcPr>
            <w:tcW w:w="6605" w:type="dxa"/>
            <w:tcMar>
              <w:top w:w="11" w:type="dxa"/>
              <w:left w:w="57" w:type="dxa"/>
              <w:bottom w:w="11" w:type="dxa"/>
              <w:right w:w="57" w:type="dxa"/>
            </w:tcMar>
          </w:tcPr>
          <w:p w14:paraId="257C650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87" w:name="XMETag_4360c0982c4d4ed8a19b82003516dbcb" w:colFirst="2" w:colLast="2"/>
            <w:bookmarkStart w:id="288" w:name="XMETag_c20a781d12a142549f3ace0ce9a8e7c3" w:colFirst="3" w:colLast="3"/>
            <w:bookmarkEnd w:id="285"/>
            <w:bookmarkEnd w:id="286"/>
            <w:r w:rsidRPr="00735726">
              <w:rPr>
                <w:rFonts w:ascii="Arial" w:eastAsia="Times New Roman" w:hAnsi="Arial" w:cs="DINOT-Light"/>
                <w:color w:val="000000"/>
                <w:sz w:val="18"/>
                <w:szCs w:val="18"/>
              </w:rPr>
              <w:t>Cash inflows from lease financing arrangements</w:t>
            </w:r>
          </w:p>
        </w:tc>
        <w:tc>
          <w:tcPr>
            <w:tcW w:w="1134" w:type="dxa"/>
            <w:tcMar>
              <w:top w:w="11" w:type="dxa"/>
              <w:left w:w="57" w:type="dxa"/>
              <w:bottom w:w="11" w:type="dxa"/>
              <w:right w:w="57" w:type="dxa"/>
            </w:tcMar>
          </w:tcPr>
          <w:p w14:paraId="303D2B11"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35A9FD6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90.0</w:t>
            </w:r>
          </w:p>
        </w:tc>
        <w:tc>
          <w:tcPr>
            <w:tcW w:w="1134" w:type="dxa"/>
            <w:tcMar>
              <w:top w:w="11" w:type="dxa"/>
              <w:left w:w="57" w:type="dxa"/>
              <w:bottom w:w="11" w:type="dxa"/>
              <w:right w:w="57" w:type="dxa"/>
            </w:tcMar>
          </w:tcPr>
          <w:p w14:paraId="556A09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25.0</w:t>
            </w:r>
          </w:p>
        </w:tc>
      </w:tr>
      <w:tr w:rsidR="00646F4F" w:rsidRPr="00735726" w14:paraId="762FECA6" w14:textId="77777777" w:rsidTr="00CE19B2">
        <w:trPr>
          <w:trHeight w:val="226"/>
        </w:trPr>
        <w:tc>
          <w:tcPr>
            <w:tcW w:w="6605" w:type="dxa"/>
            <w:tcMar>
              <w:top w:w="11" w:type="dxa"/>
              <w:left w:w="57" w:type="dxa"/>
              <w:bottom w:w="11" w:type="dxa"/>
              <w:right w:w="57" w:type="dxa"/>
            </w:tcMar>
          </w:tcPr>
          <w:p w14:paraId="384E7FF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289" w:name="XMETag_e249f7e7216443d39f12ec825a2ede02" w:colFirst="2" w:colLast="2"/>
            <w:bookmarkStart w:id="290" w:name="XMETag_f5a12f689e544e488ed95c2f434e82da" w:colFirst="3" w:colLast="3"/>
            <w:bookmarkEnd w:id="287"/>
            <w:bookmarkEnd w:id="288"/>
            <w:r w:rsidRPr="00735726">
              <w:rPr>
                <w:rFonts w:ascii="Arial" w:eastAsia="Times New Roman" w:hAnsi="Arial" w:cs="DINOT-Light"/>
                <w:color w:val="000000"/>
                <w:sz w:val="18"/>
                <w:szCs w:val="18"/>
              </w:rPr>
              <w:t xml:space="preserve">Lease principal repayments </w:t>
            </w:r>
          </w:p>
        </w:tc>
        <w:tc>
          <w:tcPr>
            <w:tcW w:w="1134" w:type="dxa"/>
            <w:tcMar>
              <w:top w:w="11" w:type="dxa"/>
              <w:left w:w="57" w:type="dxa"/>
              <w:bottom w:w="11" w:type="dxa"/>
              <w:right w:w="57" w:type="dxa"/>
            </w:tcMar>
          </w:tcPr>
          <w:p w14:paraId="3691335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7B6AE1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(45.3)</w:t>
            </w:r>
          </w:p>
        </w:tc>
        <w:tc>
          <w:tcPr>
            <w:tcW w:w="1134" w:type="dxa"/>
            <w:tcMar>
              <w:top w:w="11" w:type="dxa"/>
              <w:left w:w="57" w:type="dxa"/>
              <w:bottom w:w="11" w:type="dxa"/>
              <w:right w:w="57" w:type="dxa"/>
            </w:tcMar>
          </w:tcPr>
          <w:p w14:paraId="4E5035E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(96.8)</w:t>
            </w:r>
          </w:p>
        </w:tc>
      </w:tr>
      <w:tr w:rsidR="00646F4F" w:rsidRPr="00735726" w14:paraId="0C7A2BF2" w14:textId="77777777" w:rsidTr="00CE19B2">
        <w:trPr>
          <w:trHeight w:val="226"/>
        </w:trPr>
        <w:tc>
          <w:tcPr>
            <w:tcW w:w="6605" w:type="dxa"/>
            <w:tcMar>
              <w:top w:w="11" w:type="dxa"/>
              <w:left w:w="57" w:type="dxa"/>
              <w:bottom w:w="11" w:type="dxa"/>
              <w:right w:w="57" w:type="dxa"/>
            </w:tcMar>
          </w:tcPr>
          <w:p w14:paraId="27969C6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Dividends paid</w:t>
            </w:r>
          </w:p>
        </w:tc>
        <w:tc>
          <w:tcPr>
            <w:tcW w:w="1134" w:type="dxa"/>
            <w:tcMar>
              <w:top w:w="11" w:type="dxa"/>
              <w:left w:w="57" w:type="dxa"/>
              <w:bottom w:w="11" w:type="dxa"/>
              <w:right w:w="57" w:type="dxa"/>
            </w:tcMar>
          </w:tcPr>
          <w:p w14:paraId="57FC192D"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7D5EBE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(75.0)</w:t>
            </w:r>
          </w:p>
        </w:tc>
        <w:tc>
          <w:tcPr>
            <w:tcW w:w="1134" w:type="dxa"/>
            <w:tcMar>
              <w:top w:w="11" w:type="dxa"/>
              <w:left w:w="57" w:type="dxa"/>
              <w:bottom w:w="11" w:type="dxa"/>
              <w:right w:w="57" w:type="dxa"/>
            </w:tcMar>
          </w:tcPr>
          <w:p w14:paraId="36CA5D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tr w:rsidR="00646F4F" w:rsidRPr="00735726" w14:paraId="51F0322E" w14:textId="77777777" w:rsidTr="00CE19B2">
        <w:trPr>
          <w:trHeight w:val="226"/>
        </w:trPr>
        <w:tc>
          <w:tcPr>
            <w:tcW w:w="6605" w:type="dxa"/>
            <w:tcMar>
              <w:top w:w="11" w:type="dxa"/>
              <w:left w:w="57" w:type="dxa"/>
              <w:bottom w:w="11" w:type="dxa"/>
              <w:right w:w="57" w:type="dxa"/>
            </w:tcMar>
          </w:tcPr>
          <w:p w14:paraId="45F49D0F" w14:textId="16C7DB6A"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91" w:name="XMETag_08a0699713b74857bf1d4cbae869566a" w:colFirst="2" w:colLast="2"/>
            <w:bookmarkStart w:id="292" w:name="XMETag_88472c179cca48c4a545cac1bfb44b8d" w:colFirst="3" w:colLast="3"/>
            <w:bookmarkEnd w:id="289"/>
            <w:bookmarkEnd w:id="290"/>
            <w:r w:rsidRPr="00735726">
              <w:rPr>
                <w:rFonts w:ascii="Arial" w:eastAsia="Times New Roman" w:hAnsi="Arial" w:cs="DINOT-Light"/>
                <w:b/>
                <w:color w:val="000000"/>
                <w:sz w:val="18"/>
                <w:szCs w:val="18"/>
              </w:rPr>
              <w:t>Net cash</w:t>
            </w:r>
            <w:r w:rsidR="00D804BB" w:rsidRPr="00735726">
              <w:rPr>
                <w:rFonts w:ascii="Arial" w:eastAsia="Times New Roman" w:hAnsi="Arial" w:cs="DINOT-Light"/>
                <w:b/>
                <w:color w:val="000000"/>
                <w:sz w:val="18"/>
                <w:szCs w:val="18"/>
              </w:rPr>
              <w:t xml:space="preserve"> generated</w:t>
            </w:r>
            <w:r w:rsidRPr="00735726">
              <w:rPr>
                <w:rFonts w:ascii="Arial" w:eastAsia="Times New Roman" w:hAnsi="Arial" w:cs="DINOT-Light"/>
                <w:b/>
                <w:color w:val="000000"/>
                <w:sz w:val="18"/>
                <w:szCs w:val="18"/>
              </w:rPr>
              <w:t xml:space="preserve"> from financing activities</w:t>
            </w:r>
          </w:p>
        </w:tc>
        <w:tc>
          <w:tcPr>
            <w:tcW w:w="1134" w:type="dxa"/>
            <w:tcMar>
              <w:top w:w="11" w:type="dxa"/>
              <w:left w:w="57" w:type="dxa"/>
              <w:bottom w:w="11" w:type="dxa"/>
              <w:right w:w="57" w:type="dxa"/>
            </w:tcMar>
          </w:tcPr>
          <w:p w14:paraId="543A207D"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Borders>
              <w:top w:val="single" w:sz="4" w:space="0" w:color="auto"/>
              <w:bottom w:val="single" w:sz="4" w:space="0" w:color="auto"/>
            </w:tcBorders>
            <w:tcMar>
              <w:top w:w="11" w:type="dxa"/>
              <w:left w:w="57" w:type="dxa"/>
              <w:bottom w:w="11" w:type="dxa"/>
              <w:right w:w="57" w:type="dxa"/>
            </w:tcMar>
          </w:tcPr>
          <w:p w14:paraId="54FD45A8" w14:textId="00FD3400" w:rsidR="00646F4F" w:rsidRPr="00735726" w:rsidRDefault="00935C64"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158.6</w:t>
            </w:r>
          </w:p>
        </w:tc>
        <w:tc>
          <w:tcPr>
            <w:tcW w:w="1134" w:type="dxa"/>
            <w:tcBorders>
              <w:top w:val="single" w:sz="4" w:space="0" w:color="auto"/>
              <w:bottom w:val="single" w:sz="4" w:space="0" w:color="auto"/>
            </w:tcBorders>
            <w:tcMar>
              <w:top w:w="11" w:type="dxa"/>
              <w:left w:w="57" w:type="dxa"/>
              <w:bottom w:w="11" w:type="dxa"/>
              <w:right w:w="57" w:type="dxa"/>
            </w:tcMar>
          </w:tcPr>
          <w:p w14:paraId="13662D9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795.8</w:t>
            </w:r>
          </w:p>
        </w:tc>
      </w:tr>
      <w:bookmarkEnd w:id="291"/>
      <w:bookmarkEnd w:id="292"/>
      <w:tr w:rsidR="00646F4F" w:rsidRPr="00735726" w14:paraId="0C8D39D2" w14:textId="77777777" w:rsidTr="00CE19B2">
        <w:trPr>
          <w:trHeight w:val="226"/>
        </w:trPr>
        <w:tc>
          <w:tcPr>
            <w:tcW w:w="6605" w:type="dxa"/>
            <w:tcMar>
              <w:top w:w="11" w:type="dxa"/>
              <w:left w:w="57" w:type="dxa"/>
              <w:bottom w:w="11" w:type="dxa"/>
              <w:right w:w="57" w:type="dxa"/>
            </w:tcMar>
          </w:tcPr>
          <w:p w14:paraId="06C1E24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5711C5C2"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Borders>
              <w:top w:val="single" w:sz="4" w:space="0" w:color="auto"/>
            </w:tcBorders>
            <w:tcMar>
              <w:top w:w="11" w:type="dxa"/>
              <w:left w:w="57" w:type="dxa"/>
              <w:bottom w:w="11" w:type="dxa"/>
              <w:right w:w="57" w:type="dxa"/>
            </w:tcMar>
          </w:tcPr>
          <w:p w14:paraId="5FDC7D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28D19D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259081AA" w14:textId="77777777" w:rsidTr="00CE19B2">
        <w:trPr>
          <w:trHeight w:val="226"/>
        </w:trPr>
        <w:tc>
          <w:tcPr>
            <w:tcW w:w="6605" w:type="dxa"/>
            <w:tcMar>
              <w:top w:w="11" w:type="dxa"/>
              <w:left w:w="57" w:type="dxa"/>
              <w:bottom w:w="11" w:type="dxa"/>
              <w:right w:w="57" w:type="dxa"/>
            </w:tcMar>
          </w:tcPr>
          <w:p w14:paraId="20EFD76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93" w:name="XMETag_1e35d7c4346a490c94f7a3437ea73313" w:colFirst="2" w:colLast="2"/>
            <w:bookmarkStart w:id="294" w:name="XMETag_e0af7f81af884230bada9c8482f9603e" w:colFirst="3" w:colLast="3"/>
            <w:r w:rsidRPr="00735726">
              <w:rPr>
                <w:rFonts w:ascii="Arial" w:eastAsia="Times New Roman" w:hAnsi="Arial" w:cs="DINOT-Light"/>
                <w:b/>
                <w:color w:val="000000"/>
                <w:sz w:val="18"/>
                <w:szCs w:val="18"/>
              </w:rPr>
              <w:t>Net (decrease)/increase in cash and cash equivalents</w:t>
            </w:r>
          </w:p>
        </w:tc>
        <w:tc>
          <w:tcPr>
            <w:tcW w:w="1134" w:type="dxa"/>
            <w:tcMar>
              <w:top w:w="11" w:type="dxa"/>
              <w:left w:w="57" w:type="dxa"/>
              <w:bottom w:w="11" w:type="dxa"/>
              <w:right w:w="57" w:type="dxa"/>
            </w:tcMar>
          </w:tcPr>
          <w:p w14:paraId="2C27410B"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78F7066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sz w:val="18"/>
                <w:szCs w:val="18"/>
              </w:rPr>
            </w:pPr>
            <w:r w:rsidRPr="00735726">
              <w:rPr>
                <w:rFonts w:ascii="Arial" w:eastAsia="Times New Roman" w:hAnsi="Arial" w:cs="DINOT-Light"/>
                <w:b/>
                <w:bCs/>
                <w:color w:val="000000"/>
                <w:sz w:val="18"/>
                <w:szCs w:val="18"/>
              </w:rPr>
              <w:t>(30.9)</w:t>
            </w:r>
          </w:p>
        </w:tc>
        <w:tc>
          <w:tcPr>
            <w:tcW w:w="1134" w:type="dxa"/>
            <w:tcMar>
              <w:top w:w="11" w:type="dxa"/>
              <w:left w:w="57" w:type="dxa"/>
              <w:bottom w:w="11" w:type="dxa"/>
              <w:right w:w="57" w:type="dxa"/>
            </w:tcMar>
          </w:tcPr>
          <w:p w14:paraId="37BE961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sz w:val="18"/>
                <w:szCs w:val="18"/>
              </w:rPr>
            </w:pPr>
            <w:r w:rsidRPr="00735726">
              <w:rPr>
                <w:rFonts w:ascii="Arial" w:eastAsia="Times New Roman" w:hAnsi="Arial" w:cs="DINOT-Light"/>
                <w:b/>
                <w:bCs/>
                <w:color w:val="000000"/>
                <w:sz w:val="18"/>
                <w:szCs w:val="18"/>
              </w:rPr>
              <w:t>281.4</w:t>
            </w:r>
          </w:p>
        </w:tc>
      </w:tr>
      <w:bookmarkEnd w:id="293"/>
      <w:bookmarkEnd w:id="294"/>
      <w:tr w:rsidR="00646F4F" w:rsidRPr="00735726" w14:paraId="5632DFDC" w14:textId="77777777" w:rsidTr="00CE19B2">
        <w:trPr>
          <w:trHeight w:val="226"/>
        </w:trPr>
        <w:tc>
          <w:tcPr>
            <w:tcW w:w="6605" w:type="dxa"/>
            <w:tcMar>
              <w:top w:w="11" w:type="dxa"/>
              <w:left w:w="57" w:type="dxa"/>
              <w:bottom w:w="11" w:type="dxa"/>
              <w:right w:w="57" w:type="dxa"/>
            </w:tcMar>
          </w:tcPr>
          <w:p w14:paraId="33CB2F0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14D7D1F9"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369EFA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34" w:type="dxa"/>
            <w:tcMar>
              <w:top w:w="11" w:type="dxa"/>
              <w:left w:w="57" w:type="dxa"/>
              <w:bottom w:w="11" w:type="dxa"/>
              <w:right w:w="57" w:type="dxa"/>
            </w:tcMar>
          </w:tcPr>
          <w:p w14:paraId="0BF5225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r>
      <w:tr w:rsidR="00646F4F" w:rsidRPr="00735726" w14:paraId="467B218D" w14:textId="77777777" w:rsidTr="00CE19B2">
        <w:trPr>
          <w:trHeight w:val="226"/>
        </w:trPr>
        <w:tc>
          <w:tcPr>
            <w:tcW w:w="6605" w:type="dxa"/>
            <w:tcMar>
              <w:top w:w="11" w:type="dxa"/>
              <w:left w:w="57" w:type="dxa"/>
              <w:bottom w:w="11" w:type="dxa"/>
              <w:right w:w="57" w:type="dxa"/>
            </w:tcMar>
          </w:tcPr>
          <w:p w14:paraId="78C2D19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95" w:name="XMETag_314db511243c4e07a3fe9952b41063b6" w:colFirst="2" w:colLast="2"/>
            <w:bookmarkStart w:id="296" w:name="XMETag_c7a904e8a6d74a8393d950145ceddf04" w:colFirst="3" w:colLast="3"/>
            <w:r w:rsidRPr="00735726">
              <w:rPr>
                <w:rFonts w:ascii="Arial" w:eastAsia="Times New Roman" w:hAnsi="Arial" w:cs="DINOT-Light"/>
                <w:b/>
                <w:color w:val="000000"/>
                <w:sz w:val="18"/>
                <w:szCs w:val="18"/>
              </w:rPr>
              <w:t>Cash and cash equivalents at beginning of the year</w:t>
            </w:r>
          </w:p>
        </w:tc>
        <w:tc>
          <w:tcPr>
            <w:tcW w:w="1134" w:type="dxa"/>
            <w:tcMar>
              <w:top w:w="11" w:type="dxa"/>
              <w:left w:w="57" w:type="dxa"/>
              <w:bottom w:w="11" w:type="dxa"/>
              <w:right w:w="57" w:type="dxa"/>
            </w:tcMar>
          </w:tcPr>
          <w:p w14:paraId="64F053F1" w14:textId="4E9E828D"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Cs/>
                <w:color w:val="000000"/>
                <w:sz w:val="18"/>
                <w:szCs w:val="18"/>
              </w:rPr>
            </w:pPr>
            <w:r w:rsidRPr="009A2CAE">
              <w:rPr>
                <w:rFonts w:ascii="Arial" w:eastAsia="Times New Roman" w:hAnsi="Arial" w:cs="DINOT-Light"/>
                <w:bCs/>
                <w:color w:val="000000"/>
                <w:sz w:val="18"/>
                <w:szCs w:val="18"/>
              </w:rPr>
              <w:t>2</w:t>
            </w:r>
            <w:r w:rsidR="00B63B15" w:rsidRPr="009A2CAE">
              <w:rPr>
                <w:rFonts w:ascii="Arial" w:eastAsia="Times New Roman" w:hAnsi="Arial" w:cs="DINOT-Light"/>
                <w:bCs/>
                <w:color w:val="000000"/>
                <w:sz w:val="18"/>
                <w:szCs w:val="18"/>
              </w:rPr>
              <w:t>1</w:t>
            </w:r>
          </w:p>
        </w:tc>
        <w:tc>
          <w:tcPr>
            <w:tcW w:w="1133" w:type="dxa"/>
            <w:tcBorders>
              <w:bottom w:val="single" w:sz="4" w:space="0" w:color="auto"/>
            </w:tcBorders>
            <w:tcMar>
              <w:top w:w="11" w:type="dxa"/>
              <w:left w:w="57" w:type="dxa"/>
              <w:bottom w:w="11" w:type="dxa"/>
              <w:right w:w="57" w:type="dxa"/>
            </w:tcMar>
          </w:tcPr>
          <w:p w14:paraId="72D131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280.6</w:t>
            </w:r>
          </w:p>
        </w:tc>
        <w:tc>
          <w:tcPr>
            <w:tcW w:w="1134" w:type="dxa"/>
            <w:tcBorders>
              <w:bottom w:val="single" w:sz="4" w:space="0" w:color="auto"/>
            </w:tcBorders>
            <w:tcMar>
              <w:top w:w="11" w:type="dxa"/>
              <w:left w:w="57" w:type="dxa"/>
              <w:bottom w:w="11" w:type="dxa"/>
              <w:right w:w="57" w:type="dxa"/>
            </w:tcMar>
          </w:tcPr>
          <w:p w14:paraId="5E6792E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color w:val="000000"/>
                <w:sz w:val="18"/>
                <w:szCs w:val="18"/>
              </w:rPr>
              <w:t>(0.8)</w:t>
            </w:r>
          </w:p>
        </w:tc>
      </w:tr>
      <w:bookmarkEnd w:id="295"/>
      <w:bookmarkEnd w:id="296"/>
      <w:tr w:rsidR="00646F4F" w:rsidRPr="00735726" w14:paraId="123863A1" w14:textId="77777777" w:rsidTr="00CE19B2">
        <w:trPr>
          <w:trHeight w:val="226"/>
        </w:trPr>
        <w:tc>
          <w:tcPr>
            <w:tcW w:w="6605" w:type="dxa"/>
            <w:tcMar>
              <w:top w:w="11" w:type="dxa"/>
              <w:left w:w="57" w:type="dxa"/>
              <w:bottom w:w="11" w:type="dxa"/>
              <w:right w:w="57" w:type="dxa"/>
            </w:tcMar>
          </w:tcPr>
          <w:p w14:paraId="7CC2E73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5C2C8C95"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3" w:type="dxa"/>
            <w:tcBorders>
              <w:top w:val="single" w:sz="4" w:space="0" w:color="auto"/>
            </w:tcBorders>
            <w:tcMar>
              <w:top w:w="11" w:type="dxa"/>
              <w:left w:w="57" w:type="dxa"/>
              <w:bottom w:w="11" w:type="dxa"/>
              <w:right w:w="57" w:type="dxa"/>
            </w:tcMar>
          </w:tcPr>
          <w:p w14:paraId="341A101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34" w:type="dxa"/>
            <w:tcBorders>
              <w:top w:val="single" w:sz="4" w:space="0" w:color="auto"/>
            </w:tcBorders>
            <w:tcMar>
              <w:top w:w="11" w:type="dxa"/>
              <w:left w:w="57" w:type="dxa"/>
              <w:bottom w:w="11" w:type="dxa"/>
              <w:right w:w="57" w:type="dxa"/>
            </w:tcMar>
          </w:tcPr>
          <w:p w14:paraId="66E8F6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r>
      <w:tr w:rsidR="00646F4F" w:rsidRPr="00735726" w14:paraId="682BEA71" w14:textId="77777777" w:rsidTr="00CE19B2">
        <w:trPr>
          <w:trHeight w:val="226"/>
        </w:trPr>
        <w:tc>
          <w:tcPr>
            <w:tcW w:w="6605" w:type="dxa"/>
            <w:tcMar>
              <w:top w:w="11" w:type="dxa"/>
              <w:left w:w="57" w:type="dxa"/>
              <w:bottom w:w="11" w:type="dxa"/>
              <w:right w:w="57" w:type="dxa"/>
            </w:tcMar>
          </w:tcPr>
          <w:p w14:paraId="1852DE1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297" w:name="XMETag_9ddd37df01e740d9875b5053ccf0651d" w:colFirst="2" w:colLast="2"/>
            <w:bookmarkStart w:id="298" w:name="XMETag_aabef07d1d44402a81abf756163fd718" w:colFirst="3" w:colLast="3"/>
            <w:r w:rsidRPr="00735726">
              <w:rPr>
                <w:rFonts w:ascii="Arial" w:eastAsia="Times New Roman" w:hAnsi="Arial" w:cs="DINOT-Light"/>
                <w:b/>
                <w:color w:val="000000"/>
                <w:sz w:val="18"/>
                <w:szCs w:val="18"/>
              </w:rPr>
              <w:t xml:space="preserve">Cash and cash equivalents at end of the year </w:t>
            </w:r>
          </w:p>
        </w:tc>
        <w:tc>
          <w:tcPr>
            <w:tcW w:w="1134" w:type="dxa"/>
            <w:tcMar>
              <w:top w:w="11" w:type="dxa"/>
              <w:left w:w="57" w:type="dxa"/>
              <w:bottom w:w="11" w:type="dxa"/>
              <w:right w:w="57" w:type="dxa"/>
            </w:tcMar>
          </w:tcPr>
          <w:p w14:paraId="3E1E366D" w14:textId="169DF5C8"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B63B15" w:rsidRPr="009A2CAE">
              <w:rPr>
                <w:rFonts w:ascii="Arial" w:eastAsia="Times New Roman" w:hAnsi="Arial" w:cs="DINOT-Light"/>
                <w:color w:val="000000"/>
                <w:sz w:val="18"/>
                <w:szCs w:val="18"/>
              </w:rPr>
              <w:t>1</w:t>
            </w:r>
          </w:p>
        </w:tc>
        <w:tc>
          <w:tcPr>
            <w:tcW w:w="1133" w:type="dxa"/>
            <w:tcBorders>
              <w:bottom w:val="single" w:sz="4" w:space="0" w:color="auto"/>
            </w:tcBorders>
            <w:tcMar>
              <w:top w:w="11" w:type="dxa"/>
              <w:left w:w="57" w:type="dxa"/>
              <w:bottom w:w="11" w:type="dxa"/>
              <w:right w:w="57" w:type="dxa"/>
            </w:tcMar>
          </w:tcPr>
          <w:p w14:paraId="281ABDE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sz w:val="18"/>
                <w:szCs w:val="18"/>
              </w:rPr>
            </w:pPr>
            <w:r w:rsidRPr="00735726">
              <w:rPr>
                <w:rFonts w:ascii="Arial" w:eastAsia="Times New Roman" w:hAnsi="Arial" w:cs="DINOT-Light"/>
                <w:b/>
                <w:bCs/>
                <w:color w:val="000000"/>
                <w:sz w:val="18"/>
                <w:szCs w:val="18"/>
              </w:rPr>
              <w:t>249.7</w:t>
            </w:r>
          </w:p>
        </w:tc>
        <w:tc>
          <w:tcPr>
            <w:tcW w:w="1134" w:type="dxa"/>
            <w:tcBorders>
              <w:bottom w:val="single" w:sz="4" w:space="0" w:color="auto"/>
            </w:tcBorders>
            <w:tcMar>
              <w:top w:w="11" w:type="dxa"/>
              <w:left w:w="57" w:type="dxa"/>
              <w:bottom w:w="11" w:type="dxa"/>
              <w:right w:w="57" w:type="dxa"/>
            </w:tcMar>
          </w:tcPr>
          <w:p w14:paraId="24F50E2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bCs/>
                <w:color w:val="000000"/>
                <w:sz w:val="18"/>
                <w:szCs w:val="18"/>
              </w:rPr>
              <w:t>280.6</w:t>
            </w:r>
          </w:p>
        </w:tc>
      </w:tr>
      <w:bookmarkEnd w:id="297"/>
      <w:bookmarkEnd w:id="298"/>
    </w:tbl>
    <w:p w14:paraId="77CDE4D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0CFF1C1" w14:textId="4447730B"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notes on </w:t>
      </w:r>
      <w:r w:rsidRPr="00735726">
        <w:rPr>
          <w:rFonts w:ascii="Arial" w:eastAsia="Calibri" w:hAnsi="Arial" w:cs="Arial"/>
          <w:sz w:val="18"/>
          <w:szCs w:val="18"/>
        </w:rPr>
        <w:t xml:space="preserve">pages </w:t>
      </w:r>
      <w:r w:rsidR="00644FAB" w:rsidRPr="009A2CAE">
        <w:rPr>
          <w:rFonts w:ascii="Arial" w:eastAsia="Calibri" w:hAnsi="Arial" w:cs="Arial"/>
          <w:sz w:val="18"/>
          <w:szCs w:val="18"/>
        </w:rPr>
        <w:t xml:space="preserve">181 </w:t>
      </w:r>
      <w:r w:rsidRPr="009A2CAE">
        <w:rPr>
          <w:rFonts w:ascii="Arial" w:eastAsia="Calibri" w:hAnsi="Arial" w:cs="Arial"/>
          <w:sz w:val="18"/>
          <w:szCs w:val="18"/>
        </w:rPr>
        <w:t xml:space="preserve">to </w:t>
      </w:r>
      <w:r w:rsidR="00644FAB" w:rsidRPr="009A2CAE">
        <w:rPr>
          <w:rFonts w:ascii="Arial" w:eastAsia="Calibri" w:hAnsi="Arial" w:cs="Arial"/>
          <w:sz w:val="18"/>
          <w:szCs w:val="18"/>
        </w:rPr>
        <w:t>226</w:t>
      </w:r>
      <w:r w:rsidRPr="009A2CAE">
        <w:rPr>
          <w:rFonts w:ascii="Arial" w:eastAsia="Calibri" w:hAnsi="Arial" w:cs="Arial"/>
          <w:sz w:val="18"/>
          <w:szCs w:val="18"/>
        </w:rPr>
        <w:t xml:space="preserve"> </w:t>
      </w:r>
      <w:r w:rsidRPr="00735726">
        <w:rPr>
          <w:rFonts w:ascii="Arial" w:eastAsia="Times New Roman" w:hAnsi="Arial" w:cs="DINOT-Light"/>
          <w:sz w:val="18"/>
          <w:szCs w:val="18"/>
        </w:rPr>
        <w:t>form part of these financial</w:t>
      </w:r>
      <w:r w:rsidRPr="00735726">
        <w:rPr>
          <w:rFonts w:ascii="Arial" w:eastAsia="Times New Roman" w:hAnsi="Arial" w:cs="DINOT-Light"/>
          <w:color w:val="000000"/>
          <w:sz w:val="18"/>
          <w:szCs w:val="18"/>
        </w:rPr>
        <w:t xml:space="preserve"> statements.</w:t>
      </w:r>
    </w:p>
    <w:p w14:paraId="347A4C0F" w14:textId="77777777" w:rsidR="00646F4F" w:rsidRPr="009A2CAE" w:rsidRDefault="00646F4F" w:rsidP="00646F4F">
      <w:pPr>
        <w:rPr>
          <w:rFonts w:ascii="Arial" w:eastAsia="Calibri" w:hAnsi="Arial" w:cs="DINOT-Light"/>
          <w:color w:val="000000"/>
          <w:sz w:val="18"/>
          <w:szCs w:val="18"/>
        </w:rPr>
      </w:pPr>
      <w:r w:rsidRPr="009A2CAE">
        <w:rPr>
          <w:rFonts w:ascii="Calibri" w:eastAsia="Calibri" w:hAnsi="Calibri" w:cs="Times New Roman"/>
        </w:rPr>
        <w:br w:type="page"/>
      </w:r>
    </w:p>
    <w:p w14:paraId="52C4B836" w14:textId="77777777" w:rsidR="00646F4F" w:rsidRPr="00735726" w:rsidRDefault="00646F4F" w:rsidP="00646F4F">
      <w:pPr>
        <w:widowControl w:val="0"/>
        <w:suppressAutoHyphens/>
        <w:autoSpaceDE w:val="0"/>
        <w:autoSpaceDN w:val="0"/>
        <w:adjustRightInd w:val="0"/>
        <w:spacing w:after="0" w:line="288" w:lineRule="auto"/>
        <w:textAlignment w:val="center"/>
        <w:outlineLvl w:val="0"/>
        <w:rPr>
          <w:rFonts w:ascii="Arial" w:eastAsia="Times New Roman" w:hAnsi="Arial" w:cs="DINOT"/>
          <w:caps/>
          <w:color w:val="000000"/>
          <w:sz w:val="32"/>
          <w:szCs w:val="32"/>
        </w:rPr>
      </w:pPr>
      <w:r w:rsidRPr="00735726">
        <w:rPr>
          <w:rFonts w:ascii="Arial" w:eastAsia="Times New Roman" w:hAnsi="Arial" w:cs="DINOT"/>
          <w:caps/>
          <w:color w:val="000000"/>
          <w:sz w:val="32"/>
          <w:szCs w:val="32"/>
        </w:rPr>
        <w:lastRenderedPageBreak/>
        <w:t>NOTES TO THE FINANCIAL STATEMENTS</w:t>
      </w:r>
    </w:p>
    <w:p w14:paraId="5FDBC482" w14:textId="77777777" w:rsidR="00646F4F" w:rsidRPr="00735726" w:rsidRDefault="00646F4F" w:rsidP="00646F4F">
      <w:pPr>
        <w:widowControl w:val="0"/>
        <w:suppressAutoHyphens/>
        <w:autoSpaceDE w:val="0"/>
        <w:autoSpaceDN w:val="0"/>
        <w:adjustRightInd w:val="0"/>
        <w:spacing w:after="0" w:line="288" w:lineRule="auto"/>
        <w:textAlignment w:val="center"/>
        <w:rPr>
          <w:rFonts w:ascii="Arial" w:eastAsia="Times New Roman" w:hAnsi="Arial" w:cs="DINOT"/>
          <w:caps/>
          <w:color w:val="000000"/>
          <w:sz w:val="20"/>
          <w:szCs w:val="20"/>
        </w:rPr>
      </w:pPr>
    </w:p>
    <w:p w14:paraId="0D0EA7B7" w14:textId="77777777" w:rsidR="00646F4F" w:rsidRPr="00735726" w:rsidRDefault="00646F4F" w:rsidP="00646F4F">
      <w:pPr>
        <w:widowControl w:val="0"/>
        <w:numPr>
          <w:ilvl w:val="0"/>
          <w:numId w:val="22"/>
        </w:numPr>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GENERAL INFORMATION</w:t>
      </w:r>
    </w:p>
    <w:p w14:paraId="0644CDF5" w14:textId="406AC47B"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299" w:name="XMETag_4eadb024c299421888944bf99652cc5d"/>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is a </w:t>
      </w:r>
      <w:r w:rsidR="00E0686E" w:rsidRPr="00735726">
        <w:rPr>
          <w:rFonts w:ascii="Arial" w:eastAsia="Times New Roman" w:hAnsi="Arial" w:cs="DINOT-Light"/>
          <w:color w:val="000000"/>
          <w:sz w:val="18"/>
          <w:szCs w:val="18"/>
        </w:rPr>
        <w:t xml:space="preserve">private </w:t>
      </w:r>
      <w:r w:rsidRPr="00735726">
        <w:rPr>
          <w:rFonts w:ascii="Arial" w:eastAsia="Times New Roman" w:hAnsi="Arial" w:cs="DINOT-Light"/>
          <w:color w:val="000000"/>
          <w:sz w:val="18"/>
          <w:szCs w:val="18"/>
        </w:rPr>
        <w:t>company</w:t>
      </w:r>
      <w:bookmarkEnd w:id="299"/>
      <w:r w:rsidRPr="00735726">
        <w:rPr>
          <w:rFonts w:ascii="Arial" w:eastAsia="Times New Roman" w:hAnsi="Arial" w:cs="DINOT-Light"/>
          <w:color w:val="000000"/>
          <w:sz w:val="18"/>
          <w:szCs w:val="18"/>
        </w:rPr>
        <w:t xml:space="preserve"> limited by shares</w:t>
      </w:r>
      <w:r w:rsidR="00E0686E" w:rsidRPr="00735726">
        <w:rPr>
          <w:rFonts w:ascii="Arial" w:eastAsia="Times New Roman" w:hAnsi="Arial" w:cs="DINOT-Light"/>
          <w:color w:val="000000"/>
          <w:sz w:val="18"/>
          <w:szCs w:val="18"/>
        </w:rPr>
        <w:t>, incorporated</w:t>
      </w:r>
      <w:r w:rsidRPr="00735726">
        <w:rPr>
          <w:rFonts w:ascii="Arial" w:eastAsia="Times New Roman" w:hAnsi="Arial" w:cs="DINOT-Light"/>
          <w:color w:val="000000"/>
          <w:sz w:val="18"/>
          <w:szCs w:val="18"/>
        </w:rPr>
        <w:t xml:space="preserve"> and registered in the </w:t>
      </w:r>
      <w:bookmarkStart w:id="300" w:name="XMETag_5a96d6f4a3b746e8811d32267a6bd384"/>
      <w:r w:rsidRPr="00735726">
        <w:rPr>
          <w:rFonts w:ascii="Arial" w:eastAsia="Times New Roman" w:hAnsi="Arial" w:cs="DINOT-Light"/>
          <w:color w:val="000000"/>
          <w:sz w:val="18"/>
          <w:szCs w:val="18"/>
        </w:rPr>
        <w:t>United Kingdom</w:t>
      </w:r>
      <w:bookmarkEnd w:id="300"/>
      <w:r w:rsidRPr="00735726">
        <w:rPr>
          <w:rFonts w:ascii="Arial" w:eastAsia="Times New Roman" w:hAnsi="Arial" w:cs="DINOT-Light"/>
          <w:color w:val="000000"/>
          <w:sz w:val="18"/>
          <w:szCs w:val="18"/>
        </w:rPr>
        <w:t xml:space="preserve"> under the Companies Act 2006. The address of the registered office, the nature of the Company’s operations and its principal activities are set out on page </w:t>
      </w:r>
      <w:r w:rsidR="00644FAB" w:rsidRPr="009A2CAE">
        <w:rPr>
          <w:rFonts w:ascii="Arial" w:eastAsia="Times New Roman" w:hAnsi="Arial" w:cs="DINOT-Light"/>
          <w:color w:val="000000"/>
          <w:sz w:val="18"/>
          <w:szCs w:val="18"/>
        </w:rPr>
        <w:t>160</w:t>
      </w:r>
      <w:r w:rsidRPr="009A2CAE">
        <w:rPr>
          <w:rFonts w:ascii="Arial" w:eastAsia="Times New Roman" w:hAnsi="Arial" w:cs="DINOT-Light"/>
          <w:color w:val="000000"/>
          <w:sz w:val="18"/>
          <w:szCs w:val="18"/>
        </w:rPr>
        <w:t>.</w:t>
      </w:r>
    </w:p>
    <w:p w14:paraId="189DE581"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C7A53DC"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2.</w:t>
      </w:r>
      <w:r w:rsidRPr="00735726">
        <w:rPr>
          <w:rFonts w:ascii="Arial" w:eastAsia="Times New Roman" w:hAnsi="Arial" w:cs="Arial"/>
          <w:b/>
          <w:bCs/>
          <w:caps/>
          <w:color w:val="000000"/>
          <w:sz w:val="18"/>
          <w:szCs w:val="18"/>
        </w:rPr>
        <w:tab/>
        <w:t>Principal accounting policies</w:t>
      </w:r>
    </w:p>
    <w:p w14:paraId="7BF0227E"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principal accounting policies adopted in the preparation of these financial statements are set out below. These policies have been consistently applied to the years presented. </w:t>
      </w:r>
    </w:p>
    <w:p w14:paraId="46683A7A"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7983A28" w14:textId="77777777" w:rsidR="00646F4F" w:rsidRPr="00735726" w:rsidRDefault="00646F4F" w:rsidP="00646F4F">
      <w:pPr>
        <w:widowControl w:val="0"/>
        <w:numPr>
          <w:ilvl w:val="0"/>
          <w:numId w:val="23"/>
        </w:numPr>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Basis of preparation</w:t>
      </w:r>
    </w:p>
    <w:p w14:paraId="15FBD039" w14:textId="3E20220F"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01" w:name="XMETag_7e5613823ca044a8ae54d746c1746815"/>
      <w:r w:rsidRPr="00735726">
        <w:rPr>
          <w:rFonts w:ascii="Arial" w:eastAsia="Times New Roman" w:hAnsi="Arial" w:cs="DINOT-Light"/>
          <w:color w:val="000000"/>
          <w:sz w:val="18"/>
          <w:szCs w:val="18"/>
        </w:rPr>
        <w:t xml:space="preserve">These financial statements have been prepared on the historical cost accounting basis (except for fair value items, principally transfers of assets from customers and certain financial instruments as described in accounting policy notes </w:t>
      </w:r>
      <w:r w:rsidRPr="009A2CAE">
        <w:rPr>
          <w:rFonts w:ascii="Arial" w:eastAsia="Times New Roman" w:hAnsi="Arial" w:cs="DINOT-Light"/>
          <w:color w:val="000000"/>
          <w:sz w:val="18"/>
          <w:szCs w:val="18"/>
        </w:rPr>
        <w:t>(b), (</w:t>
      </w:r>
      <w:r w:rsidR="00B63B15" w:rsidRPr="009A2CAE">
        <w:rPr>
          <w:rFonts w:ascii="Arial" w:eastAsia="Times New Roman" w:hAnsi="Arial" w:cs="DINOT-Light"/>
          <w:color w:val="000000"/>
          <w:sz w:val="18"/>
          <w:szCs w:val="18"/>
        </w:rPr>
        <w:t>v</w:t>
      </w:r>
      <w:r w:rsidRPr="009A2CAE">
        <w:rPr>
          <w:rFonts w:ascii="Arial" w:eastAsia="Times New Roman" w:hAnsi="Arial" w:cs="DINOT-Light"/>
          <w:color w:val="000000"/>
          <w:sz w:val="18"/>
          <w:szCs w:val="18"/>
        </w:rPr>
        <w:t>) and (</w:t>
      </w:r>
      <w:r w:rsidR="00B63B15" w:rsidRPr="009A2CAE">
        <w:rPr>
          <w:rFonts w:ascii="Arial" w:eastAsia="Times New Roman" w:hAnsi="Arial" w:cs="DINOT-Light"/>
          <w:color w:val="000000"/>
          <w:sz w:val="18"/>
          <w:szCs w:val="18"/>
        </w:rPr>
        <w:t>o</w:t>
      </w:r>
      <w:r w:rsidRPr="009A2CAE">
        <w:rPr>
          <w:rFonts w:ascii="Arial" w:eastAsia="Times New Roman" w:hAnsi="Arial" w:cs="DINOT-Light"/>
          <w:color w:val="000000"/>
          <w:sz w:val="18"/>
          <w:szCs w:val="18"/>
        </w:rPr>
        <w:t>)</w:t>
      </w:r>
      <w:r w:rsidRPr="00735726">
        <w:rPr>
          <w:rFonts w:ascii="Arial" w:eastAsia="Times New Roman" w:hAnsi="Arial" w:cs="DINOT-Light"/>
          <w:color w:val="000000"/>
          <w:sz w:val="18"/>
          <w:szCs w:val="18"/>
        </w:rPr>
        <w:t xml:space="preserve"> respectively</w:t>
      </w:r>
      <w:bookmarkEnd w:id="301"/>
      <w:r w:rsidRPr="00735726">
        <w:rPr>
          <w:rFonts w:ascii="Arial" w:eastAsia="Times New Roman" w:hAnsi="Arial" w:cs="DINOT-Light"/>
          <w:color w:val="000000"/>
          <w:sz w:val="18"/>
          <w:szCs w:val="18"/>
        </w:rPr>
        <w:t xml:space="preserve">) and </w:t>
      </w:r>
      <w:bookmarkStart w:id="302" w:name="XMETag_4c5d8e888d5b41e6ac377e6241a792c8"/>
      <w:r w:rsidRPr="00735726">
        <w:rPr>
          <w:rFonts w:ascii="Arial" w:eastAsia="Times New Roman" w:hAnsi="Arial" w:cs="DINOT-Light"/>
          <w:color w:val="000000"/>
          <w:sz w:val="18"/>
          <w:szCs w:val="18"/>
        </w:rPr>
        <w:t xml:space="preserve">in accordance with the provisions of the Companies Act 2006. </w:t>
      </w:r>
      <w:bookmarkEnd w:id="302"/>
    </w:p>
    <w:p w14:paraId="786FDD51"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68A589F"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meets the definition of a qualifying entity as defined in FRS 100 ‘Application of Financial Reporting Requirements’, accordingly the Company has elected to apply FRS 101 ‘Reduced Disclosure Framework’. Therefore, the recognition and measurement requirements of United Kingdom adopted International Financial Reporting Standards have been applied, with amendments where necessary </w:t>
      </w:r>
      <w:proofErr w:type="gramStart"/>
      <w:r w:rsidRPr="00735726">
        <w:rPr>
          <w:rFonts w:ascii="Arial" w:eastAsia="Times New Roman" w:hAnsi="Arial" w:cs="DINOT-Light"/>
          <w:color w:val="000000"/>
          <w:sz w:val="18"/>
          <w:szCs w:val="18"/>
        </w:rPr>
        <w:t>in order to</w:t>
      </w:r>
      <w:proofErr w:type="gramEnd"/>
      <w:r w:rsidRPr="00735726">
        <w:rPr>
          <w:rFonts w:ascii="Arial" w:eastAsia="Times New Roman" w:hAnsi="Arial" w:cs="DINOT-Light"/>
          <w:color w:val="000000"/>
          <w:sz w:val="18"/>
          <w:szCs w:val="18"/>
        </w:rPr>
        <w:t xml:space="preserve"> comply with Companies Act 2006 and The Large and Medium-sized Companies and Groups (Accounts and Reports) Regulations 2008 (SI 2008/410). </w:t>
      </w:r>
    </w:p>
    <w:p w14:paraId="3476B0B1"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4865438D"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following exemptions from the requirements of IFRS have been applied in the preparation of these financial statements, in accordance with FRS 101:</w:t>
      </w:r>
    </w:p>
    <w:p w14:paraId="6FDD5C79"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Paragraphs 45(b) and 46 to 52 of IFRS 2, ‘Share-based payment’ (details of the number and weighted average exercise prices of share options, and how the fair value of goods or services received was determined).</w:t>
      </w:r>
    </w:p>
    <w:p w14:paraId="1A318F83"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Paragraphs 91 to 99 of IFRS 13, ‘Fair value measurement’ (disclosure of valuation techniques and inputs used for fair value measurement of assets and liabilities).</w:t>
      </w:r>
    </w:p>
    <w:p w14:paraId="7A5B4A4F" w14:textId="1FB6A425"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Paragraph 38 of IAS 1, 'Presentation of financial statements'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comparative information requirements in respect of:</w:t>
      </w:r>
    </w:p>
    <w:p w14:paraId="1B3EC1F8"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10(f) (a statement of financial position as at the beginning of the preceding period when an entity applies an accounting policy retrospectively or makes a retrospective restatement of items in its financial statements or when it reclassifies items in its financial statements</w:t>
      </w:r>
      <w:proofErr w:type="gramStart"/>
      <w:r w:rsidRPr="00735726">
        <w:rPr>
          <w:rFonts w:ascii="Arial" w:eastAsia="Times New Roman" w:hAnsi="Arial" w:cs="DINOT-Light"/>
          <w:color w:val="000000"/>
          <w:sz w:val="18"/>
          <w:szCs w:val="18"/>
        </w:rPr>
        <w:t>);</w:t>
      </w:r>
      <w:proofErr w:type="gramEnd"/>
    </w:p>
    <w:p w14:paraId="51A417F1"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Paragraph 79(a)(iv) of IAS 1,</w:t>
      </w:r>
    </w:p>
    <w:p w14:paraId="1F375204"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Paragraph 73(e) of IAS 16, 'Property, plant and equipment', and</w:t>
      </w:r>
    </w:p>
    <w:p w14:paraId="285238A6"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Paragraph 118(e) of IAS 38, 'Intangible assets' (reconciliations between the carrying amount at the beginning and end of the period).</w:t>
      </w:r>
    </w:p>
    <w:p w14:paraId="7553FFEF"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following paragraphs of IAS 1, ‘Presentation of financial </w:t>
      </w:r>
      <w:proofErr w:type="gramStart"/>
      <w:r w:rsidRPr="00735726">
        <w:rPr>
          <w:rFonts w:ascii="Arial" w:eastAsia="Times New Roman" w:hAnsi="Arial" w:cs="DINOT-Light"/>
          <w:color w:val="000000"/>
          <w:sz w:val="18"/>
          <w:szCs w:val="18"/>
        </w:rPr>
        <w:t>statements’</w:t>
      </w:r>
      <w:proofErr w:type="gramEnd"/>
      <w:r w:rsidRPr="00735726">
        <w:rPr>
          <w:rFonts w:ascii="Arial" w:eastAsia="Times New Roman" w:hAnsi="Arial" w:cs="DINOT-Light"/>
          <w:color w:val="000000"/>
          <w:sz w:val="18"/>
          <w:szCs w:val="18"/>
        </w:rPr>
        <w:t>:</w:t>
      </w:r>
    </w:p>
    <w:p w14:paraId="328E668A"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 (statement of compliance with all IFRS),</w:t>
      </w:r>
    </w:p>
    <w:p w14:paraId="1C009992"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38B-D (additional comparative information), and</w:t>
      </w:r>
    </w:p>
    <w:p w14:paraId="5E103CEB"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134-136 (capital management disclosures).</w:t>
      </w:r>
    </w:p>
    <w:p w14:paraId="2FFDFD22"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requirements of paragraphs 88C and 88D of IAS 12 Income Taxes.</w:t>
      </w:r>
    </w:p>
    <w:p w14:paraId="3DE4BB32"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Paragraphs 30 and 31 of IAS 8, ‘Accounting policies, changes in accounting estimates and errors’ (requirement for the disclosure of information when an entity has not applied a new IFRS that has been issued but is not yet effective).</w:t>
      </w:r>
    </w:p>
    <w:p w14:paraId="0AEE4FB3"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Paragraph 17 of IAS 24, ‘Related party disclosures’ (key management compensation).</w:t>
      </w:r>
    </w:p>
    <w:p w14:paraId="73743408"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requirements in IAS 24, ‘Related party disclosures’, to disclose related party transactions </w:t>
      </w:r>
      <w:proofErr w:type="gramStart"/>
      <w:r w:rsidRPr="00735726">
        <w:rPr>
          <w:rFonts w:ascii="Arial" w:eastAsia="Times New Roman" w:hAnsi="Arial" w:cs="DINOT-Light"/>
          <w:color w:val="000000"/>
          <w:sz w:val="18"/>
          <w:szCs w:val="18"/>
        </w:rPr>
        <w:t>entered into</w:t>
      </w:r>
      <w:proofErr w:type="gramEnd"/>
      <w:r w:rsidRPr="00735726">
        <w:rPr>
          <w:rFonts w:ascii="Arial" w:eastAsia="Times New Roman" w:hAnsi="Arial" w:cs="DINOT-Light"/>
          <w:color w:val="000000"/>
          <w:sz w:val="18"/>
          <w:szCs w:val="18"/>
        </w:rPr>
        <w:t xml:space="preserve"> between two or more members of a group.</w:t>
      </w:r>
    </w:p>
    <w:p w14:paraId="4BFD04FA"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following paragraphs of IFRS 15, ‘Revenue from contracts with </w:t>
      </w:r>
      <w:proofErr w:type="gramStart"/>
      <w:r w:rsidRPr="00735726">
        <w:rPr>
          <w:rFonts w:ascii="Arial" w:eastAsia="Times New Roman" w:hAnsi="Arial" w:cs="DINOT-Light"/>
          <w:color w:val="000000"/>
          <w:sz w:val="18"/>
          <w:szCs w:val="18"/>
        </w:rPr>
        <w:t>customers’</w:t>
      </w:r>
      <w:proofErr w:type="gramEnd"/>
      <w:r w:rsidRPr="00735726">
        <w:rPr>
          <w:rFonts w:ascii="Arial" w:eastAsia="Times New Roman" w:hAnsi="Arial" w:cs="DINOT-Light"/>
          <w:color w:val="000000"/>
          <w:sz w:val="18"/>
          <w:szCs w:val="18"/>
        </w:rPr>
        <w:t>:</w:t>
      </w:r>
    </w:p>
    <w:p w14:paraId="44B4BE37"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110 (disclosure requirements)</w:t>
      </w:r>
    </w:p>
    <w:p w14:paraId="64F22430"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113(a) (separate sources of revenue)</w:t>
      </w:r>
    </w:p>
    <w:p w14:paraId="386327F8"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115 (disaggregated of revenue)</w:t>
      </w:r>
    </w:p>
    <w:p w14:paraId="4F012976"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118 (explanation of changes in contract assets and liabilities)</w:t>
      </w:r>
    </w:p>
    <w:p w14:paraId="7AA081EF"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120 to 121 (transaction price allocated to the remaining performance obligations)</w:t>
      </w:r>
    </w:p>
    <w:p w14:paraId="7AA5A781" w14:textId="77777777" w:rsidR="00646F4F" w:rsidRPr="00735726" w:rsidRDefault="00646F4F" w:rsidP="00646F4F">
      <w:pPr>
        <w:pStyle w:val="ListParagraph"/>
        <w:widowControl w:val="0"/>
        <w:numPr>
          <w:ilvl w:val="1"/>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129 (practical expedients).</w:t>
      </w:r>
    </w:p>
    <w:p w14:paraId="4017FF77"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DINOT-Light"/>
          <w:b/>
          <w:bCs/>
          <w:color w:val="000000"/>
          <w:sz w:val="18"/>
          <w:szCs w:val="18"/>
        </w:rPr>
        <w:lastRenderedPageBreak/>
        <w:t>2.</w:t>
      </w:r>
      <w:r w:rsidRPr="00735726">
        <w:rPr>
          <w:rFonts w:ascii="Arial" w:eastAsia="Times New Roman" w:hAnsi="Arial" w:cs="DINOT-Light"/>
          <w:color w:val="000000"/>
          <w:sz w:val="18"/>
          <w:szCs w:val="18"/>
        </w:rPr>
        <w:t xml:space="preserve">    </w:t>
      </w:r>
      <w:r w:rsidRPr="00735726">
        <w:rPr>
          <w:rFonts w:ascii="Arial" w:eastAsia="Times New Roman" w:hAnsi="Arial" w:cs="Arial"/>
          <w:b/>
          <w:bCs/>
          <w:caps/>
          <w:color w:val="000000"/>
          <w:sz w:val="18"/>
          <w:szCs w:val="18"/>
        </w:rPr>
        <w:t>Principal accounting policies (CONTINUED)</w:t>
      </w:r>
    </w:p>
    <w:p w14:paraId="73B05EF4"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(a)</w:t>
      </w:r>
      <w:r w:rsidRPr="00735726">
        <w:rPr>
          <w:rFonts w:ascii="Arial" w:eastAsia="Times New Roman" w:hAnsi="Arial" w:cs="Arial"/>
          <w:b/>
          <w:bCs/>
          <w:color w:val="000000"/>
          <w:sz w:val="18"/>
          <w:szCs w:val="18"/>
        </w:rPr>
        <w:tab/>
        <w:t>Basis of preparation (continued)</w:t>
      </w:r>
    </w:p>
    <w:p w14:paraId="5037B7F7"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These financial statements are presented in pounds sterling and all values rounded to the nearest one-hundred thousand pounds, except when otherwise indicated. </w:t>
      </w:r>
    </w:p>
    <w:p w14:paraId="04996C5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CDE889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 summary of the principal accounting policies is set out below, together with an explanation where changes have been made to previous policies on the adoption of new accounting standards and interpretations in the year.</w:t>
      </w:r>
    </w:p>
    <w:p w14:paraId="502A14A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i/>
          <w:iCs/>
          <w:color w:val="000000"/>
          <w:sz w:val="18"/>
          <w:szCs w:val="18"/>
        </w:rPr>
      </w:pPr>
      <w:r w:rsidRPr="009A2CAE">
        <w:rPr>
          <w:rFonts w:ascii="Arial" w:eastAsia="Times New Roman" w:hAnsi="Arial" w:cs="DINOT-Light"/>
          <w:b/>
          <w:bCs/>
          <w:color w:val="000000"/>
          <w:sz w:val="18"/>
          <w:szCs w:val="18"/>
        </w:rPr>
        <w:br/>
      </w:r>
      <w:bookmarkStart w:id="303" w:name="XMETag_102ea842418c4972ba8ff7d13ac9123c"/>
      <w:r w:rsidRPr="00735726">
        <w:rPr>
          <w:rFonts w:ascii="Arial" w:eastAsia="Times New Roman" w:hAnsi="Arial" w:cs="DINOT-Light"/>
          <w:i/>
          <w:iCs/>
          <w:color w:val="000000"/>
          <w:sz w:val="18"/>
          <w:szCs w:val="18"/>
        </w:rPr>
        <w:t>New standards and interpretations</w:t>
      </w:r>
    </w:p>
    <w:p w14:paraId="7966BBFB"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New standards or interpretations which were mandatory for the first time in the year beginning 1 April 2025 did not have a material impact on the net assets or results of the Company. Existing borrowing covenants were not impacted by changes in accounting standards.</w:t>
      </w:r>
    </w:p>
    <w:p w14:paraId="7546754E"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sz w:val="18"/>
          <w:szCs w:val="18"/>
        </w:rPr>
      </w:pPr>
    </w:p>
    <w:p w14:paraId="2B0F2B8C"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New standards or interpretations due to be adopted from 1 April 2026 are not expected to have a material impact on the Company’s net assets or results.</w:t>
      </w:r>
    </w:p>
    <w:p w14:paraId="0006573B"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sz w:val="18"/>
          <w:szCs w:val="18"/>
        </w:rPr>
      </w:pPr>
    </w:p>
    <w:p w14:paraId="0E4D1CD9" w14:textId="4769168A"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IFRS 18 </w:t>
      </w:r>
      <w:r w:rsidR="007E42BD" w:rsidRPr="00735726">
        <w:rPr>
          <w:rFonts w:ascii="Arial" w:eastAsia="Times New Roman" w:hAnsi="Arial" w:cs="DINOT-Light"/>
          <w:sz w:val="18"/>
          <w:szCs w:val="18"/>
        </w:rPr>
        <w:t>‘</w:t>
      </w:r>
      <w:r w:rsidRPr="00735726">
        <w:rPr>
          <w:rFonts w:ascii="Arial" w:eastAsia="Times New Roman" w:hAnsi="Arial" w:cs="DINOT-Light"/>
          <w:sz w:val="18"/>
          <w:szCs w:val="18"/>
        </w:rPr>
        <w:t>Presentation and Disclosure in Financial Statements</w:t>
      </w:r>
      <w:r w:rsidR="007E42BD" w:rsidRPr="00735726">
        <w:rPr>
          <w:rFonts w:ascii="Arial" w:eastAsia="Times New Roman" w:hAnsi="Arial" w:cs="DINOT-Light"/>
          <w:sz w:val="18"/>
          <w:szCs w:val="18"/>
        </w:rPr>
        <w:t>’</w:t>
      </w:r>
      <w:r w:rsidRPr="00735726">
        <w:rPr>
          <w:rFonts w:ascii="Arial" w:eastAsia="Times New Roman" w:hAnsi="Arial" w:cs="DINOT-Light"/>
          <w:sz w:val="18"/>
          <w:szCs w:val="18"/>
        </w:rPr>
        <w:t xml:space="preserve"> (effective from 1 April 2027) will replace IAS 1 </w:t>
      </w:r>
      <w:r w:rsidR="00FE7F1D" w:rsidRPr="00735726">
        <w:rPr>
          <w:rFonts w:ascii="Arial" w:eastAsia="Times New Roman" w:hAnsi="Arial" w:cs="DINOT-Light"/>
          <w:sz w:val="18"/>
          <w:szCs w:val="18"/>
        </w:rPr>
        <w:t>‘</w:t>
      </w:r>
      <w:r w:rsidRPr="00735726">
        <w:rPr>
          <w:rFonts w:ascii="Arial" w:eastAsia="Times New Roman" w:hAnsi="Arial" w:cs="DINOT-Light"/>
          <w:sz w:val="18"/>
          <w:szCs w:val="18"/>
        </w:rPr>
        <w:t xml:space="preserve">Presentation of financial </w:t>
      </w:r>
      <w:proofErr w:type="gramStart"/>
      <w:r w:rsidRPr="00735726">
        <w:rPr>
          <w:rFonts w:ascii="Arial" w:eastAsia="Times New Roman" w:hAnsi="Arial" w:cs="DINOT-Light"/>
          <w:sz w:val="18"/>
          <w:szCs w:val="18"/>
        </w:rPr>
        <w:t>statements</w:t>
      </w:r>
      <w:r w:rsidR="007E42BD" w:rsidRPr="00735726">
        <w:rPr>
          <w:rFonts w:ascii="Arial" w:eastAsia="Times New Roman" w:hAnsi="Arial" w:cs="DINOT-Light"/>
          <w:sz w:val="18"/>
          <w:szCs w:val="18"/>
        </w:rPr>
        <w:t>’</w:t>
      </w:r>
      <w:proofErr w:type="gramEnd"/>
      <w:r w:rsidRPr="00735726">
        <w:rPr>
          <w:rFonts w:ascii="Arial" w:eastAsia="Times New Roman" w:hAnsi="Arial" w:cs="DINOT-Light"/>
          <w:sz w:val="18"/>
          <w:szCs w:val="18"/>
        </w:rPr>
        <w:t xml:space="preserve">. IFRS 18 will not impact the recognition or measurement of items in the financial </w:t>
      </w:r>
      <w:proofErr w:type="gramStart"/>
      <w:r w:rsidRPr="00735726">
        <w:rPr>
          <w:rFonts w:ascii="Arial" w:eastAsia="Times New Roman" w:hAnsi="Arial" w:cs="DINOT-Light"/>
          <w:sz w:val="18"/>
          <w:szCs w:val="18"/>
        </w:rPr>
        <w:t>statements</w:t>
      </w:r>
      <w:proofErr w:type="gramEnd"/>
      <w:r w:rsidRPr="00735726">
        <w:rPr>
          <w:rFonts w:ascii="Arial" w:eastAsia="Times New Roman" w:hAnsi="Arial" w:cs="DINOT-Light"/>
          <w:sz w:val="18"/>
          <w:szCs w:val="18"/>
        </w:rPr>
        <w:t xml:space="preserve"> but it is expected to have a significant impact on the presentation and disclosure within the financial statements, </w:t>
      </w:r>
      <w:proofErr w:type="gramStart"/>
      <w:r w:rsidRPr="00735726">
        <w:rPr>
          <w:rFonts w:ascii="Arial" w:eastAsia="Times New Roman" w:hAnsi="Arial" w:cs="DINOT-Light"/>
          <w:sz w:val="18"/>
          <w:szCs w:val="18"/>
        </w:rPr>
        <w:t>in particular on</w:t>
      </w:r>
      <w:proofErr w:type="gramEnd"/>
      <w:r w:rsidRPr="00735726">
        <w:rPr>
          <w:rFonts w:ascii="Arial" w:eastAsia="Times New Roman" w:hAnsi="Arial" w:cs="DINOT-Light"/>
          <w:sz w:val="18"/>
          <w:szCs w:val="18"/>
        </w:rPr>
        <w:t xml:space="preserve"> the statement of profit and loss and providing management-defined performance measures within the financial statements.</w:t>
      </w:r>
    </w:p>
    <w:p w14:paraId="3F585CF7"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sz w:val="18"/>
          <w:szCs w:val="18"/>
        </w:rPr>
      </w:pPr>
    </w:p>
    <w:p w14:paraId="3BF356B4" w14:textId="25929483"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Management is currently assessing the detailed implications of applying the new standard on the </w:t>
      </w:r>
      <w:r w:rsidR="00AA30A9" w:rsidRPr="00735726">
        <w:rPr>
          <w:rFonts w:ascii="Arial" w:eastAsia="Times New Roman" w:hAnsi="Arial" w:cs="DINOT-Light"/>
          <w:sz w:val="18"/>
          <w:szCs w:val="18"/>
        </w:rPr>
        <w:t xml:space="preserve">Company’s </w:t>
      </w:r>
      <w:r w:rsidRPr="00735726">
        <w:rPr>
          <w:rFonts w:ascii="Arial" w:eastAsia="Times New Roman" w:hAnsi="Arial" w:cs="DINOT-Light"/>
          <w:sz w:val="18"/>
          <w:szCs w:val="18"/>
        </w:rPr>
        <w:t>financial statements. From the high-level preliminary assessment performed, the following potential impacts have been identified:</w:t>
      </w:r>
    </w:p>
    <w:p w14:paraId="0151F908"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i/>
          <w:iCs/>
          <w:color w:val="000000"/>
          <w:sz w:val="18"/>
          <w:szCs w:val="18"/>
        </w:rPr>
      </w:pPr>
    </w:p>
    <w:p w14:paraId="40CB5FE1"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line items presented on the primary financial statements might change </w:t>
      </w:r>
      <w:proofErr w:type="gramStart"/>
      <w:r w:rsidRPr="00735726">
        <w:rPr>
          <w:rFonts w:ascii="Arial" w:eastAsia="Times New Roman" w:hAnsi="Arial" w:cs="DINOT-Light"/>
          <w:color w:val="000000"/>
          <w:sz w:val="18"/>
          <w:szCs w:val="18"/>
        </w:rPr>
        <w:t>as a result of</w:t>
      </w:r>
      <w:proofErr w:type="gramEnd"/>
      <w:r w:rsidRPr="00735726">
        <w:rPr>
          <w:rFonts w:ascii="Arial" w:eastAsia="Times New Roman" w:hAnsi="Arial" w:cs="DINOT-Light"/>
          <w:color w:val="000000"/>
          <w:sz w:val="18"/>
          <w:szCs w:val="18"/>
        </w:rPr>
        <w:t xml:space="preserve"> the application of the concept of ‘useful structured summary’ and the enhanced principles on aggregation and disaggregation. </w:t>
      </w:r>
    </w:p>
    <w:p w14:paraId="552A0884" w14:textId="56B1CEEE"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does not expect there to be a significant change in the information that is currently disclosed in the notes because the requirement to disclose material information remains unchanged; however, the way in which the information is grouped might change </w:t>
      </w:r>
      <w:proofErr w:type="gramStart"/>
      <w:r w:rsidRPr="00735726">
        <w:rPr>
          <w:rFonts w:ascii="Arial" w:eastAsia="Times New Roman" w:hAnsi="Arial" w:cs="DINOT-Light"/>
          <w:color w:val="000000"/>
          <w:sz w:val="18"/>
          <w:szCs w:val="18"/>
        </w:rPr>
        <w:t>as a result of</w:t>
      </w:r>
      <w:proofErr w:type="gramEnd"/>
      <w:r w:rsidRPr="00735726">
        <w:rPr>
          <w:rFonts w:ascii="Arial" w:eastAsia="Times New Roman" w:hAnsi="Arial" w:cs="DINOT-Light"/>
          <w:color w:val="000000"/>
          <w:sz w:val="18"/>
          <w:szCs w:val="18"/>
        </w:rPr>
        <w:t xml:space="preserve"> the</w:t>
      </w:r>
      <w:r w:rsidR="00B0782A"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aggregation/disaggregation principles. In addition, there will be significant new disclosures required for management-defined performance measures; and for the first annual period of application of IFRS 18, a reconciliation for each line item in the statement of profit or loss between the restated amounts presented by applying IFRS 18 and the amounts previously presented applying IAS 1.</w:t>
      </w:r>
    </w:p>
    <w:p w14:paraId="489583B9"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Within the cash flow statement perspective, there will be changes to how interest received and interest paid are presented. Interest paid will be presented as financing cash flows and interest received as investing cash flows, which is a change from current presentation as part of operating cash flows.</w:t>
      </w:r>
    </w:p>
    <w:p w14:paraId="2AEB2CE5" w14:textId="77777777" w:rsidR="00646F4F" w:rsidRPr="00735726" w:rsidRDefault="00646F4F" w:rsidP="00646F4F">
      <w:pPr>
        <w:pStyle w:val="ListParagraph"/>
        <w:widowControl w:val="0"/>
        <w:numPr>
          <w:ilvl w:val="0"/>
          <w:numId w:val="60"/>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Whilst a detailed assessment of the impact of IFRS 18 has not yet been concluded, it is not expected that existing covenants will be impacted by subsequent changes to accounting standards.</w:t>
      </w:r>
    </w:p>
    <w:p w14:paraId="1B261B1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FEB2425" w14:textId="6FD91CED"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w:t>
      </w:r>
      <w:r w:rsidR="00B0782A"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ompany will apply the new standard from its mandatory effective date of 1 April 2027. Retrospective application is required, and so the comparative information for the financial year ending 31 March 2027 will be restated in accordance with IFRS 18.</w:t>
      </w:r>
    </w:p>
    <w:p w14:paraId="1AD6558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B9C6E85" w14:textId="03581A0B"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IFRS 20 ‘Regulatory assets and regulatory liabilities’ was published on 29 May 2026 and will be applicable for the year ended 31 March 2030. The </w:t>
      </w:r>
      <w:r w:rsidR="006A2B35" w:rsidRPr="00735726">
        <w:rPr>
          <w:rFonts w:ascii="Arial" w:eastAsia="Times New Roman" w:hAnsi="Arial" w:cs="DINOT-Light"/>
          <w:color w:val="000000"/>
          <w:sz w:val="18"/>
          <w:szCs w:val="18"/>
        </w:rPr>
        <w:t xml:space="preserve">Company </w:t>
      </w:r>
      <w:r w:rsidRPr="00735726">
        <w:rPr>
          <w:rFonts w:ascii="Arial" w:eastAsia="Times New Roman" w:hAnsi="Arial" w:cs="DINOT-Light"/>
          <w:color w:val="000000"/>
          <w:sz w:val="18"/>
          <w:szCs w:val="18"/>
        </w:rPr>
        <w:t>has not yet assessed the impact of this standard.</w:t>
      </w:r>
    </w:p>
    <w:p w14:paraId="2B48A08F"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i/>
          <w:iCs/>
          <w:color w:val="000000"/>
          <w:sz w:val="18"/>
          <w:szCs w:val="18"/>
        </w:rPr>
      </w:pPr>
    </w:p>
    <w:p w14:paraId="1C44694A"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i/>
          <w:iCs/>
          <w:color w:val="000000"/>
          <w:sz w:val="18"/>
          <w:szCs w:val="18"/>
        </w:rPr>
      </w:pPr>
      <w:r w:rsidRPr="00735726">
        <w:rPr>
          <w:rFonts w:ascii="Arial" w:eastAsia="Times New Roman" w:hAnsi="Arial" w:cs="DINOT-Light"/>
          <w:i/>
          <w:iCs/>
          <w:color w:val="000000"/>
          <w:sz w:val="18"/>
          <w:szCs w:val="18"/>
        </w:rPr>
        <w:t>Going concern</w:t>
      </w:r>
    </w:p>
    <w:p w14:paraId="6971EA66" w14:textId="664E6E6A" w:rsidR="00323B84" w:rsidRPr="00735726" w:rsidRDefault="00323B84" w:rsidP="00323B84">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The going concern basis has been adopted in preparing these financial statements. </w:t>
      </w:r>
      <w:proofErr w:type="gramStart"/>
      <w:r w:rsidRPr="00735726">
        <w:rPr>
          <w:rFonts w:ascii="Arial" w:eastAsia="Times New Roman" w:hAnsi="Arial" w:cs="DINOT-Light"/>
          <w:sz w:val="18"/>
          <w:szCs w:val="18"/>
        </w:rPr>
        <w:t>At</w:t>
      </w:r>
      <w:proofErr w:type="gramEnd"/>
      <w:r w:rsidRPr="00735726">
        <w:rPr>
          <w:rFonts w:ascii="Arial" w:eastAsia="Times New Roman" w:hAnsi="Arial" w:cs="DINOT-Light"/>
          <w:sz w:val="18"/>
          <w:szCs w:val="18"/>
        </w:rPr>
        <w:t xml:space="preserve"> 31 March 2026 the Company has access to undrawn committed funds</w:t>
      </w:r>
      <w:r w:rsidR="00CD07C3" w:rsidRPr="00735726">
        <w:rPr>
          <w:rFonts w:ascii="Arial" w:eastAsia="Times New Roman" w:hAnsi="Arial" w:cs="DINOT-Light"/>
          <w:sz w:val="18"/>
          <w:szCs w:val="18"/>
        </w:rPr>
        <w:t xml:space="preserve"> of £445</w:t>
      </w:r>
      <w:r w:rsidR="004A23F8" w:rsidRPr="00735726">
        <w:rPr>
          <w:rFonts w:ascii="Arial" w:eastAsia="Times New Roman" w:hAnsi="Arial" w:cs="DINOT-Light"/>
          <w:sz w:val="18"/>
          <w:szCs w:val="18"/>
        </w:rPr>
        <w:t>.0</w:t>
      </w:r>
      <w:r w:rsidR="00CD07C3" w:rsidRPr="00735726">
        <w:rPr>
          <w:rFonts w:ascii="Arial" w:eastAsia="Times New Roman" w:hAnsi="Arial" w:cs="DINOT-Light"/>
          <w:sz w:val="18"/>
          <w:szCs w:val="18"/>
        </w:rPr>
        <w:t xml:space="preserve"> million</w:t>
      </w:r>
      <w:r w:rsidRPr="00735726">
        <w:rPr>
          <w:rFonts w:ascii="Arial" w:eastAsia="Times New Roman" w:hAnsi="Arial" w:cs="DINOT-Light"/>
          <w:sz w:val="18"/>
          <w:szCs w:val="18"/>
        </w:rPr>
        <w:t xml:space="preserve">, cash and cash equivalents and restricted </w:t>
      </w:r>
      <w:r w:rsidR="00345191" w:rsidRPr="00735726">
        <w:rPr>
          <w:rFonts w:ascii="Arial" w:eastAsia="Times New Roman" w:hAnsi="Arial" w:cs="DINOT-Light"/>
          <w:sz w:val="18"/>
          <w:szCs w:val="18"/>
        </w:rPr>
        <w:t xml:space="preserve">funds </w:t>
      </w:r>
      <w:r w:rsidRPr="00735726">
        <w:rPr>
          <w:rFonts w:ascii="Arial" w:eastAsia="Times New Roman" w:hAnsi="Arial" w:cs="DINOT-Light"/>
          <w:sz w:val="18"/>
          <w:szCs w:val="18"/>
        </w:rPr>
        <w:t>totalling</w:t>
      </w:r>
      <w:r w:rsidR="00CD07C3" w:rsidRPr="00735726">
        <w:rPr>
          <w:rFonts w:ascii="Arial" w:eastAsia="Times New Roman" w:hAnsi="Arial" w:cs="DINOT-Light"/>
          <w:sz w:val="18"/>
          <w:szCs w:val="18"/>
        </w:rPr>
        <w:t xml:space="preserve"> £295.9 million, totalling</w:t>
      </w:r>
      <w:r w:rsidRPr="00735726">
        <w:rPr>
          <w:rFonts w:ascii="Arial" w:eastAsia="Times New Roman" w:hAnsi="Arial" w:cs="DINOT-Light"/>
          <w:sz w:val="18"/>
          <w:szCs w:val="18"/>
        </w:rPr>
        <w:t xml:space="preserve"> £740.9 million</w:t>
      </w:r>
      <w:r w:rsidR="00CD07C3" w:rsidRPr="00735726">
        <w:rPr>
          <w:rFonts w:ascii="Arial" w:eastAsia="Times New Roman" w:hAnsi="Arial" w:cs="DINOT-Light"/>
          <w:sz w:val="18"/>
          <w:szCs w:val="18"/>
        </w:rPr>
        <w:t xml:space="preserve">. </w:t>
      </w:r>
      <w:r w:rsidRPr="00735726">
        <w:rPr>
          <w:rFonts w:ascii="Arial" w:eastAsia="Times New Roman" w:hAnsi="Arial" w:cs="DINOT-Light"/>
          <w:sz w:val="18"/>
          <w:szCs w:val="18"/>
        </w:rPr>
        <w:t xml:space="preserve">The Company has an expected headroom of £101.0 million </w:t>
      </w:r>
      <w:proofErr w:type="gramStart"/>
      <w:r w:rsidRPr="00735726">
        <w:rPr>
          <w:rFonts w:ascii="Arial" w:eastAsia="Times New Roman" w:hAnsi="Arial" w:cs="DINOT-Light"/>
          <w:sz w:val="18"/>
          <w:szCs w:val="18"/>
        </w:rPr>
        <w:t>at</w:t>
      </w:r>
      <w:proofErr w:type="gramEnd"/>
      <w:r w:rsidRPr="00735726">
        <w:rPr>
          <w:rFonts w:ascii="Arial" w:eastAsia="Times New Roman" w:hAnsi="Arial" w:cs="DINOT-Light"/>
          <w:sz w:val="18"/>
          <w:szCs w:val="18"/>
        </w:rPr>
        <w:t xml:space="preserve"> 31 October 2027.</w:t>
      </w:r>
    </w:p>
    <w:p w14:paraId="0760724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1A0D569A" w14:textId="6400C3E5"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In making their assessment, the Directors reviewed the principal risks and considered which risks might threaten the Company’s going concern status, to do this the Company’s business plan has been stress-tested. Whilst the </w:t>
      </w:r>
      <w:r w:rsidRPr="00735726">
        <w:rPr>
          <w:rFonts w:ascii="Arial" w:eastAsia="Times New Roman" w:hAnsi="Arial" w:cs="DINOT-Light"/>
          <w:sz w:val="18"/>
          <w:szCs w:val="18"/>
        </w:rPr>
        <w:lastRenderedPageBreak/>
        <w:t xml:space="preserve">Company’s risk management processes seek to mitigate the impact of principal risks as set out on pages </w:t>
      </w:r>
      <w:r w:rsidR="00644FAB" w:rsidRPr="009A2CAE">
        <w:rPr>
          <w:rFonts w:ascii="Arial" w:eastAsia="Times New Roman" w:hAnsi="Arial" w:cs="DINOT-Light"/>
          <w:sz w:val="18"/>
          <w:szCs w:val="18"/>
        </w:rPr>
        <w:t xml:space="preserve">62 </w:t>
      </w:r>
      <w:r w:rsidRPr="009A2CAE">
        <w:rPr>
          <w:rFonts w:ascii="Arial" w:eastAsia="Times New Roman" w:hAnsi="Arial" w:cs="DINOT-Light"/>
          <w:sz w:val="18"/>
          <w:szCs w:val="18"/>
        </w:rPr>
        <w:t xml:space="preserve">to </w:t>
      </w:r>
      <w:r w:rsidR="00644FAB" w:rsidRPr="009A2CAE">
        <w:rPr>
          <w:rFonts w:ascii="Arial" w:eastAsia="Times New Roman" w:hAnsi="Arial" w:cs="DINOT-Light"/>
          <w:sz w:val="18"/>
          <w:szCs w:val="18"/>
        </w:rPr>
        <w:t>74</w:t>
      </w:r>
      <w:r w:rsidRPr="009A2CAE">
        <w:rPr>
          <w:rFonts w:ascii="Arial" w:eastAsia="Times New Roman" w:hAnsi="Arial" w:cs="DINOT-Light"/>
          <w:sz w:val="18"/>
          <w:szCs w:val="18"/>
        </w:rPr>
        <w:t>,</w:t>
      </w:r>
      <w:r w:rsidRPr="00735726">
        <w:rPr>
          <w:rFonts w:ascii="Arial" w:eastAsia="Times New Roman" w:hAnsi="Arial" w:cs="DINOT-Light"/>
          <w:sz w:val="18"/>
          <w:szCs w:val="18"/>
        </w:rPr>
        <w:t xml:space="preserve"> individual sensitivities against these risks have been identified. These sensitivities, which are ascribed a value with reference to risk weighting, factoring in the likelihood of occurrence and financial impact, were applied to the baseline financial forecast which uses the Company’s annual budget for </w:t>
      </w:r>
      <w:r w:rsidR="007C4F5B" w:rsidRPr="00735726">
        <w:rPr>
          <w:rFonts w:ascii="Arial" w:eastAsia="Times New Roman" w:hAnsi="Arial" w:cs="DINOT-Light"/>
          <w:sz w:val="18"/>
          <w:szCs w:val="18"/>
        </w:rPr>
        <w:t xml:space="preserve">financial year </w:t>
      </w:r>
      <w:r w:rsidR="00CD07C3" w:rsidRPr="00735726">
        <w:rPr>
          <w:rFonts w:ascii="Arial" w:eastAsia="Times New Roman" w:hAnsi="Arial" w:cs="DINOT-Light"/>
          <w:sz w:val="18"/>
          <w:szCs w:val="18"/>
        </w:rPr>
        <w:t>2025/26</w:t>
      </w:r>
      <w:r w:rsidRPr="00735726">
        <w:rPr>
          <w:rFonts w:ascii="Arial" w:eastAsia="Times New Roman" w:hAnsi="Arial" w:cs="DINOT-Light"/>
          <w:sz w:val="18"/>
          <w:szCs w:val="18"/>
        </w:rPr>
        <w:t>, and longer-term strategic business plan for the remainder of the going concern period to 31 October 2027.</w:t>
      </w:r>
    </w:p>
    <w:p w14:paraId="0CC023FF"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bookmarkEnd w:id="303"/>
    <w:p w14:paraId="42319D2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
          <w:bCs/>
          <w:sz w:val="18"/>
          <w:szCs w:val="18"/>
        </w:rPr>
      </w:pPr>
      <w:r w:rsidRPr="00735726">
        <w:rPr>
          <w:rFonts w:ascii="Arial" w:eastAsia="Times New Roman" w:hAnsi="Arial" w:cs="DINOT-Light"/>
          <w:sz w:val="18"/>
          <w:szCs w:val="18"/>
        </w:rPr>
        <w:t xml:space="preserve">The risks and sensitivities include consideration </w:t>
      </w:r>
      <w:proofErr w:type="gramStart"/>
      <w:r w:rsidRPr="00735726">
        <w:rPr>
          <w:rFonts w:ascii="Arial" w:eastAsia="Times New Roman" w:hAnsi="Arial" w:cs="DINOT-Light"/>
          <w:sz w:val="18"/>
          <w:szCs w:val="18"/>
        </w:rPr>
        <w:t>of:</w:t>
      </w:r>
      <w:proofErr w:type="gramEnd"/>
      <w:r w:rsidRPr="00735726">
        <w:rPr>
          <w:rFonts w:ascii="Arial" w:eastAsia="Times New Roman" w:hAnsi="Arial" w:cs="DINOT-Light"/>
          <w:sz w:val="18"/>
          <w:szCs w:val="18"/>
        </w:rPr>
        <w:t xml:space="preserve"> legislative impacts such as change in government policy and </w:t>
      </w:r>
    </w:p>
    <w:p w14:paraId="04664E11" w14:textId="631971D0" w:rsidR="00646F4F" w:rsidRPr="00735726" w:rsidRDefault="00646F4F" w:rsidP="00CD07C3">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non-compliance with laws and regulations, macroeconomic impacts such as inflation and interest rate increases and operational impacts such as ensuring adequate water resources and failure of operational assets. A combined stress testing scenario has been performed to assess the overall impact of these individual scenarios impacting the Company collectively. The combined weighted impact of the risks occurring is a cash outflow of c.£94.9 million; this value is considered equivalent to an extreme one-off event that could occur</w:t>
      </w:r>
      <w:r w:rsidR="00CD07C3" w:rsidRPr="00735726">
        <w:rPr>
          <w:rFonts w:ascii="Arial" w:eastAsia="Times New Roman" w:hAnsi="Arial" w:cs="DINOT-Light"/>
          <w:sz w:val="18"/>
          <w:szCs w:val="18"/>
        </w:rPr>
        <w:t xml:space="preserve"> over the </w:t>
      </w:r>
      <w:proofErr w:type="gramStart"/>
      <w:r w:rsidR="00CD07C3" w:rsidRPr="00735726">
        <w:rPr>
          <w:rFonts w:ascii="Arial" w:eastAsia="Times New Roman" w:hAnsi="Arial" w:cs="DINOT-Light"/>
          <w:sz w:val="18"/>
          <w:szCs w:val="18"/>
        </w:rPr>
        <w:t>15 month</w:t>
      </w:r>
      <w:proofErr w:type="gramEnd"/>
      <w:r w:rsidR="00CD07C3" w:rsidRPr="00735726">
        <w:rPr>
          <w:rFonts w:ascii="Arial" w:eastAsia="Times New Roman" w:hAnsi="Arial" w:cs="DINOT-Light"/>
          <w:sz w:val="18"/>
          <w:szCs w:val="18"/>
        </w:rPr>
        <w:t xml:space="preserve"> period of the assessment to</w:t>
      </w:r>
      <w:r w:rsidRPr="00735726">
        <w:rPr>
          <w:rFonts w:ascii="Arial" w:eastAsia="Times New Roman" w:hAnsi="Arial" w:cs="DINOT-Light"/>
          <w:sz w:val="18"/>
          <w:szCs w:val="18"/>
        </w:rPr>
        <w:t xml:space="preserve"> 31 October 2027, the probability of such an event happening is deemed unlikely. Through this testing, it has been determined that none of the individual principal risks would in isolation, or in aggregate, compromise the going concern of the Company over the going concern period, the assessment has been considered by reviewing the impact on the solvency position as well as debt and interest covenants. In the combined scenario to ensure that the Company was able to continue as a going concern, additional mitigations could be deployed to reduce gearing and increase covenant headroom. In the combined stress test scenario, the company has sufficient liquidity and covenant headroom which reflects that no mitigations would be needed by the Company. However, if required additional mitigations could be deployed to reduce gearing and increase covenant headroom. Examples of mitigations could </w:t>
      </w:r>
      <w:proofErr w:type="gramStart"/>
      <w:r w:rsidRPr="00735726">
        <w:rPr>
          <w:rFonts w:ascii="Arial" w:eastAsia="Times New Roman" w:hAnsi="Arial" w:cs="DINOT-Light"/>
          <w:sz w:val="18"/>
          <w:szCs w:val="18"/>
        </w:rPr>
        <w:t>include:</w:t>
      </w:r>
      <w:proofErr w:type="gramEnd"/>
      <w:r w:rsidRPr="00735726">
        <w:rPr>
          <w:rFonts w:ascii="Arial" w:eastAsia="Times New Roman" w:hAnsi="Arial" w:cs="DINOT-Light"/>
          <w:sz w:val="18"/>
          <w:szCs w:val="18"/>
        </w:rPr>
        <w:t xml:space="preserve"> reduction in discretionary operational expenditure, deferral of capital expenditure and/or cancellation of non-essential capital expenditure, reduction in the amount of dividend payable, and raising additional funding.</w:t>
      </w:r>
    </w:p>
    <w:p w14:paraId="63CD897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5F1E6E6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
          <w:bCs/>
          <w:sz w:val="18"/>
          <w:szCs w:val="18"/>
        </w:rPr>
      </w:pPr>
      <w:r w:rsidRPr="00735726">
        <w:rPr>
          <w:rFonts w:ascii="Arial" w:eastAsia="Times New Roman" w:hAnsi="Arial" w:cs="DINOT-Light"/>
          <w:sz w:val="18"/>
          <w:szCs w:val="18"/>
        </w:rPr>
        <w:t xml:space="preserve">We have considered the Company’s funding position and financial projections which </w:t>
      </w:r>
      <w:proofErr w:type="gramStart"/>
      <w:r w:rsidRPr="00735726">
        <w:rPr>
          <w:rFonts w:ascii="Arial" w:eastAsia="Times New Roman" w:hAnsi="Arial" w:cs="DINOT-Light"/>
          <w:sz w:val="18"/>
          <w:szCs w:val="18"/>
        </w:rPr>
        <w:t>take into account</w:t>
      </w:r>
      <w:proofErr w:type="gramEnd"/>
      <w:r w:rsidRPr="00735726">
        <w:rPr>
          <w:rFonts w:ascii="Arial" w:eastAsia="Times New Roman" w:hAnsi="Arial" w:cs="DINOT-Light"/>
          <w:sz w:val="18"/>
          <w:szCs w:val="18"/>
        </w:rPr>
        <w:t xml:space="preserve"> a range of possible impacts, including the refinancing required within and immediately after the going concern assessment </w:t>
      </w:r>
    </w:p>
    <w:p w14:paraId="2D7EEBD1" w14:textId="07BDAC99"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period. Having considered these factors, the Directors have a reasonable expectation that the Company will meet the requirements of its covenants and has adequate resources to continue in operational existence for the period to at least the end of the going concern assessment period of 31 October 2027, and that there are no material uncertainties to disclose. For this reason, they continue to adopt the going concern basis in preparing</w:t>
      </w:r>
    </w:p>
    <w:p w14:paraId="79298EC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the financial statements.</w:t>
      </w:r>
    </w:p>
    <w:p w14:paraId="4A588BE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65837967" w14:textId="1B8E097D" w:rsidR="00646F4F" w:rsidRPr="00735726" w:rsidRDefault="00CD07C3" w:rsidP="00CD07C3">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In preparing the financial statements, management has considered the impact of climate change, </w:t>
      </w:r>
      <w:proofErr w:type="gramStart"/>
      <w:r w:rsidRPr="00735726">
        <w:rPr>
          <w:rFonts w:ascii="Arial" w:eastAsia="Times New Roman" w:hAnsi="Arial" w:cs="DINOT-Light"/>
          <w:sz w:val="18"/>
          <w:szCs w:val="18"/>
        </w:rPr>
        <w:t>taking into account</w:t>
      </w:r>
      <w:proofErr w:type="gramEnd"/>
      <w:r w:rsidRPr="00735726">
        <w:rPr>
          <w:rFonts w:ascii="Arial" w:eastAsia="Times New Roman" w:hAnsi="Arial" w:cs="DINOT-Light"/>
          <w:sz w:val="18"/>
          <w:szCs w:val="18"/>
        </w:rPr>
        <w:t xml:space="preserve"> the relevant disclosures in the Strategic Report, including those made in accordance with the recommendations of the Taskforce on Climate-related Financial Disclosure. The expected environmental impact of climate change on the water business has been modelled</w:t>
      </w:r>
      <w:r w:rsidR="00B722C5" w:rsidRPr="00735726">
        <w:rPr>
          <w:rFonts w:ascii="Arial" w:eastAsia="Times New Roman" w:hAnsi="Arial" w:cs="DINOT-Light"/>
          <w:sz w:val="18"/>
          <w:szCs w:val="18"/>
        </w:rPr>
        <w:t>,</w:t>
      </w:r>
      <w:r w:rsidRPr="00735726">
        <w:rPr>
          <w:rFonts w:ascii="Arial" w:eastAsia="Times New Roman" w:hAnsi="Arial" w:cs="DINOT-Light"/>
          <w:sz w:val="18"/>
          <w:szCs w:val="18"/>
        </w:rPr>
        <w:t xml:space="preserve"> noting that the physical risks are increasing. It is likely that the Company will need to invest to protect certain assets such as sewage works and pumping stations against sea level inundation and these considerations form part of the planning process for new capital expenditure. Longer term investment, outlined in the strategic plans, will be needed to manage future risks. To achieve this, combined regulatory and government support within their policy frameworks will be essential. Whilst it is estimated additional spend will be required to manage future risks, the current available information and assessment did not identify any risks regarding the sufficiency of funds available to the Company to support this additional spend or any risk that would require the useful economic lives of assets to be reduced in the year or identify the need for impairment that would impact the carrying values of such assets or have any other impact on the financial statements. The impact assessments will be continuously updated to reflect the latest available information on the impact of climate change.</w:t>
      </w:r>
    </w:p>
    <w:p w14:paraId="2AFE9BA4" w14:textId="77777777" w:rsidR="00CD07C3" w:rsidRPr="009A2CAE" w:rsidRDefault="00CD07C3" w:rsidP="00CD07C3">
      <w:pPr>
        <w:widowControl w:val="0"/>
        <w:suppressAutoHyphens/>
        <w:autoSpaceDE w:val="0"/>
        <w:autoSpaceDN w:val="0"/>
        <w:adjustRightInd w:val="0"/>
        <w:spacing w:after="0"/>
        <w:textAlignment w:val="center"/>
        <w:rPr>
          <w:rFonts w:ascii="Arial" w:eastAsia="Times New Roman" w:hAnsi="Arial" w:cs="DINOT-Light"/>
          <w:sz w:val="18"/>
          <w:szCs w:val="18"/>
        </w:rPr>
      </w:pPr>
    </w:p>
    <w:p w14:paraId="7FD55DB9" w14:textId="77777777" w:rsidR="00646F4F" w:rsidRPr="00735726" w:rsidRDefault="00646F4F" w:rsidP="00646F4F">
      <w:pPr>
        <w:widowControl w:val="0"/>
        <w:numPr>
          <w:ilvl w:val="0"/>
          <w:numId w:val="23"/>
        </w:numPr>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Exemption from consolidation</w:t>
      </w:r>
    </w:p>
    <w:p w14:paraId="37798555"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04" w:name="XMETag_e020a6e3c5f14ae5b2d4f370b5c1a9b6"/>
      <w:r w:rsidRPr="00735726">
        <w:rPr>
          <w:rFonts w:ascii="Arial" w:eastAsia="Times New Roman" w:hAnsi="Arial" w:cs="DINOT-Light"/>
          <w:color w:val="000000"/>
          <w:sz w:val="18"/>
          <w:szCs w:val="18"/>
        </w:rPr>
        <w:t xml:space="preserve">The Company is exempt under the provisions of section 400 of the Companies Act 2006 from the requirement to produce group financial statements as it is a </w:t>
      </w:r>
      <w:proofErr w:type="gramStart"/>
      <w:r w:rsidRPr="00735726">
        <w:rPr>
          <w:rFonts w:ascii="Arial" w:eastAsia="Times New Roman" w:hAnsi="Arial" w:cs="DINOT-Light"/>
          <w:color w:val="000000"/>
          <w:sz w:val="18"/>
          <w:szCs w:val="18"/>
        </w:rPr>
        <w:t>wholly-owned</w:t>
      </w:r>
      <w:proofErr w:type="gramEnd"/>
      <w:r w:rsidRPr="00735726">
        <w:rPr>
          <w:rFonts w:ascii="Arial" w:eastAsia="Times New Roman" w:hAnsi="Arial" w:cs="DINOT-Light"/>
          <w:color w:val="000000"/>
          <w:sz w:val="18"/>
          <w:szCs w:val="18"/>
        </w:rPr>
        <w:t xml:space="preserve"> subsidiary of Pennon Group plc which is registered within the United Kingdom and which itself produces consolidated financial statements. Accordingly consolidated financial statements have not been prepared and the financial information presented is for the Company as an individual undertaking.</w:t>
      </w:r>
      <w:bookmarkEnd w:id="304"/>
      <w:r w:rsidRPr="00735726">
        <w:rPr>
          <w:rFonts w:ascii="Arial" w:eastAsia="Times New Roman" w:hAnsi="Arial" w:cs="DINOT-Light"/>
          <w:color w:val="000000"/>
          <w:sz w:val="18"/>
          <w:szCs w:val="18"/>
        </w:rPr>
        <w:t xml:space="preserve"> </w:t>
      </w:r>
      <w:bookmarkStart w:id="305" w:name="XMETag_dc822c4009d64f80ab4960bc184ebc9e"/>
      <w:r w:rsidRPr="00735726">
        <w:rPr>
          <w:rFonts w:ascii="Arial" w:eastAsia="Times New Roman" w:hAnsi="Arial" w:cs="DINOT-Light"/>
          <w:color w:val="000000"/>
          <w:sz w:val="18"/>
          <w:szCs w:val="18"/>
        </w:rPr>
        <w:t xml:space="preserve">Group financial statements are included in the Annual Report of Pennon Group </w:t>
      </w:r>
      <w:proofErr w:type="gramStart"/>
      <w:r w:rsidRPr="00735726">
        <w:rPr>
          <w:rFonts w:ascii="Arial" w:eastAsia="Times New Roman" w:hAnsi="Arial" w:cs="DINOT-Light"/>
          <w:color w:val="000000"/>
          <w:sz w:val="18"/>
          <w:szCs w:val="18"/>
        </w:rPr>
        <w:t>plc</w:t>
      </w:r>
      <w:proofErr w:type="gramEnd"/>
      <w:r w:rsidRPr="00735726">
        <w:rPr>
          <w:rFonts w:ascii="Arial" w:eastAsia="Times New Roman" w:hAnsi="Arial" w:cs="DINOT-Light"/>
          <w:color w:val="000000"/>
          <w:sz w:val="18"/>
          <w:szCs w:val="18"/>
        </w:rPr>
        <w:t xml:space="preserve"> which is available from Peninsula House, Rydon Lane, Exeter, EX2 7HR.</w:t>
      </w:r>
      <w:bookmarkEnd w:id="305"/>
    </w:p>
    <w:p w14:paraId="4BFCE2EC"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
          <w:bCs/>
          <w:color w:val="000000"/>
          <w:sz w:val="18"/>
          <w:szCs w:val="18"/>
        </w:rPr>
      </w:pPr>
    </w:p>
    <w:p w14:paraId="1F26DB58"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(c)</w:t>
      </w:r>
      <w:r w:rsidRPr="00735726">
        <w:rPr>
          <w:rFonts w:ascii="Arial" w:eastAsia="Times New Roman" w:hAnsi="Arial" w:cs="Arial"/>
          <w:b/>
          <w:bCs/>
          <w:color w:val="000000"/>
          <w:sz w:val="18"/>
          <w:szCs w:val="18"/>
        </w:rPr>
        <w:tab/>
        <w:t>Revenue recognition</w:t>
      </w:r>
    </w:p>
    <w:p w14:paraId="766CF8B5" w14:textId="77777777" w:rsidR="000E14D0" w:rsidRPr="009A2CAE" w:rsidRDefault="00646F4F" w:rsidP="000E14D0">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06" w:name="XMETag_d3b0f968ec534b08a548586c429c9732"/>
      <w:r w:rsidRPr="00735726">
        <w:rPr>
          <w:rFonts w:ascii="Arial" w:eastAsia="Times New Roman" w:hAnsi="Arial" w:cs="Arial"/>
          <w:bCs/>
          <w:color w:val="000000"/>
          <w:sz w:val="18"/>
          <w:szCs w:val="18"/>
        </w:rPr>
        <w:t xml:space="preserve">Revenue is recognised following delivery of performance obligations and an assessment of when control over the product or service is transferred to the customer. Revenue is only recognised when collection of consideration is </w:t>
      </w:r>
      <w:r w:rsidR="000E14D0" w:rsidRPr="00735726">
        <w:rPr>
          <w:rFonts w:ascii="Arial" w:eastAsia="Times New Roman" w:hAnsi="Arial" w:cs="DINOT-Light"/>
          <w:b/>
          <w:bCs/>
          <w:color w:val="000000"/>
          <w:sz w:val="18"/>
          <w:szCs w:val="18"/>
        </w:rPr>
        <w:lastRenderedPageBreak/>
        <w:t>2.</w:t>
      </w:r>
      <w:r w:rsidR="000E14D0" w:rsidRPr="00735726">
        <w:rPr>
          <w:rFonts w:ascii="Arial" w:eastAsia="Times New Roman" w:hAnsi="Arial" w:cs="DINOT-Light"/>
          <w:color w:val="000000"/>
          <w:sz w:val="18"/>
          <w:szCs w:val="18"/>
        </w:rPr>
        <w:t xml:space="preserve">    </w:t>
      </w:r>
      <w:r w:rsidR="000E14D0" w:rsidRPr="00735726">
        <w:rPr>
          <w:rFonts w:ascii="Arial" w:eastAsia="Times New Roman" w:hAnsi="Arial" w:cs="Arial"/>
          <w:b/>
          <w:bCs/>
          <w:caps/>
          <w:color w:val="000000"/>
          <w:sz w:val="18"/>
          <w:szCs w:val="18"/>
        </w:rPr>
        <w:t>Principal accounting policies (CONTINUED)</w:t>
      </w:r>
    </w:p>
    <w:p w14:paraId="4D8E3422" w14:textId="77777777" w:rsidR="000E14D0" w:rsidRPr="00735726" w:rsidRDefault="000E14D0" w:rsidP="000E14D0">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(c)</w:t>
      </w:r>
      <w:r w:rsidRPr="00735726">
        <w:rPr>
          <w:rFonts w:ascii="Arial" w:eastAsia="Times New Roman" w:hAnsi="Arial" w:cs="Arial"/>
          <w:b/>
          <w:bCs/>
          <w:color w:val="000000"/>
          <w:sz w:val="18"/>
          <w:szCs w:val="18"/>
        </w:rPr>
        <w:tab/>
        <w:t>Revenue recognition (continued)</w:t>
      </w:r>
    </w:p>
    <w:p w14:paraId="30B97538" w14:textId="6372EA45"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Cs/>
          <w:color w:val="000000"/>
          <w:sz w:val="18"/>
          <w:szCs w:val="18"/>
        </w:rPr>
      </w:pPr>
      <w:r w:rsidRPr="00735726">
        <w:rPr>
          <w:rFonts w:ascii="Arial" w:eastAsia="Times New Roman" w:hAnsi="Arial" w:cs="Arial"/>
          <w:bCs/>
          <w:color w:val="000000"/>
          <w:sz w:val="18"/>
          <w:szCs w:val="18"/>
        </w:rPr>
        <w:t xml:space="preserve">highly probable. </w:t>
      </w:r>
    </w:p>
    <w:p w14:paraId="55D2AC4D"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Cs/>
          <w:color w:val="000000"/>
          <w:sz w:val="18"/>
          <w:szCs w:val="18"/>
        </w:rPr>
      </w:pPr>
    </w:p>
    <w:p w14:paraId="32259B18" w14:textId="1554474C"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Revenue is recognised either when the performance obligation in the contract has been performed (point in time recognition) or ‘over time’ as the performance obligations to the customer are satisfied. For each obligation satisfied over time, the Company applies a revenue recognition method that accurately reflects performance in</w:t>
      </w:r>
      <w:r w:rsidR="000E14D0"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 xml:space="preserve">transferring control of the services to the customer. </w:t>
      </w:r>
    </w:p>
    <w:p w14:paraId="67BBBCE9"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84B24A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Where a contract with a customer includes more than one performance obligation, revenue is allocated to each obligation in proportion to a fair value assessment of the total contract sales value split across the services provided. </w:t>
      </w:r>
    </w:p>
    <w:p w14:paraId="65C973EE"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C714ED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At the inception of a contract, the total transaction price is estimated, being the fair value to which the Company expects to be entitled under the contract. Revenue excludes value added tax.</w:t>
      </w:r>
    </w:p>
    <w:p w14:paraId="21E9B491"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DC0F645"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For most of the services provided to domestic customers, contract terms are implied through statute and regulation in the absence of formal, written contracts.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has a duty under legislation to provide domestic customers with services regardless of payment and is not permitted to disconnect domestic customers for non-payment of bills. Charges are set via the periodic review price-setting process, regulated by Ofwat.</w:t>
      </w:r>
    </w:p>
    <w:p w14:paraId="0EB47582"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3C0CB7CC"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 respect of ongoing, continuous services to customers, such as the provision of drinking water and wastewater services, revenue is recognised over time.</w:t>
      </w:r>
    </w:p>
    <w:p w14:paraId="4EF3D018"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A83116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Customers with an unmeasured supply are billed at the start of the year for the full amount of the annual charge but typically take advantage of a choice of payment arrangements to pay by regular instalments. The </w:t>
      </w:r>
    </w:p>
    <w:p w14:paraId="113F2005" w14:textId="5D3FEC93"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performance obligation has been assessed as standing ready to provide water and sewerage services when required by our customers, and accordingly revenue is recognised under IFRS</w:t>
      </w:r>
      <w:r w:rsidR="000E14D0"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15 as the stand-ready obligation is fulfilled over time.</w:t>
      </w:r>
    </w:p>
    <w:p w14:paraId="3DBC0881"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19F088A"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Customers with a metered supply are sent up to four bills per year, based either on actual meter readings or estimated usage. For these customers, revenue includes an estimation of the amount of unbilled usage at the period end. Payment options for domestic customers include an annual meter payment plan where customers agree to pay a fixed amount per month which is adjusted to reflect actual consumption at the end of the year. Revenue is recognised as water is supplied, based on estimate usage for unbilled elements.</w:t>
      </w:r>
    </w:p>
    <w:p w14:paraId="7D178180"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9D016F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 range of regulated services are offered to property developers and owners who require connection to the water and sewerage networks or need the networks to be extended or altered. Typically, these customers pay an estimate of the charges in advance as a deposit, which is treated as a contract liability and are billed or refunded the difference between the estimate and actual costs on completion of the work.</w:t>
      </w:r>
    </w:p>
    <w:p w14:paraId="0F0CF6BE"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F628CA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principal components of these contributions are as follows:</w:t>
      </w:r>
    </w:p>
    <w:p w14:paraId="02BB7E6D" w14:textId="77777777" w:rsidR="00646F4F" w:rsidRPr="00735726" w:rsidRDefault="00646F4F" w:rsidP="00646F4F">
      <w:pPr>
        <w:pStyle w:val="ListParagraph"/>
        <w:widowControl w:val="0"/>
        <w:numPr>
          <w:ilvl w:val="0"/>
          <w:numId w:val="29"/>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Where the performance obligation relates solely to a connection to the network, revenue is recognised at the point of connection when the customer is deemed to have obtained control</w:t>
      </w:r>
    </w:p>
    <w:p w14:paraId="6DEDCA47" w14:textId="77777777" w:rsidR="00646F4F" w:rsidRPr="00735726" w:rsidRDefault="00646F4F" w:rsidP="00646F4F">
      <w:pPr>
        <w:pStyle w:val="ListParagraph"/>
        <w:widowControl w:val="0"/>
        <w:numPr>
          <w:ilvl w:val="0"/>
          <w:numId w:val="29"/>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Where assets are constructed or provided by the Company or assets transferred to the Company, it is considered that there is an explicit or implied performance obligation to provide an ongoing water and/or wastewater service, with the result that revenue is recognised over time no longer that the economic life of assets provided by or transferred to the Company.</w:t>
      </w:r>
    </w:p>
    <w:p w14:paraId="5675E5DA"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3FFC7D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i/>
          <w:color w:val="000000"/>
          <w:sz w:val="18"/>
          <w:szCs w:val="18"/>
        </w:rPr>
      </w:pPr>
      <w:r w:rsidRPr="00735726">
        <w:rPr>
          <w:rFonts w:ascii="Arial" w:eastAsia="Times New Roman" w:hAnsi="Arial" w:cs="DINOT-Light"/>
          <w:i/>
          <w:color w:val="000000"/>
          <w:sz w:val="18"/>
          <w:szCs w:val="18"/>
        </w:rPr>
        <w:t>Contract assets and liabilities</w:t>
      </w:r>
    </w:p>
    <w:p w14:paraId="06A36A2A"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 trade receivable is recognised when the Company has an unconditional right to receive consideration in exchange for performance obligations already fulfilled. A contract asset is recognised when the Company has fulfilled some of its performance obligations but has not yet obtained an unconditional right to receive </w:t>
      </w:r>
    </w:p>
    <w:p w14:paraId="462C90EB" w14:textId="29801270"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consideration. The amounts of contract assets, when applicable, are disclosed within </w:t>
      </w:r>
      <w:r w:rsidRPr="009A2CAE">
        <w:rPr>
          <w:rFonts w:ascii="Arial" w:eastAsia="Times New Roman" w:hAnsi="Arial" w:cs="DINOT-Light"/>
          <w:color w:val="000000"/>
          <w:sz w:val="18"/>
          <w:szCs w:val="18"/>
        </w:rPr>
        <w:t xml:space="preserve">note </w:t>
      </w:r>
      <w:r w:rsidR="00B63B15" w:rsidRPr="009A2CAE">
        <w:rPr>
          <w:rFonts w:ascii="Arial" w:eastAsia="Times New Roman" w:hAnsi="Arial" w:cs="DINOT-Light"/>
          <w:color w:val="000000"/>
          <w:sz w:val="18"/>
          <w:szCs w:val="18"/>
        </w:rPr>
        <w:t>19</w:t>
      </w:r>
      <w:r w:rsidRPr="009A2CAE">
        <w:rPr>
          <w:rFonts w:ascii="Arial" w:eastAsia="Times New Roman" w:hAnsi="Arial" w:cs="DINOT-Light"/>
          <w:color w:val="000000"/>
          <w:sz w:val="18"/>
          <w:szCs w:val="18"/>
        </w:rPr>
        <w:t xml:space="preserve"> (Trade and other receivables - current) </w:t>
      </w:r>
      <w:r w:rsidRPr="00735726">
        <w:rPr>
          <w:rFonts w:ascii="Arial" w:eastAsia="Times New Roman" w:hAnsi="Arial" w:cs="DINOT-Light"/>
          <w:color w:val="000000"/>
          <w:sz w:val="18"/>
          <w:szCs w:val="18"/>
        </w:rPr>
        <w:t>as appropriate. A contract liability is recognised when consideration is received in advance of the Company performing its performance obligations to customers, including, when appropriate, transfers of assets from customers</w:t>
      </w:r>
      <w:r w:rsidRPr="009A2CAE">
        <w:rPr>
          <w:rFonts w:ascii="Arial" w:eastAsia="Times New Roman" w:hAnsi="Arial" w:cs="DINOT-Light"/>
          <w:color w:val="000000"/>
          <w:sz w:val="18"/>
          <w:szCs w:val="18"/>
        </w:rPr>
        <w:t xml:space="preserve"> (per paragraph (</w:t>
      </w:r>
      <w:r w:rsidR="00B63B15" w:rsidRPr="009A2CAE">
        <w:rPr>
          <w:rFonts w:ascii="Arial" w:eastAsia="Times New Roman" w:hAnsi="Arial" w:cs="DINOT-Light"/>
          <w:color w:val="000000"/>
          <w:sz w:val="18"/>
          <w:szCs w:val="18"/>
        </w:rPr>
        <w:t>v</w:t>
      </w:r>
      <w:r w:rsidRPr="009A2CAE">
        <w:rPr>
          <w:rFonts w:ascii="Arial" w:eastAsia="Times New Roman" w:hAnsi="Arial" w:cs="DINOT-Light"/>
          <w:color w:val="000000"/>
          <w:sz w:val="18"/>
          <w:szCs w:val="18"/>
        </w:rPr>
        <w:t xml:space="preserve">) below). </w:t>
      </w:r>
      <w:r w:rsidRPr="00735726">
        <w:rPr>
          <w:rFonts w:ascii="Arial" w:eastAsia="Times New Roman" w:hAnsi="Arial" w:cs="DINOT-Light"/>
          <w:color w:val="000000"/>
          <w:sz w:val="18"/>
          <w:szCs w:val="18"/>
        </w:rPr>
        <w:t xml:space="preserve">The value of contract liabilities is disclosed within </w:t>
      </w:r>
      <w:r w:rsidRPr="009A2CAE">
        <w:rPr>
          <w:rFonts w:ascii="Arial" w:eastAsia="Times New Roman" w:hAnsi="Arial" w:cs="DINOT-Light"/>
          <w:color w:val="000000"/>
          <w:sz w:val="18"/>
          <w:szCs w:val="18"/>
        </w:rPr>
        <w:t>note 2</w:t>
      </w:r>
      <w:r w:rsidR="00B63B15" w:rsidRPr="009A2CAE">
        <w:rPr>
          <w:rFonts w:ascii="Arial" w:eastAsia="Times New Roman" w:hAnsi="Arial" w:cs="DINOT-Light"/>
          <w:color w:val="000000"/>
          <w:sz w:val="18"/>
          <w:szCs w:val="18"/>
        </w:rPr>
        <w:t>2</w:t>
      </w:r>
      <w:r w:rsidRPr="009A2CAE">
        <w:rPr>
          <w:rFonts w:ascii="Arial" w:eastAsia="Times New Roman" w:hAnsi="Arial" w:cs="DINOT-Light"/>
          <w:color w:val="000000"/>
          <w:sz w:val="18"/>
          <w:szCs w:val="18"/>
        </w:rPr>
        <w:t xml:space="preserve"> (Trade and other payables - current) </w:t>
      </w:r>
      <w:r w:rsidRPr="00735726">
        <w:rPr>
          <w:rFonts w:ascii="Arial" w:eastAsia="Times New Roman" w:hAnsi="Arial" w:cs="DINOT-Light"/>
          <w:color w:val="000000"/>
          <w:sz w:val="18"/>
          <w:szCs w:val="18"/>
        </w:rPr>
        <w:t xml:space="preserve">and </w:t>
      </w:r>
      <w:r w:rsidRPr="009A2CAE">
        <w:rPr>
          <w:rFonts w:ascii="Arial" w:eastAsia="Times New Roman" w:hAnsi="Arial" w:cs="DINOT-Light"/>
          <w:color w:val="000000"/>
          <w:sz w:val="18"/>
          <w:szCs w:val="18"/>
        </w:rPr>
        <w:t>note 2</w:t>
      </w:r>
      <w:r w:rsidR="00B63B15" w:rsidRPr="009A2CAE">
        <w:rPr>
          <w:rFonts w:ascii="Arial" w:eastAsia="Times New Roman" w:hAnsi="Arial" w:cs="DINOT-Light"/>
          <w:color w:val="000000"/>
          <w:sz w:val="18"/>
          <w:szCs w:val="18"/>
        </w:rPr>
        <w:t>4</w:t>
      </w:r>
      <w:r w:rsidRPr="009A2CAE">
        <w:rPr>
          <w:rFonts w:ascii="Arial" w:eastAsia="Times New Roman" w:hAnsi="Arial" w:cs="DINOT-Light"/>
          <w:color w:val="000000"/>
          <w:sz w:val="18"/>
          <w:szCs w:val="18"/>
        </w:rPr>
        <w:t xml:space="preserve"> (Other non-current liabilities) </w:t>
      </w:r>
      <w:r w:rsidRPr="00735726">
        <w:rPr>
          <w:rFonts w:ascii="Arial" w:eastAsia="Times New Roman" w:hAnsi="Arial" w:cs="DINOT-Light"/>
          <w:color w:val="000000"/>
          <w:sz w:val="18"/>
          <w:szCs w:val="18"/>
        </w:rPr>
        <w:t>as appropriate.</w:t>
      </w:r>
      <w:bookmarkEnd w:id="306"/>
    </w:p>
    <w:p w14:paraId="0D7DC4DF" w14:textId="4609425E"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DINOT-Light"/>
          <w:b/>
          <w:bCs/>
          <w:color w:val="000000"/>
          <w:sz w:val="18"/>
          <w:szCs w:val="18"/>
        </w:rPr>
        <w:lastRenderedPageBreak/>
        <w:t>2.</w:t>
      </w:r>
      <w:r w:rsidRPr="00735726">
        <w:rPr>
          <w:rFonts w:ascii="Arial" w:eastAsia="Times New Roman" w:hAnsi="Arial" w:cs="DINOT-Light"/>
          <w:color w:val="000000"/>
          <w:sz w:val="18"/>
          <w:szCs w:val="18"/>
        </w:rPr>
        <w:t xml:space="preserve">    </w:t>
      </w:r>
      <w:r w:rsidRPr="00735726">
        <w:rPr>
          <w:rFonts w:ascii="Arial" w:eastAsia="Times New Roman" w:hAnsi="Arial" w:cs="Arial"/>
          <w:b/>
          <w:bCs/>
          <w:caps/>
          <w:color w:val="000000"/>
          <w:sz w:val="18"/>
          <w:szCs w:val="18"/>
        </w:rPr>
        <w:t>Principal accounting policies (CONTINUED)</w:t>
      </w:r>
    </w:p>
    <w:p w14:paraId="2CF64B12"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(d)</w:t>
      </w:r>
      <w:r w:rsidRPr="00735726">
        <w:rPr>
          <w:rFonts w:ascii="Arial" w:eastAsia="Times New Roman" w:hAnsi="Arial" w:cs="Arial"/>
          <w:b/>
          <w:bCs/>
          <w:color w:val="000000"/>
          <w:sz w:val="18"/>
          <w:szCs w:val="18"/>
        </w:rPr>
        <w:tab/>
        <w:t>Segmental reporting</w:t>
      </w:r>
    </w:p>
    <w:p w14:paraId="7FAAC3E2"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307" w:name="XMETag_988be9522f14499ea333f7ae5fa02f28"/>
      <w:r w:rsidRPr="00735726">
        <w:rPr>
          <w:rFonts w:ascii="Arial" w:eastAsia="Times New Roman" w:hAnsi="Arial" w:cs="DINOT-Light"/>
          <w:color w:val="000000"/>
          <w:sz w:val="18"/>
          <w:szCs w:val="18"/>
        </w:rPr>
        <w:t>The Directors believe that the whole of the Company’s activities constitute one single segment. Operating segments are reported in the manner consistent with internal reporting to the Chief Operating Decision Maker, which has been identified as the Board of Directors.</w:t>
      </w:r>
    </w:p>
    <w:p w14:paraId="5529A6D7"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9F27C1E"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Company’s country of domicile is the United Kingdom and is the country in which it generates </w:t>
      </w:r>
      <w:proofErr w:type="gramStart"/>
      <w:r w:rsidRPr="00735726">
        <w:rPr>
          <w:rFonts w:ascii="Arial" w:eastAsia="Times New Roman" w:hAnsi="Arial" w:cs="DINOT-Light"/>
          <w:color w:val="000000"/>
          <w:sz w:val="18"/>
          <w:szCs w:val="18"/>
        </w:rPr>
        <w:t>all of</w:t>
      </w:r>
      <w:proofErr w:type="gramEnd"/>
      <w:r w:rsidRPr="00735726">
        <w:rPr>
          <w:rFonts w:ascii="Arial" w:eastAsia="Times New Roman" w:hAnsi="Arial" w:cs="DINOT-Light"/>
          <w:color w:val="000000"/>
          <w:sz w:val="18"/>
          <w:szCs w:val="18"/>
        </w:rPr>
        <w:t xml:space="preserve"> its revenue. The Company’s non-current assets are all located within the United Kingdom. </w:t>
      </w:r>
    </w:p>
    <w:p w14:paraId="269067F6"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0CF112C6" w14:textId="06001CF5"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In accordance with IFRS 15, revenue has been disaggregated based on the services of supplying clean water, removal and treatment of wastewater and retail and other services. Further details are contained in </w:t>
      </w:r>
      <w:r w:rsidRPr="009A2CAE">
        <w:rPr>
          <w:rFonts w:ascii="Arial" w:eastAsia="Times New Roman" w:hAnsi="Arial" w:cs="DINOT-Light"/>
          <w:color w:val="000000"/>
          <w:sz w:val="18"/>
          <w:szCs w:val="18"/>
        </w:rPr>
        <w:t>note 5.</w:t>
      </w:r>
      <w:bookmarkEnd w:id="307"/>
      <w:r w:rsidRPr="009A2CAE">
        <w:rPr>
          <w:rFonts w:ascii="Arial" w:eastAsia="Times New Roman" w:hAnsi="Arial" w:cs="DINOT-Light"/>
          <w:color w:val="000000"/>
          <w:sz w:val="18"/>
          <w:szCs w:val="18"/>
        </w:rPr>
        <w:t xml:space="preserve"> </w:t>
      </w:r>
    </w:p>
    <w:p w14:paraId="1769F79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74B5402"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(e)  Goodwill</w:t>
      </w:r>
    </w:p>
    <w:p w14:paraId="7FE2C4DD" w14:textId="77777777" w:rsidR="00646F4F" w:rsidRPr="00735726" w:rsidRDefault="00646F4F" w:rsidP="00646F4F">
      <w:pPr>
        <w:autoSpaceDE w:val="0"/>
        <w:autoSpaceDN w:val="0"/>
        <w:adjustRightInd w:val="0"/>
        <w:spacing w:after="0" w:line="240" w:lineRule="auto"/>
        <w:rPr>
          <w:rFonts w:ascii="Arial" w:eastAsia="Calibri" w:hAnsi="Arial" w:cs="Arial"/>
          <w:sz w:val="18"/>
          <w:szCs w:val="18"/>
        </w:rPr>
      </w:pPr>
      <w:bookmarkStart w:id="308" w:name="XMETag_f5b7746e395a469eaba6ddbbb4cee6a4"/>
      <w:r w:rsidRPr="00735726">
        <w:rPr>
          <w:rFonts w:ascii="Arial" w:eastAsia="Calibri" w:hAnsi="Arial" w:cs="Arial"/>
          <w:sz w:val="18"/>
          <w:szCs w:val="18"/>
        </w:rPr>
        <w:t>Goodwill arising on consolidation from the acquisition of subsidiary undertakings represents the excess of the purchase consideration over the fair value of net assets acquired, less any subsequent impairment charges.</w:t>
      </w:r>
    </w:p>
    <w:p w14:paraId="39A740F4" w14:textId="77777777" w:rsidR="00646F4F" w:rsidRPr="00735726" w:rsidRDefault="00646F4F" w:rsidP="00646F4F">
      <w:pPr>
        <w:autoSpaceDE w:val="0"/>
        <w:autoSpaceDN w:val="0"/>
        <w:adjustRightInd w:val="0"/>
        <w:spacing w:after="0" w:line="240" w:lineRule="auto"/>
        <w:rPr>
          <w:rFonts w:ascii="Arial" w:eastAsia="Calibri" w:hAnsi="Arial" w:cs="Arial"/>
          <w:sz w:val="18"/>
          <w:szCs w:val="18"/>
        </w:rPr>
      </w:pPr>
    </w:p>
    <w:p w14:paraId="6073B56B" w14:textId="02EF4312"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Calibri" w:hAnsi="Arial" w:cs="Arial"/>
          <w:sz w:val="18"/>
          <w:szCs w:val="18"/>
        </w:rPr>
      </w:pPr>
      <w:r w:rsidRPr="00735726">
        <w:rPr>
          <w:rFonts w:ascii="Arial" w:eastAsia="Calibri" w:hAnsi="Arial" w:cs="Arial"/>
          <w:sz w:val="18"/>
          <w:szCs w:val="18"/>
        </w:rPr>
        <w:t xml:space="preserve">Goodwill is recognised as an asset and reviewed for impairment at least annually. Any impairment is recognised immediately in the statement of profit and loss and is not subsequently reversed. </w:t>
      </w:r>
      <w:proofErr w:type="gramStart"/>
      <w:r w:rsidRPr="00735726">
        <w:rPr>
          <w:rFonts w:ascii="Arial" w:eastAsia="Calibri" w:hAnsi="Arial" w:cs="Arial"/>
          <w:sz w:val="18"/>
          <w:szCs w:val="18"/>
        </w:rPr>
        <w:t>For the purpose of</w:t>
      </w:r>
      <w:proofErr w:type="gramEnd"/>
      <w:r w:rsidRPr="00735726">
        <w:rPr>
          <w:rFonts w:ascii="Arial" w:eastAsia="Calibri" w:hAnsi="Arial" w:cs="Arial"/>
          <w:sz w:val="18"/>
          <w:szCs w:val="18"/>
        </w:rPr>
        <w:t xml:space="preserve"> impairment testing, goodwill acquired in a business combination is allocated to each of the cash generating units (CGUs) or group of CGUs, that is expected to benefit from the synergies of the combination. Each unit or group of units to which goodwill is allocated represents the lowest level within the entity at which the goodwill is monitored for internal reporting purposes. Goodwill is allocated and monitored at the reportable operating segment level. Further details are contained in accounting policy </w:t>
      </w:r>
      <w:r w:rsidRPr="009A2CAE">
        <w:rPr>
          <w:rFonts w:ascii="Arial" w:eastAsia="Calibri" w:hAnsi="Arial" w:cs="Arial"/>
          <w:sz w:val="18"/>
          <w:szCs w:val="18"/>
        </w:rPr>
        <w:t>(i).</w:t>
      </w:r>
    </w:p>
    <w:p w14:paraId="5203AF79" w14:textId="77777777" w:rsidR="00646F4F" w:rsidRPr="00735726" w:rsidRDefault="00646F4F" w:rsidP="00646F4F">
      <w:pPr>
        <w:autoSpaceDE w:val="0"/>
        <w:autoSpaceDN w:val="0"/>
        <w:adjustRightInd w:val="0"/>
        <w:spacing w:after="0"/>
        <w:rPr>
          <w:rFonts w:ascii="Arial" w:eastAsia="Calibri" w:hAnsi="Arial" w:cs="Arial"/>
          <w:sz w:val="18"/>
          <w:szCs w:val="18"/>
        </w:rPr>
      </w:pPr>
    </w:p>
    <w:p w14:paraId="726F9A7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When a subsidiary undertaking is sold, the profit or loss on disposal is determined after including the attributable amount of goodwill.</w:t>
      </w:r>
      <w:bookmarkEnd w:id="308"/>
    </w:p>
    <w:p w14:paraId="3E86659B"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Arial"/>
          <w:color w:val="000000"/>
          <w:sz w:val="18"/>
          <w:szCs w:val="18"/>
        </w:rPr>
      </w:pPr>
    </w:p>
    <w:p w14:paraId="44F4CE2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(f)  Other intangible assets</w:t>
      </w:r>
    </w:p>
    <w:p w14:paraId="7E9504F4" w14:textId="3FE0FAE4" w:rsidR="00646F4F" w:rsidRPr="00735726" w:rsidRDefault="00646F4F" w:rsidP="00646F4F">
      <w:pPr>
        <w:autoSpaceDE w:val="0"/>
        <w:autoSpaceDN w:val="0"/>
        <w:adjustRightInd w:val="0"/>
        <w:spacing w:after="0"/>
        <w:rPr>
          <w:rFonts w:ascii="Arial" w:eastAsia="Times New Roman" w:hAnsi="Arial" w:cs="Arial"/>
          <w:b/>
          <w:bCs/>
          <w:color w:val="000000"/>
          <w:sz w:val="18"/>
          <w:szCs w:val="18"/>
        </w:rPr>
      </w:pPr>
      <w:bookmarkStart w:id="309" w:name="XMETag_7a88fc9aab374cc5adabc177051fc204"/>
      <w:r w:rsidRPr="00735726">
        <w:rPr>
          <w:rFonts w:ascii="Arial" w:eastAsia="Calibri" w:hAnsi="Arial" w:cs="Arial"/>
          <w:sz w:val="18"/>
          <w:szCs w:val="18"/>
        </w:rPr>
        <w:t>Other intangible assets include capitalised software development costs.</w:t>
      </w:r>
      <w:bookmarkEnd w:id="309"/>
      <w:r w:rsidRPr="00735726">
        <w:rPr>
          <w:rFonts w:ascii="Arial" w:eastAsia="Calibri" w:hAnsi="Arial" w:cs="Arial"/>
          <w:sz w:val="18"/>
          <w:szCs w:val="18"/>
        </w:rPr>
        <w:t xml:space="preserve"> </w:t>
      </w:r>
      <w:bookmarkStart w:id="310" w:name="XMETag_9967cded13894fee95fdbc14a497447b"/>
      <w:r w:rsidRPr="00735726">
        <w:rPr>
          <w:rFonts w:ascii="Arial" w:eastAsia="Calibri" w:hAnsi="Arial" w:cs="Arial"/>
          <w:sz w:val="18"/>
          <w:szCs w:val="18"/>
        </w:rPr>
        <w:t>Following initial recognition, finite life intangible assets are amortised on a straight-line basis over their estimated useful lives, with the expense charged to the statement of profit or loss through operating costs.</w:t>
      </w:r>
      <w:bookmarkEnd w:id="310"/>
      <w:r w:rsidRPr="00735726">
        <w:rPr>
          <w:rFonts w:ascii="Arial" w:eastAsia="Calibri" w:hAnsi="Arial" w:cs="Arial"/>
          <w:sz w:val="18"/>
          <w:szCs w:val="18"/>
        </w:rPr>
        <w:t xml:space="preserve"> The cost of assets includes directly attributable labour and overhead costs which are incremental to the Company.</w:t>
      </w:r>
    </w:p>
    <w:p w14:paraId="35EC0897" w14:textId="77777777" w:rsidR="00646F4F" w:rsidRPr="00735726" w:rsidRDefault="00646F4F" w:rsidP="00277639">
      <w:pPr>
        <w:widowControl w:val="0"/>
        <w:tabs>
          <w:tab w:val="left" w:pos="340"/>
        </w:tabs>
        <w:suppressAutoHyphens/>
        <w:autoSpaceDE w:val="0"/>
        <w:autoSpaceDN w:val="0"/>
        <w:adjustRightInd w:val="0"/>
        <w:spacing w:after="0" w:line="240" w:lineRule="auto"/>
        <w:textAlignment w:val="center"/>
        <w:rPr>
          <w:rFonts w:ascii="Arial" w:eastAsia="Times New Roman" w:hAnsi="Arial" w:cs="Arial"/>
          <w:b/>
          <w:bCs/>
          <w:color w:val="000000"/>
          <w:sz w:val="18"/>
          <w:szCs w:val="18"/>
        </w:rPr>
      </w:pPr>
    </w:p>
    <w:p w14:paraId="3B125DC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Intangible assets are amortised evenly over their useful economic lives:</w:t>
      </w:r>
    </w:p>
    <w:p w14:paraId="4AA360DF" w14:textId="77777777" w:rsidR="00646F4F" w:rsidRPr="00735726" w:rsidRDefault="00646F4F" w:rsidP="00277639">
      <w:pPr>
        <w:widowControl w:val="0"/>
        <w:suppressAutoHyphens/>
        <w:autoSpaceDE w:val="0"/>
        <w:autoSpaceDN w:val="0"/>
        <w:adjustRightInd w:val="0"/>
        <w:spacing w:after="0" w:line="240" w:lineRule="auto"/>
        <w:textAlignment w:val="center"/>
        <w:rPr>
          <w:rFonts w:ascii="Arial" w:eastAsia="Times New Roman" w:hAnsi="Arial" w:cs="DINOT-Light"/>
          <w:color w:val="000000"/>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3373"/>
        <w:gridCol w:w="3373"/>
      </w:tblGrid>
      <w:tr w:rsidR="00646F4F" w:rsidRPr="00735726" w14:paraId="69D4F9D0" w14:textId="77777777" w:rsidTr="00CE19B2">
        <w:trPr>
          <w:trHeight w:val="60"/>
        </w:trPr>
        <w:tc>
          <w:tcPr>
            <w:tcW w:w="3373" w:type="dxa"/>
            <w:tcMar>
              <w:top w:w="0" w:type="dxa"/>
              <w:left w:w="0" w:type="dxa"/>
              <w:bottom w:w="0" w:type="dxa"/>
              <w:right w:w="0" w:type="dxa"/>
            </w:tcMar>
          </w:tcPr>
          <w:p w14:paraId="78C827D8"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Software development</w:t>
            </w:r>
          </w:p>
        </w:tc>
        <w:tc>
          <w:tcPr>
            <w:tcW w:w="3373" w:type="dxa"/>
            <w:tcMar>
              <w:top w:w="0" w:type="dxa"/>
              <w:left w:w="0" w:type="dxa"/>
              <w:bottom w:w="0" w:type="dxa"/>
              <w:right w:w="0" w:type="dxa"/>
            </w:tcMar>
          </w:tcPr>
          <w:p w14:paraId="31AD8BB2" w14:textId="1B22E734"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 to 1</w:t>
            </w:r>
            <w:r w:rsidR="00323B84" w:rsidRPr="00735726">
              <w:rPr>
                <w:rFonts w:ascii="Arial" w:eastAsia="Times New Roman" w:hAnsi="Arial" w:cs="DINOT-Light"/>
                <w:color w:val="000000"/>
                <w:sz w:val="18"/>
                <w:szCs w:val="18"/>
              </w:rPr>
              <w:t>0</w:t>
            </w:r>
            <w:r w:rsidRPr="00735726">
              <w:rPr>
                <w:rFonts w:ascii="Arial" w:eastAsia="Times New Roman" w:hAnsi="Arial" w:cs="DINOT-Light"/>
                <w:color w:val="000000"/>
                <w:sz w:val="18"/>
                <w:szCs w:val="18"/>
              </w:rPr>
              <w:t xml:space="preserve"> years</w:t>
            </w:r>
          </w:p>
        </w:tc>
      </w:tr>
    </w:tbl>
    <w:p w14:paraId="2A808BB6" w14:textId="77777777" w:rsidR="00646F4F" w:rsidRPr="00735726" w:rsidRDefault="00646F4F" w:rsidP="00277639">
      <w:pPr>
        <w:widowControl w:val="0"/>
        <w:tabs>
          <w:tab w:val="left" w:pos="340"/>
        </w:tabs>
        <w:suppressAutoHyphens/>
        <w:autoSpaceDE w:val="0"/>
        <w:autoSpaceDN w:val="0"/>
        <w:adjustRightInd w:val="0"/>
        <w:spacing w:after="0" w:line="240" w:lineRule="auto"/>
        <w:textAlignment w:val="center"/>
        <w:rPr>
          <w:rFonts w:ascii="Arial" w:eastAsia="Times New Roman" w:hAnsi="Arial" w:cs="Arial"/>
          <w:b/>
          <w:bCs/>
          <w:color w:val="000000"/>
          <w:sz w:val="18"/>
          <w:szCs w:val="18"/>
        </w:rPr>
      </w:pPr>
    </w:p>
    <w:p w14:paraId="207C9538"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Calibri" w:hAnsi="Arial" w:cs="Arial"/>
          <w:sz w:val="18"/>
          <w:szCs w:val="18"/>
        </w:rPr>
      </w:pPr>
      <w:r w:rsidRPr="00735726">
        <w:rPr>
          <w:rFonts w:ascii="Arial" w:eastAsia="Calibri" w:hAnsi="Arial" w:cs="Arial"/>
          <w:sz w:val="18"/>
          <w:szCs w:val="18"/>
        </w:rPr>
        <w:t xml:space="preserve">Assets </w:t>
      </w:r>
      <w:proofErr w:type="gramStart"/>
      <w:r w:rsidRPr="00735726">
        <w:rPr>
          <w:rFonts w:ascii="Arial" w:eastAsia="Calibri" w:hAnsi="Arial" w:cs="Arial"/>
          <w:sz w:val="18"/>
          <w:szCs w:val="18"/>
        </w:rPr>
        <w:t>in the course of</w:t>
      </w:r>
      <w:proofErr w:type="gramEnd"/>
      <w:r w:rsidRPr="00735726">
        <w:rPr>
          <w:rFonts w:ascii="Arial" w:eastAsia="Calibri" w:hAnsi="Arial" w:cs="Arial"/>
          <w:sz w:val="18"/>
          <w:szCs w:val="18"/>
        </w:rPr>
        <w:t xml:space="preserve"> construction are not depreciated until commissioned.</w:t>
      </w:r>
    </w:p>
    <w:p w14:paraId="66753F7C"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Calibri" w:hAnsi="Arial" w:cs="Arial"/>
          <w:sz w:val="18"/>
          <w:szCs w:val="18"/>
        </w:rPr>
      </w:pPr>
    </w:p>
    <w:p w14:paraId="3B117674" w14:textId="3505D4A5"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Calibri" w:hAnsi="Arial" w:cs="Arial"/>
          <w:sz w:val="18"/>
          <w:szCs w:val="18"/>
        </w:rPr>
      </w:pPr>
      <w:r w:rsidRPr="00735726">
        <w:rPr>
          <w:rFonts w:ascii="Arial" w:eastAsia="Calibri" w:hAnsi="Arial" w:cs="Arial"/>
          <w:sz w:val="18"/>
          <w:szCs w:val="18"/>
        </w:rPr>
        <w:t xml:space="preserve">Costs associated with maintaining software programmes are recognised as an expense as incurred. Development costs that are directly attributable to the design and testing of identifiable software products controlled by the company are recognised as intangible assets when management intends and </w:t>
      </w:r>
      <w:proofErr w:type="gramStart"/>
      <w:r w:rsidRPr="00735726">
        <w:rPr>
          <w:rFonts w:ascii="Arial" w:eastAsia="Calibri" w:hAnsi="Arial" w:cs="Arial"/>
          <w:sz w:val="18"/>
          <w:szCs w:val="18"/>
        </w:rPr>
        <w:t>has the ability to</w:t>
      </w:r>
      <w:proofErr w:type="gramEnd"/>
      <w:r w:rsidRPr="00735726">
        <w:rPr>
          <w:rFonts w:ascii="Arial" w:eastAsia="Calibri" w:hAnsi="Arial" w:cs="Arial"/>
          <w:sz w:val="18"/>
          <w:szCs w:val="18"/>
        </w:rPr>
        <w:t xml:space="preserve"> use the software, it can be reliably measured, and it is probable that incremental future economic benefits will flow to the Company.</w:t>
      </w:r>
    </w:p>
    <w:p w14:paraId="27FA0407"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p>
    <w:p w14:paraId="3D7949C0"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(g)</w:t>
      </w:r>
      <w:r w:rsidRPr="00735726">
        <w:rPr>
          <w:rFonts w:ascii="Arial" w:eastAsia="Times New Roman" w:hAnsi="Arial" w:cs="Arial"/>
          <w:b/>
          <w:bCs/>
          <w:color w:val="000000"/>
          <w:sz w:val="18"/>
          <w:szCs w:val="18"/>
        </w:rPr>
        <w:tab/>
        <w:t>Property, plant and equipment</w:t>
      </w:r>
      <w:bookmarkStart w:id="311" w:name="XMETag_12708b8159ea4160940f3189dbc0c3c9"/>
    </w:p>
    <w:p w14:paraId="710F0FFB"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i/>
          <w:iCs/>
          <w:color w:val="000000"/>
          <w:sz w:val="18"/>
          <w:szCs w:val="18"/>
        </w:rPr>
      </w:pPr>
      <w:bookmarkStart w:id="312" w:name="_Hlk135826887"/>
      <w:r w:rsidRPr="00735726">
        <w:rPr>
          <w:rFonts w:ascii="Arial" w:eastAsia="Times New Roman" w:hAnsi="Arial" w:cs="DINOT-Light"/>
          <w:i/>
          <w:iCs/>
          <w:color w:val="000000"/>
          <w:sz w:val="18"/>
          <w:szCs w:val="18"/>
        </w:rPr>
        <w:t>i) Infrastructure assets (being water mains, sewers, impounding and pumped raw storage reservoirs, dams, pipelines and sea outfalls)</w:t>
      </w:r>
    </w:p>
    <w:bookmarkEnd w:id="312"/>
    <w:p w14:paraId="69E50A17"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 xml:space="preserve">Infrastructure assets were included at fair value on transition to IFRS and subsequent additions are recorded at cost less accumulated depreciation and impairment charges. Expenditure to increase capacity or enhance infrastructure assets is capitalised where it can be reliably measured and it is probable that incremental future </w:t>
      </w:r>
      <w:r w:rsidRPr="00735726">
        <w:rPr>
          <w:rFonts w:ascii="Arial" w:eastAsia="Times New Roman" w:hAnsi="Arial" w:cs="Arial"/>
          <w:b/>
          <w:bCs/>
          <w:caps/>
          <w:color w:val="000000"/>
          <w:sz w:val="18"/>
          <w:szCs w:val="18"/>
        </w:rPr>
        <w:t xml:space="preserve">    </w:t>
      </w:r>
    </w:p>
    <w:p w14:paraId="12C1029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economic benefits will flow to the Company. The cost of day-to-day servicing of infrastructure components is recognised in the statement of profit or loss as it arises.</w:t>
      </w:r>
      <w:bookmarkEnd w:id="311"/>
      <w:r w:rsidRPr="00735726">
        <w:rPr>
          <w:rFonts w:ascii="Arial" w:eastAsia="Times New Roman" w:hAnsi="Arial" w:cs="DINOT-Light"/>
          <w:color w:val="000000"/>
          <w:sz w:val="18"/>
          <w:szCs w:val="18"/>
        </w:rPr>
        <w:t xml:space="preserve"> </w:t>
      </w:r>
    </w:p>
    <w:p w14:paraId="118CA2AA"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5B48FE6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Infrastructure assets are depreciated evenly over their estimated useful economic lives and are principally:</w:t>
      </w:r>
    </w:p>
    <w:p w14:paraId="1A5429B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tbl>
      <w:tblPr>
        <w:tblW w:w="0" w:type="auto"/>
        <w:tblInd w:w="8" w:type="dxa"/>
        <w:tblLayout w:type="fixed"/>
        <w:tblCellMar>
          <w:left w:w="0" w:type="dxa"/>
          <w:right w:w="0" w:type="dxa"/>
        </w:tblCellMar>
        <w:tblLook w:val="0000" w:firstRow="0" w:lastRow="0" w:firstColumn="0" w:lastColumn="0" w:noHBand="0" w:noVBand="0"/>
      </w:tblPr>
      <w:tblGrid>
        <w:gridCol w:w="3373"/>
        <w:gridCol w:w="3373"/>
      </w:tblGrid>
      <w:tr w:rsidR="00646F4F" w:rsidRPr="00735726" w14:paraId="20391525" w14:textId="77777777" w:rsidTr="00CE19B2">
        <w:trPr>
          <w:trHeight w:val="60"/>
        </w:trPr>
        <w:tc>
          <w:tcPr>
            <w:tcW w:w="3373" w:type="dxa"/>
            <w:tcMar>
              <w:top w:w="0" w:type="dxa"/>
              <w:left w:w="0" w:type="dxa"/>
              <w:bottom w:w="0" w:type="dxa"/>
              <w:right w:w="0" w:type="dxa"/>
            </w:tcMar>
          </w:tcPr>
          <w:p w14:paraId="29D1B7E3"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Dams and impounding reservoirs</w:t>
            </w:r>
          </w:p>
        </w:tc>
        <w:tc>
          <w:tcPr>
            <w:tcW w:w="3373" w:type="dxa"/>
            <w:tcMar>
              <w:top w:w="0" w:type="dxa"/>
              <w:left w:w="0" w:type="dxa"/>
              <w:bottom w:w="0" w:type="dxa"/>
              <w:right w:w="0" w:type="dxa"/>
            </w:tcMar>
          </w:tcPr>
          <w:p w14:paraId="6D8847D8"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13" w:name="XMETag_38aeb05b582d4f768b51a3f67f378114"/>
            <w:r w:rsidRPr="00735726">
              <w:rPr>
                <w:rFonts w:ascii="Arial" w:eastAsia="Times New Roman" w:hAnsi="Arial" w:cs="DINOT-Light"/>
                <w:color w:val="000000"/>
                <w:sz w:val="18"/>
                <w:szCs w:val="18"/>
              </w:rPr>
              <w:t>100 to 200</w:t>
            </w:r>
            <w:bookmarkEnd w:id="313"/>
            <w:r w:rsidRPr="00735726">
              <w:rPr>
                <w:rFonts w:ascii="Arial" w:eastAsia="Times New Roman" w:hAnsi="Arial" w:cs="DINOT-Light"/>
                <w:color w:val="000000"/>
                <w:sz w:val="18"/>
                <w:szCs w:val="18"/>
              </w:rPr>
              <w:t xml:space="preserve"> years</w:t>
            </w:r>
          </w:p>
        </w:tc>
      </w:tr>
      <w:tr w:rsidR="00646F4F" w:rsidRPr="00735726" w14:paraId="6F35FE4A" w14:textId="77777777" w:rsidTr="00CE19B2">
        <w:trPr>
          <w:trHeight w:val="60"/>
        </w:trPr>
        <w:tc>
          <w:tcPr>
            <w:tcW w:w="3373" w:type="dxa"/>
            <w:tcMar>
              <w:top w:w="0" w:type="dxa"/>
              <w:left w:w="0" w:type="dxa"/>
              <w:bottom w:w="0" w:type="dxa"/>
              <w:right w:w="0" w:type="dxa"/>
            </w:tcMar>
          </w:tcPr>
          <w:p w14:paraId="48ECE0AB"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Water mains</w:t>
            </w:r>
          </w:p>
        </w:tc>
        <w:tc>
          <w:tcPr>
            <w:tcW w:w="3373" w:type="dxa"/>
            <w:tcMar>
              <w:top w:w="0" w:type="dxa"/>
              <w:left w:w="0" w:type="dxa"/>
              <w:bottom w:w="0" w:type="dxa"/>
              <w:right w:w="0" w:type="dxa"/>
            </w:tcMar>
          </w:tcPr>
          <w:p w14:paraId="4273CAC0"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60 to 180 years</w:t>
            </w:r>
          </w:p>
        </w:tc>
      </w:tr>
      <w:tr w:rsidR="00646F4F" w:rsidRPr="00735726" w14:paraId="05D6325F" w14:textId="77777777" w:rsidTr="00CE19B2">
        <w:trPr>
          <w:trHeight w:val="60"/>
        </w:trPr>
        <w:tc>
          <w:tcPr>
            <w:tcW w:w="3373" w:type="dxa"/>
            <w:tcMar>
              <w:top w:w="0" w:type="dxa"/>
              <w:left w:w="0" w:type="dxa"/>
              <w:bottom w:w="0" w:type="dxa"/>
              <w:right w:w="0" w:type="dxa"/>
            </w:tcMar>
          </w:tcPr>
          <w:p w14:paraId="05695539"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Sewers</w:t>
            </w:r>
          </w:p>
        </w:tc>
        <w:tc>
          <w:tcPr>
            <w:tcW w:w="3373" w:type="dxa"/>
            <w:tcMar>
              <w:top w:w="0" w:type="dxa"/>
              <w:left w:w="0" w:type="dxa"/>
              <w:bottom w:w="0" w:type="dxa"/>
              <w:right w:w="0" w:type="dxa"/>
            </w:tcMar>
          </w:tcPr>
          <w:p w14:paraId="34F71465"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75 to 150 years</w:t>
            </w:r>
          </w:p>
        </w:tc>
      </w:tr>
    </w:tbl>
    <w:p w14:paraId="7C2D7251" w14:textId="044F0244" w:rsidR="00646F4F" w:rsidRPr="00735726" w:rsidRDefault="00E43C51" w:rsidP="00646F4F">
      <w:pPr>
        <w:widowControl w:val="0"/>
        <w:suppressAutoHyphens/>
        <w:autoSpaceDE w:val="0"/>
        <w:autoSpaceDN w:val="0"/>
        <w:adjustRightInd w:val="0"/>
        <w:spacing w:after="0"/>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br/>
      </w:r>
      <w:bookmarkStart w:id="314" w:name="XMETag_88fb0a08f010425b82463e1625515560"/>
      <w:r w:rsidRPr="00735726">
        <w:rPr>
          <w:rFonts w:ascii="Arial" w:eastAsia="Times New Roman" w:hAnsi="Arial" w:cs="DINOT-Light"/>
          <w:color w:val="000000"/>
          <w:sz w:val="18"/>
          <w:szCs w:val="18"/>
        </w:rPr>
        <w:t>A</w:t>
      </w:r>
      <w:r w:rsidR="00646F4F" w:rsidRPr="00735726">
        <w:rPr>
          <w:rFonts w:ascii="Arial" w:eastAsia="Times New Roman" w:hAnsi="Arial" w:cs="DINOT-Light"/>
          <w:color w:val="000000"/>
          <w:sz w:val="18"/>
          <w:szCs w:val="18"/>
        </w:rPr>
        <w:t xml:space="preserve">ssets </w:t>
      </w:r>
      <w:proofErr w:type="gramStart"/>
      <w:r w:rsidR="00646F4F" w:rsidRPr="00735726">
        <w:rPr>
          <w:rFonts w:ascii="Arial" w:eastAsia="Times New Roman" w:hAnsi="Arial" w:cs="DINOT-Light"/>
          <w:color w:val="000000"/>
          <w:sz w:val="18"/>
          <w:szCs w:val="18"/>
        </w:rPr>
        <w:t>in the course of</w:t>
      </w:r>
      <w:proofErr w:type="gramEnd"/>
      <w:r w:rsidR="00646F4F" w:rsidRPr="00735726">
        <w:rPr>
          <w:rFonts w:ascii="Arial" w:eastAsia="Times New Roman" w:hAnsi="Arial" w:cs="DINOT-Light"/>
          <w:color w:val="000000"/>
          <w:sz w:val="18"/>
          <w:szCs w:val="18"/>
        </w:rPr>
        <w:t xml:space="preserve"> construction are not depreciated until commissioned.</w:t>
      </w:r>
      <w:bookmarkEnd w:id="314"/>
    </w:p>
    <w:p w14:paraId="7EA49829" w14:textId="77777777" w:rsidR="00F60479" w:rsidRPr="00735726" w:rsidRDefault="00F60479" w:rsidP="00F60479">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DINOT-Light"/>
          <w:b/>
          <w:bCs/>
          <w:color w:val="000000"/>
          <w:sz w:val="18"/>
          <w:szCs w:val="18"/>
        </w:rPr>
        <w:lastRenderedPageBreak/>
        <w:t>2.</w:t>
      </w:r>
      <w:r w:rsidRPr="00735726">
        <w:rPr>
          <w:rFonts w:ascii="Arial" w:eastAsia="Times New Roman" w:hAnsi="Arial" w:cs="DINOT-Light"/>
          <w:color w:val="000000"/>
          <w:sz w:val="18"/>
          <w:szCs w:val="18"/>
        </w:rPr>
        <w:t xml:space="preserve">    </w:t>
      </w:r>
      <w:r w:rsidRPr="00735726">
        <w:rPr>
          <w:rFonts w:ascii="Arial" w:eastAsia="Times New Roman" w:hAnsi="Arial" w:cs="Arial"/>
          <w:b/>
          <w:bCs/>
          <w:caps/>
          <w:color w:val="000000"/>
          <w:sz w:val="18"/>
          <w:szCs w:val="18"/>
        </w:rPr>
        <w:t>Principal accounting policies (CONTINUED)</w:t>
      </w:r>
    </w:p>
    <w:p w14:paraId="0B6E53E2" w14:textId="77777777" w:rsidR="00F60479" w:rsidRPr="00735726" w:rsidRDefault="00F60479" w:rsidP="00F60479">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(g)</w:t>
      </w:r>
      <w:r w:rsidRPr="00735726">
        <w:rPr>
          <w:rFonts w:ascii="Arial" w:eastAsia="Times New Roman" w:hAnsi="Arial" w:cs="Arial"/>
          <w:b/>
          <w:bCs/>
          <w:color w:val="000000"/>
          <w:sz w:val="18"/>
          <w:szCs w:val="18"/>
        </w:rPr>
        <w:tab/>
        <w:t xml:space="preserve">Property, plant and equipment </w:t>
      </w:r>
      <w:r w:rsidRPr="00735726">
        <w:rPr>
          <w:rFonts w:ascii="Arial" w:eastAsia="Times New Roman" w:hAnsi="Arial" w:cs="DINOT-Light"/>
          <w:b/>
          <w:color w:val="000000"/>
          <w:sz w:val="18"/>
          <w:szCs w:val="18"/>
        </w:rPr>
        <w:t>(continued)</w:t>
      </w:r>
    </w:p>
    <w:p w14:paraId="410939F4" w14:textId="77777777" w:rsidR="00F60479" w:rsidRPr="00735726" w:rsidRDefault="00F60479" w:rsidP="00646F4F">
      <w:pPr>
        <w:widowControl w:val="0"/>
        <w:suppressAutoHyphens/>
        <w:autoSpaceDE w:val="0"/>
        <w:autoSpaceDN w:val="0"/>
        <w:adjustRightInd w:val="0"/>
        <w:spacing w:after="0"/>
        <w:textAlignment w:val="center"/>
        <w:rPr>
          <w:rFonts w:ascii="Arial" w:eastAsia="Times New Roman" w:hAnsi="Arial" w:cs="DINOT-Light"/>
          <w:i/>
          <w:color w:val="000000"/>
          <w:sz w:val="18"/>
          <w:szCs w:val="18"/>
        </w:rPr>
      </w:pPr>
    </w:p>
    <w:p w14:paraId="4876B510" w14:textId="2294C9AA"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i/>
          <w:color w:val="000000"/>
          <w:sz w:val="18"/>
          <w:szCs w:val="18"/>
        </w:rPr>
      </w:pPr>
      <w:r w:rsidRPr="00735726">
        <w:rPr>
          <w:rFonts w:ascii="Arial" w:eastAsia="Times New Roman" w:hAnsi="Arial" w:cs="DINOT-Light"/>
          <w:i/>
          <w:color w:val="000000"/>
          <w:sz w:val="18"/>
          <w:szCs w:val="18"/>
        </w:rPr>
        <w:t xml:space="preserve">ii) </w:t>
      </w:r>
      <w:proofErr w:type="gramStart"/>
      <w:r w:rsidRPr="00735726">
        <w:rPr>
          <w:rFonts w:ascii="Arial" w:eastAsia="Times New Roman" w:hAnsi="Arial" w:cs="DINOT-Light"/>
          <w:i/>
          <w:color w:val="000000"/>
          <w:sz w:val="18"/>
          <w:szCs w:val="18"/>
        </w:rPr>
        <w:t>Other</w:t>
      </w:r>
      <w:proofErr w:type="gramEnd"/>
      <w:r w:rsidRPr="00735726">
        <w:rPr>
          <w:rFonts w:ascii="Arial" w:eastAsia="Times New Roman" w:hAnsi="Arial" w:cs="DINOT-Light"/>
          <w:i/>
          <w:color w:val="000000"/>
          <w:sz w:val="18"/>
          <w:szCs w:val="18"/>
        </w:rPr>
        <w:t xml:space="preserve"> assets (being property, overground plant and equipment)</w:t>
      </w:r>
    </w:p>
    <w:p w14:paraId="0D0D0D8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br/>
      </w:r>
      <w:bookmarkStart w:id="315" w:name="XMETag_0dd047d1b71e442887d495c180b1dc8d"/>
      <w:r w:rsidRPr="00735726">
        <w:rPr>
          <w:rFonts w:ascii="Arial" w:eastAsia="Times New Roman" w:hAnsi="Arial" w:cs="DINOT-Light"/>
          <w:color w:val="000000"/>
          <w:sz w:val="18"/>
          <w:szCs w:val="18"/>
        </w:rPr>
        <w:t>Other assets are included at cost less accumulated depreciation.</w:t>
      </w:r>
      <w:bookmarkEnd w:id="315"/>
    </w:p>
    <w:p w14:paraId="48CD4218"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7A5BB8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16" w:name="XMETag_cb31cd92311046978d8fdf5c1ee3be34"/>
      <w:r w:rsidRPr="00735726">
        <w:rPr>
          <w:rFonts w:ascii="Arial" w:eastAsia="Times New Roman" w:hAnsi="Arial" w:cs="DINOT-Light"/>
          <w:color w:val="000000"/>
          <w:sz w:val="18"/>
          <w:szCs w:val="18"/>
        </w:rPr>
        <w:t>Freehold land is not depreciated.</w:t>
      </w:r>
      <w:bookmarkEnd w:id="316"/>
      <w:r w:rsidRPr="00735726">
        <w:rPr>
          <w:rFonts w:ascii="Arial" w:eastAsia="Times New Roman" w:hAnsi="Arial" w:cs="DINOT-Light"/>
          <w:color w:val="000000"/>
          <w:sz w:val="18"/>
          <w:szCs w:val="18"/>
        </w:rPr>
        <w:t xml:space="preserve"> </w:t>
      </w:r>
      <w:bookmarkStart w:id="317" w:name="XMETag_be9a4ae90f5e43d2b180a8a1a8f1ef99"/>
      <w:r w:rsidRPr="00735726">
        <w:rPr>
          <w:rFonts w:ascii="Arial" w:eastAsia="Times New Roman" w:hAnsi="Arial" w:cs="DINOT-Light"/>
          <w:color w:val="000000"/>
          <w:sz w:val="18"/>
          <w:szCs w:val="18"/>
        </w:rPr>
        <w:t>Other assets are depreciated evenly over their estimated useful economic lives to their residual value and are principally</w:t>
      </w:r>
      <w:bookmarkEnd w:id="317"/>
      <w:r w:rsidRPr="00735726">
        <w:rPr>
          <w:rFonts w:ascii="Arial" w:eastAsia="Times New Roman" w:hAnsi="Arial" w:cs="DINOT-Light"/>
          <w:color w:val="000000"/>
          <w:sz w:val="18"/>
          <w:szCs w:val="18"/>
        </w:rPr>
        <w:t>:</w:t>
      </w:r>
    </w:p>
    <w:p w14:paraId="7C17278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tbl>
      <w:tblPr>
        <w:tblW w:w="10057" w:type="dxa"/>
        <w:tblInd w:w="8" w:type="dxa"/>
        <w:tblLayout w:type="fixed"/>
        <w:tblCellMar>
          <w:left w:w="0" w:type="dxa"/>
          <w:right w:w="0" w:type="dxa"/>
        </w:tblCellMar>
        <w:tblLook w:val="0000" w:firstRow="0" w:lastRow="0" w:firstColumn="0" w:lastColumn="0" w:noHBand="0" w:noVBand="0"/>
      </w:tblPr>
      <w:tblGrid>
        <w:gridCol w:w="3373"/>
        <w:gridCol w:w="6684"/>
      </w:tblGrid>
      <w:tr w:rsidR="00646F4F" w:rsidRPr="00735726" w14:paraId="6D415A8C" w14:textId="77777777" w:rsidTr="00CE19B2">
        <w:trPr>
          <w:trHeight w:val="60"/>
        </w:trPr>
        <w:tc>
          <w:tcPr>
            <w:tcW w:w="3373" w:type="dxa"/>
            <w:tcMar>
              <w:top w:w="0" w:type="dxa"/>
              <w:left w:w="0" w:type="dxa"/>
              <w:bottom w:w="0" w:type="dxa"/>
              <w:right w:w="0" w:type="dxa"/>
            </w:tcMar>
          </w:tcPr>
          <w:p w14:paraId="1F53E320"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Land and buildings - freehold buildings</w:t>
            </w:r>
          </w:p>
        </w:tc>
        <w:tc>
          <w:tcPr>
            <w:tcW w:w="6684" w:type="dxa"/>
            <w:tcMar>
              <w:top w:w="0" w:type="dxa"/>
              <w:left w:w="0" w:type="dxa"/>
              <w:bottom w:w="0" w:type="dxa"/>
              <w:right w:w="0" w:type="dxa"/>
            </w:tcMar>
          </w:tcPr>
          <w:p w14:paraId="703CF2F3"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 to 80 years</w:t>
            </w:r>
          </w:p>
        </w:tc>
      </w:tr>
      <w:tr w:rsidR="00646F4F" w:rsidRPr="00735726" w14:paraId="72FD3A5F" w14:textId="77777777" w:rsidTr="00CE19B2">
        <w:trPr>
          <w:trHeight w:val="60"/>
        </w:trPr>
        <w:tc>
          <w:tcPr>
            <w:tcW w:w="3373" w:type="dxa"/>
            <w:tcMar>
              <w:top w:w="0" w:type="dxa"/>
              <w:left w:w="0" w:type="dxa"/>
              <w:bottom w:w="0" w:type="dxa"/>
              <w:right w:w="0" w:type="dxa"/>
            </w:tcMar>
          </w:tcPr>
          <w:p w14:paraId="7F3B99E0"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18" w:name="XMETag_7475c0af6bae464c94826eddfb26e930" w:colFirst="1" w:colLast="1"/>
            <w:r w:rsidRPr="00735726">
              <w:rPr>
                <w:rFonts w:ascii="Arial" w:eastAsia="Times New Roman" w:hAnsi="Arial" w:cs="DINOT-Light"/>
                <w:color w:val="000000"/>
                <w:sz w:val="18"/>
                <w:szCs w:val="18"/>
              </w:rPr>
              <w:t>Land and buildings - leasehold buildings</w:t>
            </w:r>
          </w:p>
        </w:tc>
        <w:tc>
          <w:tcPr>
            <w:tcW w:w="6684" w:type="dxa"/>
            <w:tcMar>
              <w:top w:w="0" w:type="dxa"/>
              <w:left w:w="0" w:type="dxa"/>
              <w:bottom w:w="0" w:type="dxa"/>
              <w:right w:w="0" w:type="dxa"/>
            </w:tcMar>
          </w:tcPr>
          <w:p w14:paraId="2C8B31AB"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Over the estimated useful life or the lease period, whichever is shorter</w:t>
            </w:r>
          </w:p>
        </w:tc>
      </w:tr>
      <w:bookmarkEnd w:id="318"/>
      <w:tr w:rsidR="00646F4F" w:rsidRPr="00735726" w14:paraId="4F42EC28" w14:textId="77777777" w:rsidTr="00CE19B2">
        <w:trPr>
          <w:trHeight w:val="60"/>
        </w:trPr>
        <w:tc>
          <w:tcPr>
            <w:tcW w:w="3373" w:type="dxa"/>
            <w:tcMar>
              <w:top w:w="0" w:type="dxa"/>
              <w:left w:w="0" w:type="dxa"/>
              <w:bottom w:w="0" w:type="dxa"/>
              <w:right w:w="0" w:type="dxa"/>
            </w:tcMar>
          </w:tcPr>
          <w:p w14:paraId="77B532C3"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Operational properties</w:t>
            </w:r>
          </w:p>
        </w:tc>
        <w:tc>
          <w:tcPr>
            <w:tcW w:w="6684" w:type="dxa"/>
            <w:tcMar>
              <w:top w:w="0" w:type="dxa"/>
              <w:left w:w="0" w:type="dxa"/>
              <w:bottom w:w="0" w:type="dxa"/>
              <w:right w:w="0" w:type="dxa"/>
            </w:tcMar>
          </w:tcPr>
          <w:p w14:paraId="7D69648A"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 to 100 years</w:t>
            </w:r>
          </w:p>
        </w:tc>
      </w:tr>
      <w:tr w:rsidR="00646F4F" w:rsidRPr="00735726" w14:paraId="4F3B2527" w14:textId="77777777" w:rsidTr="00CE19B2">
        <w:trPr>
          <w:trHeight w:val="60"/>
        </w:trPr>
        <w:tc>
          <w:tcPr>
            <w:tcW w:w="3373" w:type="dxa"/>
            <w:tcMar>
              <w:top w:w="0" w:type="dxa"/>
              <w:left w:w="0" w:type="dxa"/>
              <w:bottom w:w="0" w:type="dxa"/>
              <w:right w:w="0" w:type="dxa"/>
            </w:tcMar>
          </w:tcPr>
          <w:p w14:paraId="556A9545"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Fixed and moveable equipment</w:t>
            </w:r>
          </w:p>
        </w:tc>
        <w:tc>
          <w:tcPr>
            <w:tcW w:w="6684" w:type="dxa"/>
            <w:tcMar>
              <w:top w:w="0" w:type="dxa"/>
              <w:left w:w="0" w:type="dxa"/>
              <w:bottom w:w="0" w:type="dxa"/>
              <w:right w:w="0" w:type="dxa"/>
            </w:tcMar>
          </w:tcPr>
          <w:p w14:paraId="74ED50A1"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 to 30 years</w:t>
            </w:r>
          </w:p>
        </w:tc>
      </w:tr>
    </w:tbl>
    <w:p w14:paraId="2B0D1BF7"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30F6A18E" w14:textId="77777777" w:rsidR="00646F4F" w:rsidRPr="00735726" w:rsidRDefault="00646F4F" w:rsidP="00646F4F">
      <w:pPr>
        <w:widowControl w:val="0"/>
        <w:suppressAutoHyphens/>
        <w:autoSpaceDE w:val="0"/>
        <w:autoSpaceDN w:val="0"/>
        <w:adjustRightInd w:val="0"/>
        <w:spacing w:after="0"/>
        <w:textAlignment w:val="center"/>
        <w:outlineLvl w:val="0"/>
        <w:rPr>
          <w:rFonts w:ascii="Arial" w:eastAsia="Times New Roman" w:hAnsi="Arial" w:cs="DINOT-Light"/>
          <w:color w:val="000000"/>
          <w:sz w:val="18"/>
          <w:szCs w:val="18"/>
        </w:rPr>
      </w:pPr>
      <w:bookmarkStart w:id="319" w:name="XMETag_41232c395a774aef84229d0bb5901a34"/>
      <w:r w:rsidRPr="00735726">
        <w:rPr>
          <w:rFonts w:ascii="Arial" w:eastAsia="Times New Roman" w:hAnsi="Arial" w:cs="DINOT-Light"/>
          <w:color w:val="000000"/>
          <w:sz w:val="18"/>
          <w:szCs w:val="18"/>
        </w:rPr>
        <w:t xml:space="preserve">Assets </w:t>
      </w:r>
      <w:proofErr w:type="gramStart"/>
      <w:r w:rsidRPr="00735726">
        <w:rPr>
          <w:rFonts w:ascii="Arial" w:eastAsia="Times New Roman" w:hAnsi="Arial" w:cs="DINOT-Light"/>
          <w:color w:val="000000"/>
          <w:sz w:val="18"/>
          <w:szCs w:val="18"/>
        </w:rPr>
        <w:t>in the course of</w:t>
      </w:r>
      <w:proofErr w:type="gramEnd"/>
      <w:r w:rsidRPr="00735726">
        <w:rPr>
          <w:rFonts w:ascii="Arial" w:eastAsia="Times New Roman" w:hAnsi="Arial" w:cs="DINOT-Light"/>
          <w:color w:val="000000"/>
          <w:sz w:val="18"/>
          <w:szCs w:val="18"/>
        </w:rPr>
        <w:t xml:space="preserve"> construction are not depreciated until commissioned.</w:t>
      </w:r>
    </w:p>
    <w:p w14:paraId="00A0A1BA"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D690795" w14:textId="0ED20075"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cost of assets includes directly attributable labour and overhead costs which are incremental to the Company. Borrowing costs directly attributable to the construction of a qualifying asset (an asset necessarily taking a substantial </w:t>
      </w:r>
      <w:proofErr w:type="gramStart"/>
      <w:r w:rsidRPr="00735726">
        <w:rPr>
          <w:rFonts w:ascii="Arial" w:eastAsia="Times New Roman" w:hAnsi="Arial" w:cs="DINOT-Light"/>
          <w:color w:val="000000"/>
          <w:sz w:val="18"/>
          <w:szCs w:val="18"/>
        </w:rPr>
        <w:t>period of time</w:t>
      </w:r>
      <w:proofErr w:type="gramEnd"/>
      <w:r w:rsidRPr="00735726">
        <w:rPr>
          <w:rFonts w:ascii="Arial" w:eastAsia="Times New Roman" w:hAnsi="Arial" w:cs="DINOT-Light"/>
          <w:color w:val="000000"/>
          <w:sz w:val="18"/>
          <w:szCs w:val="18"/>
        </w:rPr>
        <w:t xml:space="preserve"> to be prepared for its intended use) are capitalised as part of the asset. Assets transferred from customers are recognised at fair value as set out in accounting </w:t>
      </w:r>
      <w:r w:rsidRPr="009A2CAE">
        <w:rPr>
          <w:rFonts w:ascii="Arial" w:eastAsia="Times New Roman" w:hAnsi="Arial" w:cs="DINOT-Light"/>
          <w:color w:val="000000"/>
          <w:sz w:val="18"/>
          <w:szCs w:val="18"/>
        </w:rPr>
        <w:t>policy (</w:t>
      </w:r>
      <w:r w:rsidR="00B63B15" w:rsidRPr="009A2CAE">
        <w:rPr>
          <w:rFonts w:ascii="Arial" w:eastAsia="Times New Roman" w:hAnsi="Arial" w:cs="DINOT-Light"/>
          <w:color w:val="000000"/>
          <w:sz w:val="18"/>
          <w:szCs w:val="18"/>
        </w:rPr>
        <w:t>v</w:t>
      </w:r>
      <w:r w:rsidRPr="009A2CAE">
        <w:rPr>
          <w:rFonts w:ascii="Arial" w:eastAsia="Times New Roman" w:hAnsi="Arial" w:cs="DINOT-Light"/>
          <w:color w:val="000000"/>
          <w:sz w:val="18"/>
          <w:szCs w:val="18"/>
        </w:rPr>
        <w:t>).</w:t>
      </w:r>
    </w:p>
    <w:p w14:paraId="31549CA6"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160A5028"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assets residual value and useful lives are reviewed annually.</w:t>
      </w:r>
    </w:p>
    <w:p w14:paraId="24B1C11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5248AA0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Gains or losses on disposals are determined by comparing the proceeds of sale with the carrying amount and are recognised within the statement of profit or loss.</w:t>
      </w:r>
      <w:bookmarkEnd w:id="319"/>
      <w:r w:rsidRPr="00735726">
        <w:rPr>
          <w:rFonts w:ascii="Arial" w:eastAsia="Times New Roman" w:hAnsi="Arial" w:cs="DINOT-Light"/>
          <w:color w:val="000000"/>
          <w:sz w:val="18"/>
          <w:szCs w:val="18"/>
        </w:rPr>
        <w:t xml:space="preserve"> </w:t>
      </w:r>
    </w:p>
    <w:p w14:paraId="48AF2ED0"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3A3AB25"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(h)</w:t>
      </w:r>
      <w:r w:rsidRPr="00735726">
        <w:rPr>
          <w:rFonts w:ascii="Arial" w:eastAsia="Times New Roman" w:hAnsi="Arial" w:cs="Arial"/>
          <w:b/>
          <w:bCs/>
          <w:color w:val="000000"/>
          <w:sz w:val="18"/>
          <w:szCs w:val="18"/>
        </w:rPr>
        <w:tab/>
        <w:t>Leased assets</w:t>
      </w:r>
    </w:p>
    <w:p w14:paraId="38E96C27"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bookmarkStart w:id="320" w:name="XMETag_3ad1c6133fff4b95938fc4416ad4e110"/>
      <w:r w:rsidRPr="00735726">
        <w:rPr>
          <w:rFonts w:ascii="Arial" w:eastAsia="Times New Roman" w:hAnsi="Arial" w:cs="DINOT-Light"/>
          <w:color w:val="000000"/>
          <w:sz w:val="18"/>
          <w:szCs w:val="18"/>
        </w:rPr>
        <w:t xml:space="preserve">Where the Company </w:t>
      </w:r>
      <w:proofErr w:type="gramStart"/>
      <w:r w:rsidRPr="00735726">
        <w:rPr>
          <w:rFonts w:ascii="Arial" w:eastAsia="Times New Roman" w:hAnsi="Arial" w:cs="DINOT-Light"/>
          <w:color w:val="000000"/>
          <w:sz w:val="18"/>
          <w:szCs w:val="18"/>
        </w:rPr>
        <w:t>enters into</w:t>
      </w:r>
      <w:proofErr w:type="gramEnd"/>
      <w:r w:rsidRPr="00735726">
        <w:rPr>
          <w:rFonts w:ascii="Arial" w:eastAsia="Times New Roman" w:hAnsi="Arial" w:cs="DINOT-Light"/>
          <w:color w:val="000000"/>
          <w:sz w:val="18"/>
          <w:szCs w:val="18"/>
        </w:rPr>
        <w:t xml:space="preserve"> a contract that contains a lease, it recognises a right-of-use asset and a lease liability except for:</w:t>
      </w:r>
    </w:p>
    <w:p w14:paraId="6DE6F978" w14:textId="77777777" w:rsidR="00646F4F" w:rsidRPr="00735726" w:rsidRDefault="00646F4F" w:rsidP="00646F4F">
      <w:pPr>
        <w:widowControl w:val="0"/>
        <w:numPr>
          <w:ilvl w:val="0"/>
          <w:numId w:val="26"/>
        </w:numPr>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Low value assets; and</w:t>
      </w:r>
    </w:p>
    <w:p w14:paraId="50FD609C" w14:textId="77777777" w:rsidR="00646F4F" w:rsidRPr="00735726" w:rsidRDefault="00646F4F" w:rsidP="00646F4F">
      <w:pPr>
        <w:widowControl w:val="0"/>
        <w:numPr>
          <w:ilvl w:val="0"/>
          <w:numId w:val="26"/>
        </w:numPr>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Leases with a duration of 12 months or less.</w:t>
      </w:r>
    </w:p>
    <w:p w14:paraId="23702FCB"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p>
    <w:p w14:paraId="21E64089" w14:textId="353BE4B9"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Assets and liabilities arising from a lease are initially measured at the present value of contractual payments due to the lessor over the lease term, with the discount rate determined by reference to the rate inherent in the lease unless this is not readily determinable, in which case the Company’s incremental borrowing rate on commencement of the lease is used. After initial measurement, lease payments are allocated between the liability and finance cost. The finance cost is charged to profit and loss over the lease period to produce a constant periodic rate of interest on the remaining balance of the liability for each period. The interest element of cash payments in respect of these leases is included within interest payments in determining net cash generated from operating activities. The capital element of the cash payment is included within cash flows from financing activities. Right-of-use assets are amortised on a </w:t>
      </w:r>
      <w:r w:rsidR="00F60479" w:rsidRPr="00735726">
        <w:rPr>
          <w:rFonts w:ascii="Arial" w:eastAsia="Times New Roman" w:hAnsi="Arial" w:cs="DINOT-Light"/>
          <w:color w:val="000000"/>
          <w:sz w:val="18"/>
          <w:szCs w:val="18"/>
        </w:rPr>
        <w:t>straight-line</w:t>
      </w:r>
      <w:r w:rsidRPr="00735726">
        <w:rPr>
          <w:rFonts w:ascii="Arial" w:eastAsia="Times New Roman" w:hAnsi="Arial" w:cs="DINOT-Light"/>
          <w:color w:val="000000"/>
          <w:sz w:val="18"/>
          <w:szCs w:val="18"/>
        </w:rPr>
        <w:t xml:space="preserve"> basis over the remaining term of the lease or the remaining economic life of the asset if shorter. </w:t>
      </w:r>
    </w:p>
    <w:p w14:paraId="19468DAE"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p>
    <w:p w14:paraId="42B611BF"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Assets are included as property, plant and equipment as right-of-use assets at the present value of the minimum lease payments and are depreciated over their estimated economic lives or the lease period, whichever is the shorter. </w:t>
      </w:r>
    </w:p>
    <w:p w14:paraId="5DD39571"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p>
    <w:bookmarkEnd w:id="320"/>
    <w:p w14:paraId="5E1DC30F" w14:textId="395E2177" w:rsidR="00F60479" w:rsidRPr="00735726" w:rsidRDefault="00F60479" w:rsidP="00F60479">
      <w:pPr>
        <w:widowControl w:val="0"/>
        <w:tabs>
          <w:tab w:val="left" w:pos="340"/>
        </w:tabs>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 sale and leaseback transaction is where the Company sells an asset and immediately reacquires the use of the asset by </w:t>
      </w:r>
      <w:proofErr w:type="gramStart"/>
      <w:r w:rsidRPr="00735726">
        <w:rPr>
          <w:rFonts w:ascii="Arial" w:eastAsia="Times New Roman" w:hAnsi="Arial" w:cs="DINOT-Light"/>
          <w:color w:val="000000"/>
          <w:sz w:val="18"/>
          <w:szCs w:val="18"/>
        </w:rPr>
        <w:t>entering into</w:t>
      </w:r>
      <w:proofErr w:type="gramEnd"/>
      <w:r w:rsidRPr="00735726">
        <w:rPr>
          <w:rFonts w:ascii="Arial" w:eastAsia="Times New Roman" w:hAnsi="Arial" w:cs="DINOT-Light"/>
          <w:color w:val="000000"/>
          <w:sz w:val="18"/>
          <w:szCs w:val="18"/>
        </w:rPr>
        <w:t xml:space="preserve"> a lease with the buyer. Each transaction is assessed as to whether it meets the criteria within IFRS 15 ‘Revenue from contracts with customers’ for a sale to have occurred. If the sale criteria are met a lease liability is recognised, the associated property, plant and equipment asset is derecognised, and a right-of-use asset is recognised at the proportion of the carrying value relating to the right retained. Any gain or loss arising relates to the rights transferred to the buyer. If the criteria for a sale under IFRS 15 have not been met the asset is not derecognised and no sale is recorded.</w:t>
      </w:r>
    </w:p>
    <w:p w14:paraId="2E1E8AF2" w14:textId="77777777" w:rsidR="00E43C51" w:rsidRPr="00735726" w:rsidRDefault="00E43C51" w:rsidP="007A2EA1">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057BD80A" w14:textId="77777777" w:rsidR="00E43C51" w:rsidRPr="00735726" w:rsidRDefault="00E43C51" w:rsidP="007A2EA1">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20711CC0" w14:textId="77777777" w:rsidR="00E43C51" w:rsidRPr="00735726" w:rsidRDefault="00E43C51" w:rsidP="007A2EA1">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6590B0D7" w14:textId="77777777" w:rsidR="00E43C51" w:rsidRPr="00735726" w:rsidRDefault="00E43C51" w:rsidP="007A2EA1">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4795D6CE" w14:textId="49F20AAF" w:rsidR="007A2EA1" w:rsidRPr="00735726" w:rsidRDefault="007A2EA1" w:rsidP="007A2EA1">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aps/>
          <w:color w:val="000000"/>
          <w:sz w:val="18"/>
          <w:szCs w:val="18"/>
        </w:rPr>
        <w:lastRenderedPageBreak/>
        <w:t>2.   Principal accounting policies (CONTINUED)</w:t>
      </w:r>
    </w:p>
    <w:p w14:paraId="6C643AE7" w14:textId="2FAFAA39" w:rsidR="00646F4F" w:rsidRPr="00735726" w:rsidRDefault="00646F4F" w:rsidP="00F60479">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(i)</w:t>
      </w:r>
      <w:r w:rsidRPr="00735726">
        <w:rPr>
          <w:rFonts w:ascii="Arial" w:eastAsia="Times New Roman" w:hAnsi="Arial" w:cs="Arial"/>
          <w:b/>
          <w:bCs/>
          <w:color w:val="000000"/>
          <w:sz w:val="18"/>
          <w:szCs w:val="18"/>
        </w:rPr>
        <w:tab/>
        <w:t>Impairment of non-financial assets</w:t>
      </w:r>
    </w:p>
    <w:p w14:paraId="5C349D5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21" w:name="XMETag_f3468cf6ced14e5b9ee04a38c5e148c9"/>
      <w:r w:rsidRPr="00735726">
        <w:rPr>
          <w:rFonts w:ascii="Arial" w:eastAsia="Times New Roman" w:hAnsi="Arial" w:cs="DINOT-Light"/>
          <w:color w:val="000000"/>
          <w:sz w:val="18"/>
          <w:szCs w:val="18"/>
        </w:rPr>
        <w:t>Assets with an indefinite useful life are not subject to amortisation and are tested annually for impairment, or whenever events or changes in circumstance indicate that the carrying amount may not be recoverable.</w:t>
      </w:r>
    </w:p>
    <w:p w14:paraId="6983E76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E874150" w14:textId="07C5BAA4"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Assets subject to amortisation or depreciation are tested for impairment whenever events or changes in circumstances indicate that the carrying amount may not be recoverable.</w:t>
      </w:r>
    </w:p>
    <w:p w14:paraId="15E16764"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p>
    <w:p w14:paraId="03482C3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An impairment loss is recognised for the amount by which an asset’s carrying amount exceeds its recoverable amount. The recoverable amount is the higher of an asset’s fair value less costs to sell and value in use. For the purposes of assessing impairment, assets are grouped at the lowest levels for which there are separately identifiable cash flows (CGUs). Value-in-use represents the present value of projected future cash flows expected to be derived from a CGU, discounted using a pre-tax discount rate which reflects an assessment of the market cost of capital of the CGU. Impairments are charged to the statement of profit or loss in the year in which they arise.</w:t>
      </w:r>
    </w:p>
    <w:p w14:paraId="02D4048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ABDA54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Non-financial assets other than goodwill that have been impaired are reviewed for possible reversal of the impairment at each reporting date.</w:t>
      </w:r>
    </w:p>
    <w:p w14:paraId="787977A9"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6F08AC6" w14:textId="64F929AB"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Where a previously impair</w:t>
      </w:r>
      <w:r w:rsidR="00B722C5" w:rsidRPr="00735726">
        <w:rPr>
          <w:rFonts w:ascii="Arial" w:eastAsia="Times New Roman" w:hAnsi="Arial" w:cs="DINOT-Light"/>
          <w:color w:val="000000"/>
          <w:sz w:val="18"/>
          <w:szCs w:val="18"/>
        </w:rPr>
        <w:t>ed</w:t>
      </w:r>
      <w:r w:rsidRPr="00735726">
        <w:rPr>
          <w:rFonts w:ascii="Arial" w:eastAsia="Times New Roman" w:hAnsi="Arial" w:cs="DINOT-Light"/>
          <w:color w:val="000000"/>
          <w:sz w:val="18"/>
          <w:szCs w:val="18"/>
        </w:rPr>
        <w:t xml:space="preserve"> asset or CGU’s recoverable amount is </w:t>
      </w:r>
      <w:proofErr w:type="gramStart"/>
      <w:r w:rsidRPr="00735726">
        <w:rPr>
          <w:rFonts w:ascii="Arial" w:eastAsia="Times New Roman" w:hAnsi="Arial" w:cs="DINOT-Light"/>
          <w:color w:val="000000"/>
          <w:sz w:val="18"/>
          <w:szCs w:val="18"/>
        </w:rPr>
        <w:t>in excess of</w:t>
      </w:r>
      <w:proofErr w:type="gramEnd"/>
      <w:r w:rsidRPr="00735726">
        <w:rPr>
          <w:rFonts w:ascii="Arial" w:eastAsia="Times New Roman" w:hAnsi="Arial" w:cs="DINOT-Light"/>
          <w:color w:val="000000"/>
          <w:sz w:val="18"/>
          <w:szCs w:val="18"/>
        </w:rPr>
        <w:t xml:space="preserve"> </w:t>
      </w:r>
      <w:proofErr w:type="gramStart"/>
      <w:r w:rsidRPr="00735726">
        <w:rPr>
          <w:rFonts w:ascii="Arial" w:eastAsia="Times New Roman" w:hAnsi="Arial" w:cs="DINOT-Light"/>
          <w:color w:val="000000"/>
          <w:sz w:val="18"/>
          <w:szCs w:val="18"/>
        </w:rPr>
        <w:t>its</w:t>
      </w:r>
      <w:proofErr w:type="gramEnd"/>
      <w:r w:rsidRPr="00735726">
        <w:rPr>
          <w:rFonts w:ascii="Arial" w:eastAsia="Times New Roman" w:hAnsi="Arial" w:cs="DINOT-Light"/>
          <w:color w:val="000000"/>
          <w:sz w:val="18"/>
          <w:szCs w:val="18"/>
        </w:rPr>
        <w:t xml:space="preserve"> carrying amount, previous impairments are reversed to the carrying value that would have expected to be recognised had the original impairment not occurred.</w:t>
      </w:r>
      <w:bookmarkEnd w:id="321"/>
    </w:p>
    <w:p w14:paraId="3508BBDA"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B1B5F95"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(j)</w:t>
      </w:r>
      <w:r w:rsidRPr="00735726">
        <w:rPr>
          <w:rFonts w:ascii="Arial" w:eastAsia="Times New Roman" w:hAnsi="Arial" w:cs="Arial"/>
          <w:b/>
          <w:bCs/>
          <w:color w:val="000000"/>
          <w:sz w:val="18"/>
          <w:szCs w:val="18"/>
        </w:rPr>
        <w:tab/>
        <w:t>Grants and contributions</w:t>
      </w:r>
    </w:p>
    <w:p w14:paraId="542E923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22" w:name="XMETag_9d9cfe599a3d4cbea6f3432bfa69f3f5"/>
      <w:r w:rsidRPr="00735726">
        <w:rPr>
          <w:rFonts w:ascii="Arial" w:eastAsia="Times New Roman" w:hAnsi="Arial" w:cs="DINOT-Light"/>
          <w:color w:val="000000"/>
          <w:sz w:val="18"/>
          <w:szCs w:val="18"/>
        </w:rPr>
        <w:t>Grants and contributions receivable in respect of property, plant and equipment which provide the customer with ongoing access to the water and sewerage networks, are treated as contract liabilities and released to revenue over the economic life of those elements of property, plant and equipment. Grants and contributions receivable in respect of expenses charged against profits in the year have been included in the statement of profit or loss.</w:t>
      </w:r>
      <w:bookmarkEnd w:id="322"/>
    </w:p>
    <w:p w14:paraId="19AD60C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B67006C"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Government grants are recognised where there is reasonable certainty that the grant will be received and all</w:t>
      </w:r>
    </w:p>
    <w:p w14:paraId="2987FD5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attached conditions will be complied with. When the grant relates to an expense item, it is recognised on a systematic basis over the periods that the related costs, for which it is intended to compensate, are expensed. The income from such grants is presented in the financial statements as a deduction from the expense to which it relates.</w:t>
      </w:r>
    </w:p>
    <w:p w14:paraId="610DA3E0"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p>
    <w:p w14:paraId="6354C2F5"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(k)</w:t>
      </w:r>
      <w:r w:rsidRPr="00735726">
        <w:rPr>
          <w:rFonts w:ascii="Arial" w:eastAsia="Times New Roman" w:hAnsi="Arial" w:cs="Arial"/>
          <w:b/>
          <w:bCs/>
          <w:color w:val="000000"/>
          <w:sz w:val="18"/>
          <w:szCs w:val="18"/>
        </w:rPr>
        <w:tab/>
        <w:t>Investment in subsidiary undertakings</w:t>
      </w:r>
    </w:p>
    <w:p w14:paraId="45C81123"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323" w:name="XMETag_93eff1aed3494f3aae9c945b7e3dad5e"/>
      <w:r w:rsidRPr="00735726">
        <w:rPr>
          <w:rFonts w:ascii="Arial" w:eastAsia="Times New Roman" w:hAnsi="Arial" w:cs="DINOT-Light"/>
          <w:color w:val="000000"/>
          <w:sz w:val="18"/>
          <w:szCs w:val="18"/>
        </w:rPr>
        <w:t>Investments in subsidiary undertakings are initially recorded at cost, being the fair value of the consideration paid. Subsequently, investments are reviewed for impairment on an individual basis annually or if events or changes in circumstances indicate that the carrying value may not be fully recoverable.</w:t>
      </w:r>
      <w:bookmarkEnd w:id="323"/>
    </w:p>
    <w:p w14:paraId="27464747"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4E294748"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(l)</w:t>
      </w:r>
      <w:r w:rsidRPr="00735726">
        <w:rPr>
          <w:rFonts w:ascii="Arial" w:eastAsia="Times New Roman" w:hAnsi="Arial" w:cs="Arial"/>
          <w:b/>
          <w:bCs/>
          <w:color w:val="000000"/>
          <w:sz w:val="18"/>
          <w:szCs w:val="18"/>
        </w:rPr>
        <w:tab/>
        <w:t>Inventories</w:t>
      </w:r>
    </w:p>
    <w:p w14:paraId="20A082DA" w14:textId="0DE5E836"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324" w:name="XMETag_1cfc01873ec94d5189f0d4e1bb595880"/>
      <w:r w:rsidRPr="00735726">
        <w:rPr>
          <w:rFonts w:ascii="Arial" w:eastAsia="Times New Roman" w:hAnsi="Arial" w:cs="DINOT-Light"/>
          <w:color w:val="000000"/>
          <w:sz w:val="18"/>
          <w:szCs w:val="18"/>
        </w:rPr>
        <w:t>Inventories are stated at the lower of cost and net realisable value. The cost of finished goods and work in progress includes raw materials and the cost of bringing stocks to their present location and condition. It excludes borrowing costs. Net realisable value is the estimated selling price less cost to sell. The costs of items of</w:t>
      </w:r>
      <w:r w:rsidR="007A2EA1"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inventory are determined using weighted average costs.</w:t>
      </w:r>
      <w:bookmarkEnd w:id="324"/>
    </w:p>
    <w:p w14:paraId="48C8BC09"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7E2931D"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(m)</w:t>
      </w:r>
      <w:r w:rsidRPr="00735726">
        <w:rPr>
          <w:rFonts w:ascii="Arial" w:eastAsia="Times New Roman" w:hAnsi="Arial" w:cs="Arial"/>
          <w:b/>
          <w:bCs/>
          <w:color w:val="000000"/>
          <w:sz w:val="18"/>
          <w:szCs w:val="18"/>
        </w:rPr>
        <w:tab/>
        <w:t>Cash and cash equivalents</w:t>
      </w:r>
    </w:p>
    <w:p w14:paraId="2A32A451"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325" w:name="XMETag_579aae62baee49b09f6898e44cb11eaa"/>
      <w:r w:rsidRPr="00735726">
        <w:rPr>
          <w:rFonts w:ascii="Arial" w:eastAsia="Times New Roman" w:hAnsi="Arial" w:cs="DINOT-Light"/>
          <w:color w:val="000000"/>
          <w:sz w:val="18"/>
          <w:szCs w:val="18"/>
        </w:rPr>
        <w:t xml:space="preserve">Cash and cash equivalents comprise cash in hand and short-term deposits held at banks. Bank overdrafts are offset against cash balances where there is a legally enforceable right to offset and there is an intention to settle the balances on a net basis. Otherwise, overdrafts are included within current borrowings. </w:t>
      </w:r>
      <w:bookmarkEnd w:id="325"/>
    </w:p>
    <w:p w14:paraId="73D676AA"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05933D4A" w14:textId="01221850"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bookmarkStart w:id="326" w:name="_Hlk71751772"/>
      <w:r w:rsidRPr="00735726">
        <w:rPr>
          <w:rFonts w:ascii="Arial" w:eastAsia="Times New Roman" w:hAnsi="Arial" w:cs="Arial"/>
          <w:b/>
          <w:bCs/>
          <w:color w:val="000000"/>
          <w:sz w:val="18"/>
          <w:szCs w:val="18"/>
        </w:rPr>
        <w:t>(n) Restricted cash</w:t>
      </w:r>
      <w:r w:rsidRPr="00735726">
        <w:rPr>
          <w:rFonts w:ascii="Arial" w:eastAsia="Times New Roman" w:hAnsi="Arial" w:cs="Arial"/>
          <w:b/>
          <w:bCs/>
          <w:color w:val="000000"/>
          <w:sz w:val="18"/>
          <w:szCs w:val="18"/>
        </w:rPr>
        <w:br/>
      </w:r>
      <w:r w:rsidRPr="00735726">
        <w:rPr>
          <w:rFonts w:ascii="Arial" w:eastAsia="Times New Roman" w:hAnsi="Arial" w:cs="Arial"/>
          <w:color w:val="000000"/>
          <w:sz w:val="18"/>
          <w:szCs w:val="18"/>
        </w:rPr>
        <w:t xml:space="preserve">Restricted </w:t>
      </w:r>
      <w:r w:rsidR="00B63B15" w:rsidRPr="00735726">
        <w:rPr>
          <w:rFonts w:ascii="Arial" w:eastAsia="Times New Roman" w:hAnsi="Arial" w:cs="Arial"/>
          <w:color w:val="000000"/>
          <w:sz w:val="18"/>
          <w:szCs w:val="18"/>
        </w:rPr>
        <w:t>c</w:t>
      </w:r>
      <w:r w:rsidRPr="00735726">
        <w:rPr>
          <w:rFonts w:ascii="Arial" w:eastAsia="Times New Roman" w:hAnsi="Arial" w:cs="Arial"/>
          <w:color w:val="000000"/>
          <w:sz w:val="18"/>
          <w:szCs w:val="18"/>
        </w:rPr>
        <w:t>ash within the financial statements relates to cash held under contractual agreements to offset counterparty exposure or provide cover for future interest payments. The restricted cash could be removed by replacing the cash with an agreed alternative.</w:t>
      </w:r>
    </w:p>
    <w:p w14:paraId="7CA2F827"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p>
    <w:p w14:paraId="7E3A9A37" w14:textId="77777777" w:rsidR="00E43C51" w:rsidRPr="00735726" w:rsidRDefault="00E43C51" w:rsidP="00E43C51">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2A3DC174" w14:textId="77777777" w:rsidR="00E43C51" w:rsidRPr="00735726" w:rsidRDefault="00E43C51" w:rsidP="00E43C51">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3A3D2E53" w14:textId="77777777" w:rsidR="00E43C51" w:rsidRPr="00735726" w:rsidRDefault="00E43C51" w:rsidP="00E43C51">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0EEBA6D7" w14:textId="77777777" w:rsidR="00E43C51" w:rsidRPr="00735726" w:rsidRDefault="00E43C51" w:rsidP="00E43C51">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28AAD86C" w14:textId="6DFC9BA3" w:rsidR="00E43C51" w:rsidRPr="00735726" w:rsidRDefault="00E43C51" w:rsidP="00E43C51">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aps/>
          <w:color w:val="000000"/>
          <w:sz w:val="18"/>
          <w:szCs w:val="18"/>
        </w:rPr>
        <w:lastRenderedPageBreak/>
        <w:t>2.   Principal accounting policies (CONTINUED)</w:t>
      </w:r>
    </w:p>
    <w:p w14:paraId="1316D9D2"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(o)</w:t>
      </w:r>
      <w:r w:rsidRPr="00735726">
        <w:rPr>
          <w:rFonts w:ascii="Arial" w:eastAsia="Times New Roman" w:hAnsi="Arial" w:cs="Arial"/>
          <w:b/>
          <w:bCs/>
          <w:color w:val="000000"/>
          <w:sz w:val="18"/>
          <w:szCs w:val="18"/>
        </w:rPr>
        <w:tab/>
        <w:t>Financial instruments</w:t>
      </w:r>
    </w:p>
    <w:p w14:paraId="6EAF0542"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Financial instruments are recognised and measured in accordance with IFRS 9. The Company classifies its financial instruments in the following categories:</w:t>
      </w:r>
    </w:p>
    <w:p w14:paraId="4B69A91D"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F89AC5B" w14:textId="77777777" w:rsidR="00646F4F" w:rsidRPr="00735726" w:rsidRDefault="00646F4F" w:rsidP="00646F4F">
      <w:pPr>
        <w:widowControl w:val="0"/>
        <w:suppressAutoHyphens/>
        <w:autoSpaceDE w:val="0"/>
        <w:autoSpaceDN w:val="0"/>
        <w:adjustRightInd w:val="0"/>
        <w:spacing w:after="0" w:line="220" w:lineRule="atLeast"/>
        <w:ind w:left="340" w:hanging="340"/>
        <w:textAlignment w:val="center"/>
        <w:rPr>
          <w:rFonts w:ascii="Arial" w:eastAsia="Times New Roman" w:hAnsi="Arial" w:cs="DINOT-Light"/>
          <w:bCs/>
          <w:i/>
          <w:iCs/>
          <w:color w:val="000000"/>
          <w:sz w:val="18"/>
          <w:szCs w:val="18"/>
        </w:rPr>
      </w:pPr>
      <w:r w:rsidRPr="00735726">
        <w:rPr>
          <w:rFonts w:ascii="Arial" w:eastAsia="Times New Roman" w:hAnsi="Arial" w:cs="DINOT-Light"/>
          <w:bCs/>
          <w:i/>
          <w:iCs/>
          <w:color w:val="000000"/>
          <w:sz w:val="18"/>
          <w:szCs w:val="18"/>
        </w:rPr>
        <w:t>i)</w:t>
      </w:r>
      <w:r w:rsidRPr="00735726">
        <w:rPr>
          <w:rFonts w:ascii="Arial" w:eastAsia="Times New Roman" w:hAnsi="Arial" w:cs="DINOT-Light"/>
          <w:bCs/>
          <w:i/>
          <w:iCs/>
          <w:color w:val="000000"/>
          <w:sz w:val="18"/>
          <w:szCs w:val="18"/>
        </w:rPr>
        <w:tab/>
        <w:t>Debt instruments at amortised cost</w:t>
      </w:r>
    </w:p>
    <w:p w14:paraId="4FA5EB56"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327" w:name="XMETag_0370919370fc48d7ba20b7708a86f40c"/>
      <w:r w:rsidRPr="00735726">
        <w:rPr>
          <w:rFonts w:ascii="Arial" w:eastAsia="Times New Roman" w:hAnsi="Arial" w:cs="DINOT-Light"/>
          <w:color w:val="000000"/>
          <w:sz w:val="18"/>
          <w:szCs w:val="18"/>
        </w:rPr>
        <w:t xml:space="preserve">All loans and borrowings are initially recognised at fair value, net of transaction costs incurred. Following initial </w:t>
      </w:r>
    </w:p>
    <w:p w14:paraId="2B4218A3"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recognition interest-bearing loans and borrowings are subsequently stated at amortised cost using the effective interest method. Gains and losses are recognised in the statement of profit or loss when the instruments are </w:t>
      </w:r>
    </w:p>
    <w:p w14:paraId="277C1365" w14:textId="4637C9A2"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derecognised or impaired. Premia, discounts and other costs and fees are recognised in the statement of profit or loss through amortisation. </w:t>
      </w:r>
    </w:p>
    <w:p w14:paraId="5E00C6AE"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bookmarkEnd w:id="327"/>
    <w:p w14:paraId="5ED2FBDE" w14:textId="77777777" w:rsidR="00646F4F" w:rsidRPr="00735726" w:rsidRDefault="00646F4F" w:rsidP="00646F4F">
      <w:pPr>
        <w:widowControl w:val="0"/>
        <w:suppressAutoHyphens/>
        <w:autoSpaceDE w:val="0"/>
        <w:autoSpaceDN w:val="0"/>
        <w:adjustRightInd w:val="0"/>
        <w:spacing w:after="0" w:line="220" w:lineRule="atLeast"/>
        <w:ind w:left="284" w:hanging="284"/>
        <w:textAlignment w:val="center"/>
        <w:rPr>
          <w:rFonts w:ascii="Arial" w:eastAsia="Times New Roman" w:hAnsi="Arial" w:cs="DINOT-Light"/>
          <w:bCs/>
          <w:i/>
          <w:iCs/>
          <w:color w:val="000000"/>
          <w:sz w:val="18"/>
          <w:szCs w:val="18"/>
        </w:rPr>
      </w:pPr>
      <w:r w:rsidRPr="00735726">
        <w:rPr>
          <w:rFonts w:ascii="Arial" w:eastAsia="Times New Roman" w:hAnsi="Arial" w:cs="DINOT-Light"/>
          <w:bCs/>
          <w:i/>
          <w:iCs/>
          <w:color w:val="000000"/>
          <w:sz w:val="18"/>
          <w:szCs w:val="18"/>
        </w:rPr>
        <w:t>ii)    Trade receivables</w:t>
      </w:r>
    </w:p>
    <w:p w14:paraId="5F155AC0"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bookmarkStart w:id="328" w:name="XMETag_6ed2d8eb2b5044428646376b3533dd98"/>
      <w:r w:rsidRPr="00735726">
        <w:rPr>
          <w:rFonts w:ascii="Arial" w:eastAsia="Times New Roman" w:hAnsi="Arial" w:cs="DINOT-Light"/>
          <w:color w:val="000000"/>
          <w:sz w:val="18"/>
          <w:szCs w:val="18"/>
        </w:rPr>
        <w:t>Trade receivables do not carry any interest receivable and are recognised initially at fair value and subsequently at amortised cost using the effective interest method, less provision for expected credit losses (ECLs). In accordance IFRS 9, the Company performs an impairment analysis at each reporting date to measure the ECLs. The Company does not track changes in credit risk but instead recognises a loss allowance based on lifetime ECLs at each reporting date. The Company has established a provision matrix that is based on its historical credit loss experience, adjusted for forward-looking factors specific to the receivables and the economic environment.</w:t>
      </w:r>
      <w:bookmarkEnd w:id="328"/>
    </w:p>
    <w:p w14:paraId="51474F31"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p>
    <w:p w14:paraId="37B5E3AB" w14:textId="77777777" w:rsidR="00646F4F" w:rsidRPr="00735726" w:rsidRDefault="00646F4F" w:rsidP="00646F4F">
      <w:pPr>
        <w:widowControl w:val="0"/>
        <w:suppressAutoHyphens/>
        <w:autoSpaceDE w:val="0"/>
        <w:autoSpaceDN w:val="0"/>
        <w:adjustRightInd w:val="0"/>
        <w:spacing w:after="0"/>
        <w:ind w:left="340" w:hanging="340"/>
        <w:textAlignment w:val="center"/>
        <w:rPr>
          <w:rFonts w:ascii="Arial" w:eastAsia="Times New Roman" w:hAnsi="Arial" w:cs="DINOT-Light"/>
          <w:bCs/>
          <w:i/>
          <w:iCs/>
          <w:color w:val="000000"/>
          <w:sz w:val="18"/>
          <w:szCs w:val="18"/>
        </w:rPr>
      </w:pPr>
      <w:r w:rsidRPr="00735726">
        <w:rPr>
          <w:rFonts w:ascii="Arial" w:eastAsia="Times New Roman" w:hAnsi="Arial" w:cs="DINOT-Light"/>
          <w:bCs/>
          <w:i/>
          <w:iCs/>
          <w:color w:val="000000"/>
          <w:sz w:val="18"/>
          <w:szCs w:val="18"/>
        </w:rPr>
        <w:t>iii)</w:t>
      </w:r>
      <w:r w:rsidRPr="00735726">
        <w:rPr>
          <w:rFonts w:ascii="Arial" w:eastAsia="Times New Roman" w:hAnsi="Arial" w:cs="DINOT-Light"/>
          <w:bCs/>
          <w:i/>
          <w:iCs/>
          <w:color w:val="000000"/>
          <w:sz w:val="18"/>
          <w:szCs w:val="18"/>
        </w:rPr>
        <w:tab/>
        <w:t>Trade payables</w:t>
      </w:r>
    </w:p>
    <w:p w14:paraId="57EBDAEE"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Trade payables are not interest-bearing and are recognised initially at fair value and subsequently measured at amortised cost using the effective interest method</w:t>
      </w:r>
      <w:r w:rsidRPr="00735726">
        <w:rPr>
          <w:rFonts w:ascii="Arial" w:eastAsia="Times New Roman" w:hAnsi="Arial" w:cs="DINOT-Light"/>
          <w:b/>
          <w:color w:val="000000"/>
          <w:sz w:val="18"/>
          <w:szCs w:val="18"/>
        </w:rPr>
        <w:t>.</w:t>
      </w:r>
    </w:p>
    <w:p w14:paraId="0E3AC510"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FA6C02A" w14:textId="77777777" w:rsidR="00646F4F" w:rsidRPr="00735726" w:rsidRDefault="00646F4F" w:rsidP="00646F4F">
      <w:pPr>
        <w:widowControl w:val="0"/>
        <w:suppressAutoHyphens/>
        <w:autoSpaceDE w:val="0"/>
        <w:autoSpaceDN w:val="0"/>
        <w:adjustRightInd w:val="0"/>
        <w:spacing w:after="0"/>
        <w:ind w:left="340" w:hanging="340"/>
        <w:textAlignment w:val="center"/>
        <w:rPr>
          <w:rFonts w:ascii="Arial" w:eastAsia="Times New Roman" w:hAnsi="Arial" w:cs="DINOT-Light"/>
          <w:bCs/>
          <w:i/>
          <w:iCs/>
          <w:color w:val="000000"/>
          <w:sz w:val="18"/>
          <w:szCs w:val="18"/>
        </w:rPr>
      </w:pPr>
      <w:bookmarkStart w:id="329" w:name="_Hlk72488243"/>
      <w:r w:rsidRPr="00735726">
        <w:rPr>
          <w:rFonts w:ascii="Arial" w:eastAsia="Times New Roman" w:hAnsi="Arial" w:cs="DINOT-Light"/>
          <w:bCs/>
          <w:i/>
          <w:iCs/>
          <w:color w:val="000000"/>
          <w:sz w:val="18"/>
          <w:szCs w:val="18"/>
        </w:rPr>
        <w:t>iv)</w:t>
      </w:r>
      <w:r w:rsidRPr="00735726">
        <w:rPr>
          <w:rFonts w:ascii="Arial" w:eastAsia="Times New Roman" w:hAnsi="Arial" w:cs="DINOT-Light"/>
          <w:bCs/>
          <w:i/>
          <w:iCs/>
          <w:color w:val="000000"/>
          <w:sz w:val="18"/>
          <w:szCs w:val="18"/>
        </w:rPr>
        <w:tab/>
        <w:t>Derivative financial instruments and hedging activities</w:t>
      </w:r>
      <w:bookmarkEnd w:id="329"/>
    </w:p>
    <w:p w14:paraId="3B2704C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30" w:name="XMETag_f0f7259dc2e0484bb79b1fddb74894c9"/>
      <w:r w:rsidRPr="00735726">
        <w:rPr>
          <w:rFonts w:ascii="Arial" w:eastAsia="Times New Roman" w:hAnsi="Arial" w:cs="DINOT-Light"/>
          <w:color w:val="000000"/>
          <w:sz w:val="18"/>
          <w:szCs w:val="18"/>
        </w:rPr>
        <w:t>The Company uses derivative financial instruments, principally interest rate swaps, cross-currency interest rate swaps and inflation swaps to hedge risks associated with interest rate and exchange rate fluctuations. Derivative instruments are initially recognised at fair value on the date the derivative contract is entered into and subsequently remeasured at fair value for the reported balance sheet.</w:t>
      </w:r>
    </w:p>
    <w:p w14:paraId="62EFAB3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F8799F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Company designates certain hedging derivatives as either:</w:t>
      </w:r>
    </w:p>
    <w:p w14:paraId="302B96A4" w14:textId="77777777" w:rsidR="00646F4F" w:rsidRPr="00735726" w:rsidRDefault="00646F4F" w:rsidP="00646F4F">
      <w:pPr>
        <w:widowControl w:val="0"/>
        <w:numPr>
          <w:ilvl w:val="0"/>
          <w:numId w:val="28"/>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 hedge of a highly probable forecast transaction or change in the cash flows of a recognised asset or liability (a cash flow hedge); or</w:t>
      </w:r>
    </w:p>
    <w:p w14:paraId="133EE49A" w14:textId="77777777" w:rsidR="00646F4F" w:rsidRPr="00735726" w:rsidRDefault="00646F4F" w:rsidP="00646F4F">
      <w:pPr>
        <w:widowControl w:val="0"/>
        <w:numPr>
          <w:ilvl w:val="0"/>
          <w:numId w:val="28"/>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 hedge of the exposure to change in the fair value of a recognised asset or liability (a fair value hedge).</w:t>
      </w:r>
    </w:p>
    <w:p w14:paraId="6ED4A54F"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3F63EA63" w14:textId="6CAF9CB7" w:rsidR="00646F4F" w:rsidRPr="00735726" w:rsidRDefault="00D80085" w:rsidP="00D80085">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gain or loss on remeasurement is recognised in the statement of profit or loss except for cash flow hedges which meet the conditions for hedge accounting, when the portion of the gain or loss on the hedging instrument which is determined to be an effective hedge is recognised directly within gains/(loss) on cashflow hedging in the statement of comprehensive income, and the ineffective portion in the statement of profit or loss. The gains or losses deferred in equity in this way are subsequently recognised in the statement of profit or loss in the same period in which the hedged underlying transaction or firm commitment is recognised in the statement of profit or loss. </w:t>
      </w:r>
      <w:proofErr w:type="gramStart"/>
      <w:r w:rsidRPr="00735726">
        <w:rPr>
          <w:rFonts w:ascii="Arial" w:eastAsia="Times New Roman" w:hAnsi="Arial" w:cs="DINOT-Light"/>
          <w:color w:val="000000"/>
          <w:sz w:val="18"/>
          <w:szCs w:val="18"/>
        </w:rPr>
        <w:t>In order to</w:t>
      </w:r>
      <w:proofErr w:type="gramEnd"/>
      <w:r w:rsidRPr="00735726">
        <w:rPr>
          <w:rFonts w:ascii="Arial" w:eastAsia="Times New Roman" w:hAnsi="Arial" w:cs="DINOT-Light"/>
          <w:color w:val="000000"/>
          <w:sz w:val="18"/>
          <w:szCs w:val="18"/>
        </w:rPr>
        <w:t xml:space="preserve"> qualify for hedge accounting, the Company is required to document in advance the relationship between the item being hedged and the hedging instrument. The Company is also required to document and demonstrate an assessment of the relationship between the hedged item and the hedging instrument which shows that the hedge will be highly effective on an ongoing basis. This effectiveness testing is reperformed at the end of each reporting period to ensure that the hedge remains highly effective.</w:t>
      </w:r>
    </w:p>
    <w:p w14:paraId="4AFB9FE5" w14:textId="77777777" w:rsidR="00D80085" w:rsidRPr="009A2CAE" w:rsidRDefault="00D80085" w:rsidP="00D80085">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723BF4A"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full fair value of a hedging derivative is apportioned on a straight-line basis between non-current and current assets or liabilities based on the remaining maturity of the hedging derivative.</w:t>
      </w:r>
    </w:p>
    <w:p w14:paraId="316E663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354B215"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Derivative financial instruments deemed held for trading, which do not qualify for hedge accounting are classified as a current asset or liability with any change in fair value recognised immediately in the statement of profit or loss.</w:t>
      </w:r>
    </w:p>
    <w:p w14:paraId="1340C8DE"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37669C3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Company uses cross-currency swaps for some of its foreign currency denominated private placement borrowings. The swaps either have the effect of (i) converting variable rate foreign currency borrowings into fixed rate sterling borrowings, (ii) converting fixed rate foreign currency borrowings into fixed rate sterling borrowings, or (iii) converting fixed rate foreign currency borrowings into floating rate sterling borrowings.</w:t>
      </w:r>
    </w:p>
    <w:p w14:paraId="2C30B2EA" w14:textId="77777777" w:rsidR="00E43C51" w:rsidRPr="009A2CAE" w:rsidRDefault="00E43C51" w:rsidP="00E43C51">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aps/>
          <w:color w:val="000000"/>
          <w:sz w:val="18"/>
          <w:szCs w:val="18"/>
        </w:rPr>
        <w:lastRenderedPageBreak/>
        <w:t>2.    Principal accounting policies (CONTINUED)</w:t>
      </w:r>
      <w:r w:rsidRPr="00735726">
        <w:rPr>
          <w:rFonts w:ascii="Arial" w:eastAsia="Times New Roman" w:hAnsi="Arial" w:cs="Arial"/>
          <w:b/>
          <w:bCs/>
          <w:color w:val="000000"/>
          <w:sz w:val="18"/>
          <w:szCs w:val="18"/>
        </w:rPr>
        <w:t xml:space="preserve"> </w:t>
      </w:r>
    </w:p>
    <w:p w14:paraId="76844405" w14:textId="42B07D45" w:rsidR="00646F4F" w:rsidRPr="009A2CAE" w:rsidRDefault="00E43C51" w:rsidP="00277639">
      <w:pPr>
        <w:widowControl w:val="0"/>
        <w:tabs>
          <w:tab w:val="left" w:pos="340"/>
        </w:tabs>
        <w:suppressAutoHyphens/>
        <w:autoSpaceDE w:val="0"/>
        <w:autoSpaceDN w:val="0"/>
        <w:adjustRightInd w:val="0"/>
        <w:spacing w:after="0" w:line="220" w:lineRule="atLeast"/>
        <w:textAlignment w:val="center"/>
        <w:rPr>
          <w:rFonts w:ascii="Arial" w:eastAsia="Times New Roman" w:hAnsi="Arial" w:cs="DINOT-Light"/>
          <w:color w:val="FF0000"/>
          <w:sz w:val="18"/>
          <w:szCs w:val="18"/>
        </w:rPr>
      </w:pPr>
      <w:r w:rsidRPr="00735726">
        <w:rPr>
          <w:rFonts w:ascii="Arial" w:eastAsia="Times New Roman" w:hAnsi="Arial" w:cs="Arial"/>
          <w:b/>
          <w:bCs/>
          <w:color w:val="000000"/>
          <w:sz w:val="18"/>
          <w:szCs w:val="18"/>
        </w:rPr>
        <w:t>(o)</w:t>
      </w:r>
      <w:r w:rsidRPr="00735726">
        <w:rPr>
          <w:rFonts w:ascii="Arial" w:eastAsia="Times New Roman" w:hAnsi="Arial" w:cs="Arial"/>
          <w:b/>
          <w:bCs/>
          <w:color w:val="000000"/>
          <w:sz w:val="18"/>
          <w:szCs w:val="18"/>
        </w:rPr>
        <w:tab/>
        <w:t>Financial instruments (continued)</w:t>
      </w:r>
    </w:p>
    <w:p w14:paraId="4B3263AF"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bCs/>
          <w:i/>
          <w:iCs/>
          <w:color w:val="000000"/>
          <w:sz w:val="18"/>
          <w:szCs w:val="18"/>
        </w:rPr>
      </w:pPr>
      <w:r w:rsidRPr="00735726">
        <w:rPr>
          <w:rFonts w:ascii="Arial" w:eastAsia="Times New Roman" w:hAnsi="Arial" w:cs="DINOT-Light"/>
          <w:bCs/>
          <w:i/>
          <w:iCs/>
          <w:color w:val="000000"/>
          <w:sz w:val="18"/>
          <w:szCs w:val="18"/>
        </w:rPr>
        <w:t xml:space="preserve">v)   </w:t>
      </w:r>
      <w:bookmarkStart w:id="331" w:name="XMETag_2215a739a3394cd694a8693ecd20e907"/>
      <w:r w:rsidRPr="00735726">
        <w:rPr>
          <w:rFonts w:ascii="Arial" w:eastAsia="Times New Roman" w:hAnsi="Arial" w:cs="DINOT-Light"/>
          <w:bCs/>
          <w:i/>
          <w:iCs/>
          <w:color w:val="000000"/>
          <w:sz w:val="18"/>
          <w:szCs w:val="18"/>
        </w:rPr>
        <w:t>Receivables due from fellow subsidiary undertakings</w:t>
      </w:r>
      <w:bookmarkEnd w:id="331"/>
    </w:p>
    <w:p w14:paraId="672711C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FF0000"/>
          <w:sz w:val="18"/>
          <w:szCs w:val="18"/>
        </w:rPr>
      </w:pPr>
      <w:bookmarkStart w:id="332" w:name="XMETag_f9730f0cf92340d3af51d2cf475a0bda"/>
      <w:r w:rsidRPr="00735726">
        <w:rPr>
          <w:rFonts w:ascii="Arial" w:eastAsia="Times New Roman" w:hAnsi="Arial" w:cs="DINOT-Light"/>
          <w:color w:val="000000"/>
          <w:sz w:val="18"/>
          <w:szCs w:val="18"/>
        </w:rPr>
        <w:t xml:space="preserve">Amounts owed by fellow subsidiaries are classified and recorded at amortised cost and reduced by allowances for ECLs. Estimated future credit losses are first recorded on initial recognition of a receivable and are based on estimated probability of default. Individual balances are written off when management deems them not to be collectible. </w:t>
      </w:r>
      <w:bookmarkEnd w:id="332"/>
    </w:p>
    <w:bookmarkEnd w:id="326"/>
    <w:bookmarkEnd w:id="330"/>
    <w:p w14:paraId="34368563" w14:textId="23937EFD"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9A2CAE">
        <w:rPr>
          <w:rFonts w:ascii="Arial" w:eastAsia="Times New Roman" w:hAnsi="Arial" w:cs="Arial"/>
          <w:b/>
          <w:bCs/>
          <w:color w:val="000000"/>
          <w:sz w:val="18"/>
          <w:szCs w:val="18"/>
        </w:rPr>
        <w:br/>
      </w:r>
      <w:r w:rsidRPr="00735726">
        <w:rPr>
          <w:rFonts w:ascii="Arial" w:eastAsia="Times New Roman" w:hAnsi="Arial" w:cs="Arial"/>
          <w:b/>
          <w:bCs/>
          <w:color w:val="000000"/>
          <w:sz w:val="18"/>
          <w:szCs w:val="18"/>
        </w:rPr>
        <w:t>(p)</w:t>
      </w:r>
      <w:r w:rsidRPr="00735726">
        <w:rPr>
          <w:rFonts w:ascii="Arial" w:eastAsia="Times New Roman" w:hAnsi="Arial" w:cs="Arial"/>
          <w:b/>
          <w:bCs/>
          <w:color w:val="000000"/>
          <w:sz w:val="18"/>
          <w:szCs w:val="18"/>
        </w:rPr>
        <w:tab/>
        <w:t>Taxation including deferred taxation</w:t>
      </w:r>
    </w:p>
    <w:p w14:paraId="0836E767" w14:textId="73F8E7A0" w:rsidR="00646F4F" w:rsidRPr="00735726" w:rsidRDefault="00EB07BF" w:rsidP="00EB07B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income tax expense or credit for the period is the tax payable on the current period’s taxable income, based on the applicable income tax rate for each jurisdiction, adjusted by changes in deferred tax assets and liabilities attributable to temporary differences and to unused tax losses.</w:t>
      </w:r>
    </w:p>
    <w:p w14:paraId="34DE6686" w14:textId="77777777" w:rsidR="00EB07BF" w:rsidRPr="009A2CAE" w:rsidRDefault="00EB07BF" w:rsidP="00EB07B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3D580DF8"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i/>
          <w:iCs/>
          <w:color w:val="000000"/>
          <w:sz w:val="18"/>
          <w:szCs w:val="18"/>
        </w:rPr>
      </w:pPr>
      <w:bookmarkStart w:id="333" w:name="XMETag_d9219d7918564654b99ea17e1f775a5c"/>
      <w:r w:rsidRPr="00735726">
        <w:rPr>
          <w:rFonts w:ascii="Arial" w:eastAsia="Times New Roman" w:hAnsi="Arial" w:cs="DINOT-Light"/>
          <w:i/>
          <w:iCs/>
          <w:color w:val="000000"/>
          <w:sz w:val="18"/>
          <w:szCs w:val="18"/>
        </w:rPr>
        <w:t>Current taxation</w:t>
      </w:r>
    </w:p>
    <w:p w14:paraId="761CBBB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current tax expense or credit for the period is the tax payable on the current period’s taxable income, based on the applicable income tax rate for each jurisdiction, including any adjustment to tax payable in respect of previous years. The amount is calculated </w:t>
      </w:r>
      <w:proofErr w:type="gramStart"/>
      <w:r w:rsidRPr="00735726">
        <w:rPr>
          <w:rFonts w:ascii="Arial" w:eastAsia="Times New Roman" w:hAnsi="Arial" w:cs="DINOT-Light"/>
          <w:color w:val="000000"/>
          <w:sz w:val="18"/>
          <w:szCs w:val="18"/>
        </w:rPr>
        <w:t>on the basis of</w:t>
      </w:r>
      <w:proofErr w:type="gramEnd"/>
      <w:r w:rsidRPr="00735726">
        <w:rPr>
          <w:rFonts w:ascii="Arial" w:eastAsia="Times New Roman" w:hAnsi="Arial" w:cs="DINOT-Light"/>
          <w:color w:val="000000"/>
          <w:sz w:val="18"/>
          <w:szCs w:val="18"/>
        </w:rPr>
        <w:t xml:space="preserve"> tax laws enacted or substantively enacted at the balance sheet date. Management periodically evaluates tax items subject to interpretation and establishes provisions on individual tax items, where in the judgement of management, the position is uncertain. The Company is part of the Pennon Group </w:t>
      </w:r>
      <w:bookmarkEnd w:id="333"/>
      <w:r w:rsidRPr="00735726">
        <w:rPr>
          <w:rFonts w:ascii="Arial" w:eastAsia="Times New Roman" w:hAnsi="Arial" w:cs="DINOT-Light"/>
          <w:color w:val="000000"/>
          <w:sz w:val="18"/>
          <w:szCs w:val="18"/>
        </w:rPr>
        <w:t>tax group for certain aspects of the tax legislation. One of these aspects relates to group relief whereby current tax liabilities can be offset by current tax losses arising in other companies within the same tax group. Payments for group relief are included within the current tax disclosures.</w:t>
      </w:r>
    </w:p>
    <w:p w14:paraId="475AF09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6CBB96E" w14:textId="6C7B864D"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w:t>
      </w:r>
      <w:r w:rsidR="00B63B15"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ompany measures its tax balances either based on the most likely amount or the expected value, depending on which method provides a better prediction of the resolution of the uncertainty.</w:t>
      </w:r>
    </w:p>
    <w:p w14:paraId="509560C4"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DAE14B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34" w:name="XMETag_413ec6b8124a416fbf623b1a2e50c6ad"/>
      <w:r w:rsidRPr="00735726">
        <w:rPr>
          <w:rFonts w:ascii="Arial" w:eastAsia="Times New Roman" w:hAnsi="Arial" w:cs="DINOT-Light"/>
          <w:i/>
          <w:iCs/>
          <w:color w:val="000000"/>
          <w:sz w:val="18"/>
          <w:szCs w:val="18"/>
        </w:rPr>
        <w:t>Deferred taxation</w:t>
      </w:r>
      <w:r w:rsidRPr="00735726">
        <w:rPr>
          <w:rFonts w:ascii="Arial" w:eastAsia="Times New Roman" w:hAnsi="Arial" w:cs="DINOT-Light"/>
          <w:i/>
          <w:iCs/>
          <w:color w:val="000000"/>
          <w:sz w:val="18"/>
          <w:szCs w:val="18"/>
        </w:rPr>
        <w:br/>
      </w:r>
      <w:bookmarkEnd w:id="334"/>
      <w:r w:rsidRPr="00735726">
        <w:rPr>
          <w:rFonts w:ascii="Arial" w:eastAsia="Times New Roman" w:hAnsi="Arial" w:cs="DINOT-Light"/>
          <w:color w:val="000000"/>
          <w:sz w:val="18"/>
          <w:szCs w:val="18"/>
        </w:rPr>
        <w:t>Deferred tax is provided in full on temporary differences between the carrying amount of assets and liabilities in the financial statements and the tax base, except where they arise from initial recognition of an asset or liability in a transaction, other than a business combination, that at the time of the transaction affects neither accounting nor taxable profit or loss. Deferred tax assets are recognised only to the extent that it is probable that future taxable profits will be available against which the assets can be realised. Deferred tax is determined using the tax rates enacted or substantively enacted at the balance sheet date and expected to apply when the deferred tax liability is settled or the deferred tax asset is realised. Deferred tax liabilities are recognised for all temporary differences, with the following exceptions:</w:t>
      </w:r>
    </w:p>
    <w:p w14:paraId="6A5CD42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64457DB" w14:textId="77777777" w:rsidR="00646F4F" w:rsidRPr="00735726" w:rsidRDefault="00646F4F" w:rsidP="00646F4F">
      <w:pPr>
        <w:pStyle w:val="ListParagraph"/>
        <w:widowControl w:val="0"/>
        <w:numPr>
          <w:ilvl w:val="0"/>
          <w:numId w:val="55"/>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where the temporary difference arises from the initial recognition of goodwill or of an asset or liability in a transaction that is not a business combination and, at the time of the transaction, affects neither the accounting profit nor taxable profit or loss; and</w:t>
      </w:r>
    </w:p>
    <w:p w14:paraId="06EB250F" w14:textId="77777777" w:rsidR="00646F4F" w:rsidRPr="00735726" w:rsidRDefault="00646F4F" w:rsidP="00646F4F">
      <w:pPr>
        <w:pStyle w:val="ListParagraph"/>
        <w:widowControl w:val="0"/>
        <w:numPr>
          <w:ilvl w:val="0"/>
          <w:numId w:val="55"/>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 respect of taxable temporary differences associated with investments in subsidiaries, associates and joint ventures where the timing of the reversal of temporary differences can be controlled and it is probably that the temporary differences will not reverse in the foreseeable future.</w:t>
      </w:r>
    </w:p>
    <w:p w14:paraId="05F96248"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4B3C0F9D"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Deferred tax assets and liabilities are offset where there is a legally enforceable right to offset current tax assets and liabilities and where the deferred tax balances relate to the same taxation authority. Current tax assets and tax liabilities are offset where the entity has a legally enforceable right to offset and intends either to settle on a net basis, or to realise the asset and settle the liability simultaneously.</w:t>
      </w:r>
    </w:p>
    <w:p w14:paraId="5A2FE15C"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9E572C4" w14:textId="1A154F7E"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w:t>
      </w:r>
      <w:r w:rsidR="00CF6D75"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ompany measures its tax balances either based on the most likely amount or the expected value, depending on which method provides a better prediction of the resolution of the uncertainty.</w:t>
      </w:r>
    </w:p>
    <w:p w14:paraId="7270BC11"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9EBC38C"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(q)  Provisions</w:t>
      </w:r>
    </w:p>
    <w:p w14:paraId="14B9B6F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35" w:name="XMETag_345c5f57fb064685b574696f7d1c7661"/>
      <w:r w:rsidRPr="00735726">
        <w:rPr>
          <w:rFonts w:ascii="Arial" w:eastAsia="Times New Roman" w:hAnsi="Arial" w:cs="DINOT-Light"/>
          <w:color w:val="000000"/>
          <w:sz w:val="18"/>
          <w:szCs w:val="18"/>
        </w:rPr>
        <w:t xml:space="preserve">Provisions are made where there is a present legal or constructive obligation </w:t>
      </w:r>
      <w:proofErr w:type="gramStart"/>
      <w:r w:rsidRPr="00735726">
        <w:rPr>
          <w:rFonts w:ascii="Arial" w:eastAsia="Times New Roman" w:hAnsi="Arial" w:cs="DINOT-Light"/>
          <w:color w:val="000000"/>
          <w:sz w:val="18"/>
          <w:szCs w:val="18"/>
        </w:rPr>
        <w:t>as a result of</w:t>
      </w:r>
      <w:proofErr w:type="gramEnd"/>
      <w:r w:rsidRPr="00735726">
        <w:rPr>
          <w:rFonts w:ascii="Arial" w:eastAsia="Times New Roman" w:hAnsi="Arial" w:cs="DINOT-Light"/>
          <w:color w:val="000000"/>
          <w:sz w:val="18"/>
          <w:szCs w:val="18"/>
        </w:rPr>
        <w:t xml:space="preserve"> a past event and it is probable that there will be an outflow of economic benefits to settle this obligation and a reliable estimate of this amount can be made. Where the effect of the time value of money is material, the current amount of a provision is the present value of the expenditures expected to be required to settle obligations. The unwinding of the discount to present value is included as notional interest within finance costs.</w:t>
      </w:r>
    </w:p>
    <w:p w14:paraId="33ABF04D"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bookmarkEnd w:id="335"/>
    <w:p w14:paraId="54D61199" w14:textId="77777777" w:rsidR="00E43C51" w:rsidRPr="009A2CAE" w:rsidRDefault="00E43C51" w:rsidP="00E43C51">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aps/>
          <w:color w:val="000000"/>
          <w:sz w:val="18"/>
          <w:szCs w:val="18"/>
        </w:rPr>
        <w:lastRenderedPageBreak/>
        <w:t>2.    Principal accounting policies (CONTINUED)</w:t>
      </w:r>
      <w:r w:rsidRPr="00735726">
        <w:rPr>
          <w:rFonts w:ascii="Arial" w:eastAsia="Times New Roman" w:hAnsi="Arial" w:cs="Arial"/>
          <w:b/>
          <w:bCs/>
          <w:color w:val="000000"/>
          <w:sz w:val="18"/>
          <w:szCs w:val="18"/>
        </w:rPr>
        <w:t xml:space="preserve"> </w:t>
      </w:r>
    </w:p>
    <w:p w14:paraId="662E8F04" w14:textId="4BE8F5E0"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(r)</w:t>
      </w:r>
      <w:r w:rsidRPr="00735726">
        <w:rPr>
          <w:rFonts w:ascii="Arial" w:eastAsia="Times New Roman" w:hAnsi="Arial" w:cs="Arial"/>
          <w:b/>
          <w:bCs/>
          <w:color w:val="000000"/>
          <w:sz w:val="18"/>
          <w:szCs w:val="18"/>
        </w:rPr>
        <w:tab/>
      </w:r>
      <w:bookmarkStart w:id="336" w:name="XMETag_f8b042ff5f3f43a4947bab81e47f2575"/>
      <w:r w:rsidRPr="00735726">
        <w:rPr>
          <w:rFonts w:ascii="Arial" w:eastAsia="Times New Roman" w:hAnsi="Arial" w:cs="Arial"/>
          <w:b/>
          <w:bCs/>
          <w:color w:val="000000"/>
          <w:sz w:val="18"/>
          <w:szCs w:val="18"/>
        </w:rPr>
        <w:t>Contingent liabilities</w:t>
      </w:r>
      <w:bookmarkEnd w:id="336"/>
    </w:p>
    <w:p w14:paraId="23316C8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37" w:name="XMETag_75b03dc6e1144291b33db496c0aec96a"/>
      <w:r w:rsidRPr="00735726">
        <w:rPr>
          <w:rFonts w:ascii="Arial" w:eastAsia="Times New Roman" w:hAnsi="Arial" w:cs="DINOT-Light"/>
          <w:color w:val="000000"/>
          <w:sz w:val="18"/>
          <w:szCs w:val="18"/>
        </w:rPr>
        <w:t xml:space="preserve">The Company is subject to litigation from time to time </w:t>
      </w:r>
      <w:proofErr w:type="gramStart"/>
      <w:r w:rsidRPr="00735726">
        <w:rPr>
          <w:rFonts w:ascii="Arial" w:eastAsia="Times New Roman" w:hAnsi="Arial" w:cs="DINOT-Light"/>
          <w:color w:val="000000"/>
          <w:sz w:val="18"/>
          <w:szCs w:val="18"/>
        </w:rPr>
        <w:t>as a result of</w:t>
      </w:r>
      <w:proofErr w:type="gramEnd"/>
      <w:r w:rsidRPr="00735726">
        <w:rPr>
          <w:rFonts w:ascii="Arial" w:eastAsia="Times New Roman" w:hAnsi="Arial" w:cs="DINOT-Light"/>
          <w:color w:val="000000"/>
          <w:sz w:val="18"/>
          <w:szCs w:val="18"/>
        </w:rPr>
        <w:t xml:space="preserve"> its activities. The Company establishes provisions in connection with litigation where it has a present legal or constructive obligation </w:t>
      </w:r>
      <w:proofErr w:type="gramStart"/>
      <w:r w:rsidRPr="00735726">
        <w:rPr>
          <w:rFonts w:ascii="Arial" w:eastAsia="Times New Roman" w:hAnsi="Arial" w:cs="DINOT-Light"/>
          <w:color w:val="000000"/>
          <w:sz w:val="18"/>
          <w:szCs w:val="18"/>
        </w:rPr>
        <w:t>as a result of</w:t>
      </w:r>
      <w:proofErr w:type="gramEnd"/>
      <w:r w:rsidRPr="00735726">
        <w:rPr>
          <w:rFonts w:ascii="Arial" w:eastAsia="Times New Roman" w:hAnsi="Arial" w:cs="DINOT-Light"/>
          <w:color w:val="000000"/>
          <w:sz w:val="18"/>
          <w:szCs w:val="18"/>
        </w:rPr>
        <w:t xml:space="preserve"> past events and where it is more likely than not an outflow of resources will be required to settle the obligation and the amount can be reliably estimated. There are contingent liabilities that arise in the normal course of business which, if realised, are not expected to result in a material liability to the Company.</w:t>
      </w:r>
      <w:bookmarkEnd w:id="337"/>
    </w:p>
    <w:p w14:paraId="3A1CB22F"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9EC91AF"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(s)</w:t>
      </w:r>
      <w:r w:rsidRPr="00735726">
        <w:rPr>
          <w:rFonts w:ascii="Arial" w:eastAsia="Times New Roman" w:hAnsi="Arial" w:cs="Arial"/>
          <w:b/>
          <w:bCs/>
          <w:color w:val="000000"/>
          <w:sz w:val="18"/>
          <w:szCs w:val="18"/>
        </w:rPr>
        <w:tab/>
        <w:t xml:space="preserve">Dividend distributions </w:t>
      </w:r>
    </w:p>
    <w:p w14:paraId="039DD3E6"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38" w:name="XMETag_46a8a5e4555e43e3b56496026acc0d2c"/>
      <w:r w:rsidRPr="00735726">
        <w:rPr>
          <w:rFonts w:ascii="Arial" w:eastAsia="Times New Roman" w:hAnsi="Arial" w:cs="DINOT-Light"/>
          <w:color w:val="000000"/>
          <w:sz w:val="18"/>
          <w:szCs w:val="18"/>
        </w:rPr>
        <w:t>Dividend distributions are recognised as a liability in the financial statements in the period in which the dividends are approved by the Company’s shareholders. Dividends are recognised when approved by the shareholders in a general meeting.</w:t>
      </w:r>
      <w:bookmarkEnd w:id="338"/>
    </w:p>
    <w:p w14:paraId="58D6D2A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445B4D8B"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(t)</w:t>
      </w:r>
      <w:r w:rsidRPr="00735726">
        <w:rPr>
          <w:rFonts w:ascii="Arial" w:eastAsia="Times New Roman" w:hAnsi="Arial" w:cs="Arial"/>
          <w:b/>
          <w:bCs/>
          <w:color w:val="000000"/>
          <w:sz w:val="18"/>
          <w:szCs w:val="18"/>
        </w:rPr>
        <w:tab/>
        <w:t>Employee benefits</w:t>
      </w:r>
    </w:p>
    <w:p w14:paraId="7DBAAC47" w14:textId="77777777" w:rsidR="00646F4F" w:rsidRPr="00735726" w:rsidRDefault="00646F4F" w:rsidP="00646F4F">
      <w:pPr>
        <w:widowControl w:val="0"/>
        <w:suppressAutoHyphens/>
        <w:autoSpaceDE w:val="0"/>
        <w:autoSpaceDN w:val="0"/>
        <w:adjustRightInd w:val="0"/>
        <w:spacing w:after="0"/>
        <w:ind w:left="340" w:hanging="340"/>
        <w:textAlignment w:val="center"/>
        <w:rPr>
          <w:rFonts w:ascii="Arial" w:eastAsia="Times New Roman" w:hAnsi="Arial" w:cs="DINOT-Light"/>
          <w:b/>
          <w:color w:val="000000"/>
          <w:sz w:val="18"/>
          <w:szCs w:val="18"/>
        </w:rPr>
      </w:pPr>
      <w:bookmarkStart w:id="339" w:name="_Hlk72488349"/>
      <w:r w:rsidRPr="00735726">
        <w:rPr>
          <w:rFonts w:ascii="Arial" w:eastAsia="Times New Roman" w:hAnsi="Arial" w:cs="DINOT-Light"/>
          <w:b/>
          <w:color w:val="000000"/>
          <w:sz w:val="18"/>
          <w:szCs w:val="18"/>
        </w:rPr>
        <w:t>i)</w:t>
      </w:r>
      <w:r w:rsidRPr="00735726">
        <w:rPr>
          <w:rFonts w:ascii="Arial" w:eastAsia="Times New Roman" w:hAnsi="Arial" w:cs="DINOT-Light"/>
          <w:b/>
          <w:color w:val="000000"/>
          <w:sz w:val="18"/>
          <w:szCs w:val="18"/>
        </w:rPr>
        <w:tab/>
        <w:t>Retirement benefit obligations</w:t>
      </w:r>
    </w:p>
    <w:p w14:paraId="7D701760" w14:textId="3CC3D28B"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40" w:name="XMETag_0a4b82f1a2d24190b4b9c62d20a9113d"/>
      <w:bookmarkEnd w:id="339"/>
      <w:r w:rsidRPr="00735726">
        <w:rPr>
          <w:rFonts w:ascii="Arial" w:eastAsia="Times New Roman" w:hAnsi="Arial" w:cs="DINOT-Light"/>
          <w:color w:val="000000"/>
          <w:sz w:val="18"/>
          <w:szCs w:val="18"/>
        </w:rPr>
        <w:t xml:space="preserve">The Company operates defined benefit and defined contribution pension schemes through its parent </w:t>
      </w:r>
      <w:r w:rsidR="003B36A4"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ompany.</w:t>
      </w:r>
      <w:bookmarkEnd w:id="340"/>
    </w:p>
    <w:p w14:paraId="503DBA2E"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bCs/>
          <w:i/>
          <w:color w:val="000000"/>
          <w:sz w:val="18"/>
          <w:szCs w:val="18"/>
        </w:rPr>
      </w:pPr>
    </w:p>
    <w:p w14:paraId="6B1C5DBC"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Cs/>
          <w:i/>
          <w:color w:val="000000"/>
          <w:sz w:val="18"/>
          <w:szCs w:val="18"/>
        </w:rPr>
      </w:pPr>
      <w:r w:rsidRPr="00735726">
        <w:rPr>
          <w:rFonts w:ascii="Arial" w:eastAsia="Times New Roman" w:hAnsi="Arial" w:cs="DINOT-Light"/>
          <w:bCs/>
          <w:i/>
          <w:color w:val="000000"/>
          <w:sz w:val="18"/>
          <w:szCs w:val="18"/>
        </w:rPr>
        <w:t xml:space="preserve">Defined benefit pension schemes </w:t>
      </w:r>
    </w:p>
    <w:p w14:paraId="3A44EC2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41" w:name="XMETag_5264f0ae7ff546ab9dd31239b43fea63"/>
      <w:r w:rsidRPr="00735726">
        <w:rPr>
          <w:rFonts w:ascii="Arial" w:eastAsia="Times New Roman" w:hAnsi="Arial" w:cs="DINOT-Light"/>
          <w:color w:val="000000"/>
          <w:sz w:val="18"/>
          <w:szCs w:val="18"/>
        </w:rPr>
        <w:t xml:space="preserve">The liability recognised in the balance sheet in respect of defined benefit pension plans is the present value of the defined benefit obligation at the end of the year less the fair value of plan assets. If the value of the plans assets exceeds the present value of its obligations, the resulting surplus is only realised if the Company has an </w:t>
      </w:r>
    </w:p>
    <w:p w14:paraId="0123B17E"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unconditional right to that surplus. </w:t>
      </w:r>
    </w:p>
    <w:p w14:paraId="515CD9C8"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21BB189"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defined benefit obligation is calculated by independent actuaries who advise on the selection of Directors’ best estimates of assumptions, using the projected unit credit method. The present value of the defined benefit obligation is determined by discounting the estimated future cash outflows using interest rates of </w:t>
      </w:r>
      <w:proofErr w:type="gramStart"/>
      <w:r w:rsidRPr="00735726">
        <w:rPr>
          <w:rFonts w:ascii="Arial" w:eastAsia="Times New Roman" w:hAnsi="Arial" w:cs="DINOT-Light"/>
          <w:color w:val="000000"/>
          <w:sz w:val="18"/>
          <w:szCs w:val="18"/>
        </w:rPr>
        <w:t>high quality</w:t>
      </w:r>
      <w:proofErr w:type="gramEnd"/>
      <w:r w:rsidRPr="00735726">
        <w:rPr>
          <w:rFonts w:ascii="Arial" w:eastAsia="Times New Roman" w:hAnsi="Arial" w:cs="DINOT-Light"/>
          <w:color w:val="000000"/>
          <w:sz w:val="18"/>
          <w:szCs w:val="18"/>
        </w:rPr>
        <w:t xml:space="preserve"> corporate bonds, and that have terms to maturity approximating to the terms of the related pension obligation. The increase in liabilities of the Company’s defined benefit pension schemes, expected to arise from employee service in the year, is charged against operating profit.</w:t>
      </w:r>
    </w:p>
    <w:p w14:paraId="2B76BEF2"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5880C3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Changes in benefits granted by the employer are recognised immediately as past service cost in the statement of profit or loss.</w:t>
      </w:r>
    </w:p>
    <w:p w14:paraId="4F49DD65"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5FBF3ABD"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Actuarial gains and losses arising from experience adjustments and changes in actuarial assumptions are charged or credited to equity in the statement of comprehensive income in the period to which they arise.</w:t>
      </w:r>
      <w:bookmarkEnd w:id="341"/>
    </w:p>
    <w:p w14:paraId="463D56B3"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3A33FC66"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Cs/>
          <w:i/>
          <w:iCs/>
          <w:color w:val="000000"/>
          <w:sz w:val="18"/>
          <w:szCs w:val="18"/>
        </w:rPr>
      </w:pPr>
      <w:r w:rsidRPr="00735726">
        <w:rPr>
          <w:rFonts w:ascii="Arial" w:eastAsia="Times New Roman" w:hAnsi="Arial" w:cs="DINOT-Light"/>
          <w:bCs/>
          <w:i/>
          <w:iCs/>
          <w:color w:val="000000"/>
          <w:sz w:val="18"/>
          <w:szCs w:val="18"/>
        </w:rPr>
        <w:t>Defined contribution scheme</w:t>
      </w:r>
    </w:p>
    <w:p w14:paraId="7766BA0E"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42" w:name="XMETag_80f4196bf99b4c45b305bec3f428ae3b"/>
      <w:r w:rsidRPr="00735726">
        <w:rPr>
          <w:rFonts w:ascii="Arial" w:eastAsia="Times New Roman" w:hAnsi="Arial" w:cs="DINOT-Light"/>
          <w:color w:val="000000"/>
          <w:sz w:val="18"/>
          <w:szCs w:val="18"/>
        </w:rPr>
        <w:t>Costs of the defined contribution pension scheme are charged to the statement of profit or loss in the year in which they arise. The Company has no further payment obligations once the contributions have been paid.</w:t>
      </w:r>
      <w:bookmarkEnd w:id="342"/>
      <w:r w:rsidRPr="00735726">
        <w:rPr>
          <w:rFonts w:ascii="Arial" w:eastAsia="Times New Roman" w:hAnsi="Arial" w:cs="DINOT-Light"/>
          <w:color w:val="000000"/>
          <w:sz w:val="18"/>
          <w:szCs w:val="18"/>
        </w:rPr>
        <w:t xml:space="preserve"> </w:t>
      </w:r>
    </w:p>
    <w:p w14:paraId="3AFCA598"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9699176" w14:textId="77777777" w:rsidR="00646F4F" w:rsidRPr="00735726" w:rsidRDefault="00646F4F" w:rsidP="00646F4F">
      <w:pPr>
        <w:widowControl w:val="0"/>
        <w:suppressAutoHyphens/>
        <w:autoSpaceDE w:val="0"/>
        <w:autoSpaceDN w:val="0"/>
        <w:adjustRightInd w:val="0"/>
        <w:spacing w:after="0"/>
        <w:ind w:left="340" w:hanging="340"/>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ii)</w:t>
      </w:r>
      <w:r w:rsidRPr="00735726">
        <w:rPr>
          <w:rFonts w:ascii="Arial" w:eastAsia="Times New Roman" w:hAnsi="Arial" w:cs="DINOT-Light"/>
          <w:b/>
          <w:color w:val="000000"/>
          <w:sz w:val="18"/>
          <w:szCs w:val="18"/>
        </w:rPr>
        <w:tab/>
        <w:t>Share-based payment</w:t>
      </w:r>
    </w:p>
    <w:p w14:paraId="31FE1C28" w14:textId="6B7B6013"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43" w:name="XMETag_420bbef0253b45dc93ec157d7d256d91"/>
      <w:r w:rsidRPr="00735726">
        <w:rPr>
          <w:rFonts w:ascii="Arial" w:eastAsia="Times New Roman" w:hAnsi="Arial" w:cs="DINOT-Light"/>
          <w:color w:val="000000"/>
          <w:sz w:val="18"/>
          <w:szCs w:val="18"/>
        </w:rPr>
        <w:t xml:space="preserve">The Company participates in </w:t>
      </w:r>
      <w:proofErr w:type="gramStart"/>
      <w:r w:rsidRPr="00735726">
        <w:rPr>
          <w:rFonts w:ascii="Arial" w:eastAsia="Times New Roman" w:hAnsi="Arial" w:cs="DINOT-Light"/>
          <w:color w:val="000000"/>
          <w:sz w:val="18"/>
          <w:szCs w:val="18"/>
        </w:rPr>
        <w:t>a number of</w:t>
      </w:r>
      <w:proofErr w:type="gramEnd"/>
      <w:r w:rsidRPr="00735726">
        <w:rPr>
          <w:rFonts w:ascii="Arial" w:eastAsia="Times New Roman" w:hAnsi="Arial" w:cs="DINOT-Light"/>
          <w:color w:val="000000"/>
          <w:sz w:val="18"/>
          <w:szCs w:val="18"/>
        </w:rPr>
        <w:t xml:space="preserve"> equity-settled share-based payment plans for employees operated by its parent </w:t>
      </w:r>
      <w:r w:rsidR="003B36A4"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ompany Pennon Group plc. The fair value of the employee services acquired in exchange for the grant is recognised as an expense over the vesting period of the grant.</w:t>
      </w:r>
    </w:p>
    <w:p w14:paraId="7C8AFE86"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B534C45"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Fair values are calculated using an appropriate pricing model. Non-market-based vesting conditions are considered in the assumptions as to the number of shares which are expected to vest.</w:t>
      </w:r>
      <w:bookmarkEnd w:id="343"/>
    </w:p>
    <w:p w14:paraId="45A1DAFE"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D5B19B6"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(u)</w:t>
      </w:r>
      <w:r w:rsidRPr="00735726">
        <w:rPr>
          <w:rFonts w:ascii="Arial" w:eastAsia="Times New Roman" w:hAnsi="Arial" w:cs="Arial"/>
          <w:b/>
          <w:bCs/>
          <w:color w:val="000000"/>
          <w:sz w:val="18"/>
          <w:szCs w:val="18"/>
        </w:rPr>
        <w:tab/>
        <w:t>Fair values</w:t>
      </w:r>
    </w:p>
    <w:p w14:paraId="5AF65A58"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44" w:name="XMETag_7518d22902504397a441b5f193c4f75d"/>
      <w:r w:rsidRPr="00735726">
        <w:rPr>
          <w:rFonts w:ascii="Arial" w:eastAsia="Times New Roman" w:hAnsi="Arial" w:cs="DINOT-Light"/>
          <w:color w:val="000000"/>
          <w:sz w:val="18"/>
          <w:szCs w:val="18"/>
        </w:rPr>
        <w:t>The fair value of the interest rate, inflation and cross currency swaps is based on the market price to transfer the asset or liability at the balance sheet date in an ordinary transaction between market participants. The fair values of short-term deposits, loans and overdrafts with a maturity of less than one year are assumed to approximate to their book values. In the case of non-current bank loans and other loans, the fair value of financial liabilities for disclosure purposes is estimated by discounting the future contractual cash flows at the current market interest rate available to the Company for similar financial instruments.</w:t>
      </w:r>
      <w:bookmarkEnd w:id="344"/>
    </w:p>
    <w:p w14:paraId="37F4CC4B" w14:textId="77777777" w:rsidR="00646F4F" w:rsidRPr="009A2CAE" w:rsidRDefault="00646F4F" w:rsidP="00646F4F">
      <w:pPr>
        <w:widowControl w:val="0"/>
        <w:tabs>
          <w:tab w:val="left" w:pos="340"/>
        </w:tabs>
        <w:suppressAutoHyphens/>
        <w:autoSpaceDE w:val="0"/>
        <w:autoSpaceDN w:val="0"/>
        <w:adjustRightInd w:val="0"/>
        <w:spacing w:after="0"/>
        <w:ind w:left="360"/>
        <w:textAlignment w:val="center"/>
        <w:rPr>
          <w:rFonts w:ascii="Arial" w:eastAsia="Times New Roman" w:hAnsi="Arial" w:cs="Arial"/>
          <w:b/>
          <w:bCs/>
          <w:caps/>
          <w:color w:val="000000"/>
          <w:sz w:val="18"/>
          <w:szCs w:val="18"/>
        </w:rPr>
      </w:pPr>
    </w:p>
    <w:p w14:paraId="149CE27E" w14:textId="77777777" w:rsidR="00E43C51" w:rsidRPr="00735726" w:rsidRDefault="00E43C51">
      <w:pPr>
        <w:spacing w:after="160" w:line="259" w:lineRule="auto"/>
        <w:rPr>
          <w:rFonts w:ascii="Arial" w:eastAsia="Times New Roman" w:hAnsi="Arial" w:cs="Arial"/>
          <w:b/>
          <w:bCs/>
          <w:color w:val="000000"/>
          <w:sz w:val="18"/>
          <w:szCs w:val="18"/>
        </w:rPr>
      </w:pPr>
      <w:r w:rsidRPr="00735726">
        <w:rPr>
          <w:rFonts w:ascii="Arial" w:eastAsia="Times New Roman" w:hAnsi="Arial" w:cs="Arial"/>
          <w:b/>
          <w:bCs/>
          <w:color w:val="000000"/>
          <w:sz w:val="18"/>
          <w:szCs w:val="18"/>
        </w:rPr>
        <w:br w:type="page"/>
      </w:r>
    </w:p>
    <w:p w14:paraId="60BCD4BC" w14:textId="77777777" w:rsidR="00E43C51" w:rsidRPr="009A2CAE" w:rsidRDefault="00E43C51" w:rsidP="00E43C51">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aps/>
          <w:color w:val="000000"/>
          <w:sz w:val="18"/>
          <w:szCs w:val="18"/>
        </w:rPr>
        <w:lastRenderedPageBreak/>
        <w:t>2.    Principal accounting policies (CONTINUED)</w:t>
      </w:r>
      <w:r w:rsidRPr="00735726">
        <w:rPr>
          <w:rFonts w:ascii="Arial" w:eastAsia="Times New Roman" w:hAnsi="Arial" w:cs="Arial"/>
          <w:b/>
          <w:bCs/>
          <w:color w:val="000000"/>
          <w:sz w:val="18"/>
          <w:szCs w:val="18"/>
        </w:rPr>
        <w:t xml:space="preserve"> </w:t>
      </w:r>
    </w:p>
    <w:p w14:paraId="454E296B" w14:textId="22579286"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(v)</w:t>
      </w:r>
      <w:r w:rsidRPr="00735726">
        <w:rPr>
          <w:rFonts w:ascii="Arial" w:eastAsia="Times New Roman" w:hAnsi="Arial" w:cs="Arial"/>
          <w:b/>
          <w:bCs/>
          <w:color w:val="000000"/>
          <w:sz w:val="18"/>
          <w:szCs w:val="18"/>
        </w:rPr>
        <w:tab/>
      </w:r>
      <w:bookmarkStart w:id="345" w:name="XMETag_c64bf130064b45338dfe852ae91f4526"/>
      <w:r w:rsidRPr="00735726">
        <w:rPr>
          <w:rFonts w:ascii="Arial" w:eastAsia="Times New Roman" w:hAnsi="Arial" w:cs="Arial"/>
          <w:b/>
          <w:bCs/>
          <w:color w:val="000000"/>
          <w:sz w:val="18"/>
          <w:szCs w:val="18"/>
        </w:rPr>
        <w:t>Transfers of assets from customers</w:t>
      </w:r>
      <w:bookmarkEnd w:id="345"/>
    </w:p>
    <w:p w14:paraId="6297D558"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bookmarkStart w:id="346" w:name="XMETag_2040faea41db4ffca19e9ad3dc04ce6c"/>
      <w:r w:rsidRPr="00735726">
        <w:rPr>
          <w:rFonts w:ascii="Arial" w:eastAsia="Times New Roman" w:hAnsi="Arial" w:cs="DINOT-Light"/>
          <w:color w:val="000000"/>
          <w:sz w:val="18"/>
          <w:szCs w:val="18"/>
        </w:rPr>
        <w:t xml:space="preserve">Where an item of property, plant and equipment that must be used to connect customers to the network is received from a customer, or where cash is received from a customer for the acquisition or construction of such an item, that asset is recorded and measured on initial recognition at its fair value. The credit created by the recognition of the asset is recognised as a contract liability on the balance sheet. The contract liability reduces </w:t>
      </w:r>
    </w:p>
    <w:p w14:paraId="75E08B40"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and revenue is recognised in the statement of profit or loss, as the performance obligations are satisfied. The </w:t>
      </w:r>
    </w:p>
    <w:p w14:paraId="424B00E0"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period over which the credit is recognised depends upon the nature of the service provided, as determined by the agreement with the customer. Where the service provided is solely a connection to the network, the credit is recognised at the point of connection. If the agreement does not specify a period, revenue is recognised over a period no longer than the economic life of the transferred asset used to provide the ongoing service.</w:t>
      </w:r>
    </w:p>
    <w:p w14:paraId="526D5722"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47B4915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The fair value of assets on transfer from customers is determined using a cost valuation approach allowing for depreciation.</w:t>
      </w:r>
      <w:bookmarkEnd w:id="346"/>
    </w:p>
    <w:p w14:paraId="75377B5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color w:val="000000"/>
          <w:sz w:val="18"/>
          <w:szCs w:val="18"/>
        </w:rPr>
      </w:pPr>
    </w:p>
    <w:p w14:paraId="6C845555"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(w)</w:t>
      </w:r>
      <w:r w:rsidRPr="00735726">
        <w:rPr>
          <w:rFonts w:ascii="Arial" w:eastAsia="Times New Roman" w:hAnsi="Arial" w:cs="Arial"/>
          <w:b/>
          <w:bCs/>
          <w:color w:val="000000"/>
          <w:sz w:val="18"/>
          <w:szCs w:val="18"/>
        </w:rPr>
        <w:tab/>
      </w:r>
      <w:bookmarkStart w:id="347" w:name="XMETag_e9f72101af9647b4b46f3519ee68205f"/>
      <w:r w:rsidRPr="00735726">
        <w:rPr>
          <w:rFonts w:ascii="Arial" w:eastAsia="Times New Roman" w:hAnsi="Arial" w:cs="Arial"/>
          <w:b/>
          <w:bCs/>
          <w:color w:val="000000"/>
          <w:sz w:val="18"/>
          <w:szCs w:val="18"/>
        </w:rPr>
        <w:t>Non-underlying items</w:t>
      </w:r>
      <w:bookmarkEnd w:id="347"/>
    </w:p>
    <w:p w14:paraId="12B89013" w14:textId="6AE99F67" w:rsidR="00646F4F" w:rsidRPr="00735726" w:rsidRDefault="002F2053" w:rsidP="002F2053">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Non-underlying items are those that in the Directors’ view should be separately disclosed by virtue of their size, nature or incidence to enable a full understanding of the Company’s financial performance. Excluding these items is considered to provide additional useful information on the performance and the position of the Company as well as enhancing the comparability of information between reporting periods.</w:t>
      </w:r>
    </w:p>
    <w:p w14:paraId="59510839" w14:textId="77777777" w:rsidR="002F2053" w:rsidRPr="00735726" w:rsidRDefault="002F2053" w:rsidP="002F2053">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4D7BE718"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(x)   Foreign exchange</w:t>
      </w:r>
    </w:p>
    <w:p w14:paraId="255D546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48" w:name="XMETag_969ec3bbcf624c04a6908d488ca51bba"/>
      <w:r w:rsidRPr="00735726">
        <w:rPr>
          <w:rFonts w:ascii="Arial" w:eastAsia="Times New Roman" w:hAnsi="Arial" w:cs="DINOT-Light"/>
          <w:color w:val="000000"/>
          <w:sz w:val="18"/>
          <w:szCs w:val="18"/>
        </w:rPr>
        <w:t xml:space="preserve">Transactions denominated in foreign currencies are translated at the exchange rate at the date of the transaction. Monetary assets and liabilities denominated in a foreign currency are translated at the closing balance sheet rate. </w:t>
      </w:r>
    </w:p>
    <w:p w14:paraId="087C5867"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resulting gain or loss is recognised in the statement of profit or loss.</w:t>
      </w:r>
      <w:bookmarkEnd w:id="348"/>
    </w:p>
    <w:p w14:paraId="25581E7E"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AEB966D" w14:textId="77777777" w:rsidR="00646F4F" w:rsidRPr="00735726" w:rsidRDefault="00646F4F" w:rsidP="00646F4F">
      <w:pPr>
        <w:widowControl w:val="0"/>
        <w:numPr>
          <w:ilvl w:val="0"/>
          <w:numId w:val="24"/>
        </w:numPr>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FINANCIAL RISK MANAGEMENT</w:t>
      </w:r>
    </w:p>
    <w:p w14:paraId="6AF6B3CE"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(a)</w:t>
      </w:r>
      <w:r w:rsidRPr="00735726">
        <w:rPr>
          <w:rFonts w:ascii="Arial" w:eastAsia="Times New Roman" w:hAnsi="Arial" w:cs="Arial"/>
          <w:b/>
          <w:bCs/>
          <w:color w:val="000000"/>
          <w:sz w:val="18"/>
          <w:szCs w:val="18"/>
        </w:rPr>
        <w:tab/>
        <w:t>Financial risk factors</w:t>
      </w:r>
    </w:p>
    <w:p w14:paraId="155CC85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49" w:name="XMETag_2430b17bd53a484a974bb25ef79c62d1"/>
      <w:r w:rsidRPr="00735726">
        <w:rPr>
          <w:rFonts w:ascii="Arial" w:eastAsia="Times New Roman" w:hAnsi="Arial" w:cs="DINOT-Light"/>
          <w:color w:val="000000"/>
          <w:sz w:val="18"/>
          <w:szCs w:val="18"/>
        </w:rPr>
        <w:t xml:space="preserve">The Company’s activities expose it to a variety of financial risks; liquidity risk; market risk (interest rate and foreign currency risk), credit risk and inflation risk. </w:t>
      </w:r>
    </w:p>
    <w:p w14:paraId="237F9298"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0279FE4" w14:textId="6F6F553D"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receives treasury services from the treasury function of Pennon Group plc, the parent </w:t>
      </w:r>
      <w:r w:rsidR="003B36A4"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ompany, which seeks to ensure that sufficient funding is available to meet foreseeable needs and to maintain reasonable headroom for contingencies and manages inflation and interest rate risk.</w:t>
      </w:r>
    </w:p>
    <w:p w14:paraId="3B2DE364"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A794D0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principal financial risks faced by the Company relate to liquidity, interest rate and credit counterparty risk.</w:t>
      </w:r>
    </w:p>
    <w:p w14:paraId="4A8C7C8D"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A930EDC" w14:textId="77FCFC6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These risks and treasury operations are managed by the Chief Financial Officer in accordance with policies established by the Board. Major transactions are individually approved by the Board. Treasury activities are reported to the Board and are subject to review by internal audit.</w:t>
      </w:r>
    </w:p>
    <w:p w14:paraId="46ADB509"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106ED1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Financial instruments are used to raise finance, manage risk, optimise the use of surplus funds and manage overall interest rate performance. The Company does not engage in speculative activity.</w:t>
      </w:r>
      <w:bookmarkEnd w:id="349"/>
    </w:p>
    <w:p w14:paraId="51C17400"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p>
    <w:p w14:paraId="058C0124" w14:textId="77777777" w:rsidR="00646F4F" w:rsidRPr="00735726" w:rsidRDefault="00646F4F" w:rsidP="00646F4F">
      <w:pPr>
        <w:widowControl w:val="0"/>
        <w:suppressAutoHyphens/>
        <w:autoSpaceDE w:val="0"/>
        <w:autoSpaceDN w:val="0"/>
        <w:adjustRightInd w:val="0"/>
        <w:spacing w:after="0"/>
        <w:ind w:left="340" w:hanging="340"/>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w:t>
      </w:r>
      <w:r w:rsidRPr="00735726">
        <w:rPr>
          <w:rFonts w:ascii="Arial" w:eastAsia="Times New Roman" w:hAnsi="Arial" w:cs="DINOT-Light"/>
          <w:b/>
          <w:color w:val="000000"/>
          <w:sz w:val="18"/>
          <w:szCs w:val="18"/>
        </w:rPr>
        <w:tab/>
        <w:t>Liquidity risk</w:t>
      </w:r>
    </w:p>
    <w:p w14:paraId="67146D16" w14:textId="3E1C76A0"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50" w:name="XMETag_48faf50bb8bc48a3a016957a0acaab79"/>
      <w:r w:rsidRPr="00735726">
        <w:rPr>
          <w:rFonts w:ascii="Arial" w:eastAsia="Times New Roman" w:hAnsi="Arial" w:cs="DINOT-Light"/>
          <w:color w:val="000000"/>
          <w:sz w:val="18"/>
          <w:szCs w:val="18"/>
        </w:rPr>
        <w:t xml:space="preserve">The Company actively maintains a mixture of long-term and short-term committed facilities which are designed to ensure the Company </w:t>
      </w:r>
      <w:proofErr w:type="gramStart"/>
      <w:r w:rsidRPr="00735726">
        <w:rPr>
          <w:rFonts w:ascii="Arial" w:eastAsia="Times New Roman" w:hAnsi="Arial" w:cs="DINOT-Light"/>
          <w:color w:val="000000"/>
          <w:sz w:val="18"/>
          <w:szCs w:val="18"/>
        </w:rPr>
        <w:t>has sufficient available funds for operations and planned expansions equivalent to at least one year’s forecast requirements at all times</w:t>
      </w:r>
      <w:proofErr w:type="gramEnd"/>
      <w:r w:rsidRPr="00735726">
        <w:rPr>
          <w:rFonts w:ascii="Arial" w:eastAsia="Times New Roman" w:hAnsi="Arial" w:cs="DINOT-Light"/>
          <w:color w:val="000000"/>
          <w:sz w:val="18"/>
          <w:szCs w:val="18"/>
        </w:rPr>
        <w:t>. Details of undrawn committed facilities and short-term facilities are provided in</w:t>
      </w:r>
      <w:r w:rsidRPr="009A2CAE">
        <w:rPr>
          <w:rFonts w:ascii="Arial" w:eastAsia="Times New Roman" w:hAnsi="Arial" w:cs="DINOT-Light"/>
          <w:color w:val="000000"/>
          <w:sz w:val="18"/>
          <w:szCs w:val="18"/>
        </w:rPr>
        <w:t xml:space="preserve"> note 2</w:t>
      </w:r>
      <w:r w:rsidR="00B63B15" w:rsidRPr="009A2CAE">
        <w:rPr>
          <w:rFonts w:ascii="Arial" w:eastAsia="Times New Roman" w:hAnsi="Arial" w:cs="DINOT-Light"/>
          <w:color w:val="000000"/>
          <w:sz w:val="18"/>
          <w:szCs w:val="18"/>
        </w:rPr>
        <w:t>3</w:t>
      </w:r>
      <w:r w:rsidRPr="009A2CAE">
        <w:rPr>
          <w:rFonts w:ascii="Arial" w:eastAsia="Times New Roman" w:hAnsi="Arial" w:cs="DINOT-Light"/>
          <w:color w:val="000000"/>
          <w:sz w:val="18"/>
          <w:szCs w:val="18"/>
        </w:rPr>
        <w:t>.</w:t>
      </w:r>
    </w:p>
    <w:p w14:paraId="15A9C8E0"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D8BF1B9" w14:textId="2E43C258"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51" w:name="_Hlk135738848"/>
      <w:r w:rsidRPr="00735726">
        <w:rPr>
          <w:rFonts w:ascii="Arial" w:eastAsia="Times New Roman" w:hAnsi="Arial" w:cs="DINOT-Light"/>
          <w:color w:val="000000"/>
          <w:sz w:val="18"/>
          <w:szCs w:val="18"/>
        </w:rPr>
        <w:t>Refinancing risk is managed under a Company policy that requires that no more than 20% of Company net borrowings should mature in any financial year.</w:t>
      </w:r>
      <w:r w:rsidR="002F2053" w:rsidRPr="00735726">
        <w:rPr>
          <w:rFonts w:ascii="Calibre-Light" w:hAnsi="Calibre-Light" w:cs="Calibre-Light"/>
          <w:color w:val="414142"/>
          <w:sz w:val="16"/>
          <w:szCs w:val="16"/>
        </w:rPr>
        <w:t xml:space="preserve"> </w:t>
      </w:r>
      <w:r w:rsidR="002F2053" w:rsidRPr="00735726">
        <w:rPr>
          <w:rFonts w:ascii="Arial" w:eastAsia="Times New Roman" w:hAnsi="Arial" w:cs="DINOT-Light"/>
          <w:color w:val="000000"/>
          <w:sz w:val="18"/>
          <w:szCs w:val="18"/>
        </w:rPr>
        <w:t>The Company has no significant concentration of liquidity risk.</w:t>
      </w:r>
    </w:p>
    <w:bookmarkEnd w:id="351"/>
    <w:p w14:paraId="6CC51075" w14:textId="77777777" w:rsidR="00646F4F" w:rsidRPr="00735726" w:rsidRDefault="00646F4F" w:rsidP="00646F4F">
      <w:pPr>
        <w:widowControl w:val="0"/>
        <w:suppressAutoHyphens/>
        <w:autoSpaceDE w:val="0"/>
        <w:autoSpaceDN w:val="0"/>
        <w:adjustRightInd w:val="0"/>
        <w:spacing w:after="0"/>
        <w:textAlignment w:val="center"/>
      </w:pPr>
    </w:p>
    <w:p w14:paraId="5F1558EE"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has </w:t>
      </w:r>
      <w:proofErr w:type="gramStart"/>
      <w:r w:rsidRPr="00735726">
        <w:rPr>
          <w:rFonts w:ascii="Arial" w:eastAsia="Times New Roman" w:hAnsi="Arial" w:cs="DINOT-Light"/>
          <w:color w:val="000000"/>
          <w:sz w:val="18"/>
          <w:szCs w:val="18"/>
        </w:rPr>
        <w:t>entered into</w:t>
      </w:r>
      <w:proofErr w:type="gramEnd"/>
      <w:r w:rsidRPr="00735726">
        <w:rPr>
          <w:rFonts w:ascii="Arial" w:eastAsia="Times New Roman" w:hAnsi="Arial" w:cs="DINOT-Light"/>
          <w:color w:val="000000"/>
          <w:sz w:val="18"/>
          <w:szCs w:val="18"/>
        </w:rPr>
        <w:t xml:space="preserve"> covenants with lenders. While terms vary, these typically provide for limits on gearing (primarily based on the water business’s Regulatory Capital Value and EBITDA) and interest cover. </w:t>
      </w:r>
      <w:bookmarkEnd w:id="350"/>
      <w:r w:rsidRPr="00735726">
        <w:rPr>
          <w:rFonts w:ascii="Arial" w:eastAsia="Times New Roman" w:hAnsi="Arial" w:cs="DINOT-Light"/>
          <w:color w:val="000000"/>
          <w:sz w:val="18"/>
          <w:szCs w:val="18"/>
        </w:rPr>
        <w:t>Existing covenants are not impacted by subsequent changes to accounting standards. Whilst a detailed assessment of the impact of IFRS 18 has not yet been concluded, it is not expected that existing covenants will be impacted by subsequent changes to accounting standards.</w:t>
      </w:r>
    </w:p>
    <w:p w14:paraId="42F8D167" w14:textId="7D40D999" w:rsidR="00646F4F" w:rsidRPr="00735726" w:rsidRDefault="00646F4F" w:rsidP="00277639">
      <w:pPr>
        <w:pStyle w:val="ListParagraph"/>
        <w:widowControl w:val="0"/>
        <w:numPr>
          <w:ilvl w:val="0"/>
          <w:numId w:val="116"/>
        </w:numPr>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lastRenderedPageBreak/>
        <w:t>FINANCIAL RISK MANAGEMENT (CONTINUED)</w:t>
      </w:r>
    </w:p>
    <w:p w14:paraId="5E862386"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Arial"/>
          <w:b/>
          <w:bCs/>
          <w:color w:val="000000"/>
          <w:sz w:val="18"/>
          <w:szCs w:val="18"/>
        </w:rPr>
        <w:t>(a)</w:t>
      </w:r>
      <w:r w:rsidRPr="00735726">
        <w:rPr>
          <w:rFonts w:ascii="Arial" w:eastAsia="Times New Roman" w:hAnsi="Arial" w:cs="Arial"/>
          <w:b/>
          <w:bCs/>
          <w:color w:val="000000"/>
          <w:sz w:val="18"/>
          <w:szCs w:val="18"/>
        </w:rPr>
        <w:tab/>
        <w:t>Financial risk factors (continued)</w:t>
      </w:r>
      <w:r w:rsidRPr="00735726">
        <w:rPr>
          <w:rFonts w:ascii="Arial" w:eastAsia="Times New Roman" w:hAnsi="Arial" w:cs="Arial"/>
          <w:b/>
          <w:bCs/>
          <w:color w:val="000000"/>
          <w:sz w:val="18"/>
          <w:szCs w:val="18"/>
        </w:rPr>
        <w:br/>
      </w:r>
      <w:r w:rsidRPr="00735726">
        <w:rPr>
          <w:rFonts w:ascii="Arial" w:eastAsia="Times New Roman" w:hAnsi="Arial" w:cs="DINOT-Light"/>
          <w:color w:val="000000"/>
          <w:sz w:val="18"/>
          <w:szCs w:val="18"/>
        </w:rPr>
        <w:t>Contractual undiscounted cash flows including interest payments, at the balance sheet date were:</w:t>
      </w:r>
    </w:p>
    <w:tbl>
      <w:tblPr>
        <w:tblW w:w="10019" w:type="dxa"/>
        <w:tblInd w:w="8" w:type="dxa"/>
        <w:tblLayout w:type="fixed"/>
        <w:tblCellMar>
          <w:left w:w="0" w:type="dxa"/>
          <w:right w:w="0" w:type="dxa"/>
        </w:tblCellMar>
        <w:tblLook w:val="0000" w:firstRow="0" w:lastRow="0" w:firstColumn="0" w:lastColumn="0" w:noHBand="0" w:noVBand="0"/>
      </w:tblPr>
      <w:tblGrid>
        <w:gridCol w:w="4455"/>
        <w:gridCol w:w="1113"/>
        <w:gridCol w:w="1113"/>
        <w:gridCol w:w="1113"/>
        <w:gridCol w:w="1113"/>
        <w:gridCol w:w="1112"/>
      </w:tblGrid>
      <w:tr w:rsidR="00646F4F" w:rsidRPr="00735726" w14:paraId="5ECB8885" w14:textId="77777777" w:rsidTr="00CE19B2">
        <w:trPr>
          <w:trHeight w:val="267"/>
          <w:tblHeader/>
        </w:trPr>
        <w:tc>
          <w:tcPr>
            <w:tcW w:w="4455" w:type="dxa"/>
            <w:tcMar>
              <w:top w:w="11" w:type="dxa"/>
              <w:left w:w="57" w:type="dxa"/>
              <w:bottom w:w="11" w:type="dxa"/>
              <w:right w:w="57" w:type="dxa"/>
            </w:tcMar>
          </w:tcPr>
          <w:p w14:paraId="5B0DB3F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bookmarkStart w:id="352" w:name="_Hlk10039062"/>
          </w:p>
          <w:p w14:paraId="37BE780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r w:rsidRPr="00735726">
              <w:rPr>
                <w:rFonts w:ascii="Arial" w:eastAsia="Times New Roman" w:hAnsi="Arial" w:cs="DINOT-Light"/>
                <w:b/>
                <w:sz w:val="18"/>
                <w:szCs w:val="18"/>
              </w:rPr>
              <w:t>31 March 2026</w:t>
            </w:r>
          </w:p>
        </w:tc>
        <w:tc>
          <w:tcPr>
            <w:tcW w:w="1113" w:type="dxa"/>
            <w:tcMar>
              <w:top w:w="11" w:type="dxa"/>
              <w:left w:w="57" w:type="dxa"/>
              <w:bottom w:w="11" w:type="dxa"/>
              <w:right w:w="57" w:type="dxa"/>
            </w:tcMar>
            <w:vAlign w:val="bottom"/>
          </w:tcPr>
          <w:p w14:paraId="210F88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p w14:paraId="6BE8D6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 xml:space="preserve">Due within </w:t>
            </w:r>
            <w:r w:rsidRPr="00735726">
              <w:rPr>
                <w:rFonts w:ascii="Arial" w:eastAsia="Times New Roman" w:hAnsi="Arial" w:cs="DINOT-Light"/>
                <w:b/>
                <w:sz w:val="18"/>
                <w:szCs w:val="18"/>
              </w:rPr>
              <w:br/>
              <w:t xml:space="preserve">1 year </w:t>
            </w:r>
          </w:p>
          <w:p w14:paraId="5E73517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£m</w:t>
            </w:r>
          </w:p>
        </w:tc>
        <w:tc>
          <w:tcPr>
            <w:tcW w:w="1113" w:type="dxa"/>
            <w:tcMar>
              <w:top w:w="11" w:type="dxa"/>
              <w:left w:w="57" w:type="dxa"/>
              <w:bottom w:w="11" w:type="dxa"/>
              <w:right w:w="57" w:type="dxa"/>
            </w:tcMar>
            <w:vAlign w:val="bottom"/>
          </w:tcPr>
          <w:p w14:paraId="090A4E1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p w14:paraId="6B62200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 xml:space="preserve">Due between </w:t>
            </w:r>
            <w:r w:rsidRPr="00735726">
              <w:rPr>
                <w:rFonts w:ascii="Arial" w:eastAsia="Times New Roman" w:hAnsi="Arial" w:cs="DINOT-Light"/>
                <w:b/>
                <w:sz w:val="18"/>
                <w:szCs w:val="18"/>
              </w:rPr>
              <w:br/>
              <w:t xml:space="preserve">1 and 2 years </w:t>
            </w:r>
          </w:p>
          <w:p w14:paraId="2E742A7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£m</w:t>
            </w:r>
          </w:p>
        </w:tc>
        <w:tc>
          <w:tcPr>
            <w:tcW w:w="1113" w:type="dxa"/>
            <w:tcMar>
              <w:top w:w="11" w:type="dxa"/>
              <w:left w:w="57" w:type="dxa"/>
              <w:bottom w:w="11" w:type="dxa"/>
              <w:right w:w="57" w:type="dxa"/>
            </w:tcMar>
            <w:vAlign w:val="bottom"/>
          </w:tcPr>
          <w:p w14:paraId="398E542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p w14:paraId="243E26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 xml:space="preserve">Due between </w:t>
            </w:r>
            <w:r w:rsidRPr="00735726">
              <w:rPr>
                <w:rFonts w:ascii="Arial" w:eastAsia="Times New Roman" w:hAnsi="Arial" w:cs="DINOT-Light"/>
                <w:b/>
                <w:sz w:val="18"/>
                <w:szCs w:val="18"/>
              </w:rPr>
              <w:br/>
              <w:t xml:space="preserve">2 and 5 years </w:t>
            </w:r>
          </w:p>
          <w:p w14:paraId="7F4DF1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£m</w:t>
            </w:r>
          </w:p>
        </w:tc>
        <w:tc>
          <w:tcPr>
            <w:tcW w:w="1113" w:type="dxa"/>
            <w:tcMar>
              <w:top w:w="11" w:type="dxa"/>
              <w:left w:w="57" w:type="dxa"/>
              <w:bottom w:w="11" w:type="dxa"/>
              <w:right w:w="57" w:type="dxa"/>
            </w:tcMar>
            <w:vAlign w:val="bottom"/>
          </w:tcPr>
          <w:p w14:paraId="6C352D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p w14:paraId="4F0C8A5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Over 5 years</w:t>
            </w:r>
          </w:p>
          <w:p w14:paraId="2F249CC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£m</w:t>
            </w:r>
          </w:p>
        </w:tc>
        <w:tc>
          <w:tcPr>
            <w:tcW w:w="1112" w:type="dxa"/>
            <w:tcMar>
              <w:top w:w="11" w:type="dxa"/>
              <w:left w:w="57" w:type="dxa"/>
              <w:bottom w:w="11" w:type="dxa"/>
              <w:right w:w="57" w:type="dxa"/>
            </w:tcMar>
            <w:vAlign w:val="bottom"/>
          </w:tcPr>
          <w:p w14:paraId="2AA032D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br/>
              <w:t>Total</w:t>
            </w:r>
            <w:r w:rsidRPr="00735726">
              <w:rPr>
                <w:rFonts w:ascii="Arial" w:eastAsia="Times New Roman" w:hAnsi="Arial" w:cs="DINOT-Light"/>
                <w:b/>
                <w:sz w:val="18"/>
                <w:szCs w:val="18"/>
              </w:rPr>
              <w:br/>
              <w:t>£m</w:t>
            </w:r>
          </w:p>
        </w:tc>
      </w:tr>
      <w:tr w:rsidR="00646F4F" w:rsidRPr="00735726" w14:paraId="4248BE13" w14:textId="77777777" w:rsidTr="00CE19B2">
        <w:trPr>
          <w:trHeight w:val="228"/>
        </w:trPr>
        <w:tc>
          <w:tcPr>
            <w:tcW w:w="4455" w:type="dxa"/>
            <w:tcMar>
              <w:top w:w="11" w:type="dxa"/>
              <w:left w:w="57" w:type="dxa"/>
              <w:bottom w:w="11" w:type="dxa"/>
              <w:right w:w="57" w:type="dxa"/>
            </w:tcMar>
          </w:tcPr>
          <w:p w14:paraId="4141406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r w:rsidRPr="00735726">
              <w:rPr>
                <w:rFonts w:ascii="Arial" w:eastAsia="Times New Roman" w:hAnsi="Arial" w:cs="DINOT-Light"/>
                <w:b/>
                <w:sz w:val="18"/>
                <w:szCs w:val="18"/>
              </w:rPr>
              <w:t>Non-derivative financial liabilities</w:t>
            </w:r>
          </w:p>
        </w:tc>
        <w:tc>
          <w:tcPr>
            <w:tcW w:w="1113" w:type="dxa"/>
            <w:tcMar>
              <w:top w:w="11" w:type="dxa"/>
              <w:left w:w="57" w:type="dxa"/>
              <w:bottom w:w="11" w:type="dxa"/>
              <w:right w:w="57" w:type="dxa"/>
            </w:tcMar>
          </w:tcPr>
          <w:p w14:paraId="7F51042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13" w:type="dxa"/>
            <w:tcMar>
              <w:top w:w="11" w:type="dxa"/>
              <w:left w:w="57" w:type="dxa"/>
              <w:bottom w:w="11" w:type="dxa"/>
              <w:right w:w="57" w:type="dxa"/>
            </w:tcMar>
          </w:tcPr>
          <w:p w14:paraId="6218A68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13" w:type="dxa"/>
            <w:tcMar>
              <w:top w:w="11" w:type="dxa"/>
              <w:left w:w="57" w:type="dxa"/>
              <w:bottom w:w="11" w:type="dxa"/>
              <w:right w:w="57" w:type="dxa"/>
            </w:tcMar>
          </w:tcPr>
          <w:p w14:paraId="66BA688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13" w:type="dxa"/>
            <w:tcMar>
              <w:top w:w="11" w:type="dxa"/>
              <w:left w:w="57" w:type="dxa"/>
              <w:bottom w:w="11" w:type="dxa"/>
              <w:right w:w="57" w:type="dxa"/>
            </w:tcMar>
          </w:tcPr>
          <w:p w14:paraId="1849062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12" w:type="dxa"/>
            <w:tcMar>
              <w:top w:w="11" w:type="dxa"/>
              <w:left w:w="57" w:type="dxa"/>
              <w:bottom w:w="11" w:type="dxa"/>
              <w:right w:w="57" w:type="dxa"/>
            </w:tcMar>
          </w:tcPr>
          <w:p w14:paraId="447E748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r>
      <w:tr w:rsidR="00646F4F" w:rsidRPr="00735726" w14:paraId="0165332F" w14:textId="77777777" w:rsidTr="00CE19B2">
        <w:trPr>
          <w:trHeight w:val="218"/>
        </w:trPr>
        <w:tc>
          <w:tcPr>
            <w:tcW w:w="4455" w:type="dxa"/>
            <w:tcMar>
              <w:top w:w="11" w:type="dxa"/>
              <w:left w:w="57" w:type="dxa"/>
              <w:bottom w:w="11" w:type="dxa"/>
              <w:right w:w="57" w:type="dxa"/>
            </w:tcMar>
          </w:tcPr>
          <w:p w14:paraId="7BB0BBB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353" w:name="XMETag_5a30147d755d4e64b8b36908b65865b1" w:colFirst="1" w:colLast="1"/>
            <w:bookmarkStart w:id="354" w:name="XMETag_5d1cd467cc554ede98fe9f9111eabb6b" w:colFirst="2" w:colLast="2"/>
            <w:bookmarkStart w:id="355" w:name="XMETag_8f91065d5c7a42228221586b125efabc" w:colFirst="3" w:colLast="3"/>
            <w:bookmarkStart w:id="356" w:name="XMETag_d20cf5ea8c5d49159f800bceba446089" w:colFirst="4" w:colLast="4"/>
            <w:bookmarkStart w:id="357" w:name="XMETag_ec116e3668aa4b0b98e96f7f99a0a948" w:colFirst="5" w:colLast="5"/>
            <w:r w:rsidRPr="00735726">
              <w:rPr>
                <w:rFonts w:ascii="Arial" w:eastAsia="Times New Roman" w:hAnsi="Arial" w:cs="DINOT-Light"/>
                <w:sz w:val="18"/>
                <w:szCs w:val="18"/>
              </w:rPr>
              <w:t xml:space="preserve">Borrowings excluding finance lease liabilities </w:t>
            </w:r>
          </w:p>
        </w:tc>
        <w:tc>
          <w:tcPr>
            <w:tcW w:w="1113" w:type="dxa"/>
            <w:tcMar>
              <w:top w:w="11" w:type="dxa"/>
              <w:left w:w="57" w:type="dxa"/>
              <w:bottom w:w="11" w:type="dxa"/>
              <w:right w:w="57" w:type="dxa"/>
            </w:tcMar>
          </w:tcPr>
          <w:p w14:paraId="461F1D86" w14:textId="417E907E"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57.6</w:t>
            </w:r>
          </w:p>
        </w:tc>
        <w:tc>
          <w:tcPr>
            <w:tcW w:w="1113" w:type="dxa"/>
            <w:tcMar>
              <w:top w:w="11" w:type="dxa"/>
              <w:left w:w="57" w:type="dxa"/>
              <w:bottom w:w="11" w:type="dxa"/>
              <w:right w:w="57" w:type="dxa"/>
            </w:tcMar>
          </w:tcPr>
          <w:p w14:paraId="32BC6BD5" w14:textId="2F7A1415" w:rsidR="00646F4F" w:rsidRPr="00735726" w:rsidRDefault="0012751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57.8</w:t>
            </w:r>
          </w:p>
        </w:tc>
        <w:tc>
          <w:tcPr>
            <w:tcW w:w="1113" w:type="dxa"/>
            <w:tcMar>
              <w:top w:w="11" w:type="dxa"/>
              <w:left w:w="57" w:type="dxa"/>
              <w:bottom w:w="11" w:type="dxa"/>
              <w:right w:w="57" w:type="dxa"/>
            </w:tcMar>
          </w:tcPr>
          <w:p w14:paraId="01818F2B" w14:textId="79612917" w:rsidR="00646F4F" w:rsidRPr="00735726" w:rsidRDefault="0012751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232.6</w:t>
            </w:r>
          </w:p>
        </w:tc>
        <w:tc>
          <w:tcPr>
            <w:tcW w:w="1113" w:type="dxa"/>
            <w:tcMar>
              <w:top w:w="11" w:type="dxa"/>
              <w:left w:w="57" w:type="dxa"/>
              <w:bottom w:w="11" w:type="dxa"/>
              <w:right w:w="57" w:type="dxa"/>
            </w:tcMar>
          </w:tcPr>
          <w:p w14:paraId="625E0E5B" w14:textId="1F7251CA" w:rsidR="00646F4F" w:rsidRPr="00735726" w:rsidRDefault="0012751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2,711.7</w:t>
            </w:r>
          </w:p>
        </w:tc>
        <w:tc>
          <w:tcPr>
            <w:tcW w:w="1112" w:type="dxa"/>
            <w:tcMar>
              <w:top w:w="11" w:type="dxa"/>
              <w:left w:w="57" w:type="dxa"/>
              <w:bottom w:w="11" w:type="dxa"/>
              <w:right w:w="57" w:type="dxa"/>
            </w:tcMar>
          </w:tcPr>
          <w:p w14:paraId="4D599991" w14:textId="7FB884BA" w:rsidR="00646F4F" w:rsidRPr="00735726" w:rsidRDefault="0012751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3,059.7</w:t>
            </w:r>
          </w:p>
        </w:tc>
      </w:tr>
      <w:tr w:rsidR="00646F4F" w:rsidRPr="00735726" w14:paraId="2309BF8F" w14:textId="77777777" w:rsidTr="00CE19B2">
        <w:trPr>
          <w:trHeight w:val="228"/>
        </w:trPr>
        <w:tc>
          <w:tcPr>
            <w:tcW w:w="4455" w:type="dxa"/>
            <w:tcMar>
              <w:top w:w="11" w:type="dxa"/>
              <w:left w:w="57" w:type="dxa"/>
              <w:bottom w:w="11" w:type="dxa"/>
              <w:right w:w="57" w:type="dxa"/>
            </w:tcMar>
          </w:tcPr>
          <w:p w14:paraId="22694DF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358" w:name="XMETag_3ef84fbe19fc4ec48a202f11e0b66b2b" w:colFirst="1" w:colLast="1"/>
            <w:bookmarkStart w:id="359" w:name="XMETag_c463be4ee6ec4659beef8536f0d6867f" w:colFirst="2" w:colLast="2"/>
            <w:bookmarkStart w:id="360" w:name="XMETag_801b9782946342ad84f3b18f68689dc7" w:colFirst="3" w:colLast="3"/>
            <w:bookmarkStart w:id="361" w:name="XMETag_96fd8bb18e024763984dc31b21cada00" w:colFirst="4" w:colLast="4"/>
            <w:bookmarkStart w:id="362" w:name="XMETag_490896535343447b9dffb4e792ed4091" w:colFirst="5" w:colLast="5"/>
            <w:bookmarkEnd w:id="353"/>
            <w:bookmarkEnd w:id="354"/>
            <w:bookmarkEnd w:id="355"/>
            <w:bookmarkEnd w:id="356"/>
            <w:bookmarkEnd w:id="357"/>
            <w:r w:rsidRPr="00735726">
              <w:rPr>
                <w:rFonts w:ascii="Arial" w:eastAsia="Times New Roman" w:hAnsi="Arial" w:cs="DINOT-Light"/>
                <w:sz w:val="18"/>
                <w:szCs w:val="18"/>
              </w:rPr>
              <w:t>Interest payments on borrowings</w:t>
            </w:r>
          </w:p>
        </w:tc>
        <w:tc>
          <w:tcPr>
            <w:tcW w:w="1113" w:type="dxa"/>
            <w:tcMar>
              <w:top w:w="11" w:type="dxa"/>
              <w:left w:w="57" w:type="dxa"/>
              <w:bottom w:w="11" w:type="dxa"/>
              <w:right w:w="57" w:type="dxa"/>
            </w:tcMar>
          </w:tcPr>
          <w:p w14:paraId="3CDFF569" w14:textId="1FABB199"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176.9</w:t>
            </w:r>
          </w:p>
        </w:tc>
        <w:tc>
          <w:tcPr>
            <w:tcW w:w="1113" w:type="dxa"/>
            <w:tcMar>
              <w:top w:w="11" w:type="dxa"/>
              <w:left w:w="57" w:type="dxa"/>
              <w:bottom w:w="11" w:type="dxa"/>
              <w:right w:w="57" w:type="dxa"/>
            </w:tcMar>
          </w:tcPr>
          <w:p w14:paraId="76D6A0D5" w14:textId="2D6D62AF"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176.9</w:t>
            </w:r>
          </w:p>
        </w:tc>
        <w:tc>
          <w:tcPr>
            <w:tcW w:w="1113" w:type="dxa"/>
            <w:tcMar>
              <w:top w:w="11" w:type="dxa"/>
              <w:left w:w="57" w:type="dxa"/>
              <w:bottom w:w="11" w:type="dxa"/>
              <w:right w:w="57" w:type="dxa"/>
            </w:tcMar>
          </w:tcPr>
          <w:p w14:paraId="22E51240" w14:textId="11A655E6"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561.6</w:t>
            </w:r>
          </w:p>
        </w:tc>
        <w:tc>
          <w:tcPr>
            <w:tcW w:w="1113" w:type="dxa"/>
            <w:tcMar>
              <w:top w:w="11" w:type="dxa"/>
              <w:left w:w="57" w:type="dxa"/>
              <w:bottom w:w="11" w:type="dxa"/>
              <w:right w:w="57" w:type="dxa"/>
            </w:tcMar>
          </w:tcPr>
          <w:p w14:paraId="48F9F94A" w14:textId="528E2D23"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1,583.5</w:t>
            </w:r>
          </w:p>
        </w:tc>
        <w:tc>
          <w:tcPr>
            <w:tcW w:w="1112" w:type="dxa"/>
            <w:tcMar>
              <w:top w:w="11" w:type="dxa"/>
              <w:left w:w="57" w:type="dxa"/>
              <w:bottom w:w="11" w:type="dxa"/>
              <w:right w:w="57" w:type="dxa"/>
            </w:tcMar>
          </w:tcPr>
          <w:p w14:paraId="38DD7622" w14:textId="1D71600C"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2,498.9</w:t>
            </w:r>
          </w:p>
        </w:tc>
      </w:tr>
      <w:tr w:rsidR="00646F4F" w:rsidRPr="00735726" w14:paraId="1AE56B80" w14:textId="77777777" w:rsidTr="00CE19B2">
        <w:trPr>
          <w:trHeight w:val="228"/>
        </w:trPr>
        <w:tc>
          <w:tcPr>
            <w:tcW w:w="4455" w:type="dxa"/>
            <w:tcMar>
              <w:top w:w="11" w:type="dxa"/>
              <w:left w:w="57" w:type="dxa"/>
              <w:bottom w:w="11" w:type="dxa"/>
              <w:right w:w="57" w:type="dxa"/>
            </w:tcMar>
          </w:tcPr>
          <w:p w14:paraId="4806962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363" w:name="XMETag_1e2ae4bf6b7940719f7861f62baab7f2" w:colFirst="1" w:colLast="1"/>
            <w:bookmarkStart w:id="364" w:name="XMETag_539510bd122e4301a290916fe304a8c7" w:colFirst="2" w:colLast="2"/>
            <w:bookmarkStart w:id="365" w:name="XMETag_9f5e1168c49349bebb600c465cafae5c" w:colFirst="3" w:colLast="3"/>
            <w:bookmarkStart w:id="366" w:name="XMETag_9d096a123d9249b8897fe4945504a4a3" w:colFirst="4" w:colLast="4"/>
            <w:bookmarkStart w:id="367" w:name="XMETag_d5216e5a3fe24ca1a96b92f23e925809" w:colFirst="5" w:colLast="5"/>
            <w:bookmarkEnd w:id="358"/>
            <w:bookmarkEnd w:id="359"/>
            <w:bookmarkEnd w:id="360"/>
            <w:bookmarkEnd w:id="361"/>
            <w:bookmarkEnd w:id="362"/>
            <w:r w:rsidRPr="00735726">
              <w:rPr>
                <w:rFonts w:ascii="Arial" w:eastAsia="Times New Roman" w:hAnsi="Arial" w:cs="DINOT-Light"/>
                <w:sz w:val="18"/>
                <w:szCs w:val="18"/>
              </w:rPr>
              <w:t>Lease liabilities including interest</w:t>
            </w:r>
          </w:p>
        </w:tc>
        <w:tc>
          <w:tcPr>
            <w:tcW w:w="1113" w:type="dxa"/>
            <w:tcMar>
              <w:top w:w="11" w:type="dxa"/>
              <w:left w:w="57" w:type="dxa"/>
              <w:bottom w:w="11" w:type="dxa"/>
              <w:right w:w="57" w:type="dxa"/>
            </w:tcMar>
          </w:tcPr>
          <w:p w14:paraId="3FBC5C9F" w14:textId="2C703E07"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67.3</w:t>
            </w:r>
          </w:p>
        </w:tc>
        <w:tc>
          <w:tcPr>
            <w:tcW w:w="1113" w:type="dxa"/>
            <w:tcMar>
              <w:top w:w="11" w:type="dxa"/>
              <w:left w:w="57" w:type="dxa"/>
              <w:bottom w:w="11" w:type="dxa"/>
              <w:right w:w="57" w:type="dxa"/>
            </w:tcMar>
          </w:tcPr>
          <w:p w14:paraId="383A078B" w14:textId="37B12714"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80.3</w:t>
            </w:r>
          </w:p>
        </w:tc>
        <w:tc>
          <w:tcPr>
            <w:tcW w:w="1113" w:type="dxa"/>
            <w:tcMar>
              <w:top w:w="11" w:type="dxa"/>
              <w:left w:w="57" w:type="dxa"/>
              <w:bottom w:w="11" w:type="dxa"/>
              <w:right w:w="57" w:type="dxa"/>
            </w:tcMar>
          </w:tcPr>
          <w:p w14:paraId="254039C9" w14:textId="193E8D76"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318.9</w:t>
            </w:r>
          </w:p>
        </w:tc>
        <w:tc>
          <w:tcPr>
            <w:tcW w:w="1113" w:type="dxa"/>
            <w:tcMar>
              <w:top w:w="11" w:type="dxa"/>
              <w:left w:w="57" w:type="dxa"/>
              <w:bottom w:w="11" w:type="dxa"/>
              <w:right w:w="57" w:type="dxa"/>
            </w:tcMar>
          </w:tcPr>
          <w:p w14:paraId="2BF5A924" w14:textId="2E116D5A"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1,110.4</w:t>
            </w:r>
          </w:p>
        </w:tc>
        <w:tc>
          <w:tcPr>
            <w:tcW w:w="1112" w:type="dxa"/>
            <w:tcMar>
              <w:top w:w="11" w:type="dxa"/>
              <w:left w:w="57" w:type="dxa"/>
              <w:bottom w:w="11" w:type="dxa"/>
              <w:right w:w="57" w:type="dxa"/>
            </w:tcMar>
          </w:tcPr>
          <w:p w14:paraId="0A668ABF" w14:textId="2555E7D8"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1,576.9</w:t>
            </w:r>
          </w:p>
        </w:tc>
      </w:tr>
      <w:tr w:rsidR="00646F4F" w:rsidRPr="00735726" w14:paraId="0AAE6719" w14:textId="77777777" w:rsidTr="00CE19B2">
        <w:trPr>
          <w:trHeight w:val="228"/>
        </w:trPr>
        <w:tc>
          <w:tcPr>
            <w:tcW w:w="4455" w:type="dxa"/>
            <w:tcMar>
              <w:top w:w="11" w:type="dxa"/>
              <w:left w:w="57" w:type="dxa"/>
              <w:bottom w:w="11" w:type="dxa"/>
              <w:right w:w="57" w:type="dxa"/>
            </w:tcMar>
          </w:tcPr>
          <w:p w14:paraId="6E59C41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368" w:name="XMETag_c9b99bb2491a401bbc6be4a786fb10cc" w:colFirst="1" w:colLast="1"/>
            <w:bookmarkStart w:id="369" w:name="XMETag_64dbaa7ea21d4185b81779fa4bd2db00" w:colFirst="2" w:colLast="2"/>
            <w:bookmarkStart w:id="370" w:name="XMETag_8ea45234e1d947b196234e5f6a8104a5" w:colFirst="3" w:colLast="3"/>
            <w:bookmarkStart w:id="371" w:name="XMETag_468021cfe8d74cca8603e797aeeab91f" w:colFirst="4" w:colLast="4"/>
            <w:bookmarkStart w:id="372" w:name="XMETag_0be18f78e8c94c9da9059cf6ede115ee" w:colFirst="5" w:colLast="5"/>
            <w:bookmarkEnd w:id="363"/>
            <w:bookmarkEnd w:id="364"/>
            <w:bookmarkEnd w:id="365"/>
            <w:bookmarkEnd w:id="366"/>
            <w:bookmarkEnd w:id="367"/>
            <w:r w:rsidRPr="00735726">
              <w:rPr>
                <w:rFonts w:ascii="Arial" w:eastAsia="Times New Roman" w:hAnsi="Arial" w:cs="DINOT-Light"/>
                <w:sz w:val="18"/>
                <w:szCs w:val="18"/>
              </w:rPr>
              <w:t>Trade and other payables</w:t>
            </w:r>
          </w:p>
        </w:tc>
        <w:tc>
          <w:tcPr>
            <w:tcW w:w="1113" w:type="dxa"/>
            <w:tcMar>
              <w:top w:w="11" w:type="dxa"/>
              <w:left w:w="57" w:type="dxa"/>
              <w:bottom w:w="11" w:type="dxa"/>
              <w:right w:w="57" w:type="dxa"/>
            </w:tcMar>
          </w:tcPr>
          <w:p w14:paraId="04C5C31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427.8</w:t>
            </w:r>
          </w:p>
        </w:tc>
        <w:tc>
          <w:tcPr>
            <w:tcW w:w="1113" w:type="dxa"/>
            <w:tcMar>
              <w:top w:w="11" w:type="dxa"/>
              <w:left w:w="57" w:type="dxa"/>
              <w:bottom w:w="11" w:type="dxa"/>
              <w:right w:w="57" w:type="dxa"/>
            </w:tcMar>
          </w:tcPr>
          <w:p w14:paraId="31D902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1113" w:type="dxa"/>
            <w:tcMar>
              <w:top w:w="11" w:type="dxa"/>
              <w:left w:w="57" w:type="dxa"/>
              <w:bottom w:w="11" w:type="dxa"/>
              <w:right w:w="57" w:type="dxa"/>
            </w:tcMar>
          </w:tcPr>
          <w:p w14:paraId="6D4478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1113" w:type="dxa"/>
            <w:tcMar>
              <w:top w:w="11" w:type="dxa"/>
              <w:left w:w="57" w:type="dxa"/>
              <w:bottom w:w="11" w:type="dxa"/>
              <w:right w:w="57" w:type="dxa"/>
            </w:tcMar>
          </w:tcPr>
          <w:p w14:paraId="76E2C6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1112" w:type="dxa"/>
            <w:tcMar>
              <w:top w:w="11" w:type="dxa"/>
              <w:left w:w="57" w:type="dxa"/>
              <w:bottom w:w="11" w:type="dxa"/>
              <w:right w:w="57" w:type="dxa"/>
            </w:tcMar>
          </w:tcPr>
          <w:p w14:paraId="74DE2E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427.8</w:t>
            </w:r>
          </w:p>
        </w:tc>
      </w:tr>
      <w:bookmarkEnd w:id="368"/>
      <w:bookmarkEnd w:id="369"/>
      <w:bookmarkEnd w:id="370"/>
      <w:bookmarkEnd w:id="371"/>
      <w:bookmarkEnd w:id="372"/>
      <w:tr w:rsidR="00646F4F" w:rsidRPr="00735726" w14:paraId="2FCA4056" w14:textId="77777777" w:rsidTr="00CE19B2">
        <w:trPr>
          <w:trHeight w:val="228"/>
        </w:trPr>
        <w:tc>
          <w:tcPr>
            <w:tcW w:w="4455" w:type="dxa"/>
            <w:tcMar>
              <w:top w:w="11" w:type="dxa"/>
              <w:left w:w="57" w:type="dxa"/>
              <w:bottom w:w="11" w:type="dxa"/>
              <w:right w:w="57" w:type="dxa"/>
            </w:tcMar>
          </w:tcPr>
          <w:p w14:paraId="5FB5D08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r w:rsidRPr="00735726">
              <w:rPr>
                <w:rFonts w:ascii="Arial" w:eastAsia="Times New Roman" w:hAnsi="Arial" w:cs="DINOT-Light"/>
                <w:b/>
                <w:sz w:val="18"/>
                <w:szCs w:val="18"/>
              </w:rPr>
              <w:t>Derivative financial liabilities</w:t>
            </w:r>
          </w:p>
        </w:tc>
        <w:tc>
          <w:tcPr>
            <w:tcW w:w="1113" w:type="dxa"/>
            <w:tcMar>
              <w:top w:w="11" w:type="dxa"/>
              <w:left w:w="57" w:type="dxa"/>
              <w:bottom w:w="11" w:type="dxa"/>
              <w:right w:w="57" w:type="dxa"/>
            </w:tcMar>
          </w:tcPr>
          <w:p w14:paraId="5D0D5F1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c>
          <w:tcPr>
            <w:tcW w:w="1113" w:type="dxa"/>
            <w:tcMar>
              <w:top w:w="11" w:type="dxa"/>
              <w:left w:w="57" w:type="dxa"/>
              <w:bottom w:w="11" w:type="dxa"/>
              <w:right w:w="57" w:type="dxa"/>
            </w:tcMar>
          </w:tcPr>
          <w:p w14:paraId="65071C2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c>
          <w:tcPr>
            <w:tcW w:w="1113" w:type="dxa"/>
            <w:tcMar>
              <w:top w:w="11" w:type="dxa"/>
              <w:left w:w="57" w:type="dxa"/>
              <w:bottom w:w="11" w:type="dxa"/>
              <w:right w:w="57" w:type="dxa"/>
            </w:tcMar>
          </w:tcPr>
          <w:p w14:paraId="5CD0C41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c>
          <w:tcPr>
            <w:tcW w:w="1113" w:type="dxa"/>
            <w:tcMar>
              <w:top w:w="11" w:type="dxa"/>
              <w:left w:w="57" w:type="dxa"/>
              <w:bottom w:w="11" w:type="dxa"/>
              <w:right w:w="57" w:type="dxa"/>
            </w:tcMar>
          </w:tcPr>
          <w:p w14:paraId="5000573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c>
          <w:tcPr>
            <w:tcW w:w="1112" w:type="dxa"/>
            <w:tcMar>
              <w:top w:w="11" w:type="dxa"/>
              <w:left w:w="57" w:type="dxa"/>
              <w:bottom w:w="11" w:type="dxa"/>
              <w:right w:w="57" w:type="dxa"/>
            </w:tcMar>
          </w:tcPr>
          <w:p w14:paraId="381F9CA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r>
      <w:tr w:rsidR="00646F4F" w:rsidRPr="00735726" w14:paraId="446AD0E3" w14:textId="77777777" w:rsidTr="00CE19B2">
        <w:trPr>
          <w:trHeight w:val="228"/>
        </w:trPr>
        <w:tc>
          <w:tcPr>
            <w:tcW w:w="4455" w:type="dxa"/>
            <w:tcMar>
              <w:top w:w="11" w:type="dxa"/>
              <w:left w:w="57" w:type="dxa"/>
              <w:bottom w:w="11" w:type="dxa"/>
              <w:right w:w="57" w:type="dxa"/>
            </w:tcMar>
          </w:tcPr>
          <w:p w14:paraId="7D12F283" w14:textId="1BE001DD"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Derivative contracts </w:t>
            </w:r>
            <w:r w:rsidR="006C1BA9" w:rsidRPr="00735726">
              <w:rPr>
                <w:rFonts w:ascii="Arial" w:eastAsia="Times New Roman" w:hAnsi="Arial" w:cs="DINOT-Light"/>
                <w:sz w:val="18"/>
                <w:szCs w:val="18"/>
              </w:rPr>
              <w:t xml:space="preserve">- </w:t>
            </w:r>
            <w:r w:rsidRPr="00735726">
              <w:rPr>
                <w:rFonts w:ascii="Arial" w:eastAsia="Times New Roman" w:hAnsi="Arial" w:cs="DINOT-Light"/>
                <w:sz w:val="18"/>
                <w:szCs w:val="18"/>
              </w:rPr>
              <w:t>net receipts</w:t>
            </w:r>
          </w:p>
        </w:tc>
        <w:tc>
          <w:tcPr>
            <w:tcW w:w="1113" w:type="dxa"/>
            <w:tcMar>
              <w:top w:w="11" w:type="dxa"/>
              <w:left w:w="57" w:type="dxa"/>
              <w:bottom w:w="11" w:type="dxa"/>
              <w:right w:w="57" w:type="dxa"/>
            </w:tcMar>
          </w:tcPr>
          <w:p w14:paraId="5AEE9289" w14:textId="46FB3BBF"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(7.3)</w:t>
            </w:r>
          </w:p>
        </w:tc>
        <w:tc>
          <w:tcPr>
            <w:tcW w:w="1113" w:type="dxa"/>
            <w:tcMar>
              <w:top w:w="11" w:type="dxa"/>
              <w:left w:w="57" w:type="dxa"/>
              <w:bottom w:w="11" w:type="dxa"/>
              <w:right w:w="57" w:type="dxa"/>
            </w:tcMar>
          </w:tcPr>
          <w:p w14:paraId="0D7870DB" w14:textId="2B137F13"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(5.1)</w:t>
            </w:r>
          </w:p>
        </w:tc>
        <w:tc>
          <w:tcPr>
            <w:tcW w:w="1113" w:type="dxa"/>
            <w:tcMar>
              <w:top w:w="11" w:type="dxa"/>
              <w:left w:w="57" w:type="dxa"/>
              <w:bottom w:w="11" w:type="dxa"/>
              <w:right w:w="57" w:type="dxa"/>
            </w:tcMar>
          </w:tcPr>
          <w:p w14:paraId="608E484A" w14:textId="0099C6E1"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(15.8)</w:t>
            </w:r>
          </w:p>
        </w:tc>
        <w:tc>
          <w:tcPr>
            <w:tcW w:w="1113" w:type="dxa"/>
            <w:tcMar>
              <w:top w:w="11" w:type="dxa"/>
              <w:left w:w="57" w:type="dxa"/>
              <w:bottom w:w="11" w:type="dxa"/>
              <w:right w:w="57" w:type="dxa"/>
            </w:tcMar>
          </w:tcPr>
          <w:p w14:paraId="4D782AB4" w14:textId="6B3E5DFA"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(3.2)</w:t>
            </w:r>
          </w:p>
        </w:tc>
        <w:tc>
          <w:tcPr>
            <w:tcW w:w="1112" w:type="dxa"/>
            <w:tcMar>
              <w:top w:w="11" w:type="dxa"/>
              <w:left w:w="57" w:type="dxa"/>
              <w:bottom w:w="11" w:type="dxa"/>
              <w:right w:w="57" w:type="dxa"/>
            </w:tcMar>
          </w:tcPr>
          <w:p w14:paraId="160B23D8" w14:textId="26C5B472" w:rsidR="00646F4F" w:rsidRPr="00735726" w:rsidRDefault="003F732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(31.4)</w:t>
            </w:r>
          </w:p>
        </w:tc>
      </w:tr>
    </w:tbl>
    <w:p w14:paraId="50DC6FE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FF0000"/>
          <w:sz w:val="18"/>
          <w:szCs w:val="18"/>
        </w:rPr>
      </w:pPr>
    </w:p>
    <w:tbl>
      <w:tblPr>
        <w:tblW w:w="9991" w:type="dxa"/>
        <w:tblInd w:w="8" w:type="dxa"/>
        <w:tblLayout w:type="fixed"/>
        <w:tblCellMar>
          <w:left w:w="0" w:type="dxa"/>
          <w:right w:w="0" w:type="dxa"/>
        </w:tblCellMar>
        <w:tblLook w:val="0000" w:firstRow="0" w:lastRow="0" w:firstColumn="0" w:lastColumn="0" w:noHBand="0" w:noVBand="0"/>
      </w:tblPr>
      <w:tblGrid>
        <w:gridCol w:w="4442"/>
        <w:gridCol w:w="1110"/>
        <w:gridCol w:w="1110"/>
        <w:gridCol w:w="1110"/>
        <w:gridCol w:w="1110"/>
        <w:gridCol w:w="1109"/>
      </w:tblGrid>
      <w:tr w:rsidR="00646F4F" w:rsidRPr="00735726" w14:paraId="3D04E99A" w14:textId="77777777" w:rsidTr="00CE19B2">
        <w:trPr>
          <w:trHeight w:val="267"/>
          <w:tblHeader/>
        </w:trPr>
        <w:tc>
          <w:tcPr>
            <w:tcW w:w="4442" w:type="dxa"/>
            <w:tcMar>
              <w:top w:w="11" w:type="dxa"/>
              <w:left w:w="57" w:type="dxa"/>
              <w:bottom w:w="11" w:type="dxa"/>
              <w:right w:w="57" w:type="dxa"/>
            </w:tcMar>
          </w:tcPr>
          <w:p w14:paraId="33BCD54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p>
          <w:p w14:paraId="6E4F6DD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r w:rsidRPr="00735726">
              <w:rPr>
                <w:rFonts w:ascii="Arial" w:eastAsia="Times New Roman" w:hAnsi="Arial" w:cs="DINOT-Light"/>
                <w:b/>
                <w:sz w:val="18"/>
                <w:szCs w:val="18"/>
              </w:rPr>
              <w:t>31 March 2025</w:t>
            </w:r>
          </w:p>
        </w:tc>
        <w:tc>
          <w:tcPr>
            <w:tcW w:w="1110" w:type="dxa"/>
            <w:tcMar>
              <w:top w:w="11" w:type="dxa"/>
              <w:left w:w="57" w:type="dxa"/>
              <w:bottom w:w="11" w:type="dxa"/>
              <w:right w:w="57" w:type="dxa"/>
            </w:tcMar>
            <w:vAlign w:val="bottom"/>
          </w:tcPr>
          <w:p w14:paraId="7834E76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p w14:paraId="209D69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 xml:space="preserve">Due within </w:t>
            </w:r>
            <w:r w:rsidRPr="00735726">
              <w:rPr>
                <w:rFonts w:ascii="Arial" w:eastAsia="Times New Roman" w:hAnsi="Arial" w:cs="DINOT-Light"/>
                <w:b/>
                <w:sz w:val="18"/>
                <w:szCs w:val="18"/>
              </w:rPr>
              <w:br/>
              <w:t xml:space="preserve">1 year </w:t>
            </w:r>
          </w:p>
          <w:p w14:paraId="51D9B8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£m</w:t>
            </w:r>
          </w:p>
        </w:tc>
        <w:tc>
          <w:tcPr>
            <w:tcW w:w="1110" w:type="dxa"/>
            <w:tcMar>
              <w:top w:w="11" w:type="dxa"/>
              <w:left w:w="57" w:type="dxa"/>
              <w:bottom w:w="11" w:type="dxa"/>
              <w:right w:w="57" w:type="dxa"/>
            </w:tcMar>
            <w:vAlign w:val="bottom"/>
          </w:tcPr>
          <w:p w14:paraId="287C3AD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p w14:paraId="40EB35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 xml:space="preserve">Due between </w:t>
            </w:r>
            <w:r w:rsidRPr="00735726">
              <w:rPr>
                <w:rFonts w:ascii="Arial" w:eastAsia="Times New Roman" w:hAnsi="Arial" w:cs="DINOT-Light"/>
                <w:b/>
                <w:sz w:val="18"/>
                <w:szCs w:val="18"/>
              </w:rPr>
              <w:br/>
              <w:t xml:space="preserve">1 and 2 years </w:t>
            </w:r>
          </w:p>
          <w:p w14:paraId="1A67F4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£m</w:t>
            </w:r>
          </w:p>
        </w:tc>
        <w:tc>
          <w:tcPr>
            <w:tcW w:w="1110" w:type="dxa"/>
            <w:tcMar>
              <w:top w:w="11" w:type="dxa"/>
              <w:left w:w="57" w:type="dxa"/>
              <w:bottom w:w="11" w:type="dxa"/>
              <w:right w:w="57" w:type="dxa"/>
            </w:tcMar>
            <w:vAlign w:val="bottom"/>
          </w:tcPr>
          <w:p w14:paraId="2127610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p w14:paraId="7EC1E30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 xml:space="preserve">Due between </w:t>
            </w:r>
            <w:r w:rsidRPr="00735726">
              <w:rPr>
                <w:rFonts w:ascii="Arial" w:eastAsia="Times New Roman" w:hAnsi="Arial" w:cs="DINOT-Light"/>
                <w:b/>
                <w:sz w:val="18"/>
                <w:szCs w:val="18"/>
              </w:rPr>
              <w:br/>
              <w:t xml:space="preserve">2 and 5 years </w:t>
            </w:r>
          </w:p>
          <w:p w14:paraId="6F2F075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£m</w:t>
            </w:r>
          </w:p>
        </w:tc>
        <w:tc>
          <w:tcPr>
            <w:tcW w:w="1110" w:type="dxa"/>
            <w:tcMar>
              <w:top w:w="11" w:type="dxa"/>
              <w:left w:w="57" w:type="dxa"/>
              <w:bottom w:w="11" w:type="dxa"/>
              <w:right w:w="57" w:type="dxa"/>
            </w:tcMar>
            <w:vAlign w:val="bottom"/>
          </w:tcPr>
          <w:p w14:paraId="7A3A5ED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p w14:paraId="2C543E4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Over 5 years</w:t>
            </w:r>
          </w:p>
          <w:p w14:paraId="36E63F9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£m</w:t>
            </w:r>
          </w:p>
        </w:tc>
        <w:tc>
          <w:tcPr>
            <w:tcW w:w="1109" w:type="dxa"/>
            <w:tcMar>
              <w:top w:w="11" w:type="dxa"/>
              <w:left w:w="57" w:type="dxa"/>
              <w:bottom w:w="11" w:type="dxa"/>
              <w:right w:w="57" w:type="dxa"/>
            </w:tcMar>
            <w:vAlign w:val="bottom"/>
          </w:tcPr>
          <w:p w14:paraId="3A21C81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br/>
              <w:t>Total</w:t>
            </w:r>
            <w:r w:rsidRPr="00735726">
              <w:rPr>
                <w:rFonts w:ascii="Arial" w:eastAsia="Times New Roman" w:hAnsi="Arial" w:cs="DINOT-Light"/>
                <w:b/>
                <w:sz w:val="18"/>
                <w:szCs w:val="18"/>
              </w:rPr>
              <w:br/>
              <w:t>£m</w:t>
            </w:r>
          </w:p>
        </w:tc>
      </w:tr>
      <w:tr w:rsidR="00646F4F" w:rsidRPr="00735726" w14:paraId="7096FD10" w14:textId="77777777" w:rsidTr="00CE19B2">
        <w:trPr>
          <w:trHeight w:val="228"/>
        </w:trPr>
        <w:tc>
          <w:tcPr>
            <w:tcW w:w="4442" w:type="dxa"/>
            <w:tcMar>
              <w:top w:w="11" w:type="dxa"/>
              <w:left w:w="57" w:type="dxa"/>
              <w:bottom w:w="11" w:type="dxa"/>
              <w:right w:w="57" w:type="dxa"/>
            </w:tcMar>
          </w:tcPr>
          <w:p w14:paraId="00827FF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r w:rsidRPr="00735726">
              <w:rPr>
                <w:rFonts w:ascii="Arial" w:eastAsia="Times New Roman" w:hAnsi="Arial" w:cs="DINOT-Light"/>
                <w:b/>
                <w:sz w:val="18"/>
                <w:szCs w:val="18"/>
              </w:rPr>
              <w:t>Non-derivative financial liabilities</w:t>
            </w:r>
          </w:p>
        </w:tc>
        <w:tc>
          <w:tcPr>
            <w:tcW w:w="1110" w:type="dxa"/>
            <w:tcMar>
              <w:top w:w="11" w:type="dxa"/>
              <w:left w:w="57" w:type="dxa"/>
              <w:bottom w:w="11" w:type="dxa"/>
              <w:right w:w="57" w:type="dxa"/>
            </w:tcMar>
          </w:tcPr>
          <w:p w14:paraId="29747B2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10" w:type="dxa"/>
            <w:tcMar>
              <w:top w:w="11" w:type="dxa"/>
              <w:left w:w="57" w:type="dxa"/>
              <w:bottom w:w="11" w:type="dxa"/>
              <w:right w:w="57" w:type="dxa"/>
            </w:tcMar>
          </w:tcPr>
          <w:p w14:paraId="74A55F2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10" w:type="dxa"/>
            <w:tcMar>
              <w:top w:w="11" w:type="dxa"/>
              <w:left w:w="57" w:type="dxa"/>
              <w:bottom w:w="11" w:type="dxa"/>
              <w:right w:w="57" w:type="dxa"/>
            </w:tcMar>
          </w:tcPr>
          <w:p w14:paraId="073F8A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10" w:type="dxa"/>
            <w:tcMar>
              <w:top w:w="11" w:type="dxa"/>
              <w:left w:w="57" w:type="dxa"/>
              <w:bottom w:w="11" w:type="dxa"/>
              <w:right w:w="57" w:type="dxa"/>
            </w:tcMar>
          </w:tcPr>
          <w:p w14:paraId="2BA316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c>
          <w:tcPr>
            <w:tcW w:w="1109" w:type="dxa"/>
            <w:tcMar>
              <w:top w:w="11" w:type="dxa"/>
              <w:left w:w="57" w:type="dxa"/>
              <w:bottom w:w="11" w:type="dxa"/>
              <w:right w:w="57" w:type="dxa"/>
            </w:tcMar>
          </w:tcPr>
          <w:p w14:paraId="2AA0A9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p>
        </w:tc>
      </w:tr>
      <w:tr w:rsidR="00646F4F" w:rsidRPr="00735726" w14:paraId="07C69C0D" w14:textId="77777777" w:rsidTr="00CE19B2">
        <w:trPr>
          <w:trHeight w:val="228"/>
        </w:trPr>
        <w:tc>
          <w:tcPr>
            <w:tcW w:w="4442" w:type="dxa"/>
            <w:tcMar>
              <w:top w:w="11" w:type="dxa"/>
              <w:left w:w="57" w:type="dxa"/>
              <w:bottom w:w="11" w:type="dxa"/>
              <w:right w:w="57" w:type="dxa"/>
            </w:tcMar>
          </w:tcPr>
          <w:p w14:paraId="6B774EA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373" w:name="XMETag_3441e33bdc884972bef0554cb6106d72" w:colFirst="1" w:colLast="1"/>
            <w:bookmarkStart w:id="374" w:name="XMETag_cddeef5e9c2447709e6935c1062eb64b" w:colFirst="2" w:colLast="2"/>
            <w:bookmarkStart w:id="375" w:name="XMETag_1c8fcbc11b0a4083aa2dd9373ace8d38" w:colFirst="3" w:colLast="3"/>
            <w:bookmarkStart w:id="376" w:name="XMETag_9299298337cf4870a1497a72ec6a1082" w:colFirst="4" w:colLast="4"/>
            <w:bookmarkStart w:id="377" w:name="XMETag_4ebf8041865049649e6e002d3c567f15" w:colFirst="5" w:colLast="5"/>
            <w:r w:rsidRPr="00735726">
              <w:rPr>
                <w:rFonts w:ascii="Arial" w:eastAsia="Times New Roman" w:hAnsi="Arial" w:cs="DINOT-Light"/>
                <w:sz w:val="18"/>
                <w:szCs w:val="18"/>
              </w:rPr>
              <w:t xml:space="preserve">Borrowings excluding finance lease liabilities </w:t>
            </w:r>
          </w:p>
        </w:tc>
        <w:tc>
          <w:tcPr>
            <w:tcW w:w="1110" w:type="dxa"/>
            <w:tcMar>
              <w:top w:w="11" w:type="dxa"/>
              <w:left w:w="57" w:type="dxa"/>
              <w:bottom w:w="11" w:type="dxa"/>
              <w:right w:w="57" w:type="dxa"/>
            </w:tcMar>
          </w:tcPr>
          <w:p w14:paraId="5B10BEE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104.9</w:t>
            </w:r>
          </w:p>
        </w:tc>
        <w:tc>
          <w:tcPr>
            <w:tcW w:w="1110" w:type="dxa"/>
            <w:tcMar>
              <w:top w:w="11" w:type="dxa"/>
              <w:left w:w="57" w:type="dxa"/>
              <w:bottom w:w="11" w:type="dxa"/>
              <w:right w:w="57" w:type="dxa"/>
            </w:tcMar>
          </w:tcPr>
          <w:p w14:paraId="2C79396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57.8</w:t>
            </w:r>
          </w:p>
        </w:tc>
        <w:tc>
          <w:tcPr>
            <w:tcW w:w="1110" w:type="dxa"/>
            <w:tcMar>
              <w:top w:w="11" w:type="dxa"/>
              <w:left w:w="57" w:type="dxa"/>
              <w:bottom w:w="11" w:type="dxa"/>
              <w:right w:w="57" w:type="dxa"/>
            </w:tcMar>
          </w:tcPr>
          <w:p w14:paraId="419B09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196.7</w:t>
            </w:r>
          </w:p>
        </w:tc>
        <w:tc>
          <w:tcPr>
            <w:tcW w:w="1110" w:type="dxa"/>
            <w:tcMar>
              <w:top w:w="11" w:type="dxa"/>
              <w:left w:w="57" w:type="dxa"/>
              <w:bottom w:w="11" w:type="dxa"/>
              <w:right w:w="57" w:type="dxa"/>
            </w:tcMar>
          </w:tcPr>
          <w:p w14:paraId="73C142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2,479.3</w:t>
            </w:r>
          </w:p>
        </w:tc>
        <w:tc>
          <w:tcPr>
            <w:tcW w:w="1109" w:type="dxa"/>
            <w:tcMar>
              <w:top w:w="11" w:type="dxa"/>
              <w:left w:w="57" w:type="dxa"/>
              <w:bottom w:w="11" w:type="dxa"/>
              <w:right w:w="57" w:type="dxa"/>
            </w:tcMar>
          </w:tcPr>
          <w:p w14:paraId="581DBC1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2,838.7</w:t>
            </w:r>
          </w:p>
        </w:tc>
      </w:tr>
      <w:tr w:rsidR="00646F4F" w:rsidRPr="00735726" w14:paraId="6A77A8D4" w14:textId="77777777" w:rsidTr="00CE19B2">
        <w:trPr>
          <w:trHeight w:val="228"/>
        </w:trPr>
        <w:tc>
          <w:tcPr>
            <w:tcW w:w="4442" w:type="dxa"/>
            <w:tcMar>
              <w:top w:w="11" w:type="dxa"/>
              <w:left w:w="57" w:type="dxa"/>
              <w:bottom w:w="11" w:type="dxa"/>
              <w:right w:w="57" w:type="dxa"/>
            </w:tcMar>
          </w:tcPr>
          <w:p w14:paraId="695D475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378" w:name="XMETag_688f435168134274b01fb46d0df7dc84" w:colFirst="1" w:colLast="1"/>
            <w:bookmarkStart w:id="379" w:name="XMETag_207ed436e9f14e68a7a173386699ff72" w:colFirst="2" w:colLast="2"/>
            <w:bookmarkStart w:id="380" w:name="XMETag_8978da92e0dd426dbc8d0ea2790b74f0" w:colFirst="3" w:colLast="3"/>
            <w:bookmarkStart w:id="381" w:name="XMETag_8d6152d30c364461894d0dbcb9e6afa9" w:colFirst="4" w:colLast="4"/>
            <w:bookmarkStart w:id="382" w:name="XMETag_3fb2fe021b7c464fb3408aa9de5db849" w:colFirst="5" w:colLast="5"/>
            <w:bookmarkEnd w:id="373"/>
            <w:bookmarkEnd w:id="374"/>
            <w:bookmarkEnd w:id="375"/>
            <w:bookmarkEnd w:id="376"/>
            <w:bookmarkEnd w:id="377"/>
            <w:r w:rsidRPr="00735726">
              <w:rPr>
                <w:rFonts w:ascii="Arial" w:eastAsia="Times New Roman" w:hAnsi="Arial" w:cs="DINOT-Light"/>
                <w:sz w:val="18"/>
                <w:szCs w:val="18"/>
              </w:rPr>
              <w:t>Interest payments on borrowings</w:t>
            </w:r>
          </w:p>
        </w:tc>
        <w:tc>
          <w:tcPr>
            <w:tcW w:w="1110" w:type="dxa"/>
            <w:tcMar>
              <w:top w:w="11" w:type="dxa"/>
              <w:left w:w="57" w:type="dxa"/>
              <w:bottom w:w="11" w:type="dxa"/>
              <w:right w:w="57" w:type="dxa"/>
            </w:tcMar>
          </w:tcPr>
          <w:p w14:paraId="3A8672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159.1</w:t>
            </w:r>
          </w:p>
        </w:tc>
        <w:tc>
          <w:tcPr>
            <w:tcW w:w="1110" w:type="dxa"/>
            <w:tcMar>
              <w:top w:w="11" w:type="dxa"/>
              <w:left w:w="57" w:type="dxa"/>
              <w:bottom w:w="11" w:type="dxa"/>
              <w:right w:w="57" w:type="dxa"/>
            </w:tcMar>
          </w:tcPr>
          <w:p w14:paraId="52F4C3C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140.4</w:t>
            </w:r>
          </w:p>
        </w:tc>
        <w:tc>
          <w:tcPr>
            <w:tcW w:w="1110" w:type="dxa"/>
            <w:tcMar>
              <w:top w:w="11" w:type="dxa"/>
              <w:left w:w="57" w:type="dxa"/>
              <w:bottom w:w="11" w:type="dxa"/>
              <w:right w:w="57" w:type="dxa"/>
            </w:tcMar>
          </w:tcPr>
          <w:p w14:paraId="130741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470.3</w:t>
            </w:r>
          </w:p>
        </w:tc>
        <w:tc>
          <w:tcPr>
            <w:tcW w:w="1110" w:type="dxa"/>
            <w:tcMar>
              <w:top w:w="11" w:type="dxa"/>
              <w:left w:w="57" w:type="dxa"/>
              <w:bottom w:w="11" w:type="dxa"/>
              <w:right w:w="57" w:type="dxa"/>
            </w:tcMar>
          </w:tcPr>
          <w:p w14:paraId="185CF2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1,745.7</w:t>
            </w:r>
          </w:p>
        </w:tc>
        <w:tc>
          <w:tcPr>
            <w:tcW w:w="1109" w:type="dxa"/>
            <w:tcMar>
              <w:top w:w="11" w:type="dxa"/>
              <w:left w:w="57" w:type="dxa"/>
              <w:bottom w:w="11" w:type="dxa"/>
              <w:right w:w="57" w:type="dxa"/>
            </w:tcMar>
          </w:tcPr>
          <w:p w14:paraId="40DC9CC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2,515.5</w:t>
            </w:r>
          </w:p>
        </w:tc>
      </w:tr>
      <w:tr w:rsidR="00646F4F" w:rsidRPr="00735726" w14:paraId="35DF6461" w14:textId="77777777" w:rsidTr="00CE19B2">
        <w:trPr>
          <w:trHeight w:val="228"/>
        </w:trPr>
        <w:tc>
          <w:tcPr>
            <w:tcW w:w="4442" w:type="dxa"/>
            <w:tcMar>
              <w:top w:w="11" w:type="dxa"/>
              <w:left w:w="57" w:type="dxa"/>
              <w:bottom w:w="11" w:type="dxa"/>
              <w:right w:w="57" w:type="dxa"/>
            </w:tcMar>
          </w:tcPr>
          <w:p w14:paraId="0B94B6B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383" w:name="XMETag_62fd15cbc1df4bda868ade4b2f813d9c" w:colFirst="1" w:colLast="1"/>
            <w:bookmarkStart w:id="384" w:name="XMETag_85c52b60c6994506befa1d04968942e5" w:colFirst="2" w:colLast="2"/>
            <w:bookmarkStart w:id="385" w:name="XMETag_30470b1452cb41f6844bd8fd977b5ccd" w:colFirst="3" w:colLast="3"/>
            <w:bookmarkStart w:id="386" w:name="XMETag_a9d30174b3be459c941d5c87ac484e43" w:colFirst="4" w:colLast="4"/>
            <w:bookmarkStart w:id="387" w:name="XMETag_f78c8c9af08c4d26a7312fb3e40ce3ed" w:colFirst="5" w:colLast="5"/>
            <w:bookmarkEnd w:id="378"/>
            <w:bookmarkEnd w:id="379"/>
            <w:bookmarkEnd w:id="380"/>
            <w:bookmarkEnd w:id="381"/>
            <w:bookmarkEnd w:id="382"/>
            <w:r w:rsidRPr="00735726">
              <w:rPr>
                <w:rFonts w:ascii="Arial" w:eastAsia="Times New Roman" w:hAnsi="Arial" w:cs="DINOT-Light"/>
                <w:sz w:val="18"/>
                <w:szCs w:val="18"/>
              </w:rPr>
              <w:t>Lease liabilities including interest</w:t>
            </w:r>
          </w:p>
        </w:tc>
        <w:tc>
          <w:tcPr>
            <w:tcW w:w="1110" w:type="dxa"/>
            <w:tcMar>
              <w:top w:w="11" w:type="dxa"/>
              <w:left w:w="57" w:type="dxa"/>
              <w:bottom w:w="11" w:type="dxa"/>
              <w:right w:w="57" w:type="dxa"/>
            </w:tcMar>
          </w:tcPr>
          <w:p w14:paraId="633355D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156.2</w:t>
            </w:r>
          </w:p>
        </w:tc>
        <w:tc>
          <w:tcPr>
            <w:tcW w:w="1110" w:type="dxa"/>
            <w:tcMar>
              <w:top w:w="11" w:type="dxa"/>
              <w:left w:w="57" w:type="dxa"/>
              <w:bottom w:w="11" w:type="dxa"/>
              <w:right w:w="57" w:type="dxa"/>
            </w:tcMar>
          </w:tcPr>
          <w:p w14:paraId="436FEE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60.8</w:t>
            </w:r>
          </w:p>
        </w:tc>
        <w:tc>
          <w:tcPr>
            <w:tcW w:w="1110" w:type="dxa"/>
            <w:tcMar>
              <w:top w:w="11" w:type="dxa"/>
              <w:left w:w="57" w:type="dxa"/>
              <w:bottom w:w="11" w:type="dxa"/>
              <w:right w:w="57" w:type="dxa"/>
            </w:tcMar>
          </w:tcPr>
          <w:p w14:paraId="382300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297.9</w:t>
            </w:r>
          </w:p>
        </w:tc>
        <w:tc>
          <w:tcPr>
            <w:tcW w:w="1110" w:type="dxa"/>
            <w:tcMar>
              <w:top w:w="11" w:type="dxa"/>
              <w:left w:w="57" w:type="dxa"/>
              <w:bottom w:w="11" w:type="dxa"/>
              <w:right w:w="57" w:type="dxa"/>
            </w:tcMar>
          </w:tcPr>
          <w:p w14:paraId="31E4FE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1,095.5</w:t>
            </w:r>
          </w:p>
        </w:tc>
        <w:tc>
          <w:tcPr>
            <w:tcW w:w="1109" w:type="dxa"/>
            <w:tcMar>
              <w:top w:w="11" w:type="dxa"/>
              <w:left w:w="57" w:type="dxa"/>
              <w:bottom w:w="11" w:type="dxa"/>
              <w:right w:w="57" w:type="dxa"/>
            </w:tcMar>
          </w:tcPr>
          <w:p w14:paraId="390CA9E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1,610.4</w:t>
            </w:r>
          </w:p>
        </w:tc>
      </w:tr>
      <w:tr w:rsidR="00646F4F" w:rsidRPr="00735726" w14:paraId="332CC623" w14:textId="77777777" w:rsidTr="00CE19B2">
        <w:trPr>
          <w:trHeight w:val="228"/>
        </w:trPr>
        <w:tc>
          <w:tcPr>
            <w:tcW w:w="4442" w:type="dxa"/>
            <w:tcMar>
              <w:top w:w="11" w:type="dxa"/>
              <w:left w:w="57" w:type="dxa"/>
              <w:bottom w:w="11" w:type="dxa"/>
              <w:right w:w="57" w:type="dxa"/>
            </w:tcMar>
          </w:tcPr>
          <w:p w14:paraId="561AA61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bookmarkStart w:id="388" w:name="XMETag_bd78b95b57704e1eb7e92173c6104eb1" w:colFirst="1" w:colLast="1"/>
            <w:bookmarkStart w:id="389" w:name="XMETag_8a6cdb3a63a14f028338b10c90ac6ecb" w:colFirst="2" w:colLast="2"/>
            <w:bookmarkStart w:id="390" w:name="XMETag_cdc609d64ce44fdfa6e67549913f9e86" w:colFirst="3" w:colLast="3"/>
            <w:bookmarkStart w:id="391" w:name="XMETag_dc4028d127b34d9e86c75700ad8b48c1" w:colFirst="4" w:colLast="4"/>
            <w:bookmarkStart w:id="392" w:name="XMETag_a0667206d4d44bff814c5bdf494ea2bf" w:colFirst="5" w:colLast="5"/>
            <w:bookmarkEnd w:id="383"/>
            <w:bookmarkEnd w:id="384"/>
            <w:bookmarkEnd w:id="385"/>
            <w:bookmarkEnd w:id="386"/>
            <w:bookmarkEnd w:id="387"/>
            <w:r w:rsidRPr="00735726">
              <w:rPr>
                <w:rFonts w:ascii="Arial" w:eastAsia="Times New Roman" w:hAnsi="Arial" w:cs="DINOT-Light"/>
                <w:sz w:val="18"/>
                <w:szCs w:val="18"/>
              </w:rPr>
              <w:t>Trade and other payables</w:t>
            </w:r>
          </w:p>
        </w:tc>
        <w:tc>
          <w:tcPr>
            <w:tcW w:w="1110" w:type="dxa"/>
            <w:tcMar>
              <w:top w:w="11" w:type="dxa"/>
              <w:left w:w="57" w:type="dxa"/>
              <w:bottom w:w="11" w:type="dxa"/>
              <w:right w:w="57" w:type="dxa"/>
            </w:tcMar>
          </w:tcPr>
          <w:p w14:paraId="5761C9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221.7</w:t>
            </w:r>
          </w:p>
        </w:tc>
        <w:tc>
          <w:tcPr>
            <w:tcW w:w="1110" w:type="dxa"/>
            <w:tcMar>
              <w:top w:w="11" w:type="dxa"/>
              <w:left w:w="57" w:type="dxa"/>
              <w:bottom w:w="11" w:type="dxa"/>
              <w:right w:w="57" w:type="dxa"/>
            </w:tcMar>
          </w:tcPr>
          <w:p w14:paraId="5D742A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1110" w:type="dxa"/>
            <w:tcMar>
              <w:top w:w="11" w:type="dxa"/>
              <w:left w:w="57" w:type="dxa"/>
              <w:bottom w:w="11" w:type="dxa"/>
              <w:right w:w="57" w:type="dxa"/>
            </w:tcMar>
          </w:tcPr>
          <w:p w14:paraId="4C8B50F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1110" w:type="dxa"/>
            <w:tcMar>
              <w:top w:w="11" w:type="dxa"/>
              <w:left w:w="57" w:type="dxa"/>
              <w:bottom w:w="11" w:type="dxa"/>
              <w:right w:w="57" w:type="dxa"/>
            </w:tcMar>
          </w:tcPr>
          <w:p w14:paraId="17ADD9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w:t>
            </w:r>
          </w:p>
        </w:tc>
        <w:tc>
          <w:tcPr>
            <w:tcW w:w="1109" w:type="dxa"/>
            <w:tcMar>
              <w:top w:w="11" w:type="dxa"/>
              <w:left w:w="57" w:type="dxa"/>
              <w:bottom w:w="11" w:type="dxa"/>
              <w:right w:w="57" w:type="dxa"/>
            </w:tcMar>
          </w:tcPr>
          <w:p w14:paraId="0374CE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221.7</w:t>
            </w:r>
          </w:p>
        </w:tc>
      </w:tr>
      <w:bookmarkEnd w:id="388"/>
      <w:bookmarkEnd w:id="389"/>
      <w:bookmarkEnd w:id="390"/>
      <w:bookmarkEnd w:id="391"/>
      <w:bookmarkEnd w:id="392"/>
      <w:tr w:rsidR="00646F4F" w:rsidRPr="00735726" w14:paraId="4EBF63E9" w14:textId="77777777" w:rsidTr="00CE19B2">
        <w:trPr>
          <w:trHeight w:val="228"/>
        </w:trPr>
        <w:tc>
          <w:tcPr>
            <w:tcW w:w="4442" w:type="dxa"/>
            <w:tcMar>
              <w:top w:w="11" w:type="dxa"/>
              <w:left w:w="57" w:type="dxa"/>
              <w:bottom w:w="11" w:type="dxa"/>
              <w:right w:w="57" w:type="dxa"/>
            </w:tcMar>
          </w:tcPr>
          <w:p w14:paraId="57BA088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r w:rsidRPr="00735726">
              <w:rPr>
                <w:rFonts w:ascii="Arial" w:eastAsia="Times New Roman" w:hAnsi="Arial" w:cs="DINOT-Light"/>
                <w:b/>
                <w:sz w:val="18"/>
                <w:szCs w:val="18"/>
              </w:rPr>
              <w:t>Derivative financial liabilities</w:t>
            </w:r>
          </w:p>
        </w:tc>
        <w:tc>
          <w:tcPr>
            <w:tcW w:w="1110" w:type="dxa"/>
            <w:tcMar>
              <w:top w:w="11" w:type="dxa"/>
              <w:left w:w="57" w:type="dxa"/>
              <w:bottom w:w="11" w:type="dxa"/>
              <w:right w:w="57" w:type="dxa"/>
            </w:tcMar>
          </w:tcPr>
          <w:p w14:paraId="16E503E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c>
          <w:tcPr>
            <w:tcW w:w="1110" w:type="dxa"/>
            <w:tcMar>
              <w:top w:w="11" w:type="dxa"/>
              <w:left w:w="57" w:type="dxa"/>
              <w:bottom w:w="11" w:type="dxa"/>
              <w:right w:w="57" w:type="dxa"/>
            </w:tcMar>
          </w:tcPr>
          <w:p w14:paraId="6AD3498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c>
          <w:tcPr>
            <w:tcW w:w="1110" w:type="dxa"/>
            <w:tcMar>
              <w:top w:w="11" w:type="dxa"/>
              <w:left w:w="57" w:type="dxa"/>
              <w:bottom w:w="11" w:type="dxa"/>
              <w:right w:w="57" w:type="dxa"/>
            </w:tcMar>
          </w:tcPr>
          <w:p w14:paraId="46B871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c>
          <w:tcPr>
            <w:tcW w:w="1110" w:type="dxa"/>
            <w:tcMar>
              <w:top w:w="11" w:type="dxa"/>
              <w:left w:w="57" w:type="dxa"/>
              <w:bottom w:w="11" w:type="dxa"/>
              <w:right w:w="57" w:type="dxa"/>
            </w:tcMar>
          </w:tcPr>
          <w:p w14:paraId="2CECAA5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c>
          <w:tcPr>
            <w:tcW w:w="1109" w:type="dxa"/>
            <w:tcMar>
              <w:top w:w="11" w:type="dxa"/>
              <w:left w:w="57" w:type="dxa"/>
              <w:bottom w:w="11" w:type="dxa"/>
              <w:right w:w="57" w:type="dxa"/>
            </w:tcMar>
          </w:tcPr>
          <w:p w14:paraId="0E50D9C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p>
        </w:tc>
      </w:tr>
      <w:tr w:rsidR="00646F4F" w:rsidRPr="00735726" w14:paraId="7FE43D13" w14:textId="77777777" w:rsidTr="00CE19B2">
        <w:trPr>
          <w:trHeight w:val="228"/>
        </w:trPr>
        <w:tc>
          <w:tcPr>
            <w:tcW w:w="4442" w:type="dxa"/>
            <w:tcMar>
              <w:top w:w="11" w:type="dxa"/>
              <w:left w:w="57" w:type="dxa"/>
              <w:bottom w:w="11" w:type="dxa"/>
              <w:right w:w="57" w:type="dxa"/>
            </w:tcMar>
          </w:tcPr>
          <w:p w14:paraId="1F68B976" w14:textId="7BB44C21"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393" w:name="XMETag_8bacc57c20ef4388ba159146d7d7b829" w:colFirst="1" w:colLast="1"/>
            <w:bookmarkStart w:id="394" w:name="XMETag_364232f1f69148879589dfb68974fb7e" w:colFirst="2" w:colLast="2"/>
            <w:bookmarkStart w:id="395" w:name="XMETag_694d1f0e7ff4483d9ead9e1f7d36356c" w:colFirst="3" w:colLast="3"/>
            <w:bookmarkStart w:id="396" w:name="XMETag_666d9e7b9eab420491ffc2ad1d521dcf" w:colFirst="5" w:colLast="5"/>
            <w:r w:rsidRPr="00735726">
              <w:rPr>
                <w:rFonts w:ascii="Arial" w:eastAsia="Times New Roman" w:hAnsi="Arial" w:cs="DINOT-Light"/>
                <w:sz w:val="18"/>
                <w:szCs w:val="18"/>
              </w:rPr>
              <w:t xml:space="preserve">Derivative contracts </w:t>
            </w:r>
            <w:r w:rsidR="006C1BA9" w:rsidRPr="00735726">
              <w:rPr>
                <w:rFonts w:ascii="Arial" w:eastAsia="Times New Roman" w:hAnsi="Arial" w:cs="DINOT-Light"/>
                <w:sz w:val="18"/>
                <w:szCs w:val="18"/>
              </w:rPr>
              <w:t xml:space="preserve">- </w:t>
            </w:r>
            <w:r w:rsidRPr="00735726">
              <w:rPr>
                <w:rFonts w:ascii="Arial" w:eastAsia="Times New Roman" w:hAnsi="Arial" w:cs="DINOT-Light"/>
                <w:sz w:val="18"/>
                <w:szCs w:val="18"/>
              </w:rPr>
              <w:t>net receipts</w:t>
            </w:r>
          </w:p>
        </w:tc>
        <w:tc>
          <w:tcPr>
            <w:tcW w:w="1110" w:type="dxa"/>
            <w:tcMar>
              <w:top w:w="11" w:type="dxa"/>
              <w:left w:w="57" w:type="dxa"/>
              <w:bottom w:w="11" w:type="dxa"/>
              <w:right w:w="57" w:type="dxa"/>
            </w:tcMar>
          </w:tcPr>
          <w:p w14:paraId="0F9FB93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(6.9)</w:t>
            </w:r>
          </w:p>
        </w:tc>
        <w:tc>
          <w:tcPr>
            <w:tcW w:w="1110" w:type="dxa"/>
            <w:tcMar>
              <w:top w:w="11" w:type="dxa"/>
              <w:left w:w="57" w:type="dxa"/>
              <w:bottom w:w="11" w:type="dxa"/>
              <w:right w:w="57" w:type="dxa"/>
            </w:tcMar>
          </w:tcPr>
          <w:p w14:paraId="7D91222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(5.0)</w:t>
            </w:r>
          </w:p>
        </w:tc>
        <w:tc>
          <w:tcPr>
            <w:tcW w:w="1110" w:type="dxa"/>
            <w:tcMar>
              <w:top w:w="11" w:type="dxa"/>
              <w:left w:w="57" w:type="dxa"/>
              <w:bottom w:w="11" w:type="dxa"/>
              <w:right w:w="57" w:type="dxa"/>
            </w:tcMar>
          </w:tcPr>
          <w:p w14:paraId="43D94F8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(14.0)</w:t>
            </w:r>
          </w:p>
        </w:tc>
        <w:tc>
          <w:tcPr>
            <w:tcW w:w="1110" w:type="dxa"/>
            <w:tcMar>
              <w:top w:w="11" w:type="dxa"/>
              <w:left w:w="57" w:type="dxa"/>
              <w:bottom w:w="11" w:type="dxa"/>
              <w:right w:w="57" w:type="dxa"/>
            </w:tcMar>
          </w:tcPr>
          <w:p w14:paraId="02CD8C0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(5.2)</w:t>
            </w:r>
          </w:p>
        </w:tc>
        <w:tc>
          <w:tcPr>
            <w:tcW w:w="1109" w:type="dxa"/>
            <w:tcMar>
              <w:top w:w="11" w:type="dxa"/>
              <w:left w:w="57" w:type="dxa"/>
              <w:bottom w:w="11" w:type="dxa"/>
              <w:right w:w="57" w:type="dxa"/>
            </w:tcMar>
          </w:tcPr>
          <w:p w14:paraId="228268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(31.1)</w:t>
            </w:r>
          </w:p>
        </w:tc>
      </w:tr>
      <w:bookmarkEnd w:id="352"/>
      <w:bookmarkEnd w:id="393"/>
      <w:bookmarkEnd w:id="394"/>
      <w:bookmarkEnd w:id="395"/>
      <w:bookmarkEnd w:id="396"/>
    </w:tbl>
    <w:p w14:paraId="7207FCDB"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p w14:paraId="377C609C" w14:textId="77777777" w:rsidR="00646F4F" w:rsidRPr="00735726" w:rsidRDefault="00646F4F" w:rsidP="00646F4F">
      <w:pPr>
        <w:widowControl w:val="0"/>
        <w:suppressAutoHyphens/>
        <w:autoSpaceDE w:val="0"/>
        <w:autoSpaceDN w:val="0"/>
        <w:adjustRightInd w:val="0"/>
        <w:spacing w:after="0"/>
        <w:ind w:left="340" w:hanging="340"/>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ii)</w:t>
      </w:r>
      <w:r w:rsidRPr="00735726">
        <w:rPr>
          <w:rFonts w:ascii="Arial" w:eastAsia="Times New Roman" w:hAnsi="Arial" w:cs="DINOT-Light"/>
          <w:b/>
          <w:color w:val="000000"/>
          <w:sz w:val="18"/>
          <w:szCs w:val="18"/>
        </w:rPr>
        <w:tab/>
        <w:t>Market risk</w:t>
      </w:r>
    </w:p>
    <w:p w14:paraId="39930EAC" w14:textId="028E97F2"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bookmarkStart w:id="397" w:name="XMETag_629c96c268a04135ba4606436e150ce6"/>
      <w:r w:rsidRPr="00735726">
        <w:rPr>
          <w:rFonts w:ascii="Arial" w:eastAsia="Times New Roman" w:hAnsi="Arial" w:cs="DINOT-Light"/>
          <w:color w:val="000000"/>
          <w:sz w:val="18"/>
          <w:szCs w:val="18"/>
        </w:rPr>
        <w:t>The treasury policy states at least 60% of the Company’s debt should be fixed</w:t>
      </w:r>
      <w:r w:rsidR="00B722C5" w:rsidRPr="00735726">
        <w:rPr>
          <w:rFonts w:ascii="Arial" w:eastAsia="Times New Roman" w:hAnsi="Arial" w:cs="DINOT-Light"/>
          <w:color w:val="000000"/>
          <w:sz w:val="18"/>
          <w:szCs w:val="18"/>
        </w:rPr>
        <w:t>;</w:t>
      </w:r>
      <w:r w:rsidRPr="00735726">
        <w:rPr>
          <w:rFonts w:ascii="Arial" w:eastAsia="Times New Roman" w:hAnsi="Arial" w:cs="DINOT-Light"/>
          <w:color w:val="000000"/>
          <w:sz w:val="18"/>
          <w:szCs w:val="18"/>
        </w:rPr>
        <w:t xml:space="preserve"> this is managed through fixed rate debt and the use of derivatives to ensure these levels are met. Of the Company’s net </w:t>
      </w:r>
      <w:proofErr w:type="gramStart"/>
      <w:r w:rsidRPr="00735726">
        <w:rPr>
          <w:rFonts w:ascii="Arial" w:eastAsia="Times New Roman" w:hAnsi="Arial" w:cs="DINOT-Light"/>
          <w:color w:val="000000"/>
          <w:sz w:val="18"/>
          <w:szCs w:val="18"/>
        </w:rPr>
        <w:t>borrowings</w:t>
      </w:r>
      <w:proofErr w:type="gramEnd"/>
      <w:r w:rsidRPr="00735726">
        <w:rPr>
          <w:rFonts w:ascii="Arial" w:eastAsia="Times New Roman" w:hAnsi="Arial" w:cs="DINOT-Light"/>
          <w:color w:val="000000"/>
          <w:sz w:val="18"/>
          <w:szCs w:val="18"/>
        </w:rPr>
        <w:t xml:space="preserve"> a proportion is RPI </w:t>
      </w:r>
      <w:proofErr w:type="gramStart"/>
      <w:r w:rsidRPr="00735726">
        <w:rPr>
          <w:rFonts w:ascii="Arial" w:eastAsia="Times New Roman" w:hAnsi="Arial" w:cs="DINOT-Light"/>
          <w:color w:val="000000"/>
          <w:sz w:val="18"/>
          <w:szCs w:val="18"/>
        </w:rPr>
        <w:t>index-linked</w:t>
      </w:r>
      <w:proofErr w:type="gramEnd"/>
      <w:r w:rsidRPr="00735726">
        <w:rPr>
          <w:rFonts w:ascii="Arial" w:eastAsia="Times New Roman" w:hAnsi="Arial" w:cs="DINOT-Light"/>
          <w:color w:val="000000"/>
          <w:sz w:val="18"/>
          <w:szCs w:val="18"/>
        </w:rPr>
        <w:t xml:space="preserve">. The interest rate for index-linked debt is based mainly upon an RPI measure; due to current Ofwat methodology the Company has considered other borrowings linked to other indices, which are also used in determining the amount of revenue from customers. The Company uses a combination of fixed rate, index-linked </w:t>
      </w:r>
    </w:p>
    <w:p w14:paraId="59A6B9B2" w14:textId="641C839A"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borrowings and fixed rate interest swaps as cash flow hedges of future variable interest payments to achieve this policy. The notional principal amounts of the interest rate swaps are used to determine settlement under those swaps and are not therefore an exposure for the Company. These instruments are analysed in </w:t>
      </w:r>
      <w:r w:rsidRPr="009A2CAE">
        <w:rPr>
          <w:rFonts w:ascii="Arial" w:eastAsia="Times New Roman" w:hAnsi="Arial" w:cs="DINOT-Light"/>
          <w:color w:val="000000"/>
          <w:sz w:val="18"/>
          <w:szCs w:val="18"/>
        </w:rPr>
        <w:t>note 2</w:t>
      </w:r>
      <w:r w:rsidR="00B63B15" w:rsidRPr="009A2CAE">
        <w:rPr>
          <w:rFonts w:ascii="Arial" w:eastAsia="Times New Roman" w:hAnsi="Arial" w:cs="DINOT-Light"/>
          <w:color w:val="000000"/>
          <w:sz w:val="18"/>
          <w:szCs w:val="18"/>
        </w:rPr>
        <w:t>0</w:t>
      </w:r>
      <w:r w:rsidRPr="009A2CAE">
        <w:rPr>
          <w:rFonts w:ascii="Arial" w:eastAsia="Times New Roman" w:hAnsi="Arial" w:cs="DINOT-Light"/>
          <w:color w:val="000000"/>
          <w:sz w:val="18"/>
          <w:szCs w:val="18"/>
        </w:rPr>
        <w:t>.</w:t>
      </w:r>
    </w:p>
    <w:p w14:paraId="6C2EBA01"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57A2981F" w14:textId="353A0E3F"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has no significant interest-bearing assets upon which the net return fluctuates from market risk. Deposit interest receivable is expected to fluctuate in line with interest payable on floating rate borrowings. Consequently, the Company’s income and cash generated from operations </w:t>
      </w:r>
      <w:r w:rsidRPr="009A2CAE">
        <w:rPr>
          <w:rFonts w:ascii="Arial" w:eastAsia="Times New Roman" w:hAnsi="Arial" w:cs="DINOT-Light"/>
          <w:color w:val="000000"/>
          <w:sz w:val="18"/>
          <w:szCs w:val="18"/>
        </w:rPr>
        <w:t>(note 3</w:t>
      </w:r>
      <w:r w:rsidR="00B63B15" w:rsidRPr="009A2CAE">
        <w:rPr>
          <w:rFonts w:ascii="Arial" w:eastAsia="Times New Roman" w:hAnsi="Arial" w:cs="DINOT-Light"/>
          <w:color w:val="000000"/>
          <w:sz w:val="18"/>
          <w:szCs w:val="18"/>
        </w:rPr>
        <w:t>3</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are independent of changes in market interest rates.</w:t>
      </w:r>
    </w:p>
    <w:p w14:paraId="13B2BC80"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4AF628CE" w14:textId="118C6F54" w:rsidR="00646F4F" w:rsidRPr="00735726" w:rsidRDefault="00646F4F" w:rsidP="0090687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For 2026 if interest rates on variable net borrowings had been on average 1% higher/lower with all other variables held constant, post-tax profit for the year and equity would have increased/decreased by £</w:t>
      </w:r>
      <w:r w:rsidR="006F5A97" w:rsidRPr="00735726">
        <w:rPr>
          <w:rFonts w:ascii="Arial" w:eastAsia="Times New Roman" w:hAnsi="Arial" w:cs="DINOT-Light"/>
          <w:color w:val="000000"/>
          <w:sz w:val="18"/>
          <w:szCs w:val="18"/>
        </w:rPr>
        <w:t>1.3</w:t>
      </w:r>
      <w:r w:rsidRPr="00735726">
        <w:rPr>
          <w:rFonts w:ascii="Arial" w:eastAsia="Times New Roman" w:hAnsi="Arial" w:cs="DINOT-Light"/>
          <w:color w:val="000000"/>
          <w:sz w:val="18"/>
          <w:szCs w:val="18"/>
        </w:rPr>
        <w:t xml:space="preserve"> million (2025:</w:t>
      </w:r>
      <w:r w:rsidR="0090687F" w:rsidRPr="00735726">
        <w:rPr>
          <w:rFonts w:ascii="Arial" w:eastAsia="Times New Roman" w:hAnsi="Arial" w:cs="DINOT-Light"/>
          <w:color w:val="000000"/>
          <w:sz w:val="18"/>
          <w:szCs w:val="18"/>
        </w:rPr>
        <w:t xml:space="preserve"> post tax profit for the year and equity would have increased/decreased by</w:t>
      </w:r>
      <w:r w:rsidRPr="00735726">
        <w:rPr>
          <w:rFonts w:ascii="Arial" w:eastAsia="Times New Roman" w:hAnsi="Arial" w:cs="DINOT-Light"/>
          <w:color w:val="000000"/>
          <w:sz w:val="18"/>
          <w:szCs w:val="18"/>
        </w:rPr>
        <w:t xml:space="preserve"> £3.5 million), for the equity sensitivity fair value, with derivative impacts excluded. This provides an indication of the changes which could be expected and can be multiplied to support sensitivity analysis, the expected volatility is within the range of 0%-2%.</w:t>
      </w:r>
    </w:p>
    <w:p w14:paraId="60884A6A"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79BADB4" w14:textId="32EEEF4E" w:rsidR="00646F4F" w:rsidRPr="00735726" w:rsidRDefault="00646F4F" w:rsidP="0090687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For 2026 if the indices on index-linked borrowings had been on average 1% higher/lower with all other variables held constant, post-tax profit for the year and equity would have decreased/increased by £</w:t>
      </w:r>
      <w:r w:rsidR="006F5A97" w:rsidRPr="00735726">
        <w:rPr>
          <w:rFonts w:ascii="Arial" w:eastAsia="Times New Roman" w:hAnsi="Arial" w:cs="DINOT-Light"/>
          <w:color w:val="000000"/>
          <w:sz w:val="18"/>
          <w:szCs w:val="18"/>
        </w:rPr>
        <w:t>5.6</w:t>
      </w:r>
      <w:r w:rsidRPr="00735726">
        <w:rPr>
          <w:rFonts w:ascii="Arial" w:eastAsia="Times New Roman" w:hAnsi="Arial" w:cs="DINOT-Light"/>
          <w:color w:val="000000"/>
          <w:sz w:val="18"/>
          <w:szCs w:val="18"/>
        </w:rPr>
        <w:t xml:space="preserve"> million (2025: </w:t>
      </w:r>
      <w:r w:rsidR="0090687F" w:rsidRPr="00735726">
        <w:rPr>
          <w:rFonts w:ascii="Arial" w:eastAsia="Times New Roman" w:hAnsi="Arial" w:cs="DINOT-Light"/>
          <w:color w:val="000000"/>
          <w:sz w:val="18"/>
          <w:szCs w:val="18"/>
        </w:rPr>
        <w:t xml:space="preserve">tax profit for the year and equity would have increased/decreased by </w:t>
      </w:r>
      <w:r w:rsidRPr="00735726">
        <w:rPr>
          <w:rFonts w:ascii="Arial" w:eastAsia="Times New Roman" w:hAnsi="Arial" w:cs="DINOT-Light"/>
          <w:color w:val="000000"/>
          <w:sz w:val="18"/>
          <w:szCs w:val="18"/>
        </w:rPr>
        <w:t>£5.8 million). This provides an indication of the changes which could be expected and can be multiplied to support sensitivity analysis, the expected volatility is within the range of 0%-2%.</w:t>
      </w:r>
    </w:p>
    <w:p w14:paraId="436414E8"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aps/>
          <w:color w:val="000000"/>
          <w:sz w:val="18"/>
          <w:szCs w:val="18"/>
        </w:rPr>
        <w:lastRenderedPageBreak/>
        <w:t xml:space="preserve">3.    </w:t>
      </w:r>
      <w:r w:rsidRPr="00735726">
        <w:rPr>
          <w:rFonts w:ascii="Arial" w:eastAsia="Times New Roman" w:hAnsi="Arial" w:cs="Arial"/>
          <w:b/>
          <w:bCs/>
          <w:color w:val="000000"/>
          <w:sz w:val="18"/>
          <w:szCs w:val="18"/>
        </w:rPr>
        <w:t xml:space="preserve">FINANCIAL RISK MANAGEMENT </w:t>
      </w:r>
      <w:r w:rsidRPr="00735726">
        <w:rPr>
          <w:rFonts w:ascii="Arial" w:eastAsia="Times New Roman" w:hAnsi="Arial" w:cs="Arial"/>
          <w:b/>
          <w:bCs/>
          <w:caps/>
          <w:color w:val="000000"/>
          <w:sz w:val="18"/>
          <w:szCs w:val="18"/>
        </w:rPr>
        <w:t>(CONTINUED)</w:t>
      </w:r>
      <w:r w:rsidRPr="00735726">
        <w:rPr>
          <w:rFonts w:ascii="Arial" w:eastAsia="Times New Roman" w:hAnsi="Arial" w:cs="Arial"/>
          <w:b/>
          <w:bCs/>
          <w:caps/>
          <w:color w:val="000000"/>
          <w:sz w:val="18"/>
          <w:szCs w:val="18"/>
        </w:rPr>
        <w:br/>
      </w:r>
      <w:r w:rsidRPr="00735726">
        <w:rPr>
          <w:rFonts w:ascii="Arial" w:eastAsia="Times New Roman" w:hAnsi="Arial" w:cs="Arial"/>
          <w:b/>
          <w:bCs/>
          <w:color w:val="000000"/>
          <w:sz w:val="18"/>
          <w:szCs w:val="18"/>
        </w:rPr>
        <w:t>(a)</w:t>
      </w:r>
      <w:r w:rsidRPr="00735726">
        <w:rPr>
          <w:rFonts w:ascii="Arial" w:eastAsia="Times New Roman" w:hAnsi="Arial" w:cs="Arial"/>
          <w:b/>
          <w:bCs/>
          <w:color w:val="000000"/>
          <w:sz w:val="18"/>
          <w:szCs w:val="18"/>
        </w:rPr>
        <w:tab/>
        <w:t>Financial risk factors (continued)</w:t>
      </w:r>
    </w:p>
    <w:p w14:paraId="7182DB00"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DINOT-Light"/>
          <w:color w:val="000000"/>
          <w:sz w:val="18"/>
          <w:szCs w:val="18"/>
        </w:rPr>
        <w:t xml:space="preserve">Foreign currency risk occurs at transactional and translation level from borrowings and transactions in foreign </w:t>
      </w:r>
    </w:p>
    <w:p w14:paraId="44187D38"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currencies. These risks are managed through forward contracts, which provide certainty over foreign currency risk.</w:t>
      </w:r>
    </w:p>
    <w:p w14:paraId="7A88AEAC"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bookmarkEnd w:id="397"/>
    <w:p w14:paraId="68A1FAD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iii)     Credit risk</w:t>
      </w:r>
    </w:p>
    <w:p w14:paraId="291FE0FE" w14:textId="1EFAEC62"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398" w:name="XMETag_6b15b6b134f44eb3a1b044d88ba04c3a"/>
      <w:r w:rsidRPr="00735726">
        <w:rPr>
          <w:rFonts w:ascii="Arial" w:eastAsia="Times New Roman" w:hAnsi="Arial" w:cs="DINOT-Light"/>
          <w:color w:val="000000"/>
          <w:sz w:val="18"/>
          <w:szCs w:val="18"/>
        </w:rPr>
        <w:t xml:space="preserve">Credit counterparty risk arises from cash and cash equivalents, derivative financial instruments and exposure to customers, including outstanding receivables. Further information on the credit risk relating to trade and other receivables is given in </w:t>
      </w:r>
      <w:r w:rsidRPr="009A2CAE">
        <w:rPr>
          <w:rFonts w:ascii="Arial" w:eastAsia="Times New Roman" w:hAnsi="Arial" w:cs="DINOT-Light"/>
          <w:color w:val="000000"/>
          <w:sz w:val="18"/>
          <w:szCs w:val="18"/>
        </w:rPr>
        <w:t xml:space="preserve">note </w:t>
      </w:r>
      <w:r w:rsidR="00B63B15" w:rsidRPr="009A2CAE">
        <w:rPr>
          <w:rFonts w:ascii="Arial" w:eastAsia="Times New Roman" w:hAnsi="Arial" w:cs="DINOT-Light"/>
          <w:color w:val="000000"/>
          <w:sz w:val="18"/>
          <w:szCs w:val="18"/>
        </w:rPr>
        <w:t>19</w:t>
      </w:r>
      <w:r w:rsidRPr="009A2CAE">
        <w:rPr>
          <w:rFonts w:ascii="Arial" w:eastAsia="Times New Roman" w:hAnsi="Arial" w:cs="DINOT-Light"/>
          <w:color w:val="000000"/>
          <w:sz w:val="18"/>
          <w:szCs w:val="18"/>
        </w:rPr>
        <w:t>.</w:t>
      </w:r>
    </w:p>
    <w:p w14:paraId="47074B89"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2"/>
          <w:szCs w:val="18"/>
        </w:rPr>
      </w:pPr>
    </w:p>
    <w:p w14:paraId="7DE9A9B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Counterparty risk arises from the investment of surplus funds and from the use of derivative financial instruments. The Board has agreed a policy for managing such risk, which is controlled through credit limits, counterparty approvals, and rigorous monitoring procedures. </w:t>
      </w:r>
    </w:p>
    <w:p w14:paraId="0822029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2"/>
          <w:szCs w:val="18"/>
        </w:rPr>
      </w:pPr>
    </w:p>
    <w:p w14:paraId="1BC94A06"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Company has no other significant concentration of credit risk. The Company’s surplus funds are managed by the Company’s treasury function and are usually placed in short-term fixed interest deposits or the overnight money markets. Deposit counterparties must meet a Board approved minimum criteria based on their short-term credit rating and therefore be of good credit quality.</w:t>
      </w:r>
    </w:p>
    <w:p w14:paraId="14297763"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5D5D51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iv)     Inflation risk</w:t>
      </w:r>
    </w:p>
    <w:p w14:paraId="475C180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Market inflation has caused inflationary pressures across the Company. The Company has index linked facilities which are predominately Retail Price Index (RPI) linked.</w:t>
      </w:r>
    </w:p>
    <w:p w14:paraId="33120A5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5622E6D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Inflation risk arises if the indexes increase meaning the Company will either be paying or accreting the inflation, this could put pressure on the gearing or interest cover ratios. The Company has no significant concentration of inflation risk.</w:t>
      </w:r>
    </w:p>
    <w:p w14:paraId="13FDE9D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F01D2DA"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Inflation risk is mitigated through the index linked nature of our revenues and RCV calculations.</w:t>
      </w:r>
    </w:p>
    <w:p w14:paraId="5402A992"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p>
    <w:p w14:paraId="05301E9C"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(b)</w:t>
      </w:r>
      <w:r w:rsidRPr="00735726">
        <w:rPr>
          <w:rFonts w:ascii="Arial" w:eastAsia="Times New Roman" w:hAnsi="Arial" w:cs="Arial"/>
          <w:b/>
          <w:bCs/>
          <w:color w:val="000000"/>
          <w:sz w:val="18"/>
          <w:szCs w:val="18"/>
        </w:rPr>
        <w:tab/>
        <w:t>Capital risk management</w:t>
      </w:r>
    </w:p>
    <w:p w14:paraId="2212EE9C"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Company’s objectives when managing capital are to safeguard the Company’s ability to continue as a going concern </w:t>
      </w:r>
      <w:proofErr w:type="gramStart"/>
      <w:r w:rsidRPr="00735726">
        <w:rPr>
          <w:rFonts w:ascii="Arial" w:eastAsia="Times New Roman" w:hAnsi="Arial" w:cs="DINOT-Light"/>
          <w:color w:val="000000"/>
          <w:sz w:val="18"/>
          <w:szCs w:val="18"/>
        </w:rPr>
        <w:t>in order to</w:t>
      </w:r>
      <w:proofErr w:type="gramEnd"/>
      <w:r w:rsidRPr="00735726">
        <w:rPr>
          <w:rFonts w:ascii="Arial" w:eastAsia="Times New Roman" w:hAnsi="Arial" w:cs="DINOT-Light"/>
          <w:color w:val="000000"/>
          <w:sz w:val="18"/>
          <w:szCs w:val="18"/>
        </w:rPr>
        <w:t xml:space="preserve"> provide returns for shareholders and benefits for other stakeholders and to maintain an optimal capital structure to minimise the cost of capital.</w:t>
      </w:r>
    </w:p>
    <w:p w14:paraId="4B58A96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6"/>
          <w:szCs w:val="18"/>
        </w:rPr>
      </w:pPr>
    </w:p>
    <w:p w14:paraId="23674F8D" w14:textId="518CEEE8"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Company’s policy is to have a minimum of 12 months pre-funding of projected capital expenditure. </w:t>
      </w:r>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31 March 2026 the Company had cash and facilities, including restricted funds, of £</w:t>
      </w:r>
      <w:r w:rsidR="00542F30" w:rsidRPr="00735726">
        <w:rPr>
          <w:rFonts w:ascii="Arial" w:eastAsia="Times New Roman" w:hAnsi="Arial" w:cs="DINOT-Light"/>
          <w:color w:val="000000"/>
          <w:sz w:val="18"/>
          <w:szCs w:val="18"/>
        </w:rPr>
        <w:t>740.9</w:t>
      </w:r>
      <w:r w:rsidRPr="00735726">
        <w:rPr>
          <w:rFonts w:ascii="Arial" w:eastAsia="Times New Roman" w:hAnsi="Arial" w:cs="DINOT-Light"/>
          <w:color w:val="000000"/>
          <w:sz w:val="18"/>
          <w:szCs w:val="18"/>
        </w:rPr>
        <w:t xml:space="preserve"> million (2025: £696.7 million), meeting this objective.</w:t>
      </w:r>
    </w:p>
    <w:p w14:paraId="4D638F1E"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2"/>
          <w:szCs w:val="18"/>
        </w:rPr>
      </w:pPr>
    </w:p>
    <w:p w14:paraId="7F7642E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DINOT-Light"/>
          <w:color w:val="000000"/>
          <w:sz w:val="18"/>
          <w:szCs w:val="18"/>
        </w:rPr>
        <w:t xml:space="preserve">The Company monitors capital </w:t>
      </w:r>
      <w:proofErr w:type="gramStart"/>
      <w:r w:rsidRPr="00735726">
        <w:rPr>
          <w:rFonts w:ascii="Arial" w:eastAsia="Times New Roman" w:hAnsi="Arial" w:cs="DINOT-Light"/>
          <w:color w:val="000000"/>
          <w:sz w:val="18"/>
          <w:szCs w:val="18"/>
        </w:rPr>
        <w:t>on the basis of</w:t>
      </w:r>
      <w:proofErr w:type="gramEnd"/>
      <w:r w:rsidRPr="00735726">
        <w:rPr>
          <w:rFonts w:ascii="Arial" w:eastAsia="Times New Roman" w:hAnsi="Arial" w:cs="DINOT-Light"/>
          <w:color w:val="000000"/>
          <w:sz w:val="18"/>
          <w:szCs w:val="18"/>
        </w:rPr>
        <w:t xml:space="preserve"> the gearing ratio. This ratio is calculated as net borrowings divided </w:t>
      </w:r>
    </w:p>
    <w:p w14:paraId="76F13297" w14:textId="2BE89475"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by total capital. Net borrowings are analysed in </w:t>
      </w:r>
      <w:r w:rsidRPr="009A2CAE">
        <w:rPr>
          <w:rFonts w:ascii="Arial" w:eastAsia="Times New Roman" w:hAnsi="Arial" w:cs="DINOT-Light"/>
          <w:color w:val="000000"/>
          <w:sz w:val="18"/>
          <w:szCs w:val="18"/>
        </w:rPr>
        <w:t>note 3</w:t>
      </w:r>
      <w:r w:rsidR="00B63B15" w:rsidRPr="009A2CAE">
        <w:rPr>
          <w:rFonts w:ascii="Arial" w:eastAsia="Times New Roman" w:hAnsi="Arial" w:cs="DINOT-Light"/>
          <w:color w:val="000000"/>
          <w:sz w:val="18"/>
          <w:szCs w:val="18"/>
        </w:rPr>
        <w:t>4</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and is calculated as total borrowings less cash and cash equivalents. Total capital is calculated as equity plus net borrowings.</w:t>
      </w:r>
      <w:bookmarkEnd w:id="398"/>
      <w:r w:rsidRPr="00735726">
        <w:rPr>
          <w:rFonts w:ascii="Arial" w:eastAsia="Times New Roman" w:hAnsi="Arial" w:cs="DINOT-Light"/>
          <w:color w:val="000000"/>
          <w:sz w:val="18"/>
          <w:szCs w:val="18"/>
        </w:rPr>
        <w:t xml:space="preserve"> The Company currently manages a net borrowings position of £3,856.4 million (2025</w:t>
      </w:r>
      <w:r w:rsidR="00B63B15" w:rsidRPr="00735726">
        <w:rPr>
          <w:rFonts w:ascii="Arial" w:eastAsia="Times New Roman" w:hAnsi="Arial" w:cs="DINOT-Light"/>
          <w:color w:val="000000"/>
          <w:sz w:val="18"/>
          <w:szCs w:val="18"/>
        </w:rPr>
        <w:t>:</w:t>
      </w:r>
      <w:r w:rsidRPr="00735726">
        <w:rPr>
          <w:rFonts w:ascii="Arial" w:eastAsia="Times New Roman" w:hAnsi="Arial" w:cs="DINOT-Light"/>
          <w:color w:val="000000"/>
          <w:sz w:val="18"/>
          <w:szCs w:val="18"/>
        </w:rPr>
        <w:t xml:space="preserve"> £3,557.6 million).</w:t>
      </w:r>
    </w:p>
    <w:p w14:paraId="1E2EBE2C"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2"/>
          <w:szCs w:val="18"/>
        </w:rPr>
      </w:pPr>
    </w:p>
    <w:p w14:paraId="02426672"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gearing ratios at the balance sheet date were:</w:t>
      </w:r>
    </w:p>
    <w:tbl>
      <w:tblPr>
        <w:tblW w:w="9899" w:type="dxa"/>
        <w:tblInd w:w="8" w:type="dxa"/>
        <w:tblLayout w:type="fixed"/>
        <w:tblCellMar>
          <w:left w:w="0" w:type="dxa"/>
          <w:right w:w="0" w:type="dxa"/>
        </w:tblCellMar>
        <w:tblLook w:val="0000" w:firstRow="0" w:lastRow="0" w:firstColumn="0" w:lastColumn="0" w:noHBand="0" w:noVBand="0"/>
      </w:tblPr>
      <w:tblGrid>
        <w:gridCol w:w="6237"/>
        <w:gridCol w:w="1220"/>
        <w:gridCol w:w="1221"/>
        <w:gridCol w:w="1221"/>
      </w:tblGrid>
      <w:tr w:rsidR="00646F4F" w:rsidRPr="00735726" w14:paraId="0A1882C5" w14:textId="77777777" w:rsidTr="00CE19B2">
        <w:trPr>
          <w:trHeight w:val="55"/>
          <w:tblHeader/>
        </w:trPr>
        <w:tc>
          <w:tcPr>
            <w:tcW w:w="6237" w:type="dxa"/>
            <w:tcMar>
              <w:top w:w="11" w:type="dxa"/>
              <w:left w:w="57" w:type="dxa"/>
              <w:bottom w:w="11" w:type="dxa"/>
              <w:right w:w="57" w:type="dxa"/>
            </w:tcMar>
          </w:tcPr>
          <w:p w14:paraId="4860C954"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220" w:type="dxa"/>
          </w:tcPr>
          <w:p w14:paraId="441871E9"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w:t>
            </w:r>
          </w:p>
        </w:tc>
        <w:tc>
          <w:tcPr>
            <w:tcW w:w="1221" w:type="dxa"/>
            <w:tcMar>
              <w:top w:w="11" w:type="dxa"/>
              <w:left w:w="57" w:type="dxa"/>
              <w:bottom w:w="11" w:type="dxa"/>
              <w:right w:w="57" w:type="dxa"/>
            </w:tcMar>
          </w:tcPr>
          <w:p w14:paraId="78D6D2A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45D51A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21" w:type="dxa"/>
          </w:tcPr>
          <w:p w14:paraId="6B1231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3406F6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960E590" w14:textId="77777777" w:rsidTr="00CE19B2">
        <w:trPr>
          <w:trHeight w:val="209"/>
        </w:trPr>
        <w:tc>
          <w:tcPr>
            <w:tcW w:w="6237" w:type="dxa"/>
            <w:tcMar>
              <w:top w:w="11" w:type="dxa"/>
              <w:left w:w="57" w:type="dxa"/>
              <w:bottom w:w="11" w:type="dxa"/>
              <w:right w:w="57" w:type="dxa"/>
            </w:tcMar>
          </w:tcPr>
          <w:p w14:paraId="695D837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399" w:name="XMETag_d4c9c658a81f4950ad052dab5a80664c" w:colFirst="2" w:colLast="2"/>
            <w:bookmarkStart w:id="400" w:name="XMETag_dff2e25881b84a26ad70761f1a918d22" w:colFirst="3" w:colLast="3"/>
            <w:r w:rsidRPr="00735726">
              <w:rPr>
                <w:rFonts w:ascii="Arial" w:eastAsia="Times New Roman" w:hAnsi="Arial" w:cs="DINOT-Light"/>
                <w:color w:val="000000"/>
                <w:sz w:val="18"/>
                <w:szCs w:val="18"/>
              </w:rPr>
              <w:t xml:space="preserve">Net borrowings </w:t>
            </w:r>
          </w:p>
        </w:tc>
        <w:tc>
          <w:tcPr>
            <w:tcW w:w="1220" w:type="dxa"/>
          </w:tcPr>
          <w:p w14:paraId="4388C258" w14:textId="5882710D"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3</w:t>
            </w:r>
            <w:r w:rsidR="00B63B15" w:rsidRPr="009A2CAE">
              <w:rPr>
                <w:rFonts w:ascii="Arial" w:eastAsia="Times New Roman" w:hAnsi="Arial" w:cs="DINOT-Light"/>
                <w:color w:val="000000"/>
                <w:sz w:val="18"/>
                <w:szCs w:val="18"/>
              </w:rPr>
              <w:t>4</w:t>
            </w:r>
          </w:p>
        </w:tc>
        <w:tc>
          <w:tcPr>
            <w:tcW w:w="1221" w:type="dxa"/>
            <w:tcMar>
              <w:top w:w="11" w:type="dxa"/>
              <w:left w:w="57" w:type="dxa"/>
              <w:bottom w:w="11" w:type="dxa"/>
              <w:right w:w="57" w:type="dxa"/>
            </w:tcMar>
          </w:tcPr>
          <w:p w14:paraId="70949590" w14:textId="5CB7CCFE"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w:t>
            </w:r>
            <w:r w:rsidR="00B722C5" w:rsidRPr="00735726">
              <w:rPr>
                <w:rFonts w:ascii="Arial" w:eastAsia="Times New Roman" w:hAnsi="Arial" w:cs="DINOT-Light"/>
                <w:color w:val="000000"/>
                <w:sz w:val="18"/>
                <w:szCs w:val="18"/>
              </w:rPr>
              <w:t>85</w:t>
            </w:r>
            <w:r w:rsidRPr="00735726">
              <w:rPr>
                <w:rFonts w:ascii="Arial" w:eastAsia="Times New Roman" w:hAnsi="Arial" w:cs="DINOT-Light"/>
                <w:color w:val="000000"/>
                <w:sz w:val="18"/>
                <w:szCs w:val="18"/>
              </w:rPr>
              <w:t>6.4</w:t>
            </w:r>
          </w:p>
        </w:tc>
        <w:tc>
          <w:tcPr>
            <w:tcW w:w="1221" w:type="dxa"/>
          </w:tcPr>
          <w:p w14:paraId="0F3AAF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3,557.6</w:t>
            </w:r>
          </w:p>
        </w:tc>
      </w:tr>
      <w:tr w:rsidR="00646F4F" w:rsidRPr="00735726" w14:paraId="2D7BA1F6" w14:textId="77777777" w:rsidTr="00CE19B2">
        <w:trPr>
          <w:trHeight w:val="209"/>
        </w:trPr>
        <w:tc>
          <w:tcPr>
            <w:tcW w:w="6237" w:type="dxa"/>
            <w:tcMar>
              <w:top w:w="11" w:type="dxa"/>
              <w:left w:w="57" w:type="dxa"/>
              <w:bottom w:w="11" w:type="dxa"/>
              <w:right w:w="57" w:type="dxa"/>
            </w:tcMar>
          </w:tcPr>
          <w:p w14:paraId="7553A69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01" w:name="XMETag_670488a473d549b3822c48beee3dd2e6" w:colFirst="2" w:colLast="2"/>
            <w:bookmarkStart w:id="402" w:name="XMETag_3123a91a0e944e45b893380dc7d195d9" w:colFirst="3" w:colLast="3"/>
            <w:bookmarkEnd w:id="399"/>
            <w:bookmarkEnd w:id="400"/>
            <w:r w:rsidRPr="00735726">
              <w:rPr>
                <w:rFonts w:ascii="Arial" w:eastAsia="Times New Roman" w:hAnsi="Arial" w:cs="DINOT-Light"/>
                <w:color w:val="000000"/>
                <w:sz w:val="18"/>
                <w:szCs w:val="18"/>
              </w:rPr>
              <w:t>Total equity</w:t>
            </w:r>
          </w:p>
        </w:tc>
        <w:tc>
          <w:tcPr>
            <w:tcW w:w="1220" w:type="dxa"/>
          </w:tcPr>
          <w:p w14:paraId="252A000A"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221" w:type="dxa"/>
            <w:tcBorders>
              <w:bottom w:val="single" w:sz="4" w:space="0" w:color="auto"/>
            </w:tcBorders>
            <w:tcMar>
              <w:top w:w="11" w:type="dxa"/>
              <w:left w:w="57" w:type="dxa"/>
              <w:bottom w:w="11" w:type="dxa"/>
              <w:right w:w="57" w:type="dxa"/>
            </w:tcMar>
          </w:tcPr>
          <w:p w14:paraId="575040B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1,084.2</w:t>
            </w:r>
          </w:p>
        </w:tc>
        <w:tc>
          <w:tcPr>
            <w:tcW w:w="1221" w:type="dxa"/>
            <w:tcBorders>
              <w:bottom w:val="single" w:sz="4" w:space="0" w:color="auto"/>
            </w:tcBorders>
          </w:tcPr>
          <w:p w14:paraId="3CD0B34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1,193.4</w:t>
            </w:r>
          </w:p>
        </w:tc>
      </w:tr>
      <w:tr w:rsidR="00646F4F" w:rsidRPr="00735726" w14:paraId="18B83C79" w14:textId="77777777" w:rsidTr="00CE19B2">
        <w:trPr>
          <w:trHeight w:val="209"/>
        </w:trPr>
        <w:tc>
          <w:tcPr>
            <w:tcW w:w="6237" w:type="dxa"/>
            <w:tcMar>
              <w:top w:w="11" w:type="dxa"/>
              <w:left w:w="57" w:type="dxa"/>
              <w:bottom w:w="11" w:type="dxa"/>
              <w:right w:w="57" w:type="dxa"/>
            </w:tcMar>
          </w:tcPr>
          <w:p w14:paraId="7B01200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403" w:name="XMETag_6c07df544fba43a8aebd3470fc84a050" w:colFirst="2" w:colLast="2"/>
            <w:bookmarkStart w:id="404" w:name="XMETag_0456657dcbe0483dad4391ded9f8ac8f" w:colFirst="3" w:colLast="3"/>
            <w:bookmarkEnd w:id="401"/>
            <w:bookmarkEnd w:id="402"/>
            <w:r w:rsidRPr="00735726">
              <w:rPr>
                <w:rFonts w:ascii="Arial" w:eastAsia="Times New Roman" w:hAnsi="Arial" w:cs="DINOT-Light"/>
                <w:b/>
                <w:color w:val="000000"/>
                <w:sz w:val="18"/>
                <w:szCs w:val="18"/>
              </w:rPr>
              <w:t>Total capital</w:t>
            </w:r>
          </w:p>
        </w:tc>
        <w:tc>
          <w:tcPr>
            <w:tcW w:w="1220" w:type="dxa"/>
          </w:tcPr>
          <w:p w14:paraId="753769B6"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221" w:type="dxa"/>
            <w:tcBorders>
              <w:top w:val="single" w:sz="4" w:space="0" w:color="auto"/>
              <w:bottom w:val="single" w:sz="4" w:space="0" w:color="auto"/>
            </w:tcBorders>
            <w:tcMar>
              <w:top w:w="11" w:type="dxa"/>
              <w:left w:w="57" w:type="dxa"/>
              <w:bottom w:w="11" w:type="dxa"/>
              <w:right w:w="57" w:type="dxa"/>
            </w:tcMar>
          </w:tcPr>
          <w:p w14:paraId="69DF66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4,940.6</w:t>
            </w:r>
          </w:p>
        </w:tc>
        <w:tc>
          <w:tcPr>
            <w:tcW w:w="1221" w:type="dxa"/>
            <w:tcBorders>
              <w:top w:val="single" w:sz="4" w:space="0" w:color="auto"/>
              <w:bottom w:val="single" w:sz="4" w:space="0" w:color="auto"/>
            </w:tcBorders>
          </w:tcPr>
          <w:p w14:paraId="3A7E42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4,751.0</w:t>
            </w:r>
          </w:p>
        </w:tc>
      </w:tr>
      <w:bookmarkEnd w:id="403"/>
      <w:bookmarkEnd w:id="404"/>
      <w:tr w:rsidR="00646F4F" w:rsidRPr="00735726" w14:paraId="1C76AF88" w14:textId="77777777" w:rsidTr="00CE19B2">
        <w:trPr>
          <w:trHeight w:val="209"/>
        </w:trPr>
        <w:tc>
          <w:tcPr>
            <w:tcW w:w="6237" w:type="dxa"/>
            <w:tcMar>
              <w:top w:w="11" w:type="dxa"/>
              <w:left w:w="57" w:type="dxa"/>
              <w:bottom w:w="11" w:type="dxa"/>
              <w:right w:w="57" w:type="dxa"/>
            </w:tcMar>
          </w:tcPr>
          <w:p w14:paraId="6EF4A25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Gearing Ratio</w:t>
            </w:r>
          </w:p>
        </w:tc>
        <w:tc>
          <w:tcPr>
            <w:tcW w:w="1220" w:type="dxa"/>
          </w:tcPr>
          <w:p w14:paraId="3A046F72"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221" w:type="dxa"/>
            <w:tcBorders>
              <w:top w:val="single" w:sz="4" w:space="0" w:color="auto"/>
              <w:bottom w:val="single" w:sz="4" w:space="0" w:color="auto"/>
            </w:tcBorders>
            <w:tcMar>
              <w:top w:w="11" w:type="dxa"/>
              <w:left w:w="57" w:type="dxa"/>
              <w:bottom w:w="11" w:type="dxa"/>
              <w:right w:w="57" w:type="dxa"/>
            </w:tcMar>
          </w:tcPr>
          <w:p w14:paraId="573436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78.1%</w:t>
            </w:r>
          </w:p>
        </w:tc>
        <w:tc>
          <w:tcPr>
            <w:tcW w:w="1221" w:type="dxa"/>
            <w:tcBorders>
              <w:top w:val="single" w:sz="4" w:space="0" w:color="auto"/>
              <w:bottom w:val="single" w:sz="4" w:space="0" w:color="auto"/>
            </w:tcBorders>
          </w:tcPr>
          <w:p w14:paraId="09299C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74.9%</w:t>
            </w:r>
          </w:p>
        </w:tc>
      </w:tr>
    </w:tbl>
    <w:p w14:paraId="1038B00D"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2"/>
          <w:szCs w:val="18"/>
        </w:rPr>
      </w:pPr>
    </w:p>
    <w:p w14:paraId="69C6ACAD" w14:textId="7E6BA2B9" w:rsidR="00646F4F" w:rsidRPr="00735726" w:rsidRDefault="00646F4F" w:rsidP="00646F4F">
      <w:pPr>
        <w:autoSpaceDE w:val="0"/>
        <w:autoSpaceDN w:val="0"/>
        <w:adjustRightInd w:val="0"/>
        <w:spacing w:after="0"/>
        <w:rPr>
          <w:rFonts w:ascii="Arial" w:hAnsi="Arial" w:cs="Arial"/>
          <w:color w:val="000000"/>
          <w:sz w:val="18"/>
          <w:szCs w:val="18"/>
        </w:rPr>
      </w:pPr>
      <w:r w:rsidRPr="00735726">
        <w:rPr>
          <w:rFonts w:ascii="Arial" w:hAnsi="Arial" w:cs="Arial"/>
          <w:color w:val="000000"/>
          <w:sz w:val="18"/>
          <w:szCs w:val="18"/>
        </w:rPr>
        <w:t xml:space="preserve">Consistent with the industry peer group, the Company is also monitored </w:t>
      </w:r>
      <w:proofErr w:type="gramStart"/>
      <w:r w:rsidRPr="00735726">
        <w:rPr>
          <w:rFonts w:ascii="Arial" w:hAnsi="Arial" w:cs="Arial"/>
          <w:color w:val="000000"/>
          <w:sz w:val="18"/>
          <w:szCs w:val="18"/>
        </w:rPr>
        <w:t>on the basis of</w:t>
      </w:r>
      <w:proofErr w:type="gramEnd"/>
      <w:r w:rsidRPr="00735726">
        <w:rPr>
          <w:rFonts w:ascii="Arial" w:hAnsi="Arial" w:cs="Arial"/>
          <w:color w:val="000000"/>
          <w:sz w:val="18"/>
          <w:szCs w:val="18"/>
        </w:rPr>
        <w:t xml:space="preserve"> the ratio of its net borrowings to Regulated Capital Value (RCV). </w:t>
      </w:r>
      <w:proofErr w:type="gramStart"/>
      <w:r w:rsidRPr="00735726">
        <w:rPr>
          <w:rFonts w:ascii="Arial" w:hAnsi="Arial" w:cs="Arial"/>
          <w:color w:val="000000"/>
          <w:sz w:val="18"/>
          <w:szCs w:val="18"/>
        </w:rPr>
        <w:t>South West</w:t>
      </w:r>
      <w:proofErr w:type="gramEnd"/>
      <w:r w:rsidRPr="00735726">
        <w:rPr>
          <w:rFonts w:ascii="Arial" w:hAnsi="Arial" w:cs="Arial"/>
          <w:color w:val="000000"/>
          <w:sz w:val="18"/>
          <w:szCs w:val="18"/>
        </w:rPr>
        <w:t xml:space="preserve"> Water’s net debt to RCV has decreased to 63.0% which is higher than Ofwat’s notional gearing target for the </w:t>
      </w:r>
      <w:r w:rsidR="008A6EDE" w:rsidRPr="00735726">
        <w:rPr>
          <w:rFonts w:ascii="Arial" w:hAnsi="Arial" w:cs="Arial"/>
          <w:color w:val="000000"/>
          <w:sz w:val="18"/>
          <w:szCs w:val="18"/>
        </w:rPr>
        <w:t>AMP8</w:t>
      </w:r>
      <w:r w:rsidRPr="00735726">
        <w:rPr>
          <w:rFonts w:ascii="Arial" w:hAnsi="Arial" w:cs="Arial"/>
          <w:color w:val="000000"/>
          <w:sz w:val="18"/>
          <w:szCs w:val="18"/>
        </w:rPr>
        <w:t xml:space="preserve"> (</w:t>
      </w:r>
      <w:r w:rsidR="008A6EDE" w:rsidRPr="00735726">
        <w:rPr>
          <w:rFonts w:ascii="Arial" w:hAnsi="Arial" w:cs="Arial"/>
          <w:color w:val="000000"/>
          <w:sz w:val="18"/>
          <w:szCs w:val="18"/>
        </w:rPr>
        <w:t>20</w:t>
      </w:r>
      <w:r w:rsidRPr="00735726">
        <w:rPr>
          <w:rFonts w:ascii="Arial" w:hAnsi="Arial" w:cs="Arial"/>
          <w:color w:val="000000"/>
          <w:sz w:val="18"/>
          <w:szCs w:val="18"/>
        </w:rPr>
        <w:t>25</w:t>
      </w:r>
      <w:r w:rsidR="008A6EDE" w:rsidRPr="00735726">
        <w:rPr>
          <w:rFonts w:ascii="Arial" w:hAnsi="Arial" w:cs="Arial"/>
          <w:color w:val="000000"/>
          <w:sz w:val="18"/>
          <w:szCs w:val="18"/>
        </w:rPr>
        <w:t>-2030</w:t>
      </w:r>
      <w:r w:rsidRPr="00735726">
        <w:rPr>
          <w:rFonts w:ascii="Arial" w:hAnsi="Arial" w:cs="Arial"/>
          <w:color w:val="000000"/>
          <w:sz w:val="18"/>
          <w:szCs w:val="18"/>
        </w:rPr>
        <w:t xml:space="preserve">) regulatory period is set at </w:t>
      </w:r>
      <w:r w:rsidR="008A6EDE" w:rsidRPr="00735726">
        <w:rPr>
          <w:rFonts w:ascii="Arial" w:hAnsi="Arial" w:cs="Arial"/>
          <w:color w:val="000000"/>
          <w:sz w:val="18"/>
          <w:szCs w:val="18"/>
        </w:rPr>
        <w:t>55.0</w:t>
      </w:r>
      <w:r w:rsidRPr="00735726">
        <w:rPr>
          <w:rFonts w:ascii="Arial" w:hAnsi="Arial" w:cs="Arial"/>
          <w:color w:val="000000"/>
          <w:sz w:val="18"/>
          <w:szCs w:val="18"/>
        </w:rPr>
        <w:t xml:space="preserve">%. </w:t>
      </w:r>
    </w:p>
    <w:p w14:paraId="05DB4D68" w14:textId="311EEEC7" w:rsidR="00D61316"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 xml:space="preserve"> </w:t>
      </w:r>
    </w:p>
    <w:p w14:paraId="0ABB2655" w14:textId="77777777" w:rsidR="00D61316" w:rsidRPr="009A2CAE" w:rsidRDefault="00D61316">
      <w:pPr>
        <w:spacing w:after="160" w:line="259" w:lineRule="auto"/>
        <w:rPr>
          <w:rFonts w:ascii="Arial" w:eastAsia="Times New Roman" w:hAnsi="Arial" w:cs="DINOT-Light"/>
          <w:color w:val="000000"/>
          <w:sz w:val="18"/>
          <w:szCs w:val="18"/>
        </w:rPr>
      </w:pPr>
      <w:r w:rsidRPr="009A2CAE">
        <w:rPr>
          <w:rFonts w:ascii="Arial" w:eastAsia="Times New Roman" w:hAnsi="Arial" w:cs="DINOT-Light"/>
          <w:color w:val="000000"/>
          <w:sz w:val="18"/>
          <w:szCs w:val="18"/>
        </w:rPr>
        <w:br w:type="page"/>
      </w:r>
    </w:p>
    <w:p w14:paraId="4204DE52" w14:textId="77777777" w:rsidR="00D61316" w:rsidRPr="00735726" w:rsidRDefault="00D61316" w:rsidP="00D61316">
      <w:pPr>
        <w:widowControl w:val="0"/>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aps/>
          <w:color w:val="000000"/>
          <w:sz w:val="18"/>
          <w:szCs w:val="18"/>
        </w:rPr>
        <w:lastRenderedPageBreak/>
        <w:t xml:space="preserve">3.    </w:t>
      </w:r>
      <w:r w:rsidRPr="00735726">
        <w:rPr>
          <w:rFonts w:ascii="Arial" w:eastAsia="Times New Roman" w:hAnsi="Arial" w:cs="Arial"/>
          <w:b/>
          <w:bCs/>
          <w:color w:val="000000"/>
          <w:sz w:val="18"/>
          <w:szCs w:val="18"/>
        </w:rPr>
        <w:t xml:space="preserve">FINANCIAL RISK MANAGEMENT </w:t>
      </w:r>
      <w:r w:rsidRPr="00735726">
        <w:rPr>
          <w:rFonts w:ascii="Arial" w:eastAsia="Times New Roman" w:hAnsi="Arial" w:cs="Arial"/>
          <w:b/>
          <w:bCs/>
          <w:caps/>
          <w:color w:val="000000"/>
          <w:sz w:val="18"/>
          <w:szCs w:val="18"/>
        </w:rPr>
        <w:t>(CONTINUED)</w:t>
      </w:r>
      <w:r w:rsidRPr="00735726">
        <w:rPr>
          <w:rFonts w:ascii="Arial" w:eastAsia="Times New Roman" w:hAnsi="Arial" w:cs="Arial"/>
          <w:b/>
          <w:bCs/>
          <w:caps/>
          <w:color w:val="000000"/>
          <w:sz w:val="18"/>
          <w:szCs w:val="18"/>
        </w:rPr>
        <w:br/>
      </w:r>
      <w:r w:rsidRPr="00735726">
        <w:rPr>
          <w:rFonts w:ascii="Arial" w:eastAsia="Times New Roman" w:hAnsi="Arial" w:cs="Arial"/>
          <w:b/>
          <w:bCs/>
          <w:color w:val="000000"/>
          <w:sz w:val="18"/>
          <w:szCs w:val="18"/>
        </w:rPr>
        <w:t>(</w:t>
      </w:r>
      <w:proofErr w:type="gramStart"/>
      <w:r w:rsidRPr="00735726">
        <w:rPr>
          <w:rFonts w:ascii="Arial" w:eastAsia="Times New Roman" w:hAnsi="Arial" w:cs="Arial"/>
          <w:b/>
          <w:bCs/>
          <w:color w:val="000000"/>
          <w:sz w:val="18"/>
          <w:szCs w:val="18"/>
        </w:rPr>
        <w:t>b)  Capital</w:t>
      </w:r>
      <w:proofErr w:type="gramEnd"/>
      <w:r w:rsidRPr="00735726">
        <w:rPr>
          <w:rFonts w:ascii="Arial" w:eastAsia="Times New Roman" w:hAnsi="Arial" w:cs="Arial"/>
          <w:b/>
          <w:bCs/>
          <w:color w:val="000000"/>
          <w:sz w:val="18"/>
          <w:szCs w:val="18"/>
        </w:rPr>
        <w:t xml:space="preserve"> risk management (continued)</w:t>
      </w:r>
    </w:p>
    <w:p w14:paraId="1C5983B8"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bl>
      <w:tblPr>
        <w:tblW w:w="9958" w:type="dxa"/>
        <w:tblInd w:w="8" w:type="dxa"/>
        <w:tblLayout w:type="fixed"/>
        <w:tblCellMar>
          <w:left w:w="0" w:type="dxa"/>
          <w:right w:w="0" w:type="dxa"/>
        </w:tblCellMar>
        <w:tblLook w:val="0000" w:firstRow="0" w:lastRow="0" w:firstColumn="0" w:lastColumn="0" w:noHBand="0" w:noVBand="0"/>
      </w:tblPr>
      <w:tblGrid>
        <w:gridCol w:w="6121"/>
        <w:gridCol w:w="1501"/>
        <w:gridCol w:w="1168"/>
        <w:gridCol w:w="1168"/>
      </w:tblGrid>
      <w:tr w:rsidR="00646F4F" w:rsidRPr="00735726" w14:paraId="7442A4D9" w14:textId="77777777" w:rsidTr="00CE19B2">
        <w:trPr>
          <w:trHeight w:val="52"/>
          <w:tblHeader/>
        </w:trPr>
        <w:tc>
          <w:tcPr>
            <w:tcW w:w="6121" w:type="dxa"/>
            <w:tcMar>
              <w:top w:w="11" w:type="dxa"/>
              <w:left w:w="57" w:type="dxa"/>
              <w:bottom w:w="11" w:type="dxa"/>
              <w:right w:w="57" w:type="dxa"/>
            </w:tcMar>
          </w:tcPr>
          <w:p w14:paraId="4935391E" w14:textId="77777777" w:rsidR="00646F4F" w:rsidRPr="009A2CAE" w:rsidRDefault="00646F4F" w:rsidP="00CE19B2">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bookmarkStart w:id="405" w:name="_Hlk135739917"/>
          </w:p>
        </w:tc>
        <w:tc>
          <w:tcPr>
            <w:tcW w:w="1501" w:type="dxa"/>
          </w:tcPr>
          <w:p w14:paraId="19DCFF6E"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w:t>
            </w:r>
          </w:p>
        </w:tc>
        <w:tc>
          <w:tcPr>
            <w:tcW w:w="1168" w:type="dxa"/>
            <w:tcMar>
              <w:top w:w="11" w:type="dxa"/>
              <w:left w:w="57" w:type="dxa"/>
              <w:bottom w:w="11" w:type="dxa"/>
              <w:right w:w="57" w:type="dxa"/>
            </w:tcMar>
          </w:tcPr>
          <w:p w14:paraId="4E3FD60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0202DE2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68" w:type="dxa"/>
          </w:tcPr>
          <w:p w14:paraId="431151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0A72E18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262F78AA" w14:textId="77777777" w:rsidTr="00CE19B2">
        <w:trPr>
          <w:trHeight w:val="200"/>
        </w:trPr>
        <w:tc>
          <w:tcPr>
            <w:tcW w:w="6121" w:type="dxa"/>
            <w:tcMar>
              <w:top w:w="11" w:type="dxa"/>
              <w:left w:w="57" w:type="dxa"/>
              <w:bottom w:w="11" w:type="dxa"/>
              <w:right w:w="57" w:type="dxa"/>
            </w:tcMar>
          </w:tcPr>
          <w:p w14:paraId="3BBB0A80" w14:textId="1AFE5A61"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Regulatory Capital Value (RCV)</w:t>
            </w:r>
          </w:p>
        </w:tc>
        <w:tc>
          <w:tcPr>
            <w:tcW w:w="1501" w:type="dxa"/>
          </w:tcPr>
          <w:p w14:paraId="118E991C"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68" w:type="dxa"/>
            <w:tcMar>
              <w:top w:w="11" w:type="dxa"/>
              <w:left w:w="57" w:type="dxa"/>
              <w:bottom w:w="11" w:type="dxa"/>
              <w:right w:w="57" w:type="dxa"/>
            </w:tcMar>
          </w:tcPr>
          <w:p w14:paraId="26947B0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6,119.0</w:t>
            </w:r>
          </w:p>
        </w:tc>
        <w:tc>
          <w:tcPr>
            <w:tcW w:w="1168" w:type="dxa"/>
          </w:tcPr>
          <w:p w14:paraId="29406355" w14:textId="7DCAB07C"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w:t>
            </w:r>
            <w:r w:rsidR="005F6874" w:rsidRPr="00735726">
              <w:rPr>
                <w:rFonts w:ascii="Arial" w:eastAsia="Times New Roman" w:hAnsi="Arial" w:cs="DINOT-Light"/>
                <w:color w:val="000000"/>
                <w:sz w:val="18"/>
                <w:szCs w:val="18"/>
              </w:rPr>
              <w:t>617.8</w:t>
            </w:r>
          </w:p>
        </w:tc>
      </w:tr>
      <w:tr w:rsidR="00646F4F" w:rsidRPr="00735726" w14:paraId="3645D7A4" w14:textId="77777777" w:rsidTr="00CE19B2">
        <w:trPr>
          <w:trHeight w:val="200"/>
        </w:trPr>
        <w:tc>
          <w:tcPr>
            <w:tcW w:w="6121" w:type="dxa"/>
            <w:tcMar>
              <w:top w:w="11" w:type="dxa"/>
              <w:left w:w="57" w:type="dxa"/>
              <w:bottom w:w="11" w:type="dxa"/>
              <w:right w:w="57" w:type="dxa"/>
            </w:tcMar>
          </w:tcPr>
          <w:p w14:paraId="0634E1D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06" w:name="XMETag_ba55af903c3949d7b483c1003a4f9613" w:colFirst="2" w:colLast="2"/>
            <w:bookmarkStart w:id="407" w:name="XMETag_49b436424ce645c3b200cf3a1ffc57f3" w:colFirst="3" w:colLast="3"/>
            <w:r w:rsidRPr="00735726">
              <w:rPr>
                <w:rFonts w:ascii="Arial" w:eastAsia="Times New Roman" w:hAnsi="Arial" w:cs="DINOT-Light"/>
                <w:color w:val="000000"/>
                <w:sz w:val="18"/>
                <w:szCs w:val="18"/>
              </w:rPr>
              <w:t>Net borrowings</w:t>
            </w:r>
          </w:p>
        </w:tc>
        <w:tc>
          <w:tcPr>
            <w:tcW w:w="1501" w:type="dxa"/>
          </w:tcPr>
          <w:p w14:paraId="35C96F11" w14:textId="3E526663"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3</w:t>
            </w:r>
            <w:r w:rsidR="00B63B15" w:rsidRPr="009A2CAE">
              <w:rPr>
                <w:rFonts w:ascii="Arial" w:eastAsia="Times New Roman" w:hAnsi="Arial" w:cs="DINOT-Light"/>
                <w:color w:val="000000"/>
                <w:sz w:val="18"/>
                <w:szCs w:val="18"/>
              </w:rPr>
              <w:t>4</w:t>
            </w:r>
          </w:p>
        </w:tc>
        <w:tc>
          <w:tcPr>
            <w:tcW w:w="1168" w:type="dxa"/>
            <w:tcBorders>
              <w:bottom w:val="single" w:sz="4" w:space="0" w:color="auto"/>
            </w:tcBorders>
            <w:tcMar>
              <w:top w:w="11" w:type="dxa"/>
              <w:left w:w="57" w:type="dxa"/>
              <w:bottom w:w="11" w:type="dxa"/>
              <w:right w:w="57" w:type="dxa"/>
            </w:tcMar>
          </w:tcPr>
          <w:p w14:paraId="0BB6B738" w14:textId="5F51B609"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w:t>
            </w:r>
            <w:r w:rsidR="00B722C5" w:rsidRPr="00735726">
              <w:rPr>
                <w:rFonts w:ascii="Arial" w:eastAsia="Times New Roman" w:hAnsi="Arial" w:cs="DINOT-Light"/>
                <w:color w:val="000000"/>
                <w:sz w:val="18"/>
                <w:szCs w:val="18"/>
              </w:rPr>
              <w:t>85</w:t>
            </w:r>
            <w:r w:rsidRPr="00735726">
              <w:rPr>
                <w:rFonts w:ascii="Arial" w:eastAsia="Times New Roman" w:hAnsi="Arial" w:cs="DINOT-Light"/>
                <w:color w:val="000000"/>
                <w:sz w:val="18"/>
                <w:szCs w:val="18"/>
              </w:rPr>
              <w:t>6.4</w:t>
            </w:r>
          </w:p>
        </w:tc>
        <w:tc>
          <w:tcPr>
            <w:tcW w:w="1168" w:type="dxa"/>
            <w:tcBorders>
              <w:bottom w:val="single" w:sz="4" w:space="0" w:color="auto"/>
            </w:tcBorders>
          </w:tcPr>
          <w:p w14:paraId="7B9FA33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3,557.6</w:t>
            </w:r>
          </w:p>
        </w:tc>
      </w:tr>
      <w:bookmarkEnd w:id="406"/>
      <w:bookmarkEnd w:id="407"/>
      <w:tr w:rsidR="00646F4F" w:rsidRPr="00735726" w14:paraId="562E37F3" w14:textId="77777777" w:rsidTr="00CE19B2">
        <w:trPr>
          <w:trHeight w:val="200"/>
        </w:trPr>
        <w:tc>
          <w:tcPr>
            <w:tcW w:w="6121" w:type="dxa"/>
            <w:tcMar>
              <w:top w:w="11" w:type="dxa"/>
              <w:left w:w="57" w:type="dxa"/>
              <w:bottom w:w="11" w:type="dxa"/>
              <w:right w:w="57" w:type="dxa"/>
            </w:tcMar>
          </w:tcPr>
          <w:p w14:paraId="306E73E3" w14:textId="2299C2F0"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Net borrowings/Regulatory Capital Value</w:t>
            </w:r>
          </w:p>
        </w:tc>
        <w:tc>
          <w:tcPr>
            <w:tcW w:w="1501" w:type="dxa"/>
          </w:tcPr>
          <w:p w14:paraId="1860A5FB"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68" w:type="dxa"/>
            <w:tcBorders>
              <w:top w:val="single" w:sz="4" w:space="0" w:color="auto"/>
              <w:bottom w:val="single" w:sz="4" w:space="0" w:color="auto"/>
            </w:tcBorders>
            <w:tcMar>
              <w:top w:w="11" w:type="dxa"/>
              <w:left w:w="57" w:type="dxa"/>
              <w:bottom w:w="11" w:type="dxa"/>
              <w:right w:w="57" w:type="dxa"/>
            </w:tcMar>
          </w:tcPr>
          <w:p w14:paraId="4ECC51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63.0%</w:t>
            </w:r>
          </w:p>
        </w:tc>
        <w:tc>
          <w:tcPr>
            <w:tcW w:w="1168" w:type="dxa"/>
            <w:tcBorders>
              <w:top w:val="single" w:sz="4" w:space="0" w:color="auto"/>
              <w:bottom w:val="single" w:sz="4" w:space="0" w:color="auto"/>
            </w:tcBorders>
          </w:tcPr>
          <w:p w14:paraId="0F6CA623" w14:textId="5BD3503D"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w:t>
            </w:r>
            <w:r w:rsidR="005F6874" w:rsidRPr="00735726">
              <w:rPr>
                <w:rFonts w:ascii="Arial" w:eastAsia="Times New Roman" w:hAnsi="Arial" w:cs="DINOT-Light"/>
                <w:b/>
                <w:color w:val="000000"/>
                <w:sz w:val="18"/>
                <w:szCs w:val="18"/>
              </w:rPr>
              <w:t>3.3</w:t>
            </w:r>
            <w:r w:rsidRPr="00735726">
              <w:rPr>
                <w:rFonts w:ascii="Arial" w:eastAsia="Times New Roman" w:hAnsi="Arial" w:cs="DINOT-Light"/>
                <w:b/>
                <w:color w:val="000000"/>
                <w:sz w:val="18"/>
                <w:szCs w:val="18"/>
              </w:rPr>
              <w:t>%</w:t>
            </w:r>
          </w:p>
        </w:tc>
      </w:tr>
    </w:tbl>
    <w:p w14:paraId="462537B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b/>
          <w:bCs/>
          <w:caps/>
          <w:color w:val="000000"/>
          <w:sz w:val="18"/>
          <w:szCs w:val="18"/>
        </w:rPr>
      </w:pPr>
      <w:bookmarkStart w:id="408" w:name="_Hlk135738940"/>
      <w:bookmarkEnd w:id="405"/>
    </w:p>
    <w:p w14:paraId="70D34E4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has </w:t>
      </w:r>
      <w:proofErr w:type="gramStart"/>
      <w:r w:rsidRPr="00735726">
        <w:rPr>
          <w:rFonts w:ascii="Arial" w:eastAsia="Times New Roman" w:hAnsi="Arial" w:cs="DINOT-Light"/>
          <w:color w:val="000000"/>
          <w:sz w:val="18"/>
          <w:szCs w:val="18"/>
        </w:rPr>
        <w:t>entered into</w:t>
      </w:r>
      <w:proofErr w:type="gramEnd"/>
      <w:r w:rsidRPr="00735726">
        <w:rPr>
          <w:rFonts w:ascii="Arial" w:eastAsia="Times New Roman" w:hAnsi="Arial" w:cs="DINOT-Light"/>
          <w:color w:val="000000"/>
          <w:sz w:val="18"/>
          <w:szCs w:val="18"/>
        </w:rPr>
        <w:t xml:space="preserve"> covenants with lenders and, whilst terms vary, these typically provide for limits on gearing and interest cover. The Company has </w:t>
      </w:r>
      <w:proofErr w:type="gramStart"/>
      <w:r w:rsidRPr="00735726">
        <w:rPr>
          <w:rFonts w:ascii="Arial" w:eastAsia="Times New Roman" w:hAnsi="Arial" w:cs="DINOT-Light"/>
          <w:color w:val="000000"/>
          <w:sz w:val="18"/>
          <w:szCs w:val="18"/>
        </w:rPr>
        <w:t>been in compliance with</w:t>
      </w:r>
      <w:proofErr w:type="gramEnd"/>
      <w:r w:rsidRPr="00735726">
        <w:rPr>
          <w:rFonts w:ascii="Arial" w:eastAsia="Times New Roman" w:hAnsi="Arial" w:cs="DINOT-Light"/>
          <w:color w:val="000000"/>
          <w:sz w:val="18"/>
          <w:szCs w:val="18"/>
        </w:rPr>
        <w:t xml:space="preserve"> its covenants during the year. </w:t>
      </w:r>
    </w:p>
    <w:p w14:paraId="756DE31C"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3AE9EBD"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When considering the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sub-group, including the wholly owned subsidiaries of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Finance plc and Bristol Water plc, the net borrowings are £3,820.1 million (2025: £3,516.9 million), providing effective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group gearing of 62.4% (2025: 62.6%).</w:t>
      </w:r>
    </w:p>
    <w:p w14:paraId="2D0C6BFD"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bookmarkEnd w:id="408"/>
    <w:p w14:paraId="50978CA5" w14:textId="77777777" w:rsidR="00646F4F" w:rsidRPr="00735726" w:rsidRDefault="00646F4F" w:rsidP="00646F4F">
      <w:pPr>
        <w:widowControl w:val="0"/>
        <w:numPr>
          <w:ilvl w:val="0"/>
          <w:numId w:val="23"/>
        </w:numPr>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Determination of fair values</w:t>
      </w:r>
    </w:p>
    <w:p w14:paraId="60FB779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409" w:name="XMETag_3949366c99e542339225ca2173a292bb"/>
      <w:r w:rsidRPr="00735726">
        <w:rPr>
          <w:rFonts w:ascii="Arial" w:eastAsia="Times New Roman" w:hAnsi="Arial" w:cs="DINOT-Light"/>
          <w:color w:val="000000"/>
          <w:sz w:val="18"/>
          <w:szCs w:val="18"/>
        </w:rPr>
        <w:t>The Company uses the following hierarchy for determining the fair value of financial instruments by valuation technique:</w:t>
      </w:r>
    </w:p>
    <w:p w14:paraId="2A270FE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3798FD89" w14:textId="77777777" w:rsidR="00646F4F" w:rsidRPr="00735726" w:rsidRDefault="00646F4F" w:rsidP="00646F4F">
      <w:pPr>
        <w:widowControl w:val="0"/>
        <w:numPr>
          <w:ilvl w:val="0"/>
          <w:numId w:val="2"/>
        </w:numPr>
        <w:tabs>
          <w:tab w:val="left" w:pos="340"/>
        </w:tabs>
        <w:suppressAutoHyphens/>
        <w:autoSpaceDE w:val="0"/>
        <w:autoSpaceDN w:val="0"/>
        <w:adjustRightInd w:val="0"/>
        <w:spacing w:after="0"/>
        <w:ind w:left="284" w:hanging="284"/>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Quoted prices (unadjusted) in active markets for identical assets or liabilities (level 1)</w:t>
      </w:r>
    </w:p>
    <w:p w14:paraId="03433F99" w14:textId="77777777" w:rsidR="00646F4F" w:rsidRPr="00735726" w:rsidRDefault="00646F4F" w:rsidP="00646F4F">
      <w:pPr>
        <w:widowControl w:val="0"/>
        <w:numPr>
          <w:ilvl w:val="0"/>
          <w:numId w:val="2"/>
        </w:numPr>
        <w:tabs>
          <w:tab w:val="left" w:pos="340"/>
        </w:tabs>
        <w:suppressAutoHyphens/>
        <w:autoSpaceDE w:val="0"/>
        <w:autoSpaceDN w:val="0"/>
        <w:adjustRightInd w:val="0"/>
        <w:spacing w:after="0"/>
        <w:ind w:left="284" w:hanging="284"/>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Inputs other than quoted prices included within level 1 that are observable for the asset or liability, either directly (that is, as prices) or indirectly (that is, derived from prices) (level 2)</w:t>
      </w:r>
    </w:p>
    <w:p w14:paraId="45EB875B" w14:textId="77777777" w:rsidR="00646F4F" w:rsidRPr="00735726" w:rsidRDefault="00646F4F" w:rsidP="00646F4F">
      <w:pPr>
        <w:widowControl w:val="0"/>
        <w:numPr>
          <w:ilvl w:val="0"/>
          <w:numId w:val="2"/>
        </w:numPr>
        <w:tabs>
          <w:tab w:val="left" w:pos="340"/>
        </w:tabs>
        <w:suppressAutoHyphens/>
        <w:autoSpaceDE w:val="0"/>
        <w:autoSpaceDN w:val="0"/>
        <w:adjustRightInd w:val="0"/>
        <w:spacing w:after="0"/>
        <w:ind w:left="284" w:hanging="284"/>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Inputs for the asset or liability that are not based on observable market data (that is, unobservable inputs) (level 3).</w:t>
      </w:r>
    </w:p>
    <w:p w14:paraId="77B47F6E"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28999D7" w14:textId="4DEE0C95" w:rsidR="00646F4F" w:rsidRPr="009A2CAE" w:rsidRDefault="00646F4F" w:rsidP="00646F4F">
      <w:pPr>
        <w:widowControl w:val="0"/>
        <w:suppressAutoHyphens/>
        <w:autoSpaceDE w:val="0"/>
        <w:autoSpaceDN w:val="0"/>
        <w:adjustRightInd w:val="0"/>
        <w:spacing w:after="0"/>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Company’s financial instruments are valued principally using level 2 measures as analysed in </w:t>
      </w:r>
      <w:r w:rsidRPr="009A2CAE">
        <w:rPr>
          <w:rFonts w:ascii="Arial" w:eastAsia="Times New Roman" w:hAnsi="Arial" w:cs="DINOT-Light"/>
          <w:color w:val="000000"/>
          <w:sz w:val="18"/>
          <w:szCs w:val="18"/>
        </w:rPr>
        <w:t>note 2</w:t>
      </w:r>
      <w:r w:rsidR="00B63B15" w:rsidRPr="009A2CAE">
        <w:rPr>
          <w:rFonts w:ascii="Arial" w:eastAsia="Times New Roman" w:hAnsi="Arial" w:cs="DINOT-Light"/>
          <w:color w:val="000000"/>
          <w:sz w:val="18"/>
          <w:szCs w:val="18"/>
        </w:rPr>
        <w:t>0</w:t>
      </w:r>
      <w:r w:rsidRPr="009A2CAE">
        <w:rPr>
          <w:rFonts w:ascii="Arial" w:eastAsia="Times New Roman" w:hAnsi="Arial" w:cs="DINOT-Light"/>
          <w:color w:val="000000"/>
          <w:sz w:val="18"/>
          <w:szCs w:val="18"/>
        </w:rPr>
        <w:t xml:space="preserve">. </w:t>
      </w:r>
    </w:p>
    <w:p w14:paraId="53DFC91C"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4B33289D"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fair value of financial instruments that are not traded in an active market (for example, over-the-counter derivatives) is determined by using valuation techniques. A variety of methods and assumptions are used based on market conditions existing at each balance sheet date. Quoted market prices or dealer quotes for similar instruments are used for long-term debt. Other techniques, such as estimated discounted cash flows, are used to determine fair value for the remaining financial instruments. The fair value of interest rate swaps is calculated as the present value of the estimated future cash flows. </w:t>
      </w:r>
    </w:p>
    <w:p w14:paraId="04A9E907"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55D6ACB" w14:textId="35F439D9"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carrying value, less expected credit losses, of trade receivables and payables are assumed to approximate their fair values</w:t>
      </w:r>
      <w:r w:rsidR="00B87189" w:rsidRPr="00735726">
        <w:rPr>
          <w:rFonts w:ascii="Arial" w:eastAsia="Times New Roman" w:hAnsi="Arial" w:cs="DINOT-Light"/>
          <w:color w:val="000000"/>
          <w:sz w:val="18"/>
          <w:szCs w:val="18"/>
        </w:rPr>
        <w:t>.</w:t>
      </w:r>
    </w:p>
    <w:bookmarkEnd w:id="409"/>
    <w:p w14:paraId="6BD69887"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 xml:space="preserve"> </w:t>
      </w:r>
    </w:p>
    <w:p w14:paraId="39B52123" w14:textId="7C9F92F2" w:rsidR="00D61316" w:rsidRPr="00735726" w:rsidRDefault="00D61316" w:rsidP="00D61316">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4.    Critical accounting judgements and estimates</w:t>
      </w:r>
      <w:r w:rsidRPr="00735726" w:rsidDel="00D61316">
        <w:rPr>
          <w:rFonts w:ascii="Arial" w:eastAsia="Times New Roman" w:hAnsi="Arial" w:cs="Arial"/>
          <w:b/>
          <w:bCs/>
          <w:caps/>
          <w:color w:val="000000"/>
          <w:sz w:val="18"/>
          <w:szCs w:val="18"/>
        </w:rPr>
        <w:t xml:space="preserve"> </w:t>
      </w:r>
    </w:p>
    <w:p w14:paraId="2EBF51EF" w14:textId="02C34C53"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410" w:name="XMETag_b31001948f2e42d583d76db5720e5e44"/>
      <w:r w:rsidRPr="00735726">
        <w:rPr>
          <w:rFonts w:ascii="Arial" w:eastAsia="Times New Roman" w:hAnsi="Arial" w:cs="DINOT-Light"/>
          <w:color w:val="000000"/>
          <w:sz w:val="18"/>
          <w:szCs w:val="18"/>
        </w:rPr>
        <w:t xml:space="preserve">The Company’s principal accounting policies are set out in </w:t>
      </w:r>
      <w:r w:rsidRPr="009A2CAE">
        <w:rPr>
          <w:rFonts w:ascii="Arial" w:eastAsia="Times New Roman" w:hAnsi="Arial" w:cs="DINOT-Light"/>
          <w:color w:val="000000"/>
          <w:sz w:val="18"/>
          <w:szCs w:val="18"/>
        </w:rPr>
        <w:t xml:space="preserve">note 2. </w:t>
      </w:r>
      <w:r w:rsidRPr="00735726">
        <w:rPr>
          <w:rFonts w:ascii="Arial" w:eastAsia="Times New Roman" w:hAnsi="Arial" w:cs="DINOT-Light"/>
          <w:color w:val="000000"/>
          <w:sz w:val="18"/>
          <w:szCs w:val="18"/>
        </w:rPr>
        <w:t>Management is required to exercise significant judgement and make use of estimates and assumptions in the application of these policies. Estimates are based on factors including historical experience and expectations of future events that management believe to be reasonable.</w:t>
      </w:r>
      <w:bookmarkEnd w:id="410"/>
      <w:r w:rsidRPr="00735726">
        <w:rPr>
          <w:rFonts w:ascii="Arial" w:eastAsia="Times New Roman" w:hAnsi="Arial" w:cs="DINOT-Light"/>
          <w:color w:val="000000"/>
          <w:sz w:val="18"/>
          <w:szCs w:val="18"/>
        </w:rPr>
        <w:t xml:space="preserve"> However, given the judgemental nature of such estimates, actual results could be different from the assumptions used.</w:t>
      </w:r>
    </w:p>
    <w:p w14:paraId="7CB71A35"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7756209"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Estimates</w:t>
      </w:r>
    </w:p>
    <w:p w14:paraId="0D3EB3A3"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i/>
          <w:iCs/>
          <w:color w:val="000000"/>
          <w:sz w:val="18"/>
          <w:szCs w:val="18"/>
        </w:rPr>
      </w:pPr>
      <w:r w:rsidRPr="00735726">
        <w:rPr>
          <w:rFonts w:ascii="Arial" w:eastAsia="Times New Roman" w:hAnsi="Arial" w:cs="Arial"/>
          <w:i/>
          <w:iCs/>
          <w:color w:val="000000"/>
          <w:sz w:val="18"/>
          <w:szCs w:val="18"/>
        </w:rPr>
        <w:t>Provision for doubtful debts</w:t>
      </w:r>
    </w:p>
    <w:p w14:paraId="397E28D1" w14:textId="77777777"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bookmarkStart w:id="411" w:name="XMETag_5f28783b5c7743bcb2cfab4c5bcdc1ba"/>
      <w:r w:rsidRPr="00735726">
        <w:rPr>
          <w:rFonts w:ascii="Arial" w:eastAsia="Times New Roman" w:hAnsi="Arial" w:cs="DINOT-Light"/>
          <w:color w:val="000000"/>
          <w:sz w:val="18"/>
          <w:szCs w:val="18"/>
        </w:rPr>
        <w:t xml:space="preserve">The Company has a material level of exposure to collection of trade receivables. Provisions in respect of these balances are calculated based on assumptions of historical credit loss experience, adjusted for forward-looking factors which by their nature are subject to uncertainty. Analysis of actual recovery compared with provisioning levels have not, to date, resulted in material variances. </w:t>
      </w:r>
    </w:p>
    <w:p w14:paraId="37F0A109" w14:textId="77777777" w:rsidR="00646F4F" w:rsidRPr="009A2CAE" w:rsidRDefault="00646F4F" w:rsidP="00646F4F">
      <w:pPr>
        <w:autoSpaceDE w:val="0"/>
        <w:autoSpaceDN w:val="0"/>
        <w:adjustRightInd w:val="0"/>
        <w:spacing w:after="0"/>
        <w:rPr>
          <w:rFonts w:ascii="Arial" w:eastAsia="Times New Roman" w:hAnsi="Arial" w:cs="DINOT-Light"/>
          <w:color w:val="000000"/>
          <w:sz w:val="18"/>
          <w:szCs w:val="18"/>
        </w:rPr>
      </w:pPr>
    </w:p>
    <w:p w14:paraId="255E9835" w14:textId="19392D21" w:rsidR="00646F4F" w:rsidRPr="00735726" w:rsidRDefault="00F41A23" w:rsidP="00F41A23">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Under its regular review procedures at the balance sheet date, the </w:t>
      </w:r>
      <w:r w:rsidR="00B63B15" w:rsidRPr="00735726">
        <w:rPr>
          <w:rFonts w:ascii="Arial" w:eastAsia="Times New Roman" w:hAnsi="Arial" w:cs="DINOT-Light"/>
          <w:color w:val="000000"/>
          <w:sz w:val="18"/>
          <w:szCs w:val="18"/>
        </w:rPr>
        <w:t xml:space="preserve">Company </w:t>
      </w:r>
      <w:r w:rsidRPr="00735726">
        <w:rPr>
          <w:rFonts w:ascii="Arial" w:eastAsia="Times New Roman" w:hAnsi="Arial" w:cs="DINOT-Light"/>
          <w:color w:val="000000"/>
          <w:sz w:val="18"/>
          <w:szCs w:val="18"/>
        </w:rPr>
        <w:t>performs an impairment analysis at each reporting date. Therefore, the Company does not track changes in credit risk but instead recognises a loss allowance based on lifetime ECLs at each reporting date</w:t>
      </w:r>
      <w:r w:rsidR="00646F4F" w:rsidRPr="00735726">
        <w:rPr>
          <w:rFonts w:ascii="Arial" w:eastAsia="Times New Roman" w:hAnsi="Arial" w:cs="DINOT-Light"/>
          <w:color w:val="000000"/>
          <w:sz w:val="18"/>
          <w:szCs w:val="18"/>
        </w:rPr>
        <w:t xml:space="preserve">. </w:t>
      </w:r>
      <w:proofErr w:type="gramStart"/>
      <w:r w:rsidR="00646F4F" w:rsidRPr="00735726">
        <w:rPr>
          <w:rFonts w:ascii="Arial" w:eastAsia="Times New Roman" w:hAnsi="Arial" w:cs="DINOT-Light"/>
          <w:color w:val="000000"/>
          <w:sz w:val="18"/>
          <w:szCs w:val="18"/>
        </w:rPr>
        <w:t>South West</w:t>
      </w:r>
      <w:proofErr w:type="gramEnd"/>
      <w:r w:rsidR="00646F4F" w:rsidRPr="00735726">
        <w:rPr>
          <w:rFonts w:ascii="Arial" w:eastAsia="Times New Roman" w:hAnsi="Arial" w:cs="DINOT-Light"/>
          <w:color w:val="000000"/>
          <w:sz w:val="18"/>
          <w:szCs w:val="18"/>
        </w:rPr>
        <w:t xml:space="preserve"> Water has established a provision matrix that is based on its historical credit loss experience, adjusted for forward-looking factors specific to the receivables and the economic environment. The Company policy is to write-off trade receivables where the expectation of recovery is considered highly unlikely.</w:t>
      </w:r>
    </w:p>
    <w:p w14:paraId="08AD4F47" w14:textId="77777777" w:rsidR="00D61316" w:rsidRPr="00735726" w:rsidRDefault="00D61316" w:rsidP="00D61316">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4.</w:t>
      </w:r>
      <w:r w:rsidRPr="00735726">
        <w:rPr>
          <w:rFonts w:ascii="Arial" w:eastAsia="Times New Roman" w:hAnsi="Arial" w:cs="Arial"/>
          <w:b/>
          <w:bCs/>
          <w:caps/>
          <w:color w:val="000000"/>
          <w:sz w:val="18"/>
          <w:szCs w:val="18"/>
        </w:rPr>
        <w:tab/>
        <w:t>Critical accounting judgements and estimates (CONTINUED)</w:t>
      </w:r>
    </w:p>
    <w:p w14:paraId="3901FD19" w14:textId="6989B4B1" w:rsidR="00646F4F" w:rsidRPr="009A2CAE" w:rsidRDefault="00D61316" w:rsidP="00277639">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Arial"/>
          <w:b/>
          <w:bCs/>
          <w:color w:val="000000"/>
          <w:sz w:val="18"/>
          <w:szCs w:val="18"/>
        </w:rPr>
        <w:t>Estimates (continued)</w:t>
      </w:r>
    </w:p>
    <w:p w14:paraId="1C578BBD" w14:textId="2DFC0B5D"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actual level of debt collected may differ from the estimated levels of recovery. As </w:t>
      </w:r>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31 March 202</w:t>
      </w:r>
      <w:r w:rsidR="00F41A23" w:rsidRPr="00735726">
        <w:rPr>
          <w:rFonts w:ascii="Arial" w:eastAsia="Times New Roman" w:hAnsi="Arial" w:cs="DINOT-Light"/>
          <w:color w:val="000000"/>
          <w:sz w:val="18"/>
          <w:szCs w:val="18"/>
        </w:rPr>
        <w:t>6</w:t>
      </w:r>
      <w:r w:rsidRPr="00735726">
        <w:rPr>
          <w:rFonts w:ascii="Arial" w:eastAsia="Times New Roman" w:hAnsi="Arial" w:cs="DINOT-Light"/>
          <w:color w:val="000000"/>
          <w:sz w:val="18"/>
          <w:szCs w:val="18"/>
        </w:rPr>
        <w:t xml:space="preserve"> the Company’s current trade receivables were £343.9 million (2025: £282.4 million), against which £106.1 million (2025: £96.5 million) had been provided for ECLs </w:t>
      </w:r>
      <w:r w:rsidRPr="009A2CAE">
        <w:rPr>
          <w:rFonts w:ascii="Arial" w:eastAsia="Times New Roman" w:hAnsi="Arial" w:cs="DINOT-Light"/>
          <w:color w:val="000000"/>
          <w:sz w:val="18"/>
          <w:szCs w:val="18"/>
        </w:rPr>
        <w:t xml:space="preserve">(note </w:t>
      </w:r>
      <w:r w:rsidR="00B63B15" w:rsidRPr="009A2CAE">
        <w:rPr>
          <w:rFonts w:ascii="Arial" w:eastAsia="Times New Roman" w:hAnsi="Arial" w:cs="DINOT-Light"/>
          <w:color w:val="000000"/>
          <w:sz w:val="18"/>
          <w:szCs w:val="18"/>
        </w:rPr>
        <w:t>19</w:t>
      </w:r>
      <w:r w:rsidRPr="009A2CAE">
        <w:rPr>
          <w:rFonts w:ascii="Arial" w:eastAsia="Times New Roman" w:hAnsi="Arial" w:cs="DINOT-Light"/>
          <w:color w:val="000000"/>
          <w:sz w:val="18"/>
          <w:szCs w:val="18"/>
        </w:rPr>
        <w:t>).</w:t>
      </w:r>
      <w:bookmarkEnd w:id="411"/>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 xml:space="preserve">Whilst the provisions </w:t>
      </w:r>
      <w:proofErr w:type="gramStart"/>
      <w:r w:rsidRPr="00735726">
        <w:rPr>
          <w:rFonts w:ascii="Arial" w:eastAsia="Times New Roman" w:hAnsi="Arial" w:cs="DINOT-Light"/>
          <w:color w:val="000000"/>
          <w:sz w:val="18"/>
          <w:szCs w:val="18"/>
        </w:rPr>
        <w:t>are considered to be</w:t>
      </w:r>
      <w:proofErr w:type="gramEnd"/>
      <w:r w:rsidRPr="00735726">
        <w:rPr>
          <w:rFonts w:ascii="Arial" w:eastAsia="Times New Roman" w:hAnsi="Arial" w:cs="DINOT-Light"/>
          <w:color w:val="000000"/>
          <w:sz w:val="18"/>
          <w:szCs w:val="18"/>
        </w:rPr>
        <w:t xml:space="preserve"> appropriate, changes in estimation basis or in economic conditions could lead to a change in the level of </w:t>
      </w:r>
    </w:p>
    <w:p w14:paraId="65989B76" w14:textId="77777777"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provisions recorded and consequently the charge or credit to the statement of profit or loss. In determining the allowance for ECLs a provisioning matrix is applied to the debt of customers in Devon, Cornwall and</w:t>
      </w:r>
    </w:p>
    <w:p w14:paraId="2A90FAD9" w14:textId="52228AFE"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Bournemouth, as set out in </w:t>
      </w:r>
      <w:r w:rsidRPr="009A2CAE">
        <w:rPr>
          <w:rFonts w:ascii="Arial" w:eastAsia="Times New Roman" w:hAnsi="Arial" w:cs="DINOT-Light"/>
          <w:color w:val="000000"/>
          <w:sz w:val="18"/>
          <w:szCs w:val="18"/>
        </w:rPr>
        <w:t xml:space="preserve">note </w:t>
      </w:r>
      <w:r w:rsidR="00433057" w:rsidRPr="009A2CAE">
        <w:rPr>
          <w:rFonts w:ascii="Arial" w:eastAsia="Times New Roman" w:hAnsi="Arial" w:cs="DINOT-Light"/>
          <w:color w:val="000000"/>
          <w:sz w:val="18"/>
          <w:szCs w:val="18"/>
        </w:rPr>
        <w:t>19</w:t>
      </w:r>
      <w:r w:rsidRPr="009A2CAE">
        <w:rPr>
          <w:rFonts w:ascii="Arial" w:eastAsia="Times New Roman" w:hAnsi="Arial" w:cs="DINOT-Light"/>
          <w:color w:val="000000"/>
          <w:sz w:val="18"/>
          <w:szCs w:val="18"/>
        </w:rPr>
        <w:t>.</w:t>
      </w:r>
      <w:r w:rsidRPr="00735726">
        <w:rPr>
          <w:rFonts w:ascii="Arial" w:eastAsia="Times New Roman" w:hAnsi="Arial" w:cs="DINOT-Light"/>
          <w:color w:val="000000"/>
          <w:sz w:val="18"/>
          <w:szCs w:val="18"/>
        </w:rPr>
        <w:t xml:space="preserve"> An increase/decrease in the provision rates for current occupiers of 1% would lead to an increase/decrease in the level of provision by £1.7 million (2025: £1.4 million).</w:t>
      </w:r>
    </w:p>
    <w:p w14:paraId="16F42FC6" w14:textId="77777777" w:rsidR="00646F4F" w:rsidRPr="009A2CAE" w:rsidRDefault="00646F4F" w:rsidP="00646F4F">
      <w:pPr>
        <w:autoSpaceDE w:val="0"/>
        <w:autoSpaceDN w:val="0"/>
        <w:adjustRightInd w:val="0"/>
        <w:spacing w:after="0"/>
        <w:rPr>
          <w:rFonts w:ascii="Arial" w:eastAsia="Times New Roman" w:hAnsi="Arial" w:cs="DINOT-Light"/>
          <w:color w:val="000000"/>
          <w:sz w:val="18"/>
          <w:szCs w:val="18"/>
        </w:rPr>
      </w:pPr>
    </w:p>
    <w:p w14:paraId="30D989B6"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i/>
          <w:iCs/>
          <w:color w:val="000000"/>
          <w:sz w:val="18"/>
          <w:szCs w:val="18"/>
        </w:rPr>
      </w:pPr>
      <w:r w:rsidRPr="00735726">
        <w:rPr>
          <w:rFonts w:ascii="Arial" w:eastAsia="Times New Roman" w:hAnsi="Arial" w:cs="Arial"/>
          <w:i/>
          <w:iCs/>
          <w:color w:val="000000"/>
          <w:sz w:val="18"/>
          <w:szCs w:val="18"/>
        </w:rPr>
        <w:t>Retirement benefit obligations</w:t>
      </w:r>
    </w:p>
    <w:p w14:paraId="2484C93C" w14:textId="235A7C1B"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412" w:name="XMETag_a14d6ac5f4d845c1ad997657d39d81e9"/>
      <w:r w:rsidRPr="00735726">
        <w:rPr>
          <w:rFonts w:ascii="Arial" w:eastAsia="Times New Roman" w:hAnsi="Arial" w:cs="DINOT-Light"/>
          <w:color w:val="000000"/>
          <w:sz w:val="18"/>
          <w:szCs w:val="18"/>
        </w:rPr>
        <w:t xml:space="preserve">The Company operates defined benefit pension schemes, through its parent </w:t>
      </w:r>
      <w:r w:rsidR="003B36A4"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 xml:space="preserve">ompany, for which actuarial valuations are carried out as determined by the trustees at intervals of not more than three years. The most recent triennial valuation of the main scheme was as </w:t>
      </w:r>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31 March 2025, the outcome of which is summarised in</w:t>
      </w:r>
      <w:r w:rsidR="001B2BD6" w:rsidRPr="00735726">
        <w:rPr>
          <w:rFonts w:ascii="Arial" w:eastAsia="Times New Roman" w:hAnsi="Arial" w:cs="DINOT-Light"/>
          <w:color w:val="000000"/>
          <w:sz w:val="18"/>
          <w:szCs w:val="18"/>
        </w:rPr>
        <w:t xml:space="preserve"> </w:t>
      </w:r>
      <w:r w:rsidRPr="009A2CAE">
        <w:rPr>
          <w:rFonts w:ascii="Arial" w:eastAsia="Times New Roman" w:hAnsi="Arial" w:cs="DINOT-Light"/>
          <w:color w:val="000000"/>
          <w:sz w:val="18"/>
          <w:szCs w:val="18"/>
        </w:rPr>
        <w:t>note 2</w:t>
      </w:r>
      <w:r w:rsidR="00B63B15" w:rsidRPr="009A2CAE">
        <w:rPr>
          <w:rFonts w:ascii="Arial" w:eastAsia="Times New Roman" w:hAnsi="Arial" w:cs="DINOT-Light"/>
          <w:color w:val="000000"/>
          <w:sz w:val="18"/>
          <w:szCs w:val="18"/>
        </w:rPr>
        <w:t>5</w:t>
      </w:r>
      <w:r w:rsidRPr="009A2CAE">
        <w:rPr>
          <w:rFonts w:ascii="Arial" w:eastAsia="Times New Roman" w:hAnsi="Arial" w:cs="DINOT-Light"/>
          <w:color w:val="000000"/>
          <w:sz w:val="18"/>
          <w:szCs w:val="18"/>
        </w:rPr>
        <w:t>.</w:t>
      </w:r>
    </w:p>
    <w:p w14:paraId="1528CC87"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593B26B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b/>
          <w:bCs/>
          <w:color w:val="000000"/>
          <w:sz w:val="18"/>
          <w:szCs w:val="18"/>
        </w:rPr>
      </w:pPr>
      <w:r w:rsidRPr="00735726">
        <w:rPr>
          <w:rFonts w:ascii="Arial" w:eastAsia="Times New Roman" w:hAnsi="Arial" w:cs="DINOT-Light"/>
          <w:color w:val="000000"/>
          <w:sz w:val="18"/>
          <w:szCs w:val="18"/>
        </w:rPr>
        <w:t xml:space="preserve">The pension cost and liabilities under IAS 19 are assessed in accordance with Directors’ best estimates using the advice of an independent qualified actuary and assumptions in the latest actuarial valuation. The assumptions are based on member data supplied to the actuary and market observations for interest rates and inflation, supplemented by discussions between the actuary and management. The mortality assumption uses a scheme-specific calculation based on CMI 2024 actuarial tables with an allowance for future longevity improvement. The </w:t>
      </w:r>
    </w:p>
    <w:p w14:paraId="4D48315C" w14:textId="7A690786"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principal assumptions used to measure schemes’ liabilities, sensitivities to changes in those assumptions and future funding obligations are set out in </w:t>
      </w:r>
      <w:r w:rsidRPr="009A2CAE">
        <w:rPr>
          <w:rFonts w:ascii="Arial" w:eastAsia="Times New Roman" w:hAnsi="Arial" w:cs="DINOT-Light"/>
          <w:color w:val="000000"/>
          <w:sz w:val="18"/>
          <w:szCs w:val="18"/>
        </w:rPr>
        <w:t>note 2</w:t>
      </w:r>
      <w:r w:rsidR="00B63B15" w:rsidRPr="009A2CAE">
        <w:rPr>
          <w:rFonts w:ascii="Arial" w:eastAsia="Times New Roman" w:hAnsi="Arial" w:cs="DINOT-Light"/>
          <w:color w:val="000000"/>
          <w:sz w:val="18"/>
          <w:szCs w:val="18"/>
        </w:rPr>
        <w:t>5</w:t>
      </w:r>
      <w:r w:rsidRPr="009A2CAE">
        <w:rPr>
          <w:rFonts w:ascii="Arial" w:eastAsia="Times New Roman" w:hAnsi="Arial" w:cs="DINOT-Light"/>
          <w:color w:val="000000"/>
          <w:sz w:val="18"/>
          <w:szCs w:val="18"/>
        </w:rPr>
        <w:t>.</w:t>
      </w:r>
      <w:bookmarkEnd w:id="412"/>
    </w:p>
    <w:p w14:paraId="659A8730"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Cs/>
          <w:color w:val="000000"/>
          <w:sz w:val="18"/>
          <w:szCs w:val="18"/>
        </w:rPr>
      </w:pPr>
    </w:p>
    <w:p w14:paraId="7441246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i/>
          <w:iCs/>
          <w:color w:val="000000"/>
          <w:sz w:val="18"/>
          <w:szCs w:val="18"/>
        </w:rPr>
      </w:pPr>
      <w:r w:rsidRPr="00735726">
        <w:rPr>
          <w:rFonts w:ascii="Arial" w:eastAsia="Times New Roman" w:hAnsi="Arial" w:cs="Arial"/>
          <w:i/>
          <w:iCs/>
          <w:color w:val="000000"/>
          <w:sz w:val="18"/>
          <w:szCs w:val="18"/>
        </w:rPr>
        <w:t>Useful economic lives of property, plant and equipment</w:t>
      </w:r>
    </w:p>
    <w:p w14:paraId="021FBB07"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Calculating the depreciation charge and hence the carrying value for property, plant and equipment requires estimates to be made on the useful</w:t>
      </w:r>
      <w:r w:rsidRPr="00735726">
        <w:rPr>
          <w:rFonts w:ascii="Calibre-Light" w:hAnsi="Calibre-Light" w:cs="Calibre-Light"/>
          <w:sz w:val="16"/>
          <w:szCs w:val="16"/>
        </w:rPr>
        <w:t xml:space="preserve"> </w:t>
      </w:r>
      <w:r w:rsidRPr="00735726">
        <w:rPr>
          <w:rFonts w:ascii="Arial" w:eastAsia="Times New Roman" w:hAnsi="Arial" w:cs="DINOT-Light"/>
          <w:bCs/>
          <w:color w:val="000000"/>
          <w:sz w:val="18"/>
          <w:szCs w:val="18"/>
        </w:rPr>
        <w:t>lives of the assets. The estimates are based on engineering data and the</w:t>
      </w:r>
    </w:p>
    <w:p w14:paraId="1656A308"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Company’s experience of similar assets. Asset lives are reviewed annually and amended where changes are made to assumptions relating to the expected life of the asset from judgement around usage and performance experience, technological advancement and other relevant factors. Overall assessments on the impact of climate change on long life assets have been completed and will be continuously updated for the latest available information. The most recent assessment of the impact on climate change, which includes the potential to mitigate adverse impacts, has not identified any specific impact on the useful economic lives of long-life assets. Environmental factors and climate change form part of the planning process for new capital expenditure, where the Company continues to apply a consistent policy on capitalisation. The depreciation charge is sensitive to amendments of the useful economic lives of these assets, a significant change in the estimated life of these assets could have a material impact on depreciation, this is therefore noted as a material other estimate.</w:t>
      </w:r>
    </w:p>
    <w:p w14:paraId="14B93930"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b/>
          <w:color w:val="000000"/>
          <w:sz w:val="18"/>
          <w:szCs w:val="18"/>
        </w:rPr>
      </w:pPr>
    </w:p>
    <w:p w14:paraId="6F79E68D"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Judgements</w:t>
      </w:r>
    </w:p>
    <w:p w14:paraId="328E962D" w14:textId="77777777" w:rsidR="00646F4F" w:rsidRPr="00735726" w:rsidRDefault="00646F4F" w:rsidP="00646F4F">
      <w:pPr>
        <w:autoSpaceDE w:val="0"/>
        <w:autoSpaceDN w:val="0"/>
        <w:adjustRightInd w:val="0"/>
        <w:spacing w:after="0"/>
        <w:rPr>
          <w:rFonts w:ascii="Arial" w:eastAsia="Calibri" w:hAnsi="Arial" w:cs="Arial"/>
          <w:i/>
          <w:iCs/>
          <w:sz w:val="18"/>
          <w:szCs w:val="18"/>
        </w:rPr>
      </w:pPr>
      <w:bookmarkStart w:id="413" w:name="XMETag_cf954002432743dbbbc0478fa70ec73f"/>
      <w:r w:rsidRPr="00735726">
        <w:rPr>
          <w:rFonts w:ascii="Arial" w:eastAsia="Calibri" w:hAnsi="Arial" w:cs="Arial"/>
          <w:i/>
          <w:iCs/>
          <w:sz w:val="18"/>
          <w:szCs w:val="18"/>
        </w:rPr>
        <w:t>Non-underlying items</w:t>
      </w:r>
      <w:bookmarkEnd w:id="413"/>
    </w:p>
    <w:p w14:paraId="23240601" w14:textId="4056410E" w:rsidR="00646F4F" w:rsidRPr="009A2CAE" w:rsidRDefault="00646F4F" w:rsidP="00F41A23">
      <w:pPr>
        <w:autoSpaceDE w:val="0"/>
        <w:autoSpaceDN w:val="0"/>
        <w:adjustRightInd w:val="0"/>
        <w:spacing w:after="0"/>
        <w:rPr>
          <w:rFonts w:ascii="Arial" w:eastAsia="Calibri" w:hAnsi="Arial" w:cs="Arial"/>
          <w:sz w:val="18"/>
          <w:szCs w:val="18"/>
        </w:rPr>
      </w:pPr>
      <w:bookmarkStart w:id="414" w:name="XMETag_bd154dddb5bc4ae9a78fc05cd5b4a3a4"/>
      <w:r w:rsidRPr="00735726">
        <w:rPr>
          <w:rFonts w:ascii="Arial" w:eastAsia="Calibri" w:hAnsi="Arial" w:cs="Arial"/>
          <w:sz w:val="18"/>
          <w:szCs w:val="18"/>
        </w:rPr>
        <w:t>In establishing which items are disclosed separately as non-</w:t>
      </w:r>
      <w:proofErr w:type="gramStart"/>
      <w:r w:rsidRPr="00735726">
        <w:rPr>
          <w:rFonts w:ascii="Arial" w:eastAsia="Calibri" w:hAnsi="Arial" w:cs="Arial"/>
          <w:sz w:val="18"/>
          <w:szCs w:val="18"/>
        </w:rPr>
        <w:t>underlying,</w:t>
      </w:r>
      <w:proofErr w:type="gramEnd"/>
      <w:r w:rsidRPr="00735726">
        <w:rPr>
          <w:rFonts w:ascii="Arial" w:eastAsia="Calibri" w:hAnsi="Arial" w:cs="Arial"/>
          <w:sz w:val="18"/>
          <w:szCs w:val="18"/>
        </w:rPr>
        <w:t xml:space="preserve"> to enable a full understanding of the Company’s financial performance, the Directors exercise their judgement in assessing the size, nature or incidence of specific items. </w:t>
      </w:r>
      <w:r w:rsidR="00F41A23" w:rsidRPr="00735726">
        <w:rPr>
          <w:rFonts w:ascii="Arial" w:eastAsia="Calibri" w:hAnsi="Arial" w:cs="Arial"/>
          <w:sz w:val="18"/>
          <w:szCs w:val="18"/>
        </w:rPr>
        <w:t xml:space="preserve">Excluding these items is considered to provide additional useful information on the performance and the position of the Company as well as enhancing the comparability of information between reporting </w:t>
      </w:r>
      <w:proofErr w:type="gramStart"/>
      <w:r w:rsidR="00F41A23" w:rsidRPr="00735726">
        <w:rPr>
          <w:rFonts w:ascii="Arial" w:eastAsia="Calibri" w:hAnsi="Arial" w:cs="Arial"/>
          <w:sz w:val="18"/>
          <w:szCs w:val="18"/>
        </w:rPr>
        <w:t>period</w:t>
      </w:r>
      <w:proofErr w:type="gramEnd"/>
      <w:r w:rsidR="00F41A23" w:rsidRPr="00735726">
        <w:rPr>
          <w:rFonts w:ascii="Arial" w:eastAsia="Calibri" w:hAnsi="Arial" w:cs="Arial"/>
          <w:sz w:val="18"/>
          <w:szCs w:val="18"/>
        </w:rPr>
        <w:t>. S</w:t>
      </w:r>
      <w:r w:rsidRPr="00735726">
        <w:rPr>
          <w:rFonts w:ascii="Arial" w:eastAsia="Calibri" w:hAnsi="Arial" w:cs="Arial"/>
          <w:sz w:val="18"/>
          <w:szCs w:val="18"/>
        </w:rPr>
        <w:t xml:space="preserve">ee </w:t>
      </w:r>
      <w:r w:rsidRPr="009A2CAE">
        <w:rPr>
          <w:rFonts w:ascii="Arial" w:eastAsia="Calibri" w:hAnsi="Arial" w:cs="Arial"/>
          <w:sz w:val="18"/>
          <w:szCs w:val="18"/>
        </w:rPr>
        <w:t xml:space="preserve">note </w:t>
      </w:r>
      <w:r w:rsidR="00B63B15" w:rsidRPr="009A2CAE">
        <w:rPr>
          <w:rFonts w:ascii="Arial" w:eastAsia="Calibri" w:hAnsi="Arial" w:cs="Arial"/>
          <w:sz w:val="18"/>
          <w:szCs w:val="18"/>
        </w:rPr>
        <w:t>6</w:t>
      </w:r>
      <w:r w:rsidRPr="009A2CAE">
        <w:rPr>
          <w:rFonts w:ascii="Arial" w:eastAsia="Calibri" w:hAnsi="Arial" w:cs="Arial"/>
          <w:sz w:val="18"/>
          <w:szCs w:val="18"/>
        </w:rPr>
        <w:t xml:space="preserve"> </w:t>
      </w:r>
      <w:r w:rsidRPr="00735726">
        <w:rPr>
          <w:rFonts w:ascii="Arial" w:eastAsia="Calibri" w:hAnsi="Arial" w:cs="Arial"/>
          <w:sz w:val="18"/>
          <w:szCs w:val="18"/>
        </w:rPr>
        <w:t>for further details.</w:t>
      </w:r>
      <w:bookmarkEnd w:id="414"/>
    </w:p>
    <w:p w14:paraId="38071D0B"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3F2102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Cs/>
          <w:i/>
          <w:iCs/>
          <w:color w:val="000000"/>
          <w:sz w:val="18"/>
          <w:szCs w:val="18"/>
        </w:rPr>
      </w:pPr>
      <w:bookmarkStart w:id="415" w:name="XMETag_2850b020f3dc4384bb3836867128a716"/>
      <w:r w:rsidRPr="00735726">
        <w:rPr>
          <w:rFonts w:ascii="Arial" w:eastAsia="Times New Roman" w:hAnsi="Arial" w:cs="DINOT-Light"/>
          <w:bCs/>
          <w:i/>
          <w:iCs/>
          <w:color w:val="000000"/>
          <w:sz w:val="18"/>
          <w:szCs w:val="18"/>
        </w:rPr>
        <w:t>Capitalisation of property, plant and equipment</w:t>
      </w:r>
    </w:p>
    <w:p w14:paraId="78637EBD" w14:textId="2F8573E6" w:rsidR="00646F4F" w:rsidRPr="00735726" w:rsidRDefault="00646F4F" w:rsidP="00646F4F">
      <w:pPr>
        <w:spacing w:after="16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property, plant and equipment of the Company </w:t>
      </w:r>
      <w:proofErr w:type="gramStart"/>
      <w:r w:rsidRPr="00735726">
        <w:rPr>
          <w:rFonts w:ascii="Arial" w:eastAsia="Times New Roman" w:hAnsi="Arial" w:cs="DINOT-Light"/>
          <w:color w:val="000000"/>
          <w:sz w:val="18"/>
          <w:szCs w:val="18"/>
        </w:rPr>
        <w:t>relates</w:t>
      </w:r>
      <w:proofErr w:type="gramEnd"/>
      <w:r w:rsidRPr="00735726">
        <w:rPr>
          <w:rFonts w:ascii="Arial" w:eastAsia="Times New Roman" w:hAnsi="Arial" w:cs="DINOT-Light"/>
          <w:color w:val="000000"/>
          <w:sz w:val="18"/>
          <w:szCs w:val="18"/>
        </w:rPr>
        <w:t xml:space="preserve"> primarily to infrastructure assets (being water mains and sewers, impounding and pumped raw water storage reservoirs, dams, pipelines and sea outfalls) as well as other assets which include fixed plant and operational properties. Given the nature of these assets, the Company incurs expenditure including both asset enhancement as well as repairs and maintenance, which involves judgement in allocation of costs between operating and capital expenditure</w:t>
      </w:r>
      <w:r w:rsidR="00503246" w:rsidRPr="00735726">
        <w:rPr>
          <w:rFonts w:ascii="Arial" w:eastAsia="Times New Roman" w:hAnsi="Arial" w:cs="DINOT-Light"/>
          <w:color w:val="000000"/>
          <w:sz w:val="18"/>
          <w:szCs w:val="18"/>
        </w:rPr>
        <w:t>, including the proportion of employee costs to allocate</w:t>
      </w:r>
      <w:r w:rsidRPr="00735726">
        <w:rPr>
          <w:rFonts w:ascii="Arial" w:eastAsia="Times New Roman" w:hAnsi="Arial" w:cs="DINOT-Light"/>
          <w:color w:val="000000"/>
          <w:sz w:val="18"/>
          <w:szCs w:val="18"/>
        </w:rPr>
        <w:t>. The Company continues to apply a consistent policy and approach on capitalisation of property, plant and equipment.</w:t>
      </w:r>
    </w:p>
    <w:p w14:paraId="6CFDFF0D" w14:textId="77777777" w:rsidR="00D61316" w:rsidRPr="00735726" w:rsidRDefault="00D61316" w:rsidP="00D61316">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434910A8" w14:textId="77777777" w:rsidR="00D61316" w:rsidRPr="00735726" w:rsidRDefault="00D61316" w:rsidP="00D61316">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4FB8D1CC" w14:textId="77777777" w:rsidR="00D61316" w:rsidRPr="00735726" w:rsidRDefault="00D61316" w:rsidP="00D61316">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1E52E05F" w14:textId="27C1C53F" w:rsidR="00D61316" w:rsidRPr="00735726" w:rsidRDefault="00D61316" w:rsidP="00D61316">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4.</w:t>
      </w:r>
      <w:r w:rsidRPr="00735726">
        <w:rPr>
          <w:rFonts w:ascii="Arial" w:eastAsia="Times New Roman" w:hAnsi="Arial" w:cs="Arial"/>
          <w:b/>
          <w:bCs/>
          <w:caps/>
          <w:color w:val="000000"/>
          <w:sz w:val="18"/>
          <w:szCs w:val="18"/>
        </w:rPr>
        <w:tab/>
        <w:t>Critical accounting judgements and estimates (CONTINUED)</w:t>
      </w:r>
    </w:p>
    <w:p w14:paraId="1C02042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Other estimates</w:t>
      </w:r>
      <w:bookmarkEnd w:id="415"/>
    </w:p>
    <w:p w14:paraId="14674BB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Cs/>
          <w:i/>
          <w:iCs/>
          <w:color w:val="000000"/>
          <w:sz w:val="18"/>
          <w:szCs w:val="18"/>
        </w:rPr>
      </w:pPr>
      <w:r w:rsidRPr="00735726">
        <w:rPr>
          <w:rFonts w:ascii="Arial" w:eastAsia="Times New Roman" w:hAnsi="Arial" w:cs="DINOT-Light"/>
          <w:bCs/>
          <w:i/>
          <w:iCs/>
          <w:color w:val="000000"/>
          <w:sz w:val="18"/>
          <w:szCs w:val="18"/>
        </w:rPr>
        <w:t>Revenue recognition</w:t>
      </w:r>
    </w:p>
    <w:p w14:paraId="59D0F171" w14:textId="17F28AFF"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416" w:name="XMETag_55874f481ceb4f4c9cd4a1501cc783e2"/>
      <w:r w:rsidRPr="00735726">
        <w:rPr>
          <w:rFonts w:ascii="Arial" w:eastAsia="Times New Roman" w:hAnsi="Arial" w:cs="DINOT-Light"/>
          <w:color w:val="000000"/>
          <w:sz w:val="18"/>
          <w:szCs w:val="18"/>
        </w:rPr>
        <w:t>Management assessed and resolved that the level of estimation for revenue recognition of accrued revenue relating to water and wastewater should not be considered critical as the estimates are largely calculated on a systematic basis</w:t>
      </w:r>
      <w:r w:rsidR="00F41A23" w:rsidRPr="00735726">
        <w:rPr>
          <w:rFonts w:ascii="Arial" w:eastAsia="Times New Roman" w:hAnsi="Arial" w:cs="DINOT-Light"/>
          <w:color w:val="000000"/>
          <w:sz w:val="18"/>
          <w:szCs w:val="18"/>
        </w:rPr>
        <w:t xml:space="preserve"> and there’s not a significant risk of material change in the next 12 months</w:t>
      </w:r>
      <w:r w:rsidRPr="00735726">
        <w:rPr>
          <w:rFonts w:ascii="Arial" w:eastAsia="Times New Roman" w:hAnsi="Arial" w:cs="DINOT-Light"/>
          <w:color w:val="000000"/>
          <w:sz w:val="18"/>
          <w:szCs w:val="18"/>
        </w:rPr>
        <w:t>. However,</w:t>
      </w:r>
      <w:r w:rsidR="00F41A23"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management consider the total level of estimation of accrued revenue relating to water and wastewater to be material and highlight this as a material other estimate.</w:t>
      </w:r>
    </w:p>
    <w:bookmarkEnd w:id="416"/>
    <w:p w14:paraId="760FA47B" w14:textId="0912D0FA" w:rsidR="00646F4F" w:rsidRPr="009A2CAE" w:rsidRDefault="00646F4F" w:rsidP="00646F4F">
      <w:pPr>
        <w:spacing w:after="160" w:line="259" w:lineRule="auto"/>
        <w:rPr>
          <w:rFonts w:ascii="Arial" w:eastAsia="Times New Roman" w:hAnsi="Arial" w:cs="Arial"/>
          <w:b/>
          <w:bCs/>
          <w:caps/>
          <w:color w:val="000000"/>
          <w:sz w:val="18"/>
          <w:szCs w:val="18"/>
        </w:rPr>
      </w:pPr>
    </w:p>
    <w:p w14:paraId="5125FACB" w14:textId="77777777" w:rsidR="00646F4F" w:rsidRPr="00735726" w:rsidRDefault="00646F4F" w:rsidP="00646F4F">
      <w:pPr>
        <w:widowControl w:val="0"/>
        <w:numPr>
          <w:ilvl w:val="0"/>
          <w:numId w:val="25"/>
        </w:numPr>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REVENUE</w:t>
      </w:r>
    </w:p>
    <w:p w14:paraId="39131E2E"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2D799BC9"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Revenue has been disaggregated based on the services of supplying clean water, removal and treatment of wastewater and other services.</w:t>
      </w:r>
    </w:p>
    <w:tbl>
      <w:tblPr>
        <w:tblW w:w="9957" w:type="dxa"/>
        <w:tblInd w:w="8" w:type="dxa"/>
        <w:tblLayout w:type="fixed"/>
        <w:tblCellMar>
          <w:left w:w="0" w:type="dxa"/>
          <w:right w:w="0" w:type="dxa"/>
        </w:tblCellMar>
        <w:tblLook w:val="0000" w:firstRow="0" w:lastRow="0" w:firstColumn="0" w:lastColumn="0" w:noHBand="0" w:noVBand="0"/>
      </w:tblPr>
      <w:tblGrid>
        <w:gridCol w:w="7716"/>
        <w:gridCol w:w="1139"/>
        <w:gridCol w:w="1102"/>
      </w:tblGrid>
      <w:tr w:rsidR="00646F4F" w:rsidRPr="00735726" w14:paraId="797521B4" w14:textId="77777777" w:rsidTr="00CE19B2">
        <w:trPr>
          <w:trHeight w:val="56"/>
          <w:tblHeader/>
        </w:trPr>
        <w:tc>
          <w:tcPr>
            <w:tcW w:w="7716" w:type="dxa"/>
            <w:tcMar>
              <w:top w:w="11" w:type="dxa"/>
              <w:left w:w="57" w:type="dxa"/>
              <w:bottom w:w="11" w:type="dxa"/>
              <w:right w:w="57" w:type="dxa"/>
            </w:tcMar>
          </w:tcPr>
          <w:p w14:paraId="2D5A360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9" w:type="dxa"/>
            <w:tcMar>
              <w:top w:w="11" w:type="dxa"/>
              <w:left w:w="57" w:type="dxa"/>
              <w:bottom w:w="11" w:type="dxa"/>
              <w:right w:w="57" w:type="dxa"/>
            </w:tcMar>
          </w:tcPr>
          <w:p w14:paraId="78D7735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7C71F2A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02" w:type="dxa"/>
          </w:tcPr>
          <w:p w14:paraId="3A75F2B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59ED236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40BB5EE7" w14:textId="77777777" w:rsidTr="00CE19B2">
        <w:trPr>
          <w:trHeight w:val="212"/>
        </w:trPr>
        <w:tc>
          <w:tcPr>
            <w:tcW w:w="7716" w:type="dxa"/>
            <w:tcMar>
              <w:top w:w="11" w:type="dxa"/>
              <w:left w:w="57" w:type="dxa"/>
              <w:bottom w:w="11" w:type="dxa"/>
              <w:right w:w="57" w:type="dxa"/>
            </w:tcMar>
          </w:tcPr>
          <w:p w14:paraId="1D9AE21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17" w:name="XMETag_edacf6a463e04f32869709954d8c3396" w:colFirst="1" w:colLast="1"/>
            <w:bookmarkStart w:id="418" w:name="XMETag_7fb9568dcf6e488daf89f025537105d7" w:colFirst="2" w:colLast="2"/>
            <w:r w:rsidRPr="00735726">
              <w:rPr>
                <w:rFonts w:ascii="Arial" w:eastAsia="Times New Roman" w:hAnsi="Arial" w:cs="DINOT-Light"/>
                <w:color w:val="000000"/>
                <w:sz w:val="18"/>
                <w:szCs w:val="18"/>
              </w:rPr>
              <w:t>Water</w:t>
            </w:r>
          </w:p>
        </w:tc>
        <w:tc>
          <w:tcPr>
            <w:tcW w:w="1139" w:type="dxa"/>
            <w:tcMar>
              <w:top w:w="11" w:type="dxa"/>
              <w:left w:w="57" w:type="dxa"/>
              <w:bottom w:w="11" w:type="dxa"/>
              <w:right w:w="57" w:type="dxa"/>
            </w:tcMar>
          </w:tcPr>
          <w:p w14:paraId="59DF5A66" w14:textId="31E7C5FC" w:rsidR="00646F4F" w:rsidRPr="00735726" w:rsidRDefault="000C41A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531.7</w:t>
            </w:r>
          </w:p>
        </w:tc>
        <w:tc>
          <w:tcPr>
            <w:tcW w:w="1102" w:type="dxa"/>
          </w:tcPr>
          <w:p w14:paraId="689BEC0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415.2</w:t>
            </w:r>
          </w:p>
        </w:tc>
      </w:tr>
      <w:tr w:rsidR="00646F4F" w:rsidRPr="00735726" w14:paraId="620FDAF8" w14:textId="77777777" w:rsidTr="00CE19B2">
        <w:trPr>
          <w:trHeight w:val="212"/>
        </w:trPr>
        <w:tc>
          <w:tcPr>
            <w:tcW w:w="7716" w:type="dxa"/>
            <w:tcMar>
              <w:top w:w="11" w:type="dxa"/>
              <w:left w:w="57" w:type="dxa"/>
              <w:bottom w:w="11" w:type="dxa"/>
              <w:right w:w="57" w:type="dxa"/>
            </w:tcMar>
          </w:tcPr>
          <w:p w14:paraId="6F3495E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19" w:name="XMETag_3bcd6e9fc54d4be1974d839281cadfa3" w:colFirst="1" w:colLast="1"/>
            <w:bookmarkStart w:id="420" w:name="XMETag_1ce1984773eb415b9c55e7e68a8a5242" w:colFirst="2" w:colLast="2"/>
            <w:bookmarkEnd w:id="417"/>
            <w:bookmarkEnd w:id="418"/>
            <w:r w:rsidRPr="00735726">
              <w:rPr>
                <w:rFonts w:ascii="Arial" w:eastAsia="Times New Roman" w:hAnsi="Arial" w:cs="DINOT-Light"/>
                <w:color w:val="000000"/>
                <w:sz w:val="18"/>
                <w:szCs w:val="18"/>
              </w:rPr>
              <w:t>Wastewater</w:t>
            </w:r>
          </w:p>
        </w:tc>
        <w:tc>
          <w:tcPr>
            <w:tcW w:w="1139" w:type="dxa"/>
            <w:tcMar>
              <w:top w:w="11" w:type="dxa"/>
              <w:left w:w="57" w:type="dxa"/>
              <w:bottom w:w="11" w:type="dxa"/>
              <w:right w:w="57" w:type="dxa"/>
            </w:tcMar>
          </w:tcPr>
          <w:p w14:paraId="4F671ABA" w14:textId="23A3331C"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w:t>
            </w:r>
            <w:r w:rsidR="000C41AC" w:rsidRPr="00735726">
              <w:rPr>
                <w:rFonts w:ascii="Arial" w:eastAsia="Times New Roman" w:hAnsi="Arial" w:cs="DINOT-Light"/>
                <w:color w:val="000000"/>
                <w:sz w:val="18"/>
                <w:szCs w:val="18"/>
              </w:rPr>
              <w:t>63.2</w:t>
            </w:r>
          </w:p>
        </w:tc>
        <w:tc>
          <w:tcPr>
            <w:tcW w:w="1102" w:type="dxa"/>
          </w:tcPr>
          <w:p w14:paraId="417935C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278.0</w:t>
            </w:r>
          </w:p>
        </w:tc>
      </w:tr>
      <w:tr w:rsidR="00646F4F" w:rsidRPr="00735726" w14:paraId="27E8524D" w14:textId="77777777" w:rsidTr="00CE19B2">
        <w:trPr>
          <w:trHeight w:val="212"/>
        </w:trPr>
        <w:tc>
          <w:tcPr>
            <w:tcW w:w="7716" w:type="dxa"/>
            <w:tcMar>
              <w:top w:w="11" w:type="dxa"/>
              <w:left w:w="57" w:type="dxa"/>
              <w:bottom w:w="11" w:type="dxa"/>
              <w:right w:w="57" w:type="dxa"/>
            </w:tcMar>
          </w:tcPr>
          <w:p w14:paraId="15503C3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21" w:name="XMETag_90e3d2662b8d4bfb816f62897ff9a241" w:colFirst="1" w:colLast="1"/>
            <w:bookmarkStart w:id="422" w:name="XMETag_8204bb9d840b4ce6b3f611fa5b631ef2" w:colFirst="2" w:colLast="2"/>
            <w:bookmarkEnd w:id="419"/>
            <w:bookmarkEnd w:id="420"/>
            <w:r w:rsidRPr="00735726">
              <w:rPr>
                <w:rFonts w:ascii="Arial" w:eastAsia="Times New Roman" w:hAnsi="Arial" w:cs="DINOT-Light"/>
                <w:color w:val="000000"/>
                <w:sz w:val="18"/>
                <w:szCs w:val="18"/>
              </w:rPr>
              <w:t>Other services</w:t>
            </w:r>
          </w:p>
        </w:tc>
        <w:tc>
          <w:tcPr>
            <w:tcW w:w="1139" w:type="dxa"/>
            <w:tcBorders>
              <w:bottom w:val="single" w:sz="4" w:space="0" w:color="auto"/>
            </w:tcBorders>
            <w:tcMar>
              <w:top w:w="11" w:type="dxa"/>
              <w:left w:w="57" w:type="dxa"/>
              <w:bottom w:w="11" w:type="dxa"/>
              <w:right w:w="57" w:type="dxa"/>
            </w:tcMar>
          </w:tcPr>
          <w:p w14:paraId="422358A2" w14:textId="46EC757D"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w:t>
            </w:r>
            <w:r w:rsidR="000C41AC" w:rsidRPr="00735726">
              <w:rPr>
                <w:rFonts w:ascii="Arial" w:eastAsia="Times New Roman" w:hAnsi="Arial" w:cs="DINOT-Light"/>
                <w:color w:val="000000"/>
                <w:sz w:val="18"/>
                <w:szCs w:val="18"/>
              </w:rPr>
              <w:t>4.</w:t>
            </w:r>
            <w:r w:rsidR="00DB0609" w:rsidRPr="00735726">
              <w:rPr>
                <w:rFonts w:ascii="Arial" w:eastAsia="Times New Roman" w:hAnsi="Arial" w:cs="DINOT-Light"/>
                <w:color w:val="000000"/>
                <w:sz w:val="18"/>
                <w:szCs w:val="18"/>
              </w:rPr>
              <w:t>3</w:t>
            </w:r>
          </w:p>
        </w:tc>
        <w:tc>
          <w:tcPr>
            <w:tcW w:w="1102" w:type="dxa"/>
            <w:tcBorders>
              <w:bottom w:val="single" w:sz="4" w:space="0" w:color="auto"/>
            </w:tcBorders>
          </w:tcPr>
          <w:p w14:paraId="610C175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46.0</w:t>
            </w:r>
          </w:p>
        </w:tc>
      </w:tr>
      <w:tr w:rsidR="00646F4F" w:rsidRPr="00735726" w14:paraId="39CE188D" w14:textId="77777777" w:rsidTr="00CE19B2">
        <w:trPr>
          <w:trHeight w:val="212"/>
        </w:trPr>
        <w:tc>
          <w:tcPr>
            <w:tcW w:w="7716" w:type="dxa"/>
            <w:tcMar>
              <w:top w:w="11" w:type="dxa"/>
              <w:left w:w="57" w:type="dxa"/>
              <w:bottom w:w="11" w:type="dxa"/>
              <w:right w:w="57" w:type="dxa"/>
            </w:tcMar>
          </w:tcPr>
          <w:p w14:paraId="16AA2AD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423" w:name="XMETag_3e023a9e2a15477ba579f4e7674baa69" w:colFirst="1" w:colLast="1"/>
            <w:bookmarkStart w:id="424" w:name="XMETag_ac77d1054d4e4207b272565632844dc0" w:colFirst="2" w:colLast="2"/>
            <w:bookmarkEnd w:id="421"/>
            <w:bookmarkEnd w:id="422"/>
            <w:r w:rsidRPr="00735726">
              <w:rPr>
                <w:rFonts w:ascii="Arial" w:eastAsia="Times New Roman" w:hAnsi="Arial" w:cs="DINOT-Light"/>
                <w:b/>
                <w:color w:val="000000"/>
                <w:sz w:val="18"/>
                <w:szCs w:val="18"/>
              </w:rPr>
              <w:t xml:space="preserve">Total </w:t>
            </w:r>
          </w:p>
        </w:tc>
        <w:tc>
          <w:tcPr>
            <w:tcW w:w="1139" w:type="dxa"/>
            <w:tcBorders>
              <w:top w:val="single" w:sz="4" w:space="0" w:color="auto"/>
              <w:bottom w:val="single" w:sz="4" w:space="0" w:color="auto"/>
            </w:tcBorders>
            <w:tcMar>
              <w:top w:w="11" w:type="dxa"/>
              <w:left w:w="57" w:type="dxa"/>
              <w:bottom w:w="11" w:type="dxa"/>
              <w:right w:w="57" w:type="dxa"/>
            </w:tcMar>
          </w:tcPr>
          <w:p w14:paraId="19395B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939.2</w:t>
            </w:r>
          </w:p>
        </w:tc>
        <w:tc>
          <w:tcPr>
            <w:tcW w:w="1102" w:type="dxa"/>
            <w:tcBorders>
              <w:top w:val="single" w:sz="4" w:space="0" w:color="auto"/>
              <w:bottom w:val="single" w:sz="4" w:space="0" w:color="auto"/>
            </w:tcBorders>
          </w:tcPr>
          <w:p w14:paraId="4874898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739.2</w:t>
            </w:r>
          </w:p>
        </w:tc>
      </w:tr>
      <w:bookmarkEnd w:id="423"/>
      <w:bookmarkEnd w:id="424"/>
    </w:tbl>
    <w:p w14:paraId="3290BEC0" w14:textId="77777777" w:rsidR="00646F4F" w:rsidRPr="009A2CAE" w:rsidRDefault="00646F4F" w:rsidP="00646F4F">
      <w:pPr>
        <w:spacing w:after="160" w:line="259" w:lineRule="auto"/>
        <w:rPr>
          <w:rFonts w:ascii="Arial" w:eastAsia="Times New Roman" w:hAnsi="Arial" w:cs="Arial"/>
          <w:b/>
          <w:bCs/>
          <w:caps/>
          <w:color w:val="000000"/>
          <w:sz w:val="18"/>
          <w:szCs w:val="18"/>
        </w:rPr>
      </w:pPr>
    </w:p>
    <w:p w14:paraId="75F2AA4E" w14:textId="77777777" w:rsidR="00646F4F" w:rsidRPr="00735726" w:rsidRDefault="00646F4F" w:rsidP="00646F4F">
      <w:pPr>
        <w:pStyle w:val="ListParagraph"/>
        <w:numPr>
          <w:ilvl w:val="0"/>
          <w:numId w:val="25"/>
        </w:num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non-underlying items</w:t>
      </w:r>
    </w:p>
    <w:p w14:paraId="797C7B60" w14:textId="33F868F1" w:rsidR="00646F4F" w:rsidRPr="00735726" w:rsidRDefault="00646F4F" w:rsidP="00083856">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Non-underlying items are those that in the Directors’ view are required to be separately disclosed by virtue of their size or incidence to enable full understanding of the Company’s financial performance in the year and business trends over time. </w:t>
      </w:r>
      <w:r w:rsidR="00083856" w:rsidRPr="00735726">
        <w:rPr>
          <w:rFonts w:ascii="Arial" w:eastAsia="Times New Roman" w:hAnsi="Arial" w:cs="DINOT-Light"/>
          <w:color w:val="000000"/>
          <w:sz w:val="18"/>
          <w:szCs w:val="18"/>
        </w:rPr>
        <w:t xml:space="preserve">Excluding these items is considered to provide additional useful information on the performance and the position of the </w:t>
      </w:r>
      <w:r w:rsidR="00141756" w:rsidRPr="00735726">
        <w:rPr>
          <w:rFonts w:ascii="Arial" w:eastAsia="Times New Roman" w:hAnsi="Arial" w:cs="DINOT-Light"/>
          <w:color w:val="000000"/>
          <w:sz w:val="18"/>
          <w:szCs w:val="18"/>
        </w:rPr>
        <w:t xml:space="preserve">Company </w:t>
      </w:r>
      <w:r w:rsidR="00083856" w:rsidRPr="00735726">
        <w:rPr>
          <w:rFonts w:ascii="Arial" w:eastAsia="Times New Roman" w:hAnsi="Arial" w:cs="DINOT-Light"/>
          <w:color w:val="000000"/>
          <w:sz w:val="18"/>
          <w:szCs w:val="18"/>
        </w:rPr>
        <w:t xml:space="preserve">as well as enhancing the comparability of information between reporting periods. </w:t>
      </w:r>
      <w:r w:rsidRPr="00735726">
        <w:rPr>
          <w:rFonts w:ascii="Arial" w:eastAsia="Times New Roman" w:hAnsi="Arial" w:cs="DINOT-Light"/>
          <w:color w:val="000000"/>
          <w:sz w:val="18"/>
          <w:szCs w:val="18"/>
        </w:rPr>
        <w:t>The presentation of results is consistent with internal performance monitoring.</w:t>
      </w:r>
    </w:p>
    <w:p w14:paraId="37961A9F"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tbl>
      <w:tblPr>
        <w:tblW w:w="10058" w:type="dxa"/>
        <w:tblInd w:w="8" w:type="dxa"/>
        <w:tblLayout w:type="fixed"/>
        <w:tblCellMar>
          <w:left w:w="0" w:type="dxa"/>
          <w:right w:w="0" w:type="dxa"/>
        </w:tblCellMar>
        <w:tblLook w:val="0000" w:firstRow="0" w:lastRow="0" w:firstColumn="0" w:lastColumn="0" w:noHBand="0" w:noVBand="0"/>
      </w:tblPr>
      <w:tblGrid>
        <w:gridCol w:w="6818"/>
        <w:gridCol w:w="998"/>
        <w:gridCol w:w="1130"/>
        <w:gridCol w:w="1112"/>
      </w:tblGrid>
      <w:tr w:rsidR="00646F4F" w:rsidRPr="00735726" w14:paraId="5EE3966F" w14:textId="77777777" w:rsidTr="00CE19B2">
        <w:trPr>
          <w:trHeight w:val="62"/>
          <w:tblHeader/>
        </w:trPr>
        <w:tc>
          <w:tcPr>
            <w:tcW w:w="6818" w:type="dxa"/>
            <w:tcMar>
              <w:top w:w="11" w:type="dxa"/>
              <w:left w:w="57" w:type="dxa"/>
              <w:bottom w:w="11" w:type="dxa"/>
              <w:right w:w="57" w:type="dxa"/>
            </w:tcMar>
          </w:tcPr>
          <w:p w14:paraId="14880C46"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998" w:type="dxa"/>
          </w:tcPr>
          <w:p w14:paraId="424B89FC"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w:t>
            </w:r>
          </w:p>
        </w:tc>
        <w:tc>
          <w:tcPr>
            <w:tcW w:w="1130" w:type="dxa"/>
            <w:tcMar>
              <w:top w:w="11" w:type="dxa"/>
              <w:left w:w="57" w:type="dxa"/>
              <w:bottom w:w="11" w:type="dxa"/>
              <w:right w:w="57" w:type="dxa"/>
            </w:tcMar>
          </w:tcPr>
          <w:p w14:paraId="66F956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068B55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12" w:type="dxa"/>
          </w:tcPr>
          <w:p w14:paraId="2A54043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7432E0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3EE961F" w14:textId="77777777" w:rsidTr="00CE19B2">
        <w:trPr>
          <w:trHeight w:val="62"/>
          <w:tblHeader/>
        </w:trPr>
        <w:tc>
          <w:tcPr>
            <w:tcW w:w="6818" w:type="dxa"/>
            <w:tcMar>
              <w:top w:w="11" w:type="dxa"/>
              <w:left w:w="57" w:type="dxa"/>
              <w:bottom w:w="11" w:type="dxa"/>
              <w:right w:w="57" w:type="dxa"/>
            </w:tcMar>
          </w:tcPr>
          <w:p w14:paraId="5C0F04F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Operating Costs</w:t>
            </w:r>
          </w:p>
        </w:tc>
        <w:tc>
          <w:tcPr>
            <w:tcW w:w="998" w:type="dxa"/>
          </w:tcPr>
          <w:p w14:paraId="473DDC4E"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0" w:type="dxa"/>
            <w:tcMar>
              <w:top w:w="11" w:type="dxa"/>
              <w:left w:w="57" w:type="dxa"/>
              <w:bottom w:w="11" w:type="dxa"/>
              <w:right w:w="57" w:type="dxa"/>
            </w:tcMar>
          </w:tcPr>
          <w:p w14:paraId="2B398A1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12" w:type="dxa"/>
          </w:tcPr>
          <w:p w14:paraId="59740B9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6E5AB09A" w14:textId="77777777" w:rsidTr="00CE19B2">
        <w:trPr>
          <w:trHeight w:val="62"/>
          <w:tblHeader/>
        </w:trPr>
        <w:tc>
          <w:tcPr>
            <w:tcW w:w="6818" w:type="dxa"/>
            <w:tcMar>
              <w:top w:w="11" w:type="dxa"/>
              <w:left w:w="57" w:type="dxa"/>
              <w:bottom w:w="11" w:type="dxa"/>
              <w:right w:w="57" w:type="dxa"/>
            </w:tcMar>
          </w:tcPr>
          <w:p w14:paraId="0302086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Cs/>
                <w:color w:val="000000"/>
                <w:sz w:val="18"/>
                <w:szCs w:val="18"/>
              </w:rPr>
              <w:t>Restructuring/Transformation costs</w:t>
            </w:r>
            <w:r w:rsidRPr="00735726">
              <w:rPr>
                <w:rFonts w:ascii="Arial" w:eastAsia="Times New Roman" w:hAnsi="Arial" w:cs="DINOT-Light"/>
                <w:bCs/>
                <w:color w:val="000000"/>
                <w:sz w:val="18"/>
                <w:szCs w:val="18"/>
                <w:vertAlign w:val="superscript"/>
              </w:rPr>
              <w:t>1</w:t>
            </w:r>
          </w:p>
        </w:tc>
        <w:tc>
          <w:tcPr>
            <w:tcW w:w="998" w:type="dxa"/>
          </w:tcPr>
          <w:p w14:paraId="0009AC98"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0" w:type="dxa"/>
            <w:tcMar>
              <w:top w:w="11" w:type="dxa"/>
              <w:left w:w="57" w:type="dxa"/>
              <w:bottom w:w="11" w:type="dxa"/>
              <w:right w:w="57" w:type="dxa"/>
            </w:tcMar>
          </w:tcPr>
          <w:p w14:paraId="0E2EEDC9" w14:textId="5104D4FA"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w:t>
            </w:r>
            <w:r w:rsidR="00806633" w:rsidRPr="00735726">
              <w:rPr>
                <w:rFonts w:ascii="Arial" w:eastAsia="Times New Roman" w:hAnsi="Arial" w:cs="DINOT-Light"/>
                <w:color w:val="000000"/>
                <w:sz w:val="18"/>
                <w:szCs w:val="18"/>
              </w:rPr>
              <w:t>7</w:t>
            </w:r>
          </w:p>
        </w:tc>
        <w:tc>
          <w:tcPr>
            <w:tcW w:w="1112" w:type="dxa"/>
          </w:tcPr>
          <w:p w14:paraId="3964E2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11.4</w:t>
            </w:r>
          </w:p>
        </w:tc>
      </w:tr>
      <w:tr w:rsidR="00646F4F" w:rsidRPr="00735726" w14:paraId="3AD4CEDB" w14:textId="77777777" w:rsidTr="00CE19B2">
        <w:trPr>
          <w:trHeight w:val="62"/>
          <w:tblHeader/>
        </w:trPr>
        <w:tc>
          <w:tcPr>
            <w:tcW w:w="6818" w:type="dxa"/>
            <w:tcMar>
              <w:top w:w="11" w:type="dxa"/>
              <w:left w:w="57" w:type="dxa"/>
              <w:bottom w:w="11" w:type="dxa"/>
              <w:right w:w="57" w:type="dxa"/>
            </w:tcMar>
          </w:tcPr>
          <w:p w14:paraId="283600E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Costs of Brixham water quality incident and other regulatory investigations</w:t>
            </w:r>
            <w:r w:rsidRPr="00735726">
              <w:rPr>
                <w:rFonts w:ascii="Arial" w:eastAsia="Times New Roman" w:hAnsi="Arial" w:cs="DINOT-Light"/>
                <w:color w:val="000000"/>
                <w:sz w:val="18"/>
                <w:szCs w:val="18"/>
                <w:vertAlign w:val="superscript"/>
              </w:rPr>
              <w:t>2</w:t>
            </w:r>
          </w:p>
        </w:tc>
        <w:tc>
          <w:tcPr>
            <w:tcW w:w="998" w:type="dxa"/>
          </w:tcPr>
          <w:p w14:paraId="3ACE5D0A"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0" w:type="dxa"/>
            <w:tcMar>
              <w:top w:w="11" w:type="dxa"/>
              <w:left w:w="57" w:type="dxa"/>
              <w:bottom w:w="11" w:type="dxa"/>
              <w:right w:w="57" w:type="dxa"/>
            </w:tcMar>
          </w:tcPr>
          <w:p w14:paraId="19D4136A" w14:textId="4FDA8F33"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w:t>
            </w:r>
            <w:r w:rsidR="00806633" w:rsidRPr="00735726">
              <w:rPr>
                <w:rFonts w:ascii="Arial" w:eastAsia="Times New Roman" w:hAnsi="Arial" w:cs="DINOT-Light"/>
                <w:color w:val="000000"/>
                <w:sz w:val="18"/>
                <w:szCs w:val="18"/>
              </w:rPr>
              <w:t>7</w:t>
            </w:r>
          </w:p>
        </w:tc>
        <w:tc>
          <w:tcPr>
            <w:tcW w:w="1112" w:type="dxa"/>
          </w:tcPr>
          <w:p w14:paraId="77F9879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21.0</w:t>
            </w:r>
          </w:p>
        </w:tc>
      </w:tr>
      <w:tr w:rsidR="00646F4F" w:rsidRPr="00735726" w14:paraId="1D2B92CA" w14:textId="77777777" w:rsidTr="00CE19B2">
        <w:trPr>
          <w:trHeight w:val="236"/>
        </w:trPr>
        <w:tc>
          <w:tcPr>
            <w:tcW w:w="6818" w:type="dxa"/>
            <w:tcMar>
              <w:top w:w="11" w:type="dxa"/>
              <w:left w:w="57" w:type="dxa"/>
              <w:bottom w:w="11" w:type="dxa"/>
              <w:right w:w="57" w:type="dxa"/>
            </w:tcMar>
          </w:tcPr>
          <w:p w14:paraId="1110773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425" w:name="XMETag_8d913bc7931a49e6a175c1f602a36aa0" w:colFirst="2" w:colLast="2"/>
            <w:bookmarkStart w:id="426" w:name="XMETag_533d41322f76409fae958f211b3261df" w:colFirst="3" w:colLast="3"/>
            <w:r w:rsidRPr="00735726">
              <w:rPr>
                <w:rFonts w:ascii="Arial" w:eastAsia="Times New Roman" w:hAnsi="Arial" w:cs="DINOT-Light"/>
                <w:b/>
                <w:color w:val="000000"/>
                <w:sz w:val="18"/>
                <w:szCs w:val="18"/>
              </w:rPr>
              <w:t>Earnings before interest, tax, depreciation and amortisation</w:t>
            </w:r>
          </w:p>
        </w:tc>
        <w:tc>
          <w:tcPr>
            <w:tcW w:w="998" w:type="dxa"/>
          </w:tcPr>
          <w:p w14:paraId="3FBA0951"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30" w:type="dxa"/>
            <w:tcBorders>
              <w:top w:val="single" w:sz="4" w:space="0" w:color="auto"/>
            </w:tcBorders>
            <w:tcMar>
              <w:top w:w="11" w:type="dxa"/>
              <w:left w:w="57" w:type="dxa"/>
              <w:bottom w:w="11" w:type="dxa"/>
              <w:right w:w="57" w:type="dxa"/>
            </w:tcMar>
          </w:tcPr>
          <w:p w14:paraId="5F0432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15.4</w:t>
            </w:r>
          </w:p>
        </w:tc>
        <w:tc>
          <w:tcPr>
            <w:tcW w:w="1112" w:type="dxa"/>
            <w:tcBorders>
              <w:top w:val="single" w:sz="4" w:space="0" w:color="auto"/>
            </w:tcBorders>
          </w:tcPr>
          <w:p w14:paraId="3F1ED70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32.4</w:t>
            </w:r>
          </w:p>
        </w:tc>
      </w:tr>
      <w:tr w:rsidR="00646F4F" w:rsidRPr="00735726" w14:paraId="151F72D4" w14:textId="77777777" w:rsidTr="00CE19B2">
        <w:trPr>
          <w:trHeight w:val="236"/>
        </w:trPr>
        <w:tc>
          <w:tcPr>
            <w:tcW w:w="6818" w:type="dxa"/>
            <w:tcMar>
              <w:top w:w="11" w:type="dxa"/>
              <w:left w:w="57" w:type="dxa"/>
              <w:bottom w:w="11" w:type="dxa"/>
              <w:right w:w="57" w:type="dxa"/>
            </w:tcMar>
          </w:tcPr>
          <w:p w14:paraId="2BAB1D2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27" w:name="XMETag_72d7a0666d5945a9a1f89247523f3f7b" w:colFirst="2" w:colLast="2"/>
            <w:bookmarkStart w:id="428" w:name="XMETag_ee1e73c674a44ba9bbe1a66d0973a873" w:colFirst="3" w:colLast="3"/>
            <w:bookmarkEnd w:id="425"/>
            <w:bookmarkEnd w:id="426"/>
            <w:r w:rsidRPr="00735726">
              <w:rPr>
                <w:rFonts w:ascii="Arial" w:eastAsia="Times New Roman" w:hAnsi="Arial" w:cs="DINOT-Light"/>
                <w:color w:val="000000"/>
                <w:sz w:val="18"/>
                <w:szCs w:val="18"/>
              </w:rPr>
              <w:t>Net tax credit arising on non-underlying items</w:t>
            </w:r>
            <w:r w:rsidRPr="00735726">
              <w:rPr>
                <w:rFonts w:ascii="Arial" w:eastAsia="Times New Roman" w:hAnsi="Arial" w:cs="DINOT-Light"/>
                <w:color w:val="000000"/>
                <w:sz w:val="18"/>
                <w:szCs w:val="18"/>
                <w:vertAlign w:val="superscript"/>
              </w:rPr>
              <w:t>3</w:t>
            </w:r>
          </w:p>
        </w:tc>
        <w:tc>
          <w:tcPr>
            <w:tcW w:w="998" w:type="dxa"/>
          </w:tcPr>
          <w:p w14:paraId="5E8A7633" w14:textId="4CDAD149" w:rsidR="00646F4F" w:rsidRPr="009A2CAE" w:rsidRDefault="00DB0609"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9</w:t>
            </w:r>
          </w:p>
        </w:tc>
        <w:tc>
          <w:tcPr>
            <w:tcW w:w="1130" w:type="dxa"/>
            <w:tcMar>
              <w:top w:w="11" w:type="dxa"/>
              <w:left w:w="57" w:type="dxa"/>
              <w:bottom w:w="11" w:type="dxa"/>
              <w:right w:w="57" w:type="dxa"/>
            </w:tcMar>
          </w:tcPr>
          <w:p w14:paraId="00E5673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c>
          <w:tcPr>
            <w:tcW w:w="1112" w:type="dxa"/>
          </w:tcPr>
          <w:p w14:paraId="7BB621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(8.1)</w:t>
            </w:r>
          </w:p>
        </w:tc>
      </w:tr>
      <w:tr w:rsidR="00646F4F" w:rsidRPr="00735726" w14:paraId="4E73F772" w14:textId="77777777" w:rsidTr="00CE19B2">
        <w:trPr>
          <w:trHeight w:val="236"/>
        </w:trPr>
        <w:tc>
          <w:tcPr>
            <w:tcW w:w="6818" w:type="dxa"/>
            <w:tcMar>
              <w:top w:w="11" w:type="dxa"/>
              <w:left w:w="57" w:type="dxa"/>
              <w:bottom w:w="11" w:type="dxa"/>
              <w:right w:w="57" w:type="dxa"/>
            </w:tcMar>
          </w:tcPr>
          <w:p w14:paraId="7284F26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429" w:name="XMETag_c1d3bea8e55644d39685b000dee475f5" w:colFirst="2" w:colLast="2"/>
            <w:bookmarkStart w:id="430" w:name="XMETag_d423f853fc094d86af240c2c3ada78f6" w:colFirst="3" w:colLast="3"/>
            <w:bookmarkEnd w:id="427"/>
            <w:bookmarkEnd w:id="428"/>
            <w:r w:rsidRPr="00735726">
              <w:rPr>
                <w:rFonts w:ascii="Arial" w:eastAsia="Times New Roman" w:hAnsi="Arial" w:cs="DINOT-Light"/>
                <w:b/>
                <w:color w:val="000000"/>
                <w:sz w:val="18"/>
                <w:szCs w:val="18"/>
              </w:rPr>
              <w:t>Net non-underlying charge</w:t>
            </w:r>
          </w:p>
        </w:tc>
        <w:tc>
          <w:tcPr>
            <w:tcW w:w="998" w:type="dxa"/>
          </w:tcPr>
          <w:p w14:paraId="71533207"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0" w:type="dxa"/>
            <w:tcBorders>
              <w:top w:val="single" w:sz="4" w:space="0" w:color="auto"/>
              <w:bottom w:val="single" w:sz="4" w:space="0" w:color="auto"/>
            </w:tcBorders>
            <w:tcMar>
              <w:top w:w="11" w:type="dxa"/>
              <w:left w:w="57" w:type="dxa"/>
              <w:bottom w:w="11" w:type="dxa"/>
              <w:right w:w="57" w:type="dxa"/>
            </w:tcMar>
          </w:tcPr>
          <w:p w14:paraId="1FB318C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12.4</w:t>
            </w:r>
          </w:p>
        </w:tc>
        <w:tc>
          <w:tcPr>
            <w:tcW w:w="1112" w:type="dxa"/>
            <w:tcBorders>
              <w:top w:val="single" w:sz="4" w:space="0" w:color="auto"/>
              <w:bottom w:val="single" w:sz="4" w:space="0" w:color="auto"/>
            </w:tcBorders>
          </w:tcPr>
          <w:p w14:paraId="34CA42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24.3</w:t>
            </w:r>
          </w:p>
        </w:tc>
      </w:tr>
      <w:bookmarkEnd w:id="429"/>
      <w:bookmarkEnd w:id="430"/>
    </w:tbl>
    <w:p w14:paraId="51E89E1D" w14:textId="77777777" w:rsidR="00646F4F" w:rsidRPr="00735726" w:rsidRDefault="00646F4F" w:rsidP="00646F4F">
      <w:pPr>
        <w:widowControl w:val="0"/>
        <w:suppressAutoHyphens/>
        <w:autoSpaceDE w:val="0"/>
        <w:autoSpaceDN w:val="0"/>
        <w:adjustRightInd w:val="0"/>
        <w:spacing w:after="0" w:line="220" w:lineRule="atLeast"/>
        <w:ind w:left="360"/>
        <w:textAlignment w:val="center"/>
        <w:rPr>
          <w:rFonts w:ascii="Arial" w:eastAsia="Times New Roman" w:hAnsi="Arial" w:cs="DINOT-Light"/>
          <w:sz w:val="18"/>
          <w:szCs w:val="18"/>
        </w:rPr>
      </w:pPr>
    </w:p>
    <w:p w14:paraId="33E1487F" w14:textId="531C66E9" w:rsidR="00B87189" w:rsidRPr="00735726" w:rsidRDefault="00131F86" w:rsidP="001246B8">
      <w:pPr>
        <w:pStyle w:val="ListParagraph"/>
        <w:widowControl w:val="0"/>
        <w:numPr>
          <w:ilvl w:val="0"/>
          <w:numId w:val="56"/>
        </w:numPr>
        <w:tabs>
          <w:tab w:val="left" w:pos="426"/>
        </w:tabs>
        <w:suppressAutoHyphens/>
        <w:autoSpaceDE w:val="0"/>
        <w:autoSpaceDN w:val="0"/>
        <w:adjustRightInd w:val="0"/>
        <w:spacing w:after="0" w:line="240" w:lineRule="auto"/>
        <w:ind w:left="360" w:hanging="578"/>
        <w:textAlignment w:val="center"/>
        <w:rPr>
          <w:rFonts w:ascii="Arial" w:eastAsia="Times New Roman" w:hAnsi="Arial" w:cs="DINOT-Light"/>
          <w:sz w:val="18"/>
          <w:szCs w:val="18"/>
        </w:rPr>
      </w:pPr>
      <w:bookmarkStart w:id="431" w:name="XMETag_e80551887a094d4b9c55c82b24e9562e"/>
      <w:r w:rsidRPr="00735726">
        <w:rPr>
          <w:rFonts w:ascii="Arial" w:eastAsia="Times New Roman" w:hAnsi="Arial" w:cs="DINOT-Light"/>
          <w:sz w:val="18"/>
          <w:szCs w:val="18"/>
        </w:rPr>
        <w:t xml:space="preserve">£8.7 million of technological costs were incurred in connection with the business transformation of the Company. £1.5 million of the total costs were employment costs. In the prior year, </w:t>
      </w:r>
      <w:r w:rsidR="00646F4F" w:rsidRPr="00735726">
        <w:rPr>
          <w:rFonts w:ascii="Arial" w:eastAsia="Times New Roman" w:hAnsi="Arial" w:cs="DINOT-Light"/>
          <w:sz w:val="18"/>
          <w:szCs w:val="18"/>
        </w:rPr>
        <w:t>£11.4 million of costs were incurred in connection with the ongoing restructuring of the Company</w:t>
      </w:r>
      <w:r w:rsidRPr="00735726">
        <w:rPr>
          <w:rFonts w:ascii="Arial" w:eastAsia="Times New Roman" w:hAnsi="Arial" w:cs="DINOT-Light"/>
          <w:sz w:val="18"/>
          <w:szCs w:val="18"/>
        </w:rPr>
        <w:t xml:space="preserve"> (£7.8 million of the total costs were employment costs). </w:t>
      </w:r>
      <w:r w:rsidR="00B87189" w:rsidRPr="00735726">
        <w:rPr>
          <w:rFonts w:ascii="Arial" w:eastAsia="Times New Roman" w:hAnsi="Arial" w:cs="DINOT-Light"/>
          <w:sz w:val="18"/>
          <w:szCs w:val="18"/>
        </w:rPr>
        <w:t>Due to the one-off nature and incidence of the costs they were classified as non-underlying.</w:t>
      </w:r>
      <w:bookmarkStart w:id="432" w:name="_Hlk137130436"/>
    </w:p>
    <w:p w14:paraId="6E24349E" w14:textId="428131FF" w:rsidR="00646F4F" w:rsidRPr="00735726" w:rsidRDefault="00646F4F" w:rsidP="00806633">
      <w:pPr>
        <w:pStyle w:val="ListParagraph"/>
        <w:widowControl w:val="0"/>
        <w:numPr>
          <w:ilvl w:val="0"/>
          <w:numId w:val="56"/>
        </w:numPr>
        <w:tabs>
          <w:tab w:val="left" w:pos="426"/>
        </w:tabs>
        <w:suppressAutoHyphens/>
        <w:autoSpaceDE w:val="0"/>
        <w:autoSpaceDN w:val="0"/>
        <w:adjustRightInd w:val="0"/>
        <w:spacing w:after="0" w:line="240" w:lineRule="auto"/>
        <w:ind w:left="360" w:hanging="578"/>
        <w:textAlignment w:val="center"/>
        <w:rPr>
          <w:rFonts w:ascii="Arial" w:eastAsia="Times New Roman" w:hAnsi="Arial" w:cs="DINOT-Light"/>
          <w:sz w:val="18"/>
          <w:szCs w:val="18"/>
        </w:rPr>
      </w:pPr>
      <w:r w:rsidRPr="00735726">
        <w:rPr>
          <w:rFonts w:ascii="Arial" w:eastAsia="Times New Roman" w:hAnsi="Arial" w:cs="DINOT-Light"/>
          <w:sz w:val="18"/>
          <w:szCs w:val="18"/>
        </w:rPr>
        <w:t>£6.</w:t>
      </w:r>
      <w:r w:rsidR="00806633" w:rsidRPr="00735726">
        <w:rPr>
          <w:rFonts w:ascii="Arial" w:eastAsia="Times New Roman" w:hAnsi="Arial" w:cs="DINOT-Light"/>
          <w:sz w:val="18"/>
          <w:szCs w:val="18"/>
        </w:rPr>
        <w:t>7</w:t>
      </w:r>
      <w:r w:rsidRPr="00735726">
        <w:rPr>
          <w:rFonts w:ascii="Arial" w:eastAsia="Times New Roman" w:hAnsi="Arial" w:cs="DINOT-Light"/>
          <w:sz w:val="18"/>
          <w:szCs w:val="18"/>
        </w:rPr>
        <w:t xml:space="preserve"> million includes costs of settlement of both the DWI’s prosecution in respect of the May 2024 Brixham water quality incident, and the enforcement undertakings agreed with Ofwat in August 2025 in respect of the wastewater investigations, together with associated legal fees. </w:t>
      </w:r>
      <w:r w:rsidR="00083856" w:rsidRPr="00735726">
        <w:rPr>
          <w:rFonts w:ascii="Arial" w:eastAsia="Times New Roman" w:hAnsi="Arial" w:cs="DINOT-Light"/>
          <w:sz w:val="18"/>
          <w:szCs w:val="18"/>
        </w:rPr>
        <w:t>£</w:t>
      </w:r>
      <w:r w:rsidR="00806633" w:rsidRPr="00735726">
        <w:rPr>
          <w:rFonts w:ascii="Arial" w:eastAsia="Times New Roman" w:hAnsi="Arial" w:cs="DINOT-Light"/>
          <w:sz w:val="18"/>
          <w:szCs w:val="18"/>
        </w:rPr>
        <w:t>21.0</w:t>
      </w:r>
      <w:r w:rsidR="00083856" w:rsidRPr="00735726">
        <w:rPr>
          <w:rFonts w:ascii="Arial" w:eastAsia="Times New Roman" w:hAnsi="Arial" w:cs="DINOT-Light"/>
          <w:sz w:val="18"/>
          <w:szCs w:val="18"/>
        </w:rPr>
        <w:t xml:space="preserve"> </w:t>
      </w:r>
      <w:r w:rsidR="00806633" w:rsidRPr="00735726">
        <w:rPr>
          <w:rFonts w:ascii="Arial" w:eastAsia="Times New Roman" w:hAnsi="Arial" w:cs="DINOT-Light"/>
          <w:sz w:val="18"/>
          <w:szCs w:val="18"/>
        </w:rPr>
        <w:t xml:space="preserve">million </w:t>
      </w:r>
      <w:r w:rsidR="00083856" w:rsidRPr="00735726">
        <w:rPr>
          <w:rFonts w:ascii="Arial" w:eastAsia="Times New Roman" w:hAnsi="Arial" w:cs="DINOT-Light"/>
          <w:sz w:val="18"/>
          <w:szCs w:val="18"/>
        </w:rPr>
        <w:t xml:space="preserve">of prior year </w:t>
      </w:r>
      <w:r w:rsidRPr="00735726">
        <w:rPr>
          <w:rFonts w:ascii="Arial" w:eastAsia="Times New Roman" w:hAnsi="Arial" w:cs="DINOT-Light"/>
          <w:sz w:val="18"/>
          <w:szCs w:val="18"/>
        </w:rPr>
        <w:t>costs relate to the operating costs for remediation of the Brixham water quality incidents and include £0.8 million of directly attributable employment costs.</w:t>
      </w:r>
      <w:r w:rsidR="00B87189" w:rsidRPr="00735726">
        <w:rPr>
          <w:rFonts w:ascii="Arial" w:eastAsia="Times New Roman" w:hAnsi="Arial" w:cs="DINOT-Light"/>
          <w:sz w:val="18"/>
          <w:szCs w:val="18"/>
        </w:rPr>
        <w:t xml:space="preserve"> Due to the one-off nature and incidence of the costs they were classified as non-underlying.</w:t>
      </w:r>
    </w:p>
    <w:p w14:paraId="7E039605" w14:textId="180115AB" w:rsidR="00646F4F" w:rsidRPr="00735726" w:rsidRDefault="00646F4F" w:rsidP="00646F4F">
      <w:pPr>
        <w:pStyle w:val="ListParagraph"/>
        <w:widowControl w:val="0"/>
        <w:numPr>
          <w:ilvl w:val="0"/>
          <w:numId w:val="56"/>
        </w:numPr>
        <w:tabs>
          <w:tab w:val="left" w:pos="426"/>
        </w:tabs>
        <w:suppressAutoHyphens/>
        <w:autoSpaceDE w:val="0"/>
        <w:autoSpaceDN w:val="0"/>
        <w:adjustRightInd w:val="0"/>
        <w:spacing w:after="160"/>
        <w:ind w:left="360" w:hanging="578"/>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The net tax credit arising on non-underlying items relates to a deferred tax credit in respect of tax losses carried forwards. </w:t>
      </w:r>
      <w:bookmarkEnd w:id="431"/>
      <w:bookmarkEnd w:id="432"/>
      <w:r w:rsidRPr="00735726">
        <w:rPr>
          <w:rFonts w:ascii="Arial" w:eastAsia="Times New Roman" w:hAnsi="Arial" w:cs="DINOT-Light"/>
          <w:sz w:val="18"/>
          <w:szCs w:val="18"/>
        </w:rPr>
        <w:t xml:space="preserve">The prior year credit reflected </w:t>
      </w:r>
      <w:proofErr w:type="gramStart"/>
      <w:r w:rsidRPr="00735726">
        <w:rPr>
          <w:rFonts w:ascii="Arial" w:eastAsia="Times New Roman" w:hAnsi="Arial" w:cs="DINOT-Light"/>
          <w:sz w:val="18"/>
          <w:szCs w:val="18"/>
        </w:rPr>
        <w:t>a</w:t>
      </w:r>
      <w:proofErr w:type="gramEnd"/>
      <w:r w:rsidRPr="00735726">
        <w:rPr>
          <w:rFonts w:ascii="Arial" w:eastAsia="Times New Roman" w:hAnsi="Arial" w:cs="DINOT-Light"/>
          <w:sz w:val="18"/>
          <w:szCs w:val="18"/>
        </w:rPr>
        <w:t xml:space="preserve"> £8.1 million deferred tax credit also in respect of tax losses carried forwards.</w:t>
      </w:r>
    </w:p>
    <w:p w14:paraId="6A9F2B22" w14:textId="77777777" w:rsidR="00646F4F" w:rsidRPr="009A2CAE" w:rsidRDefault="00646F4F" w:rsidP="00646F4F">
      <w:pPr>
        <w:pStyle w:val="ListParagraph"/>
        <w:widowControl w:val="0"/>
        <w:numPr>
          <w:ilvl w:val="0"/>
          <w:numId w:val="56"/>
        </w:numPr>
        <w:tabs>
          <w:tab w:val="left" w:pos="426"/>
        </w:tabs>
        <w:suppressAutoHyphens/>
        <w:autoSpaceDE w:val="0"/>
        <w:autoSpaceDN w:val="0"/>
        <w:adjustRightInd w:val="0"/>
        <w:spacing w:after="160"/>
        <w:ind w:left="360" w:hanging="578"/>
        <w:textAlignment w:val="center"/>
        <w:rPr>
          <w:rFonts w:ascii="Arial" w:eastAsia="Times New Roman" w:hAnsi="Arial" w:cs="DINOT-Light"/>
          <w:sz w:val="18"/>
          <w:szCs w:val="18"/>
        </w:rPr>
      </w:pPr>
      <w:r w:rsidRPr="009A2CAE">
        <w:rPr>
          <w:rFonts w:ascii="Arial" w:eastAsia="Times New Roman" w:hAnsi="Arial" w:cs="DINOT-Light"/>
          <w:sz w:val="18"/>
          <w:szCs w:val="18"/>
        </w:rPr>
        <w:br w:type="page"/>
      </w:r>
    </w:p>
    <w:p w14:paraId="7746B826"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7.</w:t>
      </w:r>
      <w:r w:rsidRPr="00735726">
        <w:rPr>
          <w:rFonts w:ascii="Arial" w:eastAsia="Times New Roman" w:hAnsi="Arial" w:cs="Arial"/>
          <w:b/>
          <w:bCs/>
          <w:caps/>
          <w:color w:val="000000"/>
          <w:sz w:val="18"/>
          <w:szCs w:val="18"/>
        </w:rPr>
        <w:tab/>
        <w:t xml:space="preserve">Operating costs </w:t>
      </w:r>
    </w:p>
    <w:tbl>
      <w:tblPr>
        <w:tblW w:w="10057" w:type="dxa"/>
        <w:tblInd w:w="8" w:type="dxa"/>
        <w:tblLayout w:type="fixed"/>
        <w:tblCellMar>
          <w:left w:w="0" w:type="dxa"/>
          <w:right w:w="0" w:type="dxa"/>
        </w:tblCellMar>
        <w:tblLook w:val="0000" w:firstRow="0" w:lastRow="0" w:firstColumn="0" w:lastColumn="0" w:noHBand="0" w:noVBand="0"/>
      </w:tblPr>
      <w:tblGrid>
        <w:gridCol w:w="6938"/>
        <w:gridCol w:w="1134"/>
        <w:gridCol w:w="992"/>
        <w:gridCol w:w="993"/>
      </w:tblGrid>
      <w:tr w:rsidR="00646F4F" w:rsidRPr="00735726" w14:paraId="46D9A667" w14:textId="77777777" w:rsidTr="00CE19B2">
        <w:trPr>
          <w:trHeight w:val="60"/>
          <w:tblHeader/>
        </w:trPr>
        <w:tc>
          <w:tcPr>
            <w:tcW w:w="6938" w:type="dxa"/>
            <w:tcMar>
              <w:top w:w="11" w:type="dxa"/>
              <w:left w:w="57" w:type="dxa"/>
              <w:bottom w:w="11" w:type="dxa"/>
              <w:right w:w="57" w:type="dxa"/>
            </w:tcMar>
          </w:tcPr>
          <w:p w14:paraId="6F139338"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Pr>
          <w:p w14:paraId="5D03D0A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w:t>
            </w:r>
          </w:p>
        </w:tc>
        <w:tc>
          <w:tcPr>
            <w:tcW w:w="992" w:type="dxa"/>
            <w:tcBorders>
              <w:bottom w:val="single" w:sz="4" w:space="0" w:color="auto"/>
            </w:tcBorders>
            <w:tcMar>
              <w:top w:w="11" w:type="dxa"/>
              <w:left w:w="57" w:type="dxa"/>
              <w:bottom w:w="11" w:type="dxa"/>
              <w:right w:w="57" w:type="dxa"/>
            </w:tcMar>
          </w:tcPr>
          <w:p w14:paraId="766802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0F40BA3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93" w:type="dxa"/>
            <w:tcBorders>
              <w:bottom w:val="single" w:sz="4" w:space="0" w:color="auto"/>
            </w:tcBorders>
          </w:tcPr>
          <w:p w14:paraId="41354D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34DE150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30267600" w14:textId="77777777" w:rsidTr="00CE19B2">
        <w:trPr>
          <w:trHeight w:val="226"/>
        </w:trPr>
        <w:tc>
          <w:tcPr>
            <w:tcW w:w="6938" w:type="dxa"/>
            <w:tcMar>
              <w:top w:w="11" w:type="dxa"/>
              <w:left w:w="57" w:type="dxa"/>
              <w:bottom w:w="11" w:type="dxa"/>
              <w:right w:w="57" w:type="dxa"/>
            </w:tcMar>
          </w:tcPr>
          <w:p w14:paraId="26D196BC"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33" w:name="XMETag_fdc77e5e2bdb4aa1b50a14fc9120e36d" w:colFirst="2" w:colLast="2"/>
            <w:bookmarkStart w:id="434" w:name="XMETag_701ce0da7bc547b798443168b2f86d8e" w:colFirst="3" w:colLast="3"/>
            <w:r w:rsidRPr="00735726">
              <w:rPr>
                <w:rFonts w:ascii="Arial" w:eastAsia="Times New Roman" w:hAnsi="Arial" w:cs="DINOT-Light"/>
                <w:color w:val="000000"/>
                <w:sz w:val="18"/>
                <w:szCs w:val="18"/>
              </w:rPr>
              <w:t xml:space="preserve">Employment costs (underlying) </w:t>
            </w:r>
          </w:p>
        </w:tc>
        <w:tc>
          <w:tcPr>
            <w:tcW w:w="1134" w:type="dxa"/>
          </w:tcPr>
          <w:p w14:paraId="5190718E" w14:textId="62465D01"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1</w:t>
            </w:r>
            <w:r w:rsidR="00DB0609" w:rsidRPr="009A2CAE">
              <w:rPr>
                <w:rFonts w:ascii="Arial" w:eastAsia="Times New Roman" w:hAnsi="Arial" w:cs="DINOT-Light"/>
                <w:color w:val="000000"/>
                <w:sz w:val="18"/>
                <w:szCs w:val="18"/>
              </w:rPr>
              <w:t>1</w:t>
            </w:r>
          </w:p>
        </w:tc>
        <w:tc>
          <w:tcPr>
            <w:tcW w:w="992" w:type="dxa"/>
            <w:tcBorders>
              <w:top w:val="single" w:sz="4" w:space="0" w:color="auto"/>
              <w:bottom w:val="single" w:sz="4" w:space="0" w:color="auto"/>
            </w:tcBorders>
            <w:tcMar>
              <w:top w:w="11" w:type="dxa"/>
              <w:left w:w="57" w:type="dxa"/>
              <w:bottom w:w="11" w:type="dxa"/>
              <w:right w:w="57" w:type="dxa"/>
            </w:tcMar>
          </w:tcPr>
          <w:p w14:paraId="2D61247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84.9</w:t>
            </w:r>
          </w:p>
        </w:tc>
        <w:tc>
          <w:tcPr>
            <w:tcW w:w="993" w:type="dxa"/>
            <w:tcBorders>
              <w:top w:val="single" w:sz="4" w:space="0" w:color="auto"/>
              <w:bottom w:val="single" w:sz="4" w:space="0" w:color="auto"/>
            </w:tcBorders>
          </w:tcPr>
          <w:p w14:paraId="02C08E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95.0</w:t>
            </w:r>
          </w:p>
        </w:tc>
      </w:tr>
      <w:tr w:rsidR="00646F4F" w:rsidRPr="00735726" w14:paraId="311BF6D3" w14:textId="77777777" w:rsidTr="00CE19B2">
        <w:trPr>
          <w:trHeight w:val="226"/>
        </w:trPr>
        <w:tc>
          <w:tcPr>
            <w:tcW w:w="6938" w:type="dxa"/>
            <w:tcMar>
              <w:top w:w="11" w:type="dxa"/>
              <w:left w:w="57" w:type="dxa"/>
              <w:bottom w:w="11" w:type="dxa"/>
              <w:right w:w="57" w:type="dxa"/>
            </w:tcMar>
          </w:tcPr>
          <w:p w14:paraId="4E89A0C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35" w:name="XMETag_eea37573d9054234b860cef3dc1ad7a2" w:colFirst="2" w:colLast="2"/>
            <w:bookmarkStart w:id="436" w:name="XMETag_38e29b7a89da47e2ab8cce05183ee237" w:colFirst="3" w:colLast="3"/>
            <w:bookmarkEnd w:id="433"/>
            <w:bookmarkEnd w:id="434"/>
            <w:r w:rsidRPr="00735726">
              <w:rPr>
                <w:rFonts w:ascii="Arial" w:eastAsia="Times New Roman" w:hAnsi="Arial" w:cs="DINOT-Light"/>
                <w:color w:val="000000"/>
                <w:sz w:val="18"/>
                <w:szCs w:val="18"/>
              </w:rPr>
              <w:t>Raw materials and consumables</w:t>
            </w:r>
          </w:p>
        </w:tc>
        <w:tc>
          <w:tcPr>
            <w:tcW w:w="1134" w:type="dxa"/>
          </w:tcPr>
          <w:p w14:paraId="10E9439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bottom w:val="single" w:sz="4" w:space="0" w:color="auto"/>
            </w:tcBorders>
            <w:tcMar>
              <w:top w:w="11" w:type="dxa"/>
              <w:left w:w="57" w:type="dxa"/>
              <w:bottom w:w="11" w:type="dxa"/>
              <w:right w:w="57" w:type="dxa"/>
            </w:tcMar>
          </w:tcPr>
          <w:p w14:paraId="5FD3B1A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32.2</w:t>
            </w:r>
          </w:p>
        </w:tc>
        <w:tc>
          <w:tcPr>
            <w:tcW w:w="993" w:type="dxa"/>
            <w:tcBorders>
              <w:top w:val="single" w:sz="4" w:space="0" w:color="auto"/>
              <w:bottom w:val="single" w:sz="4" w:space="0" w:color="auto"/>
            </w:tcBorders>
          </w:tcPr>
          <w:p w14:paraId="575348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44.0</w:t>
            </w:r>
          </w:p>
        </w:tc>
      </w:tr>
      <w:tr w:rsidR="00646F4F" w:rsidRPr="00735726" w14:paraId="05F75251" w14:textId="77777777" w:rsidTr="00CE19B2">
        <w:trPr>
          <w:trHeight w:val="226"/>
        </w:trPr>
        <w:tc>
          <w:tcPr>
            <w:tcW w:w="6938" w:type="dxa"/>
            <w:tcMar>
              <w:top w:w="11" w:type="dxa"/>
              <w:left w:w="57" w:type="dxa"/>
              <w:bottom w:w="11" w:type="dxa"/>
              <w:right w:w="57" w:type="dxa"/>
            </w:tcMar>
          </w:tcPr>
          <w:p w14:paraId="18D8D22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Pr>
          <w:p w14:paraId="5102B8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707DFE2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3" w:type="dxa"/>
            <w:tcBorders>
              <w:top w:val="single" w:sz="4" w:space="0" w:color="auto"/>
            </w:tcBorders>
          </w:tcPr>
          <w:p w14:paraId="2C8BB0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bookmarkEnd w:id="435"/>
      <w:bookmarkEnd w:id="436"/>
      <w:tr w:rsidR="00646F4F" w:rsidRPr="00735726" w14:paraId="128A7C55" w14:textId="77777777" w:rsidTr="00CE19B2">
        <w:trPr>
          <w:trHeight w:val="226"/>
        </w:trPr>
        <w:tc>
          <w:tcPr>
            <w:tcW w:w="6938" w:type="dxa"/>
            <w:tcMar>
              <w:top w:w="11" w:type="dxa"/>
              <w:left w:w="57" w:type="dxa"/>
              <w:bottom w:w="11" w:type="dxa"/>
              <w:right w:w="57" w:type="dxa"/>
            </w:tcMar>
          </w:tcPr>
          <w:p w14:paraId="7C1DA6D1" w14:textId="3560EC3E"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i/>
                <w:color w:val="000000"/>
                <w:sz w:val="18"/>
                <w:szCs w:val="18"/>
              </w:rPr>
            </w:pPr>
            <w:r w:rsidRPr="00735726">
              <w:rPr>
                <w:rFonts w:ascii="Arial" w:eastAsia="Times New Roman" w:hAnsi="Arial" w:cs="DINOT-Light"/>
                <w:i/>
                <w:color w:val="000000"/>
                <w:sz w:val="18"/>
                <w:szCs w:val="18"/>
              </w:rPr>
              <w:t xml:space="preserve">Other operating expenses </w:t>
            </w:r>
            <w:r w:rsidR="00673657" w:rsidRPr="00735726">
              <w:rPr>
                <w:rFonts w:ascii="Arial" w:eastAsia="Times New Roman" w:hAnsi="Arial" w:cs="DINOT-Light"/>
                <w:i/>
                <w:color w:val="000000"/>
                <w:sz w:val="18"/>
                <w:szCs w:val="18"/>
              </w:rPr>
              <w:t xml:space="preserve">before non-underlying </w:t>
            </w:r>
            <w:r w:rsidRPr="00735726">
              <w:rPr>
                <w:rFonts w:ascii="Arial" w:eastAsia="Times New Roman" w:hAnsi="Arial" w:cs="DINOT-Light"/>
                <w:i/>
                <w:color w:val="000000"/>
                <w:sz w:val="18"/>
                <w:szCs w:val="18"/>
              </w:rPr>
              <w:t>include:</w:t>
            </w:r>
          </w:p>
        </w:tc>
        <w:tc>
          <w:tcPr>
            <w:tcW w:w="1134" w:type="dxa"/>
          </w:tcPr>
          <w:p w14:paraId="1895A560"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Mar>
              <w:top w:w="11" w:type="dxa"/>
              <w:left w:w="57" w:type="dxa"/>
              <w:bottom w:w="11" w:type="dxa"/>
              <w:right w:w="57" w:type="dxa"/>
            </w:tcMar>
          </w:tcPr>
          <w:p w14:paraId="3FF61AA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3" w:type="dxa"/>
          </w:tcPr>
          <w:p w14:paraId="5F6A78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422FD3F3" w14:textId="77777777" w:rsidTr="00CE19B2">
        <w:trPr>
          <w:trHeight w:val="226"/>
        </w:trPr>
        <w:tc>
          <w:tcPr>
            <w:tcW w:w="6938" w:type="dxa"/>
            <w:tcMar>
              <w:top w:w="11" w:type="dxa"/>
              <w:left w:w="57" w:type="dxa"/>
              <w:bottom w:w="11" w:type="dxa"/>
              <w:right w:w="57" w:type="dxa"/>
            </w:tcMar>
          </w:tcPr>
          <w:p w14:paraId="65D084AB" w14:textId="77777777" w:rsidR="00646F4F" w:rsidRPr="00735726" w:rsidRDefault="00646F4F" w:rsidP="00CE19B2">
            <w:pPr>
              <w:widowControl w:val="0"/>
              <w:suppressAutoHyphens/>
              <w:autoSpaceDE w:val="0"/>
              <w:autoSpaceDN w:val="0"/>
              <w:adjustRightInd w:val="0"/>
              <w:spacing w:after="0" w:line="220" w:lineRule="atLeast"/>
              <w:ind w:left="359"/>
              <w:textAlignment w:val="center"/>
              <w:rPr>
                <w:rFonts w:ascii="Arial" w:eastAsia="Times New Roman" w:hAnsi="Arial" w:cs="DINOT-Light"/>
                <w:color w:val="000000"/>
                <w:sz w:val="18"/>
                <w:szCs w:val="18"/>
              </w:rPr>
            </w:pPr>
            <w:bookmarkStart w:id="437" w:name="XMETag_ca76b12a183f4f2092179164a5beadee" w:colFirst="2" w:colLast="2"/>
            <w:bookmarkStart w:id="438" w:name="XMETag_c37b32074e12426cafe8e9003e6bffdd" w:colFirst="3" w:colLast="3"/>
            <w:r w:rsidRPr="00735726">
              <w:rPr>
                <w:rFonts w:ascii="Arial" w:eastAsia="Times New Roman" w:hAnsi="Arial" w:cs="DINOT-Light"/>
                <w:color w:val="000000"/>
                <w:sz w:val="18"/>
                <w:szCs w:val="18"/>
              </w:rPr>
              <w:t>Profit on disposal of property, plant and equipment</w:t>
            </w:r>
          </w:p>
        </w:tc>
        <w:tc>
          <w:tcPr>
            <w:tcW w:w="1134" w:type="dxa"/>
          </w:tcPr>
          <w:p w14:paraId="0B7E926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Mar>
              <w:top w:w="11" w:type="dxa"/>
              <w:left w:w="57" w:type="dxa"/>
              <w:bottom w:w="11" w:type="dxa"/>
              <w:right w:w="57" w:type="dxa"/>
            </w:tcMar>
          </w:tcPr>
          <w:p w14:paraId="11C2493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w:t>
            </w:r>
          </w:p>
        </w:tc>
        <w:tc>
          <w:tcPr>
            <w:tcW w:w="993" w:type="dxa"/>
          </w:tcPr>
          <w:p w14:paraId="657E87E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r>
      <w:tr w:rsidR="00646F4F" w:rsidRPr="00735726" w14:paraId="1A3A9DC1" w14:textId="77777777" w:rsidTr="00CE19B2">
        <w:trPr>
          <w:trHeight w:val="226"/>
        </w:trPr>
        <w:tc>
          <w:tcPr>
            <w:tcW w:w="6938" w:type="dxa"/>
            <w:tcMar>
              <w:top w:w="11" w:type="dxa"/>
              <w:left w:w="57" w:type="dxa"/>
              <w:bottom w:w="11" w:type="dxa"/>
              <w:right w:w="57" w:type="dxa"/>
            </w:tcMar>
          </w:tcPr>
          <w:p w14:paraId="3FE2EBDE" w14:textId="77777777" w:rsidR="00646F4F" w:rsidRPr="00735726" w:rsidRDefault="00646F4F" w:rsidP="00CE19B2">
            <w:pPr>
              <w:widowControl w:val="0"/>
              <w:suppressAutoHyphens/>
              <w:autoSpaceDE w:val="0"/>
              <w:autoSpaceDN w:val="0"/>
              <w:adjustRightInd w:val="0"/>
              <w:spacing w:after="0" w:line="220" w:lineRule="atLeast"/>
              <w:ind w:left="359"/>
              <w:textAlignment w:val="center"/>
              <w:rPr>
                <w:rFonts w:ascii="Arial" w:eastAsia="Times New Roman" w:hAnsi="Arial" w:cs="DINOT-Light"/>
                <w:color w:val="000000"/>
                <w:sz w:val="18"/>
                <w:szCs w:val="18"/>
              </w:rPr>
            </w:pPr>
            <w:bookmarkStart w:id="439" w:name="XMETag_9056fc16a9aa46c4a871301feb449df0" w:colFirst="2" w:colLast="2"/>
            <w:bookmarkStart w:id="440" w:name="XMETag_c40b2308e210483084735b29f3f07f3e" w:colFirst="3" w:colLast="3"/>
            <w:bookmarkEnd w:id="437"/>
            <w:bookmarkEnd w:id="438"/>
            <w:r w:rsidRPr="00735726">
              <w:rPr>
                <w:rFonts w:ascii="Arial" w:eastAsia="Times New Roman" w:hAnsi="Arial" w:cs="DINOT-Light"/>
                <w:color w:val="000000"/>
                <w:sz w:val="18"/>
                <w:szCs w:val="18"/>
              </w:rPr>
              <w:t>Short term/low value asset lease expense</w:t>
            </w:r>
          </w:p>
        </w:tc>
        <w:tc>
          <w:tcPr>
            <w:tcW w:w="1134" w:type="dxa"/>
          </w:tcPr>
          <w:p w14:paraId="7F7F6E4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color w:val="000000"/>
                <w:sz w:val="18"/>
                <w:szCs w:val="18"/>
              </w:rPr>
            </w:pPr>
          </w:p>
        </w:tc>
        <w:tc>
          <w:tcPr>
            <w:tcW w:w="992" w:type="dxa"/>
            <w:tcMar>
              <w:top w:w="11" w:type="dxa"/>
              <w:left w:w="57" w:type="dxa"/>
              <w:bottom w:w="11" w:type="dxa"/>
              <w:right w:w="57" w:type="dxa"/>
            </w:tcMar>
          </w:tcPr>
          <w:p w14:paraId="56B6705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8.8</w:t>
            </w:r>
          </w:p>
        </w:tc>
        <w:tc>
          <w:tcPr>
            <w:tcW w:w="993" w:type="dxa"/>
          </w:tcPr>
          <w:p w14:paraId="300065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6.0</w:t>
            </w:r>
          </w:p>
        </w:tc>
      </w:tr>
      <w:tr w:rsidR="00646F4F" w:rsidRPr="00735726" w14:paraId="1BF9AF63" w14:textId="77777777" w:rsidTr="00CE19B2">
        <w:trPr>
          <w:trHeight w:val="226"/>
        </w:trPr>
        <w:tc>
          <w:tcPr>
            <w:tcW w:w="6938" w:type="dxa"/>
            <w:tcMar>
              <w:top w:w="11" w:type="dxa"/>
              <w:left w:w="57" w:type="dxa"/>
              <w:bottom w:w="11" w:type="dxa"/>
              <w:right w:w="57" w:type="dxa"/>
            </w:tcMar>
          </w:tcPr>
          <w:p w14:paraId="55C2AEBB" w14:textId="77777777" w:rsidR="00646F4F" w:rsidRPr="00735726" w:rsidRDefault="00646F4F" w:rsidP="00CE19B2">
            <w:pPr>
              <w:widowControl w:val="0"/>
              <w:suppressAutoHyphens/>
              <w:autoSpaceDE w:val="0"/>
              <w:autoSpaceDN w:val="0"/>
              <w:adjustRightInd w:val="0"/>
              <w:spacing w:after="0" w:line="220" w:lineRule="atLeast"/>
              <w:ind w:left="359"/>
              <w:textAlignment w:val="center"/>
              <w:rPr>
                <w:rFonts w:ascii="Arial" w:eastAsia="Times New Roman" w:hAnsi="Arial" w:cs="DINOT-Light"/>
                <w:color w:val="000000"/>
                <w:sz w:val="18"/>
                <w:szCs w:val="18"/>
              </w:rPr>
            </w:pPr>
            <w:bookmarkStart w:id="441" w:name="XMETag_56d377b1384b4605a34045418ac8fb1c" w:colFirst="2" w:colLast="2"/>
            <w:bookmarkStart w:id="442" w:name="XMETag_73b4c76a030b4fa68c37e44650ccbca7" w:colFirst="3" w:colLast="3"/>
            <w:bookmarkEnd w:id="439"/>
            <w:bookmarkEnd w:id="440"/>
            <w:r w:rsidRPr="00735726">
              <w:rPr>
                <w:rFonts w:ascii="Arial" w:eastAsia="Times New Roman" w:hAnsi="Arial" w:cs="DINOT-Light"/>
                <w:color w:val="000000"/>
                <w:sz w:val="18"/>
                <w:szCs w:val="18"/>
              </w:rPr>
              <w:t>Research and development expenditure</w:t>
            </w:r>
          </w:p>
        </w:tc>
        <w:tc>
          <w:tcPr>
            <w:tcW w:w="1134" w:type="dxa"/>
          </w:tcPr>
          <w:p w14:paraId="28B62FE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Mar>
              <w:top w:w="11" w:type="dxa"/>
              <w:left w:w="57" w:type="dxa"/>
              <w:bottom w:w="11" w:type="dxa"/>
              <w:right w:w="57" w:type="dxa"/>
            </w:tcMar>
          </w:tcPr>
          <w:p w14:paraId="7059517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w:t>
            </w:r>
          </w:p>
        </w:tc>
        <w:tc>
          <w:tcPr>
            <w:tcW w:w="993" w:type="dxa"/>
          </w:tcPr>
          <w:p w14:paraId="2D972F2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w:t>
            </w:r>
          </w:p>
        </w:tc>
      </w:tr>
      <w:tr w:rsidR="00646F4F" w:rsidRPr="00735726" w14:paraId="7E355333" w14:textId="77777777" w:rsidTr="00CE19B2">
        <w:trPr>
          <w:trHeight w:val="226"/>
        </w:trPr>
        <w:tc>
          <w:tcPr>
            <w:tcW w:w="6938" w:type="dxa"/>
            <w:tcMar>
              <w:top w:w="11" w:type="dxa"/>
              <w:left w:w="57" w:type="dxa"/>
              <w:bottom w:w="11" w:type="dxa"/>
              <w:right w:w="57" w:type="dxa"/>
            </w:tcMar>
          </w:tcPr>
          <w:p w14:paraId="54CA1ADE" w14:textId="77777777" w:rsidR="00646F4F" w:rsidRPr="00735726" w:rsidRDefault="00646F4F" w:rsidP="00CE19B2">
            <w:pPr>
              <w:widowControl w:val="0"/>
              <w:suppressAutoHyphens/>
              <w:autoSpaceDE w:val="0"/>
              <w:autoSpaceDN w:val="0"/>
              <w:adjustRightInd w:val="0"/>
              <w:spacing w:after="0" w:line="220" w:lineRule="atLeast"/>
              <w:ind w:left="359"/>
              <w:textAlignment w:val="center"/>
              <w:rPr>
                <w:rFonts w:ascii="Arial" w:eastAsia="Times New Roman" w:hAnsi="Arial" w:cs="DINOT-Light"/>
                <w:color w:val="000000"/>
                <w:sz w:val="18"/>
                <w:szCs w:val="18"/>
              </w:rPr>
            </w:pPr>
          </w:p>
        </w:tc>
        <w:tc>
          <w:tcPr>
            <w:tcW w:w="1134" w:type="dxa"/>
          </w:tcPr>
          <w:p w14:paraId="68758F70"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bottom w:val="single" w:sz="4" w:space="0" w:color="auto"/>
            </w:tcBorders>
            <w:tcMar>
              <w:top w:w="11" w:type="dxa"/>
              <w:left w:w="57" w:type="dxa"/>
              <w:bottom w:w="11" w:type="dxa"/>
              <w:right w:w="57" w:type="dxa"/>
            </w:tcMar>
          </w:tcPr>
          <w:p w14:paraId="010C9EE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3" w:type="dxa"/>
            <w:tcBorders>
              <w:bottom w:val="single" w:sz="4" w:space="0" w:color="auto"/>
            </w:tcBorders>
          </w:tcPr>
          <w:p w14:paraId="5C387D8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57FDE1BB" w14:textId="77777777" w:rsidTr="00CE19B2">
        <w:trPr>
          <w:trHeight w:val="226"/>
        </w:trPr>
        <w:tc>
          <w:tcPr>
            <w:tcW w:w="6938" w:type="dxa"/>
            <w:tcMar>
              <w:top w:w="11" w:type="dxa"/>
              <w:left w:w="57" w:type="dxa"/>
              <w:bottom w:w="11" w:type="dxa"/>
              <w:right w:w="57" w:type="dxa"/>
            </w:tcMar>
          </w:tcPr>
          <w:p w14:paraId="5EC5D40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43" w:name="XMETag_129c90bad5b84590aa66cfd1abf12d0c" w:colFirst="2" w:colLast="2"/>
            <w:bookmarkStart w:id="444" w:name="XMETag_9554e9fc7e384153908b2f51f369c01f" w:colFirst="3" w:colLast="3"/>
            <w:bookmarkEnd w:id="441"/>
            <w:bookmarkEnd w:id="442"/>
            <w:r w:rsidRPr="00735726">
              <w:rPr>
                <w:rFonts w:ascii="Arial" w:eastAsia="Times New Roman" w:hAnsi="Arial" w:cs="DINOT-Light"/>
                <w:color w:val="000000"/>
                <w:sz w:val="18"/>
                <w:szCs w:val="18"/>
              </w:rPr>
              <w:t>Financial asset impairment</w:t>
            </w:r>
          </w:p>
        </w:tc>
        <w:tc>
          <w:tcPr>
            <w:tcW w:w="1134" w:type="dxa"/>
          </w:tcPr>
          <w:p w14:paraId="6664A866" w14:textId="583E75EF" w:rsidR="00646F4F" w:rsidRPr="009A2CAE" w:rsidRDefault="00DB0609"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19</w:t>
            </w:r>
          </w:p>
        </w:tc>
        <w:tc>
          <w:tcPr>
            <w:tcW w:w="992" w:type="dxa"/>
            <w:tcBorders>
              <w:top w:val="single" w:sz="4" w:space="0" w:color="auto"/>
              <w:bottom w:val="single" w:sz="4" w:space="0" w:color="auto"/>
            </w:tcBorders>
            <w:tcMar>
              <w:top w:w="11" w:type="dxa"/>
              <w:left w:w="57" w:type="dxa"/>
              <w:bottom w:w="11" w:type="dxa"/>
              <w:right w:w="57" w:type="dxa"/>
            </w:tcMar>
          </w:tcPr>
          <w:p w14:paraId="3E9D3B4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14.0</w:t>
            </w:r>
          </w:p>
        </w:tc>
        <w:tc>
          <w:tcPr>
            <w:tcW w:w="993" w:type="dxa"/>
            <w:tcBorders>
              <w:top w:val="single" w:sz="4" w:space="0" w:color="auto"/>
              <w:bottom w:val="single" w:sz="4" w:space="0" w:color="auto"/>
            </w:tcBorders>
          </w:tcPr>
          <w:p w14:paraId="30F8E88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8.2</w:t>
            </w:r>
          </w:p>
        </w:tc>
      </w:tr>
      <w:tr w:rsidR="00646F4F" w:rsidRPr="00735726" w14:paraId="52FD2B4C" w14:textId="77777777" w:rsidTr="00CE19B2">
        <w:trPr>
          <w:trHeight w:val="226"/>
        </w:trPr>
        <w:tc>
          <w:tcPr>
            <w:tcW w:w="6938" w:type="dxa"/>
            <w:tcMar>
              <w:top w:w="11" w:type="dxa"/>
              <w:left w:w="57" w:type="dxa"/>
              <w:bottom w:w="11" w:type="dxa"/>
              <w:right w:w="57" w:type="dxa"/>
            </w:tcMar>
          </w:tcPr>
          <w:p w14:paraId="41C9967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Pr>
          <w:p w14:paraId="6D9EB476"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7C7E138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3" w:type="dxa"/>
            <w:tcBorders>
              <w:top w:val="single" w:sz="4" w:space="0" w:color="auto"/>
            </w:tcBorders>
          </w:tcPr>
          <w:p w14:paraId="0BBFAA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bookmarkEnd w:id="443"/>
      <w:bookmarkEnd w:id="444"/>
      <w:tr w:rsidR="00646F4F" w:rsidRPr="00735726" w14:paraId="69035C8E" w14:textId="77777777" w:rsidTr="00CE19B2">
        <w:trPr>
          <w:trHeight w:val="226"/>
        </w:trPr>
        <w:tc>
          <w:tcPr>
            <w:tcW w:w="6938" w:type="dxa"/>
            <w:tcMar>
              <w:top w:w="11" w:type="dxa"/>
              <w:left w:w="57" w:type="dxa"/>
              <w:bottom w:w="11" w:type="dxa"/>
              <w:right w:w="57" w:type="dxa"/>
            </w:tcMar>
          </w:tcPr>
          <w:p w14:paraId="5572D5E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i/>
                <w:color w:val="000000"/>
                <w:sz w:val="18"/>
                <w:szCs w:val="18"/>
              </w:rPr>
            </w:pPr>
            <w:r w:rsidRPr="00735726">
              <w:rPr>
                <w:rFonts w:ascii="Arial" w:eastAsia="Times New Roman" w:hAnsi="Arial" w:cs="DINOT-Light"/>
                <w:i/>
                <w:color w:val="000000"/>
                <w:sz w:val="18"/>
                <w:szCs w:val="18"/>
              </w:rPr>
              <w:t xml:space="preserve">Depreciation of property, plant and equipment: </w:t>
            </w:r>
          </w:p>
        </w:tc>
        <w:tc>
          <w:tcPr>
            <w:tcW w:w="1134" w:type="dxa"/>
          </w:tcPr>
          <w:p w14:paraId="3185E4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Mar>
              <w:top w:w="11" w:type="dxa"/>
              <w:left w:w="57" w:type="dxa"/>
              <w:bottom w:w="11" w:type="dxa"/>
              <w:right w:w="57" w:type="dxa"/>
            </w:tcMar>
          </w:tcPr>
          <w:p w14:paraId="78A38DA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3" w:type="dxa"/>
          </w:tcPr>
          <w:p w14:paraId="357F203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1CFD0674" w14:textId="77777777" w:rsidTr="00CE19B2">
        <w:trPr>
          <w:trHeight w:val="226"/>
        </w:trPr>
        <w:tc>
          <w:tcPr>
            <w:tcW w:w="6938" w:type="dxa"/>
            <w:tcMar>
              <w:top w:w="11" w:type="dxa"/>
              <w:left w:w="57" w:type="dxa"/>
              <w:bottom w:w="11" w:type="dxa"/>
              <w:right w:w="57" w:type="dxa"/>
            </w:tcMar>
          </w:tcPr>
          <w:p w14:paraId="4102A27B" w14:textId="77777777" w:rsidR="00646F4F" w:rsidRPr="00735726" w:rsidRDefault="00646F4F" w:rsidP="00CE19B2">
            <w:pPr>
              <w:widowControl w:val="0"/>
              <w:suppressAutoHyphens/>
              <w:autoSpaceDE w:val="0"/>
              <w:autoSpaceDN w:val="0"/>
              <w:adjustRightInd w:val="0"/>
              <w:spacing w:after="0" w:line="220" w:lineRule="atLeast"/>
              <w:ind w:firstLine="217"/>
              <w:textAlignment w:val="center"/>
              <w:rPr>
                <w:rFonts w:ascii="Arial" w:eastAsia="Times New Roman" w:hAnsi="Arial" w:cs="DINOT-Light"/>
                <w:color w:val="000000"/>
                <w:sz w:val="18"/>
                <w:szCs w:val="18"/>
              </w:rPr>
            </w:pPr>
            <w:bookmarkStart w:id="445" w:name="XMETag_9ceac4023786417580c20fa02f5cfc51" w:colFirst="2" w:colLast="2"/>
            <w:bookmarkStart w:id="446" w:name="XMETag_88ebc38506aa4d0fac73932ff3adfb82" w:colFirst="3" w:colLast="3"/>
            <w:r w:rsidRPr="00735726">
              <w:rPr>
                <w:rFonts w:ascii="Arial" w:eastAsia="Times New Roman" w:hAnsi="Arial" w:cs="DINOT-Light"/>
                <w:color w:val="000000"/>
                <w:sz w:val="18"/>
                <w:szCs w:val="18"/>
              </w:rPr>
              <w:t xml:space="preserve">   Owned assets</w:t>
            </w:r>
          </w:p>
        </w:tc>
        <w:tc>
          <w:tcPr>
            <w:tcW w:w="1134" w:type="dxa"/>
          </w:tcPr>
          <w:p w14:paraId="1D201BE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Mar>
              <w:top w:w="11" w:type="dxa"/>
              <w:left w:w="57" w:type="dxa"/>
              <w:bottom w:w="11" w:type="dxa"/>
              <w:right w:w="57" w:type="dxa"/>
            </w:tcMar>
          </w:tcPr>
          <w:p w14:paraId="73DC4BB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134.1</w:t>
            </w:r>
          </w:p>
        </w:tc>
        <w:tc>
          <w:tcPr>
            <w:tcW w:w="993" w:type="dxa"/>
          </w:tcPr>
          <w:p w14:paraId="65522F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129.4</w:t>
            </w:r>
          </w:p>
        </w:tc>
      </w:tr>
      <w:tr w:rsidR="00646F4F" w:rsidRPr="00735726" w14:paraId="7F748F22" w14:textId="77777777" w:rsidTr="00CE19B2">
        <w:trPr>
          <w:trHeight w:val="226"/>
        </w:trPr>
        <w:tc>
          <w:tcPr>
            <w:tcW w:w="6938" w:type="dxa"/>
            <w:tcMar>
              <w:top w:w="11" w:type="dxa"/>
              <w:left w:w="57" w:type="dxa"/>
              <w:bottom w:w="11" w:type="dxa"/>
              <w:right w:w="57" w:type="dxa"/>
            </w:tcMar>
          </w:tcPr>
          <w:p w14:paraId="31ED3F7F" w14:textId="77777777" w:rsidR="00646F4F" w:rsidRPr="00735726" w:rsidRDefault="00646F4F" w:rsidP="00CE19B2">
            <w:pPr>
              <w:widowControl w:val="0"/>
              <w:suppressAutoHyphens/>
              <w:autoSpaceDE w:val="0"/>
              <w:autoSpaceDN w:val="0"/>
              <w:adjustRightInd w:val="0"/>
              <w:spacing w:after="0" w:line="220" w:lineRule="atLeast"/>
              <w:ind w:firstLine="217"/>
              <w:textAlignment w:val="center"/>
              <w:rPr>
                <w:rFonts w:ascii="Arial" w:eastAsia="Times New Roman" w:hAnsi="Arial" w:cs="DINOT-Light"/>
                <w:color w:val="000000"/>
                <w:sz w:val="18"/>
                <w:szCs w:val="18"/>
              </w:rPr>
            </w:pPr>
            <w:bookmarkStart w:id="447" w:name="XMETag_597f05a535f14f28846e1e42f90d507b" w:colFirst="2" w:colLast="2"/>
            <w:bookmarkStart w:id="448" w:name="XMETag_4adf7b44f0a141c59a7b7d4d676bfce6" w:colFirst="3" w:colLast="3"/>
            <w:bookmarkEnd w:id="445"/>
            <w:bookmarkEnd w:id="446"/>
            <w:r w:rsidRPr="00735726">
              <w:rPr>
                <w:rFonts w:ascii="Arial" w:eastAsia="Times New Roman" w:hAnsi="Arial" w:cs="DINOT-Light"/>
                <w:color w:val="000000"/>
                <w:sz w:val="18"/>
                <w:szCs w:val="18"/>
              </w:rPr>
              <w:t xml:space="preserve">   Under leases</w:t>
            </w:r>
          </w:p>
        </w:tc>
        <w:tc>
          <w:tcPr>
            <w:tcW w:w="1134" w:type="dxa"/>
          </w:tcPr>
          <w:p w14:paraId="75A9BD2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Mar>
              <w:top w:w="11" w:type="dxa"/>
              <w:left w:w="57" w:type="dxa"/>
              <w:bottom w:w="11" w:type="dxa"/>
              <w:right w:w="57" w:type="dxa"/>
            </w:tcMar>
          </w:tcPr>
          <w:p w14:paraId="0BCB89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36.6</w:t>
            </w:r>
          </w:p>
        </w:tc>
        <w:tc>
          <w:tcPr>
            <w:tcW w:w="993" w:type="dxa"/>
          </w:tcPr>
          <w:p w14:paraId="1A77C2B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36.4</w:t>
            </w:r>
          </w:p>
        </w:tc>
      </w:tr>
      <w:tr w:rsidR="00646F4F" w:rsidRPr="00735726" w14:paraId="00A50B31" w14:textId="77777777" w:rsidTr="00CE19B2">
        <w:trPr>
          <w:trHeight w:val="226"/>
        </w:trPr>
        <w:tc>
          <w:tcPr>
            <w:tcW w:w="6938" w:type="dxa"/>
            <w:tcMar>
              <w:top w:w="11" w:type="dxa"/>
              <w:left w:w="57" w:type="dxa"/>
              <w:bottom w:w="11" w:type="dxa"/>
              <w:right w:w="57" w:type="dxa"/>
            </w:tcMar>
          </w:tcPr>
          <w:p w14:paraId="35A40A3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i/>
                <w:color w:val="000000"/>
                <w:sz w:val="18"/>
                <w:szCs w:val="18"/>
              </w:rPr>
              <w:t>Amortisation of other intangible assets</w:t>
            </w:r>
          </w:p>
        </w:tc>
        <w:tc>
          <w:tcPr>
            <w:tcW w:w="1134" w:type="dxa"/>
          </w:tcPr>
          <w:p w14:paraId="71285AA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bottom w:val="single" w:sz="4" w:space="0" w:color="auto"/>
            </w:tcBorders>
            <w:tcMar>
              <w:top w:w="11" w:type="dxa"/>
              <w:left w:w="57" w:type="dxa"/>
              <w:bottom w:w="11" w:type="dxa"/>
              <w:right w:w="57" w:type="dxa"/>
            </w:tcMar>
          </w:tcPr>
          <w:p w14:paraId="342AE335" w14:textId="0AE40133"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w:t>
            </w:r>
            <w:r w:rsidR="000C41AC" w:rsidRPr="00735726">
              <w:rPr>
                <w:rFonts w:ascii="Arial" w:eastAsia="Times New Roman" w:hAnsi="Arial" w:cs="DINOT-Light"/>
                <w:color w:val="000000"/>
                <w:sz w:val="18"/>
                <w:szCs w:val="18"/>
              </w:rPr>
              <w:t>3</w:t>
            </w:r>
          </w:p>
        </w:tc>
        <w:tc>
          <w:tcPr>
            <w:tcW w:w="993" w:type="dxa"/>
            <w:tcBorders>
              <w:bottom w:val="single" w:sz="4" w:space="0" w:color="auto"/>
            </w:tcBorders>
          </w:tcPr>
          <w:p w14:paraId="6C5B2B9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w:t>
            </w:r>
          </w:p>
        </w:tc>
      </w:tr>
    </w:tbl>
    <w:p w14:paraId="56AB12AB"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49" w:name="_Hlk71398090"/>
      <w:bookmarkEnd w:id="447"/>
      <w:bookmarkEnd w:id="448"/>
    </w:p>
    <w:p w14:paraId="7BF808FA" w14:textId="0D7965EE"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Operating costs include a charge of £15.4 million (2025: £32.4 million) relating to non-underlying items, as detailed in </w:t>
      </w:r>
      <w:r w:rsidRPr="009A2CAE">
        <w:rPr>
          <w:rFonts w:ascii="Arial" w:eastAsia="Times New Roman" w:hAnsi="Arial" w:cs="DINOT-Light"/>
          <w:color w:val="000000"/>
          <w:sz w:val="18"/>
          <w:szCs w:val="18"/>
        </w:rPr>
        <w:t xml:space="preserve">note </w:t>
      </w:r>
      <w:r w:rsidR="00DB0609" w:rsidRPr="009A2CAE">
        <w:rPr>
          <w:rFonts w:ascii="Arial" w:eastAsia="Times New Roman" w:hAnsi="Arial" w:cs="DINOT-Light"/>
          <w:color w:val="000000"/>
          <w:sz w:val="18"/>
          <w:szCs w:val="18"/>
        </w:rPr>
        <w:t>6</w:t>
      </w:r>
      <w:r w:rsidRPr="009A2CAE">
        <w:rPr>
          <w:rFonts w:ascii="Arial" w:eastAsia="Times New Roman" w:hAnsi="Arial" w:cs="DINOT-Light"/>
          <w:color w:val="000000"/>
          <w:sz w:val="18"/>
          <w:szCs w:val="18"/>
        </w:rPr>
        <w:t>.</w:t>
      </w:r>
    </w:p>
    <w:p w14:paraId="757D68D6"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72BCA0F"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Fees payable to the Company’s </w:t>
      </w:r>
      <w:proofErr w:type="gramStart"/>
      <w:r w:rsidRPr="00735726">
        <w:rPr>
          <w:rFonts w:ascii="Arial" w:eastAsia="Times New Roman" w:hAnsi="Arial" w:cs="DINOT-Light"/>
          <w:color w:val="000000"/>
          <w:sz w:val="18"/>
          <w:szCs w:val="18"/>
        </w:rPr>
        <w:t>auditors’</w:t>
      </w:r>
      <w:proofErr w:type="gramEnd"/>
      <w:r w:rsidRPr="00735726">
        <w:rPr>
          <w:rFonts w:ascii="Arial" w:eastAsia="Times New Roman" w:hAnsi="Arial" w:cs="DINOT-Light"/>
          <w:color w:val="000000"/>
          <w:sz w:val="18"/>
          <w:szCs w:val="18"/>
        </w:rPr>
        <w:t xml:space="preserve"> in the year were:</w:t>
      </w:r>
    </w:p>
    <w:tbl>
      <w:tblPr>
        <w:tblW w:w="10057" w:type="dxa"/>
        <w:tblInd w:w="8" w:type="dxa"/>
        <w:tblLayout w:type="fixed"/>
        <w:tblCellMar>
          <w:left w:w="0" w:type="dxa"/>
          <w:right w:w="0" w:type="dxa"/>
        </w:tblCellMar>
        <w:tblLook w:val="0000" w:firstRow="0" w:lastRow="0" w:firstColumn="0" w:lastColumn="0" w:noHBand="0" w:noVBand="0"/>
      </w:tblPr>
      <w:tblGrid>
        <w:gridCol w:w="8072"/>
        <w:gridCol w:w="851"/>
        <w:gridCol w:w="1134"/>
      </w:tblGrid>
      <w:tr w:rsidR="00646F4F" w:rsidRPr="00735726" w14:paraId="4E21131D" w14:textId="77777777" w:rsidTr="00CE19B2">
        <w:trPr>
          <w:trHeight w:val="60"/>
          <w:tblHeader/>
        </w:trPr>
        <w:tc>
          <w:tcPr>
            <w:tcW w:w="8072" w:type="dxa"/>
            <w:tcMar>
              <w:top w:w="11" w:type="dxa"/>
              <w:left w:w="57" w:type="dxa"/>
              <w:bottom w:w="11" w:type="dxa"/>
              <w:right w:w="57" w:type="dxa"/>
            </w:tcMar>
          </w:tcPr>
          <w:p w14:paraId="15F38615"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851" w:type="dxa"/>
            <w:tcMar>
              <w:top w:w="11" w:type="dxa"/>
              <w:left w:w="57" w:type="dxa"/>
              <w:bottom w:w="11" w:type="dxa"/>
              <w:right w:w="57" w:type="dxa"/>
            </w:tcMar>
          </w:tcPr>
          <w:p w14:paraId="3A6B84E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49D78C3B"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£000</w:t>
            </w:r>
          </w:p>
        </w:tc>
        <w:tc>
          <w:tcPr>
            <w:tcW w:w="1134" w:type="dxa"/>
            <w:tcMar>
              <w:top w:w="11" w:type="dxa"/>
              <w:left w:w="57" w:type="dxa"/>
              <w:bottom w:w="11" w:type="dxa"/>
              <w:right w:w="57" w:type="dxa"/>
            </w:tcMar>
          </w:tcPr>
          <w:p w14:paraId="6D2B91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3B6FE1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£000</w:t>
            </w:r>
          </w:p>
        </w:tc>
      </w:tr>
      <w:tr w:rsidR="00646F4F" w:rsidRPr="00735726" w14:paraId="672753A2" w14:textId="77777777" w:rsidTr="00CE19B2">
        <w:trPr>
          <w:trHeight w:val="226"/>
        </w:trPr>
        <w:tc>
          <w:tcPr>
            <w:tcW w:w="8072" w:type="dxa"/>
            <w:tcMar>
              <w:top w:w="11" w:type="dxa"/>
              <w:left w:w="57" w:type="dxa"/>
              <w:bottom w:w="11" w:type="dxa"/>
              <w:right w:w="57" w:type="dxa"/>
            </w:tcMar>
          </w:tcPr>
          <w:p w14:paraId="65E7289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50" w:name="XMETag_6c6d9c76905d4874bd54baa6af357909" w:colFirst="1" w:colLast="1"/>
            <w:bookmarkStart w:id="451" w:name="XMETag_182f978473804d15b8309be661042b6e" w:colFirst="2" w:colLast="2"/>
            <w:bookmarkStart w:id="452" w:name="_Hlk40767811"/>
            <w:r w:rsidRPr="00735726">
              <w:rPr>
                <w:rFonts w:ascii="Arial" w:eastAsia="Times New Roman" w:hAnsi="Arial" w:cs="DINOT-Light"/>
                <w:color w:val="000000"/>
                <w:sz w:val="18"/>
                <w:szCs w:val="18"/>
              </w:rPr>
              <w:t>Fees payable to the Company’s auditors and its associates for the audit of the financial statements</w:t>
            </w:r>
          </w:p>
        </w:tc>
        <w:tc>
          <w:tcPr>
            <w:tcW w:w="851" w:type="dxa"/>
            <w:tcMar>
              <w:top w:w="11" w:type="dxa"/>
              <w:left w:w="57" w:type="dxa"/>
              <w:bottom w:w="11" w:type="dxa"/>
              <w:right w:w="57" w:type="dxa"/>
            </w:tcMar>
          </w:tcPr>
          <w:p w14:paraId="700CCF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636</w:t>
            </w:r>
          </w:p>
        </w:tc>
        <w:tc>
          <w:tcPr>
            <w:tcW w:w="1134" w:type="dxa"/>
            <w:tcMar>
              <w:top w:w="11" w:type="dxa"/>
              <w:left w:w="57" w:type="dxa"/>
              <w:bottom w:w="11" w:type="dxa"/>
              <w:right w:w="57" w:type="dxa"/>
            </w:tcMar>
          </w:tcPr>
          <w:p w14:paraId="3679510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530</w:t>
            </w:r>
          </w:p>
        </w:tc>
      </w:tr>
      <w:bookmarkEnd w:id="450"/>
      <w:bookmarkEnd w:id="451"/>
      <w:tr w:rsidR="00646F4F" w:rsidRPr="00735726" w14:paraId="1C2801AC" w14:textId="77777777" w:rsidTr="00CE19B2">
        <w:trPr>
          <w:trHeight w:val="226"/>
        </w:trPr>
        <w:tc>
          <w:tcPr>
            <w:tcW w:w="8072" w:type="dxa"/>
            <w:tcMar>
              <w:top w:w="11" w:type="dxa"/>
              <w:left w:w="57" w:type="dxa"/>
              <w:bottom w:w="11" w:type="dxa"/>
              <w:right w:w="57" w:type="dxa"/>
            </w:tcMar>
          </w:tcPr>
          <w:p w14:paraId="6AC06DF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Fees payable to the Company's auditors and its associates for other services:</w:t>
            </w:r>
          </w:p>
        </w:tc>
        <w:tc>
          <w:tcPr>
            <w:tcW w:w="851" w:type="dxa"/>
            <w:tcMar>
              <w:top w:w="11" w:type="dxa"/>
              <w:left w:w="57" w:type="dxa"/>
              <w:bottom w:w="11" w:type="dxa"/>
              <w:right w:w="57" w:type="dxa"/>
            </w:tcMar>
          </w:tcPr>
          <w:p w14:paraId="734800E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2C56E1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779FD9A1" w14:textId="77777777" w:rsidTr="00CE19B2">
        <w:trPr>
          <w:trHeight w:val="226"/>
        </w:trPr>
        <w:tc>
          <w:tcPr>
            <w:tcW w:w="8072" w:type="dxa"/>
            <w:tcMar>
              <w:top w:w="11" w:type="dxa"/>
              <w:left w:w="57" w:type="dxa"/>
              <w:bottom w:w="11" w:type="dxa"/>
              <w:right w:w="57" w:type="dxa"/>
            </w:tcMar>
          </w:tcPr>
          <w:p w14:paraId="45D4F2C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53" w:name="XMETag_f0269a30d6284140bc68cf84987d67a2" w:colFirst="1" w:colLast="1"/>
            <w:bookmarkStart w:id="454" w:name="XMETag_22b1c4955df843b0a46851dbc967f4d6" w:colFirst="2" w:colLast="2"/>
            <w:r w:rsidRPr="00735726">
              <w:rPr>
                <w:rFonts w:ascii="Arial" w:eastAsia="Times New Roman" w:hAnsi="Arial" w:cs="DINOT-Light"/>
                <w:color w:val="000000"/>
                <w:sz w:val="18"/>
                <w:szCs w:val="18"/>
              </w:rPr>
              <w:t>All other services</w:t>
            </w:r>
          </w:p>
        </w:tc>
        <w:tc>
          <w:tcPr>
            <w:tcW w:w="851" w:type="dxa"/>
            <w:tcBorders>
              <w:bottom w:val="single" w:sz="4" w:space="0" w:color="auto"/>
            </w:tcBorders>
            <w:tcMar>
              <w:top w:w="11" w:type="dxa"/>
              <w:left w:w="57" w:type="dxa"/>
              <w:bottom w:w="11" w:type="dxa"/>
              <w:right w:w="57" w:type="dxa"/>
            </w:tcMar>
          </w:tcPr>
          <w:p w14:paraId="1571DD1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213</w:t>
            </w:r>
          </w:p>
        </w:tc>
        <w:tc>
          <w:tcPr>
            <w:tcW w:w="1134" w:type="dxa"/>
            <w:tcBorders>
              <w:bottom w:val="single" w:sz="4" w:space="0" w:color="auto"/>
            </w:tcBorders>
            <w:tcMar>
              <w:top w:w="11" w:type="dxa"/>
              <w:left w:w="57" w:type="dxa"/>
              <w:bottom w:w="11" w:type="dxa"/>
              <w:right w:w="57" w:type="dxa"/>
            </w:tcMar>
          </w:tcPr>
          <w:p w14:paraId="4C3A67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148</w:t>
            </w:r>
          </w:p>
        </w:tc>
      </w:tr>
      <w:tr w:rsidR="00646F4F" w:rsidRPr="00735726" w14:paraId="480027D7" w14:textId="77777777" w:rsidTr="00CE19B2">
        <w:trPr>
          <w:trHeight w:val="226"/>
        </w:trPr>
        <w:tc>
          <w:tcPr>
            <w:tcW w:w="8072" w:type="dxa"/>
            <w:tcMar>
              <w:top w:w="11" w:type="dxa"/>
              <w:left w:w="57" w:type="dxa"/>
              <w:bottom w:w="11" w:type="dxa"/>
              <w:right w:w="57" w:type="dxa"/>
            </w:tcMar>
          </w:tcPr>
          <w:p w14:paraId="4A6CE56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455" w:name="XMETag_58660aaad1bb4a0d811786980b4e8857" w:colFirst="1" w:colLast="1"/>
            <w:bookmarkStart w:id="456" w:name="XMETag_dabdc0a893894746aa788e6a32119547" w:colFirst="2" w:colLast="2"/>
            <w:bookmarkEnd w:id="452"/>
            <w:bookmarkEnd w:id="453"/>
            <w:bookmarkEnd w:id="454"/>
            <w:r w:rsidRPr="00735726">
              <w:rPr>
                <w:rFonts w:ascii="Arial" w:eastAsia="Times New Roman" w:hAnsi="Arial" w:cs="DINOT-Light"/>
                <w:b/>
                <w:color w:val="000000"/>
                <w:sz w:val="18"/>
                <w:szCs w:val="18"/>
              </w:rPr>
              <w:t>Total fees</w:t>
            </w:r>
          </w:p>
        </w:tc>
        <w:tc>
          <w:tcPr>
            <w:tcW w:w="851" w:type="dxa"/>
            <w:tcBorders>
              <w:top w:val="single" w:sz="4" w:space="0" w:color="auto"/>
              <w:bottom w:val="single" w:sz="4" w:space="0" w:color="auto"/>
            </w:tcBorders>
            <w:tcMar>
              <w:top w:w="11" w:type="dxa"/>
              <w:left w:w="57" w:type="dxa"/>
              <w:bottom w:w="11" w:type="dxa"/>
              <w:right w:w="57" w:type="dxa"/>
            </w:tcMar>
          </w:tcPr>
          <w:p w14:paraId="4EAA953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849</w:t>
            </w:r>
          </w:p>
        </w:tc>
        <w:tc>
          <w:tcPr>
            <w:tcW w:w="1134" w:type="dxa"/>
            <w:tcBorders>
              <w:top w:val="single" w:sz="4" w:space="0" w:color="auto"/>
              <w:bottom w:val="single" w:sz="4" w:space="0" w:color="auto"/>
            </w:tcBorders>
            <w:tcMar>
              <w:top w:w="11" w:type="dxa"/>
              <w:left w:w="57" w:type="dxa"/>
              <w:bottom w:w="11" w:type="dxa"/>
              <w:right w:w="57" w:type="dxa"/>
            </w:tcMar>
          </w:tcPr>
          <w:p w14:paraId="012A1F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678</w:t>
            </w:r>
          </w:p>
        </w:tc>
      </w:tr>
    </w:tbl>
    <w:p w14:paraId="49052C89"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bookmarkStart w:id="457" w:name="_Hlk10199613"/>
      <w:bookmarkStart w:id="458" w:name="XMETag_45662917fb0c47e1b154b349ddad2144"/>
      <w:bookmarkEnd w:id="455"/>
      <w:bookmarkEnd w:id="456"/>
    </w:p>
    <w:bookmarkEnd w:id="457"/>
    <w:p w14:paraId="668A695F" w14:textId="3707AF28"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 description of the work of the Audit Committee is set out in its report on pages </w:t>
      </w:r>
      <w:r w:rsidR="00644FAB" w:rsidRPr="009A2CAE">
        <w:rPr>
          <w:rFonts w:ascii="Arial" w:eastAsia="Times New Roman" w:hAnsi="Arial" w:cs="DINOT-Light"/>
          <w:color w:val="000000"/>
          <w:sz w:val="18"/>
          <w:szCs w:val="18"/>
        </w:rPr>
        <w:t>130</w:t>
      </w:r>
      <w:r w:rsidRPr="009A2CAE">
        <w:rPr>
          <w:rFonts w:ascii="Arial" w:eastAsia="Times New Roman" w:hAnsi="Arial" w:cs="DINOT-Light"/>
          <w:color w:val="000000"/>
          <w:sz w:val="18"/>
          <w:szCs w:val="18"/>
        </w:rPr>
        <w:t xml:space="preserve"> to </w:t>
      </w:r>
      <w:r w:rsidR="00644FAB" w:rsidRPr="009A2CAE">
        <w:rPr>
          <w:rFonts w:ascii="Arial" w:eastAsia="Times New Roman" w:hAnsi="Arial" w:cs="DINOT-Light"/>
          <w:color w:val="000000"/>
          <w:sz w:val="18"/>
          <w:szCs w:val="18"/>
        </w:rPr>
        <w:t>139</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which includes an explanation of how the auditor’s objectivity and independence are safeguarded when non-audit services are provided by the auditor’s firm.</w:t>
      </w:r>
      <w:bookmarkEnd w:id="458"/>
    </w:p>
    <w:p w14:paraId="66F9470A" w14:textId="77777777" w:rsidR="00646F4F" w:rsidRPr="00735726" w:rsidRDefault="00646F4F" w:rsidP="00646F4F">
      <w:pPr>
        <w:spacing w:after="160" w:line="259" w:lineRule="auto"/>
        <w:rPr>
          <w:rFonts w:ascii="Arial" w:eastAsia="Times New Roman" w:hAnsi="Arial" w:cs="DINOT-Light"/>
          <w:color w:val="000000"/>
          <w:sz w:val="18"/>
          <w:szCs w:val="18"/>
        </w:rPr>
      </w:pPr>
    </w:p>
    <w:bookmarkEnd w:id="449"/>
    <w:p w14:paraId="04272932"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8.</w:t>
      </w:r>
      <w:r w:rsidRPr="00735726">
        <w:rPr>
          <w:rFonts w:ascii="Arial" w:eastAsia="Times New Roman" w:hAnsi="Arial" w:cs="Arial"/>
          <w:b/>
          <w:bCs/>
          <w:caps/>
          <w:color w:val="000000"/>
          <w:sz w:val="18"/>
          <w:szCs w:val="18"/>
        </w:rPr>
        <w:tab/>
        <w:t>Net finance costs</w:t>
      </w:r>
    </w:p>
    <w:tbl>
      <w:tblPr>
        <w:tblW w:w="10006" w:type="dxa"/>
        <w:tblInd w:w="8" w:type="dxa"/>
        <w:tblLayout w:type="fixed"/>
        <w:tblCellMar>
          <w:left w:w="0" w:type="dxa"/>
          <w:right w:w="0" w:type="dxa"/>
        </w:tblCellMar>
        <w:tblLook w:val="0000" w:firstRow="0" w:lastRow="0" w:firstColumn="0" w:lastColumn="0" w:noHBand="0" w:noVBand="0"/>
      </w:tblPr>
      <w:tblGrid>
        <w:gridCol w:w="3394"/>
        <w:gridCol w:w="943"/>
        <w:gridCol w:w="1134"/>
        <w:gridCol w:w="1134"/>
        <w:gridCol w:w="1134"/>
        <w:gridCol w:w="1133"/>
        <w:gridCol w:w="1134"/>
      </w:tblGrid>
      <w:tr w:rsidR="00646F4F" w:rsidRPr="00735726" w14:paraId="092AC4BC" w14:textId="77777777" w:rsidTr="00CE19B2">
        <w:trPr>
          <w:trHeight w:val="60"/>
          <w:tblHeader/>
        </w:trPr>
        <w:tc>
          <w:tcPr>
            <w:tcW w:w="3394" w:type="dxa"/>
            <w:tcMar>
              <w:top w:w="11" w:type="dxa"/>
              <w:left w:w="57" w:type="dxa"/>
              <w:bottom w:w="11" w:type="dxa"/>
              <w:right w:w="57" w:type="dxa"/>
            </w:tcMar>
          </w:tcPr>
          <w:p w14:paraId="6D641F7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3211" w:type="dxa"/>
            <w:gridSpan w:val="3"/>
            <w:tcMar>
              <w:top w:w="11" w:type="dxa"/>
              <w:left w:w="57" w:type="dxa"/>
              <w:bottom w:w="11" w:type="dxa"/>
              <w:right w:w="57" w:type="dxa"/>
            </w:tcMar>
          </w:tcPr>
          <w:p w14:paraId="351893FE"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tc>
        <w:tc>
          <w:tcPr>
            <w:tcW w:w="3401" w:type="dxa"/>
            <w:gridSpan w:val="3"/>
            <w:tcMar>
              <w:top w:w="11" w:type="dxa"/>
              <w:left w:w="57" w:type="dxa"/>
              <w:bottom w:w="11" w:type="dxa"/>
              <w:right w:w="57" w:type="dxa"/>
            </w:tcMar>
          </w:tcPr>
          <w:p w14:paraId="0AF236BE"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1102F8BF" w14:textId="77777777" w:rsidTr="00CE19B2">
        <w:trPr>
          <w:trHeight w:val="265"/>
          <w:tblHeader/>
        </w:trPr>
        <w:tc>
          <w:tcPr>
            <w:tcW w:w="3394" w:type="dxa"/>
            <w:tcMar>
              <w:top w:w="11" w:type="dxa"/>
              <w:left w:w="57" w:type="dxa"/>
              <w:bottom w:w="11" w:type="dxa"/>
              <w:right w:w="57" w:type="dxa"/>
            </w:tcMar>
          </w:tcPr>
          <w:p w14:paraId="48CA0C2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943" w:type="dxa"/>
            <w:tcMar>
              <w:top w:w="11" w:type="dxa"/>
              <w:left w:w="57" w:type="dxa"/>
              <w:bottom w:w="11" w:type="dxa"/>
              <w:right w:w="57" w:type="dxa"/>
            </w:tcMar>
          </w:tcPr>
          <w:p w14:paraId="0A4031C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Finance </w:t>
            </w:r>
          </w:p>
          <w:p w14:paraId="5BC3107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cost</w:t>
            </w:r>
          </w:p>
          <w:p w14:paraId="655C59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22ED4D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Finance </w:t>
            </w:r>
          </w:p>
          <w:p w14:paraId="04CB02D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income</w:t>
            </w:r>
          </w:p>
          <w:p w14:paraId="7B3946D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5F5F007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5AA2B4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2EFBD39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0DF1B63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Finance </w:t>
            </w:r>
          </w:p>
          <w:p w14:paraId="0CE7BB0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cost</w:t>
            </w:r>
          </w:p>
          <w:p w14:paraId="30FE3EE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3" w:type="dxa"/>
            <w:tcMar>
              <w:top w:w="11" w:type="dxa"/>
              <w:left w:w="57" w:type="dxa"/>
              <w:bottom w:w="11" w:type="dxa"/>
              <w:right w:w="57" w:type="dxa"/>
            </w:tcMar>
          </w:tcPr>
          <w:p w14:paraId="24C0E5F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Finance </w:t>
            </w:r>
          </w:p>
          <w:p w14:paraId="1742DC5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income</w:t>
            </w:r>
          </w:p>
          <w:p w14:paraId="7B0CDF5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37E1A4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667AACA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0B3F288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6A84A2D8" w14:textId="77777777" w:rsidTr="00CE19B2">
        <w:trPr>
          <w:trHeight w:val="226"/>
        </w:trPr>
        <w:tc>
          <w:tcPr>
            <w:tcW w:w="3394" w:type="dxa"/>
            <w:tcMar>
              <w:top w:w="11" w:type="dxa"/>
              <w:left w:w="57" w:type="dxa"/>
              <w:bottom w:w="11" w:type="dxa"/>
              <w:right w:w="57" w:type="dxa"/>
            </w:tcMar>
          </w:tcPr>
          <w:p w14:paraId="3A0D7D3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Cost of servicing debt</w:t>
            </w:r>
          </w:p>
        </w:tc>
        <w:tc>
          <w:tcPr>
            <w:tcW w:w="943" w:type="dxa"/>
            <w:tcMar>
              <w:top w:w="11" w:type="dxa"/>
              <w:left w:w="57" w:type="dxa"/>
              <w:bottom w:w="11" w:type="dxa"/>
              <w:right w:w="57" w:type="dxa"/>
            </w:tcMar>
          </w:tcPr>
          <w:p w14:paraId="3289B24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6788F49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0C1CBB9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4555958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7F5637A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29A2EDA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1E45512F" w14:textId="77777777" w:rsidTr="00CE19B2">
        <w:trPr>
          <w:trHeight w:val="226"/>
        </w:trPr>
        <w:tc>
          <w:tcPr>
            <w:tcW w:w="3394" w:type="dxa"/>
            <w:tcMar>
              <w:top w:w="11" w:type="dxa"/>
              <w:left w:w="57" w:type="dxa"/>
              <w:bottom w:w="11" w:type="dxa"/>
              <w:right w:w="57" w:type="dxa"/>
            </w:tcMar>
          </w:tcPr>
          <w:p w14:paraId="7D681D9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59" w:name="XMETag_78927fa6d32f40348bfd2b281440c69d" w:colFirst="1" w:colLast="1"/>
            <w:bookmarkStart w:id="460" w:name="XMETag_b7fad7100a3e4c608d65dca832585327" w:colFirst="3" w:colLast="3"/>
            <w:bookmarkStart w:id="461" w:name="XMETag_759c12769ac14173b4aaea35fb87519f" w:colFirst="4" w:colLast="4"/>
            <w:bookmarkStart w:id="462" w:name="XMETag_4aecab42339a4a928b8b7120d592d804" w:colFirst="6" w:colLast="6"/>
            <w:r w:rsidRPr="00735726">
              <w:rPr>
                <w:rFonts w:ascii="Arial" w:eastAsia="Times New Roman" w:hAnsi="Arial" w:cs="DINOT-Light"/>
                <w:color w:val="000000"/>
                <w:sz w:val="18"/>
                <w:szCs w:val="18"/>
              </w:rPr>
              <w:t>Bank borrowings and overdrafts</w:t>
            </w:r>
          </w:p>
        </w:tc>
        <w:tc>
          <w:tcPr>
            <w:tcW w:w="943" w:type="dxa"/>
            <w:tcMar>
              <w:top w:w="11" w:type="dxa"/>
              <w:left w:w="57" w:type="dxa"/>
              <w:bottom w:w="11" w:type="dxa"/>
              <w:right w:w="57" w:type="dxa"/>
            </w:tcMar>
          </w:tcPr>
          <w:p w14:paraId="1E453E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(52.7)</w:t>
            </w:r>
          </w:p>
        </w:tc>
        <w:tc>
          <w:tcPr>
            <w:tcW w:w="1134" w:type="dxa"/>
            <w:tcMar>
              <w:top w:w="11" w:type="dxa"/>
              <w:left w:w="57" w:type="dxa"/>
              <w:bottom w:w="11" w:type="dxa"/>
              <w:right w:w="57" w:type="dxa"/>
            </w:tcMar>
          </w:tcPr>
          <w:p w14:paraId="6188B57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54A67DA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(52.7)</w:t>
            </w:r>
          </w:p>
        </w:tc>
        <w:tc>
          <w:tcPr>
            <w:tcW w:w="1134" w:type="dxa"/>
            <w:tcMar>
              <w:top w:w="11" w:type="dxa"/>
              <w:left w:w="57" w:type="dxa"/>
              <w:bottom w:w="11" w:type="dxa"/>
              <w:right w:w="57" w:type="dxa"/>
            </w:tcMar>
          </w:tcPr>
          <w:p w14:paraId="122E7C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(66.2)</w:t>
            </w:r>
          </w:p>
        </w:tc>
        <w:tc>
          <w:tcPr>
            <w:tcW w:w="1133" w:type="dxa"/>
            <w:tcMar>
              <w:top w:w="11" w:type="dxa"/>
              <w:left w:w="57" w:type="dxa"/>
              <w:bottom w:w="11" w:type="dxa"/>
              <w:right w:w="57" w:type="dxa"/>
            </w:tcMar>
          </w:tcPr>
          <w:p w14:paraId="1C76B33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10C630A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(66.2)</w:t>
            </w:r>
          </w:p>
        </w:tc>
      </w:tr>
      <w:tr w:rsidR="00646F4F" w:rsidRPr="00735726" w14:paraId="784C9440" w14:textId="77777777" w:rsidTr="00CE19B2">
        <w:trPr>
          <w:trHeight w:val="226"/>
        </w:trPr>
        <w:tc>
          <w:tcPr>
            <w:tcW w:w="3394" w:type="dxa"/>
            <w:tcMar>
              <w:top w:w="11" w:type="dxa"/>
              <w:left w:w="57" w:type="dxa"/>
              <w:bottom w:w="11" w:type="dxa"/>
              <w:right w:w="57" w:type="dxa"/>
            </w:tcMar>
          </w:tcPr>
          <w:p w14:paraId="64483BB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63" w:name="XMETag_b0629d96846540d9b26adfb2331b7f93" w:colFirst="1" w:colLast="1"/>
            <w:bookmarkStart w:id="464" w:name="XMETag_77cc710971cc44dd86a132906a53c4c8" w:colFirst="3" w:colLast="3"/>
            <w:bookmarkStart w:id="465" w:name="XMETag_6497e76dfcac44818b2c1e53b30413fe" w:colFirst="4" w:colLast="4"/>
            <w:bookmarkStart w:id="466" w:name="XMETag_f8b2e14604c048689ae27c8780a5428f" w:colFirst="6" w:colLast="6"/>
            <w:bookmarkEnd w:id="459"/>
            <w:bookmarkEnd w:id="460"/>
            <w:bookmarkEnd w:id="461"/>
            <w:bookmarkEnd w:id="462"/>
            <w:r w:rsidRPr="00735726">
              <w:rPr>
                <w:rFonts w:ascii="Arial" w:eastAsia="Times New Roman" w:hAnsi="Arial" w:cs="DINOT-Light"/>
                <w:color w:val="000000"/>
                <w:sz w:val="18"/>
                <w:szCs w:val="18"/>
              </w:rPr>
              <w:t>Interest element of lease payments</w:t>
            </w:r>
          </w:p>
        </w:tc>
        <w:tc>
          <w:tcPr>
            <w:tcW w:w="943" w:type="dxa"/>
            <w:tcMar>
              <w:top w:w="11" w:type="dxa"/>
              <w:left w:w="57" w:type="dxa"/>
              <w:bottom w:w="11" w:type="dxa"/>
              <w:right w:w="57" w:type="dxa"/>
            </w:tcMar>
          </w:tcPr>
          <w:p w14:paraId="422875F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(48.6)</w:t>
            </w:r>
          </w:p>
        </w:tc>
        <w:tc>
          <w:tcPr>
            <w:tcW w:w="1134" w:type="dxa"/>
            <w:tcMar>
              <w:top w:w="11" w:type="dxa"/>
              <w:left w:w="57" w:type="dxa"/>
              <w:bottom w:w="11" w:type="dxa"/>
              <w:right w:w="57" w:type="dxa"/>
            </w:tcMar>
          </w:tcPr>
          <w:p w14:paraId="25422FF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7736E92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(48.6)</w:t>
            </w:r>
          </w:p>
        </w:tc>
        <w:tc>
          <w:tcPr>
            <w:tcW w:w="1134" w:type="dxa"/>
            <w:tcMar>
              <w:top w:w="11" w:type="dxa"/>
              <w:left w:w="57" w:type="dxa"/>
              <w:bottom w:w="11" w:type="dxa"/>
              <w:right w:w="57" w:type="dxa"/>
            </w:tcMar>
          </w:tcPr>
          <w:p w14:paraId="109B4F8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(49.8)</w:t>
            </w:r>
          </w:p>
        </w:tc>
        <w:tc>
          <w:tcPr>
            <w:tcW w:w="1133" w:type="dxa"/>
            <w:tcMar>
              <w:top w:w="11" w:type="dxa"/>
              <w:left w:w="57" w:type="dxa"/>
              <w:bottom w:w="11" w:type="dxa"/>
              <w:right w:w="57" w:type="dxa"/>
            </w:tcMar>
          </w:tcPr>
          <w:p w14:paraId="3146466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7007DA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(49.8)</w:t>
            </w:r>
          </w:p>
        </w:tc>
      </w:tr>
      <w:tr w:rsidR="00646F4F" w:rsidRPr="00735726" w14:paraId="2D6EBF33" w14:textId="77777777" w:rsidTr="00CE19B2">
        <w:trPr>
          <w:trHeight w:val="226"/>
        </w:trPr>
        <w:tc>
          <w:tcPr>
            <w:tcW w:w="3394" w:type="dxa"/>
            <w:tcMar>
              <w:top w:w="11" w:type="dxa"/>
              <w:left w:w="57" w:type="dxa"/>
              <w:bottom w:w="11" w:type="dxa"/>
              <w:right w:w="57" w:type="dxa"/>
            </w:tcMar>
          </w:tcPr>
          <w:p w14:paraId="2CE054B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67" w:name="XMETag_ad9a300cc01f40b28d0c1fae75fa6c91" w:colFirst="1" w:colLast="1"/>
            <w:bookmarkStart w:id="468" w:name="XMETag_bffc4401ea2e454f8f3cb29b2d0641fb" w:colFirst="3" w:colLast="3"/>
            <w:bookmarkStart w:id="469" w:name="XMETag_365cf561619b4ef1913447a30316e4d0" w:colFirst="4" w:colLast="4"/>
            <w:bookmarkStart w:id="470" w:name="XMETag_b3d0604e68424073a3cfd1bf53b15ca6" w:colFirst="6" w:colLast="6"/>
            <w:bookmarkEnd w:id="463"/>
            <w:bookmarkEnd w:id="464"/>
            <w:bookmarkEnd w:id="465"/>
            <w:bookmarkEnd w:id="466"/>
            <w:r w:rsidRPr="00735726">
              <w:rPr>
                <w:rFonts w:ascii="Arial" w:eastAsia="Times New Roman" w:hAnsi="Arial" w:cs="DINOT-Light"/>
                <w:color w:val="000000"/>
                <w:sz w:val="18"/>
                <w:szCs w:val="18"/>
              </w:rPr>
              <w:t>Other finance costs</w:t>
            </w:r>
          </w:p>
        </w:tc>
        <w:tc>
          <w:tcPr>
            <w:tcW w:w="943" w:type="dxa"/>
            <w:tcMar>
              <w:top w:w="11" w:type="dxa"/>
              <w:left w:w="57" w:type="dxa"/>
              <w:bottom w:w="11" w:type="dxa"/>
              <w:right w:w="57" w:type="dxa"/>
            </w:tcMar>
          </w:tcPr>
          <w:p w14:paraId="351E8E8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(4.8)</w:t>
            </w:r>
          </w:p>
        </w:tc>
        <w:tc>
          <w:tcPr>
            <w:tcW w:w="1134" w:type="dxa"/>
            <w:tcMar>
              <w:top w:w="11" w:type="dxa"/>
              <w:left w:w="57" w:type="dxa"/>
              <w:bottom w:w="11" w:type="dxa"/>
              <w:right w:w="57" w:type="dxa"/>
            </w:tcMar>
          </w:tcPr>
          <w:p w14:paraId="704EA4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140FDC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(4.8)</w:t>
            </w:r>
          </w:p>
        </w:tc>
        <w:tc>
          <w:tcPr>
            <w:tcW w:w="1134" w:type="dxa"/>
            <w:tcMar>
              <w:top w:w="11" w:type="dxa"/>
              <w:left w:w="57" w:type="dxa"/>
              <w:bottom w:w="11" w:type="dxa"/>
              <w:right w:w="57" w:type="dxa"/>
            </w:tcMar>
          </w:tcPr>
          <w:p w14:paraId="3F8B3D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(9.2)</w:t>
            </w:r>
          </w:p>
        </w:tc>
        <w:tc>
          <w:tcPr>
            <w:tcW w:w="1133" w:type="dxa"/>
            <w:tcMar>
              <w:top w:w="11" w:type="dxa"/>
              <w:left w:w="57" w:type="dxa"/>
              <w:bottom w:w="11" w:type="dxa"/>
              <w:right w:w="57" w:type="dxa"/>
            </w:tcMar>
          </w:tcPr>
          <w:p w14:paraId="5BC2010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3CAF55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(9.2)</w:t>
            </w:r>
          </w:p>
        </w:tc>
      </w:tr>
      <w:tr w:rsidR="00646F4F" w:rsidRPr="00735726" w14:paraId="714613E2" w14:textId="77777777" w:rsidTr="00CE19B2">
        <w:trPr>
          <w:trHeight w:val="226"/>
        </w:trPr>
        <w:tc>
          <w:tcPr>
            <w:tcW w:w="3394" w:type="dxa"/>
            <w:tcMar>
              <w:top w:w="11" w:type="dxa"/>
              <w:left w:w="57" w:type="dxa"/>
              <w:bottom w:w="11" w:type="dxa"/>
              <w:right w:w="57" w:type="dxa"/>
            </w:tcMar>
          </w:tcPr>
          <w:p w14:paraId="0CA9E2DE" w14:textId="3FD4FCD1"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71" w:name="XMETag_ac4e3cffea1f47e196594e258aeb4d74" w:colFirst="2" w:colLast="2"/>
            <w:bookmarkStart w:id="472" w:name="XMETag_c81de7f733c940209403314c28e83068" w:colFirst="3" w:colLast="3"/>
            <w:bookmarkStart w:id="473" w:name="XMETag_1ebe6de402b14e898d43ddfdad6d28d4" w:colFirst="5" w:colLast="5"/>
            <w:bookmarkStart w:id="474" w:name="XMETag_043da77d6d51444683dc2980c5e9d156" w:colFirst="6" w:colLast="6"/>
            <w:bookmarkEnd w:id="467"/>
            <w:bookmarkEnd w:id="468"/>
            <w:bookmarkEnd w:id="469"/>
            <w:bookmarkEnd w:id="470"/>
            <w:r w:rsidRPr="00735726">
              <w:rPr>
                <w:rFonts w:ascii="Arial" w:eastAsia="Times New Roman" w:hAnsi="Arial" w:cs="DINOT-Light"/>
                <w:color w:val="000000"/>
                <w:sz w:val="18"/>
                <w:szCs w:val="18"/>
              </w:rPr>
              <w:t>Interest rece</w:t>
            </w:r>
            <w:r w:rsidR="00673657" w:rsidRPr="00735726">
              <w:rPr>
                <w:rFonts w:ascii="Arial" w:eastAsia="Times New Roman" w:hAnsi="Arial" w:cs="DINOT-Light"/>
                <w:color w:val="000000"/>
                <w:sz w:val="18"/>
                <w:szCs w:val="18"/>
              </w:rPr>
              <w:t>ived</w:t>
            </w:r>
          </w:p>
        </w:tc>
        <w:tc>
          <w:tcPr>
            <w:tcW w:w="943" w:type="dxa"/>
            <w:tcMar>
              <w:top w:w="11" w:type="dxa"/>
              <w:left w:w="57" w:type="dxa"/>
              <w:bottom w:w="11" w:type="dxa"/>
              <w:right w:w="57" w:type="dxa"/>
            </w:tcMar>
          </w:tcPr>
          <w:p w14:paraId="6C71223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4B3B2B7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14.7</w:t>
            </w:r>
          </w:p>
        </w:tc>
        <w:tc>
          <w:tcPr>
            <w:tcW w:w="1134" w:type="dxa"/>
            <w:tcMar>
              <w:top w:w="11" w:type="dxa"/>
              <w:left w:w="57" w:type="dxa"/>
              <w:bottom w:w="11" w:type="dxa"/>
              <w:right w:w="57" w:type="dxa"/>
            </w:tcMar>
          </w:tcPr>
          <w:p w14:paraId="380056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14.7</w:t>
            </w:r>
          </w:p>
        </w:tc>
        <w:tc>
          <w:tcPr>
            <w:tcW w:w="1134" w:type="dxa"/>
            <w:tcMar>
              <w:top w:w="11" w:type="dxa"/>
              <w:left w:w="57" w:type="dxa"/>
              <w:bottom w:w="11" w:type="dxa"/>
              <w:right w:w="57" w:type="dxa"/>
            </w:tcMar>
          </w:tcPr>
          <w:p w14:paraId="0005D1B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Mar>
              <w:top w:w="11" w:type="dxa"/>
              <w:left w:w="57" w:type="dxa"/>
              <w:bottom w:w="11" w:type="dxa"/>
              <w:right w:w="57" w:type="dxa"/>
            </w:tcMar>
          </w:tcPr>
          <w:p w14:paraId="7A4A450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5.5</w:t>
            </w:r>
          </w:p>
        </w:tc>
        <w:tc>
          <w:tcPr>
            <w:tcW w:w="1134" w:type="dxa"/>
            <w:tcMar>
              <w:top w:w="11" w:type="dxa"/>
              <w:left w:w="57" w:type="dxa"/>
              <w:bottom w:w="11" w:type="dxa"/>
              <w:right w:w="57" w:type="dxa"/>
            </w:tcMar>
          </w:tcPr>
          <w:p w14:paraId="0E47BD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5.5</w:t>
            </w:r>
          </w:p>
        </w:tc>
      </w:tr>
      <w:tr w:rsidR="00646F4F" w:rsidRPr="00735726" w14:paraId="37DCEBD0" w14:textId="77777777" w:rsidTr="00CE19B2">
        <w:trPr>
          <w:trHeight w:val="226"/>
        </w:trPr>
        <w:tc>
          <w:tcPr>
            <w:tcW w:w="3394" w:type="dxa"/>
            <w:tcMar>
              <w:top w:w="11" w:type="dxa"/>
              <w:left w:w="57" w:type="dxa"/>
              <w:bottom w:w="11" w:type="dxa"/>
              <w:right w:w="57" w:type="dxa"/>
            </w:tcMar>
          </w:tcPr>
          <w:p w14:paraId="2875AF5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75" w:name="XMETag_56af33177bb34515882024101cbafc4d" w:colFirst="1" w:colLast="1"/>
            <w:bookmarkStart w:id="476" w:name="XMETag_00a33006a8044b049b13776695f974e0" w:colFirst="3" w:colLast="3"/>
            <w:bookmarkStart w:id="477" w:name="XMETag_e4df55c373e74cfc99be19bb2a67ba72" w:colFirst="4" w:colLast="4"/>
            <w:bookmarkStart w:id="478" w:name="XMETag_b18fd7b1971344e784a9b6d15650c6d0" w:colFirst="6" w:colLast="6"/>
            <w:bookmarkEnd w:id="471"/>
            <w:bookmarkEnd w:id="472"/>
            <w:bookmarkEnd w:id="473"/>
            <w:bookmarkEnd w:id="474"/>
            <w:r w:rsidRPr="00735726">
              <w:rPr>
                <w:rFonts w:ascii="Arial" w:eastAsia="Times New Roman" w:hAnsi="Arial" w:cs="DINOT-Light"/>
                <w:color w:val="000000"/>
                <w:sz w:val="18"/>
                <w:szCs w:val="18"/>
              </w:rPr>
              <w:t>Intercompany interest to other Pennon Group companies</w:t>
            </w:r>
          </w:p>
        </w:tc>
        <w:tc>
          <w:tcPr>
            <w:tcW w:w="943" w:type="dxa"/>
            <w:tcBorders>
              <w:bottom w:val="single" w:sz="4" w:space="0" w:color="auto"/>
            </w:tcBorders>
            <w:tcMar>
              <w:top w:w="11" w:type="dxa"/>
              <w:left w:w="57" w:type="dxa"/>
              <w:bottom w:w="11" w:type="dxa"/>
              <w:right w:w="57" w:type="dxa"/>
            </w:tcMar>
          </w:tcPr>
          <w:p w14:paraId="45D4D90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(79.5)</w:t>
            </w:r>
          </w:p>
        </w:tc>
        <w:tc>
          <w:tcPr>
            <w:tcW w:w="1134" w:type="dxa"/>
            <w:tcBorders>
              <w:bottom w:val="single" w:sz="4" w:space="0" w:color="auto"/>
            </w:tcBorders>
            <w:tcMar>
              <w:top w:w="11" w:type="dxa"/>
              <w:left w:w="57" w:type="dxa"/>
              <w:bottom w:w="11" w:type="dxa"/>
              <w:right w:w="57" w:type="dxa"/>
            </w:tcMar>
          </w:tcPr>
          <w:p w14:paraId="11979AE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001E0E8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(79.5)</w:t>
            </w:r>
          </w:p>
        </w:tc>
        <w:tc>
          <w:tcPr>
            <w:tcW w:w="1134" w:type="dxa"/>
            <w:tcBorders>
              <w:bottom w:val="single" w:sz="4" w:space="0" w:color="auto"/>
            </w:tcBorders>
            <w:tcMar>
              <w:top w:w="11" w:type="dxa"/>
              <w:left w:w="57" w:type="dxa"/>
              <w:bottom w:w="11" w:type="dxa"/>
              <w:right w:w="57" w:type="dxa"/>
            </w:tcMar>
          </w:tcPr>
          <w:p w14:paraId="1C1EE6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(51.1)</w:t>
            </w:r>
          </w:p>
        </w:tc>
        <w:tc>
          <w:tcPr>
            <w:tcW w:w="1133" w:type="dxa"/>
            <w:tcBorders>
              <w:bottom w:val="single" w:sz="4" w:space="0" w:color="auto"/>
            </w:tcBorders>
            <w:tcMar>
              <w:top w:w="11" w:type="dxa"/>
              <w:left w:w="57" w:type="dxa"/>
              <w:bottom w:w="11" w:type="dxa"/>
              <w:right w:w="57" w:type="dxa"/>
            </w:tcMar>
          </w:tcPr>
          <w:p w14:paraId="688401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2B3553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(51.1)</w:t>
            </w:r>
          </w:p>
        </w:tc>
      </w:tr>
      <w:bookmarkEnd w:id="475"/>
      <w:bookmarkEnd w:id="476"/>
      <w:bookmarkEnd w:id="477"/>
      <w:bookmarkEnd w:id="478"/>
      <w:tr w:rsidR="00646F4F" w:rsidRPr="00735726" w14:paraId="0D9BD37A" w14:textId="77777777" w:rsidTr="00CE19B2">
        <w:trPr>
          <w:trHeight w:val="226"/>
        </w:trPr>
        <w:tc>
          <w:tcPr>
            <w:tcW w:w="3394" w:type="dxa"/>
            <w:tcMar>
              <w:top w:w="11" w:type="dxa"/>
              <w:left w:w="57" w:type="dxa"/>
              <w:bottom w:w="11" w:type="dxa"/>
              <w:right w:w="57" w:type="dxa"/>
            </w:tcMar>
          </w:tcPr>
          <w:p w14:paraId="314F6C9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943" w:type="dxa"/>
            <w:tcBorders>
              <w:top w:val="single" w:sz="4" w:space="0" w:color="auto"/>
            </w:tcBorders>
            <w:tcMar>
              <w:top w:w="11" w:type="dxa"/>
              <w:left w:w="57" w:type="dxa"/>
              <w:bottom w:w="11" w:type="dxa"/>
              <w:right w:w="57" w:type="dxa"/>
            </w:tcMar>
          </w:tcPr>
          <w:p w14:paraId="4F04E6F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(185.6)</w:t>
            </w:r>
          </w:p>
        </w:tc>
        <w:tc>
          <w:tcPr>
            <w:tcW w:w="1134" w:type="dxa"/>
            <w:tcBorders>
              <w:top w:val="single" w:sz="4" w:space="0" w:color="auto"/>
            </w:tcBorders>
            <w:tcMar>
              <w:top w:w="11" w:type="dxa"/>
              <w:left w:w="57" w:type="dxa"/>
              <w:bottom w:w="11" w:type="dxa"/>
              <w:right w:w="57" w:type="dxa"/>
            </w:tcMar>
          </w:tcPr>
          <w:p w14:paraId="0A1E82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14.7</w:t>
            </w:r>
          </w:p>
        </w:tc>
        <w:tc>
          <w:tcPr>
            <w:tcW w:w="1134" w:type="dxa"/>
            <w:tcBorders>
              <w:top w:val="single" w:sz="4" w:space="0" w:color="auto"/>
            </w:tcBorders>
            <w:tcMar>
              <w:top w:w="11" w:type="dxa"/>
              <w:left w:w="57" w:type="dxa"/>
              <w:bottom w:w="11" w:type="dxa"/>
              <w:right w:w="57" w:type="dxa"/>
            </w:tcMar>
          </w:tcPr>
          <w:p w14:paraId="4F8DCF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(170.9)</w:t>
            </w:r>
          </w:p>
        </w:tc>
        <w:tc>
          <w:tcPr>
            <w:tcW w:w="1134" w:type="dxa"/>
            <w:tcBorders>
              <w:top w:val="single" w:sz="4" w:space="0" w:color="auto"/>
            </w:tcBorders>
            <w:tcMar>
              <w:top w:w="11" w:type="dxa"/>
              <w:left w:w="57" w:type="dxa"/>
              <w:bottom w:w="11" w:type="dxa"/>
              <w:right w:w="57" w:type="dxa"/>
            </w:tcMar>
          </w:tcPr>
          <w:p w14:paraId="0E666B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(176.3)</w:t>
            </w:r>
          </w:p>
        </w:tc>
        <w:tc>
          <w:tcPr>
            <w:tcW w:w="1133" w:type="dxa"/>
            <w:tcBorders>
              <w:top w:val="single" w:sz="4" w:space="0" w:color="auto"/>
            </w:tcBorders>
            <w:tcMar>
              <w:top w:w="11" w:type="dxa"/>
              <w:left w:w="57" w:type="dxa"/>
              <w:bottom w:w="11" w:type="dxa"/>
              <w:right w:w="57" w:type="dxa"/>
            </w:tcMar>
          </w:tcPr>
          <w:p w14:paraId="0A2409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5.5</w:t>
            </w:r>
          </w:p>
        </w:tc>
        <w:tc>
          <w:tcPr>
            <w:tcW w:w="1134" w:type="dxa"/>
            <w:tcBorders>
              <w:top w:val="single" w:sz="4" w:space="0" w:color="auto"/>
            </w:tcBorders>
            <w:tcMar>
              <w:top w:w="11" w:type="dxa"/>
              <w:left w:w="57" w:type="dxa"/>
              <w:bottom w:w="11" w:type="dxa"/>
              <w:right w:w="57" w:type="dxa"/>
            </w:tcMar>
          </w:tcPr>
          <w:p w14:paraId="2380572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(170.8)</w:t>
            </w:r>
          </w:p>
        </w:tc>
      </w:tr>
      <w:tr w:rsidR="00646F4F" w:rsidRPr="00735726" w14:paraId="056AE69C" w14:textId="77777777" w:rsidTr="00CE19B2">
        <w:trPr>
          <w:trHeight w:val="226"/>
        </w:trPr>
        <w:tc>
          <w:tcPr>
            <w:tcW w:w="3394" w:type="dxa"/>
            <w:tcMar>
              <w:top w:w="11" w:type="dxa"/>
              <w:left w:w="57" w:type="dxa"/>
              <w:bottom w:w="11" w:type="dxa"/>
              <w:right w:w="57" w:type="dxa"/>
            </w:tcMar>
          </w:tcPr>
          <w:p w14:paraId="2E0CA92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Notional interest</w:t>
            </w:r>
          </w:p>
        </w:tc>
        <w:tc>
          <w:tcPr>
            <w:tcW w:w="943" w:type="dxa"/>
            <w:tcMar>
              <w:top w:w="11" w:type="dxa"/>
              <w:left w:w="57" w:type="dxa"/>
              <w:bottom w:w="11" w:type="dxa"/>
              <w:right w:w="57" w:type="dxa"/>
            </w:tcMar>
          </w:tcPr>
          <w:p w14:paraId="36C292C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618623C0"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72166AD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610CCD9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4338B2E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71347B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0D872972" w14:textId="77777777" w:rsidTr="00CE19B2">
        <w:trPr>
          <w:trHeight w:val="226"/>
        </w:trPr>
        <w:tc>
          <w:tcPr>
            <w:tcW w:w="3394" w:type="dxa"/>
            <w:tcMar>
              <w:top w:w="11" w:type="dxa"/>
              <w:left w:w="57" w:type="dxa"/>
              <w:bottom w:w="11" w:type="dxa"/>
              <w:right w:w="57" w:type="dxa"/>
            </w:tcMar>
          </w:tcPr>
          <w:p w14:paraId="711D939C" w14:textId="34E838C3"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79" w:name="XMETag_276717c4bab7469e943cb2a07c5c3a89" w:colFirst="4" w:colLast="4"/>
            <w:bookmarkStart w:id="480" w:name="XMETag_734ddad42f8e4cf994a44f5219305e87" w:colFirst="6" w:colLast="6"/>
            <w:bookmarkStart w:id="481" w:name="XMETag_189d9ede86f44fb888cd28624f5cdaef" w:colFirst="2" w:colLast="2"/>
            <w:bookmarkStart w:id="482" w:name="XMETag_49ad6c9bf56a4547a9d7168a62dc2c46" w:colFirst="3" w:colLast="3"/>
            <w:r w:rsidRPr="00735726">
              <w:rPr>
                <w:rFonts w:ascii="Arial" w:eastAsia="Times New Roman" w:hAnsi="Arial" w:cs="DINOT-Light"/>
                <w:color w:val="000000"/>
                <w:sz w:val="18"/>
                <w:szCs w:val="18"/>
              </w:rPr>
              <w:t xml:space="preserve">Retirement benefit obligations </w:t>
            </w:r>
            <w:r w:rsidRPr="009A2CAE">
              <w:rPr>
                <w:rFonts w:ascii="Arial" w:eastAsia="Times New Roman" w:hAnsi="Arial" w:cs="DINOT-Light"/>
                <w:color w:val="000000"/>
                <w:sz w:val="18"/>
                <w:szCs w:val="18"/>
              </w:rPr>
              <w:t>(note 2</w:t>
            </w:r>
            <w:r w:rsidR="00DB0609" w:rsidRPr="009A2CAE">
              <w:rPr>
                <w:rFonts w:ascii="Arial" w:eastAsia="Times New Roman" w:hAnsi="Arial" w:cs="DINOT-Light"/>
                <w:color w:val="000000"/>
                <w:sz w:val="18"/>
                <w:szCs w:val="18"/>
              </w:rPr>
              <w:t>5</w:t>
            </w:r>
            <w:r w:rsidRPr="009A2CAE">
              <w:rPr>
                <w:rFonts w:ascii="Arial" w:eastAsia="Times New Roman" w:hAnsi="Arial" w:cs="DINOT-Light"/>
                <w:color w:val="000000"/>
                <w:sz w:val="18"/>
                <w:szCs w:val="18"/>
              </w:rPr>
              <w:t>)</w:t>
            </w:r>
          </w:p>
        </w:tc>
        <w:tc>
          <w:tcPr>
            <w:tcW w:w="943" w:type="dxa"/>
            <w:tcBorders>
              <w:bottom w:val="single" w:sz="4" w:space="0" w:color="auto"/>
            </w:tcBorders>
            <w:tcMar>
              <w:top w:w="11" w:type="dxa"/>
              <w:left w:w="57" w:type="dxa"/>
              <w:bottom w:w="11" w:type="dxa"/>
              <w:right w:w="57" w:type="dxa"/>
            </w:tcMar>
          </w:tcPr>
          <w:p w14:paraId="16B4B6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2DCCABE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134" w:type="dxa"/>
            <w:tcBorders>
              <w:bottom w:val="single" w:sz="4" w:space="0" w:color="auto"/>
            </w:tcBorders>
            <w:tcMar>
              <w:top w:w="11" w:type="dxa"/>
              <w:left w:w="57" w:type="dxa"/>
              <w:bottom w:w="11" w:type="dxa"/>
              <w:right w:w="57" w:type="dxa"/>
            </w:tcMar>
          </w:tcPr>
          <w:p w14:paraId="1FEC4F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134" w:type="dxa"/>
            <w:tcBorders>
              <w:bottom w:val="single" w:sz="4" w:space="0" w:color="auto"/>
            </w:tcBorders>
            <w:tcMar>
              <w:top w:w="11" w:type="dxa"/>
              <w:left w:w="57" w:type="dxa"/>
              <w:bottom w:w="11" w:type="dxa"/>
              <w:right w:w="57" w:type="dxa"/>
            </w:tcMar>
          </w:tcPr>
          <w:p w14:paraId="479FC4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Borders>
              <w:bottom w:val="single" w:sz="4" w:space="0" w:color="auto"/>
            </w:tcBorders>
            <w:tcMar>
              <w:top w:w="11" w:type="dxa"/>
              <w:left w:w="57" w:type="dxa"/>
              <w:bottom w:w="11" w:type="dxa"/>
              <w:right w:w="57" w:type="dxa"/>
            </w:tcMar>
          </w:tcPr>
          <w:p w14:paraId="5734465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0.5</w:t>
            </w:r>
          </w:p>
        </w:tc>
        <w:tc>
          <w:tcPr>
            <w:tcW w:w="1134" w:type="dxa"/>
            <w:tcBorders>
              <w:bottom w:val="single" w:sz="4" w:space="0" w:color="auto"/>
            </w:tcBorders>
            <w:tcMar>
              <w:top w:w="11" w:type="dxa"/>
              <w:left w:w="57" w:type="dxa"/>
              <w:bottom w:w="11" w:type="dxa"/>
              <w:right w:w="57" w:type="dxa"/>
            </w:tcMar>
          </w:tcPr>
          <w:p w14:paraId="0B7B1F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0.5</w:t>
            </w:r>
          </w:p>
        </w:tc>
      </w:tr>
      <w:tr w:rsidR="00646F4F" w:rsidRPr="00735726" w14:paraId="066B9F93" w14:textId="77777777" w:rsidTr="00CE19B2">
        <w:trPr>
          <w:trHeight w:val="226"/>
        </w:trPr>
        <w:tc>
          <w:tcPr>
            <w:tcW w:w="3394" w:type="dxa"/>
            <w:tcMar>
              <w:top w:w="11" w:type="dxa"/>
              <w:left w:w="57" w:type="dxa"/>
              <w:bottom w:w="11" w:type="dxa"/>
              <w:right w:w="57" w:type="dxa"/>
            </w:tcMar>
          </w:tcPr>
          <w:p w14:paraId="154DA98C"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483" w:name="XMETag_bab46f8e4cd04c7ca37c779cfe482d2e" w:colFirst="1" w:colLast="1"/>
            <w:bookmarkStart w:id="484" w:name="XMETag_3b4363b3cc724c9cbc9f4ee7ec1b6a89" w:colFirst="2" w:colLast="2"/>
            <w:bookmarkStart w:id="485" w:name="XMETag_b2316337d0fa4778b5988d7a4d88af31" w:colFirst="3" w:colLast="3"/>
            <w:bookmarkStart w:id="486" w:name="XMETag_e950f22b0408470b91fa59da02d3201c" w:colFirst="4" w:colLast="4"/>
            <w:bookmarkStart w:id="487" w:name="XMETag_f27248389be24ddaaf394ad0c8f1e291" w:colFirst="5" w:colLast="5"/>
            <w:bookmarkStart w:id="488" w:name="XMETag_95fccba518ed41acbb846de7ad227e90" w:colFirst="6" w:colLast="6"/>
            <w:bookmarkEnd w:id="479"/>
            <w:bookmarkEnd w:id="480"/>
            <w:bookmarkEnd w:id="481"/>
            <w:bookmarkEnd w:id="482"/>
            <w:r w:rsidRPr="00735726">
              <w:rPr>
                <w:rFonts w:ascii="Arial" w:eastAsia="Times New Roman" w:hAnsi="Arial" w:cs="DINOT-Light"/>
                <w:b/>
                <w:color w:val="000000"/>
                <w:sz w:val="18"/>
                <w:szCs w:val="18"/>
              </w:rPr>
              <w:t xml:space="preserve">Finance (costs)/income </w:t>
            </w:r>
          </w:p>
        </w:tc>
        <w:tc>
          <w:tcPr>
            <w:tcW w:w="943" w:type="dxa"/>
            <w:tcBorders>
              <w:top w:val="single" w:sz="4" w:space="0" w:color="auto"/>
              <w:bottom w:val="single" w:sz="4" w:space="0" w:color="auto"/>
            </w:tcBorders>
            <w:tcMar>
              <w:top w:w="11" w:type="dxa"/>
              <w:left w:w="57" w:type="dxa"/>
              <w:bottom w:w="11" w:type="dxa"/>
              <w:right w:w="57" w:type="dxa"/>
            </w:tcMar>
          </w:tcPr>
          <w:p w14:paraId="5F6E1D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(185.6)</w:t>
            </w:r>
          </w:p>
        </w:tc>
        <w:tc>
          <w:tcPr>
            <w:tcW w:w="1134" w:type="dxa"/>
            <w:tcBorders>
              <w:top w:val="single" w:sz="4" w:space="0" w:color="auto"/>
              <w:bottom w:val="single" w:sz="4" w:space="0" w:color="auto"/>
            </w:tcBorders>
            <w:tcMar>
              <w:top w:w="11" w:type="dxa"/>
              <w:left w:w="57" w:type="dxa"/>
              <w:bottom w:w="11" w:type="dxa"/>
              <w:right w:w="57" w:type="dxa"/>
            </w:tcMar>
          </w:tcPr>
          <w:p w14:paraId="1E5B6B3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15.5</w:t>
            </w:r>
          </w:p>
        </w:tc>
        <w:tc>
          <w:tcPr>
            <w:tcW w:w="1134" w:type="dxa"/>
            <w:tcBorders>
              <w:top w:val="single" w:sz="4" w:space="0" w:color="auto"/>
              <w:bottom w:val="single" w:sz="4" w:space="0" w:color="auto"/>
            </w:tcBorders>
            <w:tcMar>
              <w:top w:w="11" w:type="dxa"/>
              <w:left w:w="57" w:type="dxa"/>
              <w:bottom w:w="11" w:type="dxa"/>
              <w:right w:w="57" w:type="dxa"/>
            </w:tcMar>
          </w:tcPr>
          <w:p w14:paraId="342D95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(170.1)</w:t>
            </w:r>
          </w:p>
        </w:tc>
        <w:tc>
          <w:tcPr>
            <w:tcW w:w="1134" w:type="dxa"/>
            <w:tcBorders>
              <w:top w:val="single" w:sz="4" w:space="0" w:color="auto"/>
              <w:bottom w:val="single" w:sz="4" w:space="0" w:color="auto"/>
            </w:tcBorders>
            <w:tcMar>
              <w:top w:w="11" w:type="dxa"/>
              <w:left w:w="57" w:type="dxa"/>
              <w:bottom w:w="11" w:type="dxa"/>
              <w:right w:w="57" w:type="dxa"/>
            </w:tcMar>
          </w:tcPr>
          <w:p w14:paraId="53C5367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(176.3)</w:t>
            </w:r>
          </w:p>
        </w:tc>
        <w:tc>
          <w:tcPr>
            <w:tcW w:w="1133" w:type="dxa"/>
            <w:tcBorders>
              <w:top w:val="single" w:sz="4" w:space="0" w:color="auto"/>
              <w:bottom w:val="single" w:sz="4" w:space="0" w:color="auto"/>
            </w:tcBorders>
            <w:tcMar>
              <w:top w:w="11" w:type="dxa"/>
              <w:left w:w="57" w:type="dxa"/>
              <w:bottom w:w="11" w:type="dxa"/>
              <w:right w:w="57" w:type="dxa"/>
            </w:tcMar>
          </w:tcPr>
          <w:p w14:paraId="4FC6388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6.0</w:t>
            </w:r>
          </w:p>
        </w:tc>
        <w:tc>
          <w:tcPr>
            <w:tcW w:w="1134" w:type="dxa"/>
            <w:tcBorders>
              <w:top w:val="single" w:sz="4" w:space="0" w:color="auto"/>
              <w:bottom w:val="single" w:sz="4" w:space="0" w:color="auto"/>
            </w:tcBorders>
            <w:tcMar>
              <w:top w:w="11" w:type="dxa"/>
              <w:left w:w="57" w:type="dxa"/>
              <w:bottom w:w="11" w:type="dxa"/>
              <w:right w:w="57" w:type="dxa"/>
            </w:tcMar>
          </w:tcPr>
          <w:p w14:paraId="0272BA8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(170.3)</w:t>
            </w:r>
          </w:p>
        </w:tc>
      </w:tr>
      <w:bookmarkEnd w:id="483"/>
      <w:bookmarkEnd w:id="484"/>
      <w:bookmarkEnd w:id="485"/>
      <w:bookmarkEnd w:id="486"/>
      <w:bookmarkEnd w:id="487"/>
      <w:bookmarkEnd w:id="488"/>
    </w:tbl>
    <w:p w14:paraId="69D5708A"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C4B606D"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2BEFB48" w14:textId="1128D10E"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In addition to the above, finance costs </w:t>
      </w:r>
      <w:r w:rsidRPr="00735726">
        <w:rPr>
          <w:rFonts w:ascii="Arial" w:eastAsia="Times New Roman" w:hAnsi="Arial" w:cs="DINOT-Light"/>
          <w:sz w:val="18"/>
          <w:szCs w:val="18"/>
        </w:rPr>
        <w:t xml:space="preserve">of £34.0 </w:t>
      </w:r>
      <w:r w:rsidRPr="00735726">
        <w:rPr>
          <w:rFonts w:ascii="Arial" w:eastAsia="Times New Roman" w:hAnsi="Arial" w:cs="DINOT-Light"/>
          <w:color w:val="000000"/>
          <w:sz w:val="18"/>
          <w:szCs w:val="18"/>
        </w:rPr>
        <w:t>million (2025: £23.1 million) have been capitalised on qualifying assets included in property, plant and equipment at an average borrowing rate of 5.5% (2025: 5.7%).</w:t>
      </w:r>
    </w:p>
    <w:p w14:paraId="63BAD025"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10D0173A"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77AE207D" w14:textId="77777777" w:rsidR="00D61316" w:rsidRPr="009A2CAE" w:rsidRDefault="00D61316"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1A17C23F"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1C83AAE1" w14:textId="6A7C5362"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9.</w:t>
      </w:r>
      <w:r w:rsidRPr="00735726">
        <w:rPr>
          <w:rFonts w:ascii="Arial" w:eastAsia="Times New Roman" w:hAnsi="Arial" w:cs="Arial"/>
          <w:b/>
          <w:bCs/>
          <w:caps/>
          <w:color w:val="000000"/>
          <w:sz w:val="18"/>
          <w:szCs w:val="18"/>
        </w:rPr>
        <w:tab/>
        <w:t xml:space="preserve">Taxation </w:t>
      </w:r>
    </w:p>
    <w:p w14:paraId="023F31DD"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tbl>
      <w:tblPr>
        <w:tblW w:w="10076" w:type="dxa"/>
        <w:tblInd w:w="8" w:type="dxa"/>
        <w:tblLayout w:type="fixed"/>
        <w:tblCellMar>
          <w:left w:w="0" w:type="dxa"/>
          <w:right w:w="0" w:type="dxa"/>
        </w:tblCellMar>
        <w:tblLook w:val="0000" w:firstRow="0" w:lastRow="0" w:firstColumn="0" w:lastColumn="0" w:noHBand="0" w:noVBand="0"/>
      </w:tblPr>
      <w:tblGrid>
        <w:gridCol w:w="3036"/>
        <w:gridCol w:w="1087"/>
        <w:gridCol w:w="1358"/>
        <w:gridCol w:w="815"/>
        <w:gridCol w:w="217"/>
        <w:gridCol w:w="1006"/>
        <w:gridCol w:w="270"/>
        <w:gridCol w:w="1337"/>
        <w:gridCol w:w="950"/>
      </w:tblGrid>
      <w:tr w:rsidR="00646F4F" w:rsidRPr="00735726" w14:paraId="36D58EF0" w14:textId="77777777" w:rsidTr="009A6ACA">
        <w:trPr>
          <w:trHeight w:val="60"/>
          <w:tblHeader/>
        </w:trPr>
        <w:tc>
          <w:tcPr>
            <w:tcW w:w="3036" w:type="dxa"/>
            <w:tcMar>
              <w:top w:w="11" w:type="dxa"/>
              <w:left w:w="57" w:type="dxa"/>
              <w:bottom w:w="11" w:type="dxa"/>
              <w:right w:w="57" w:type="dxa"/>
            </w:tcMar>
          </w:tcPr>
          <w:p w14:paraId="4D68A0A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087" w:type="dxa"/>
            <w:tcMar>
              <w:top w:w="11" w:type="dxa"/>
              <w:left w:w="57" w:type="dxa"/>
              <w:bottom w:w="11" w:type="dxa"/>
              <w:right w:w="57" w:type="dxa"/>
            </w:tcMar>
          </w:tcPr>
          <w:p w14:paraId="41E74D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Before non-underlying items</w:t>
            </w:r>
          </w:p>
          <w:p w14:paraId="618C99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9DFFAC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358" w:type="dxa"/>
            <w:tcMar>
              <w:top w:w="11" w:type="dxa"/>
              <w:left w:w="57" w:type="dxa"/>
              <w:bottom w:w="11" w:type="dxa"/>
              <w:right w:w="57" w:type="dxa"/>
            </w:tcMar>
          </w:tcPr>
          <w:p w14:paraId="50A4658E" w14:textId="35A7D7F4"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Non-underlying items</w:t>
            </w:r>
            <w:r w:rsidRPr="009A2CAE">
              <w:rPr>
                <w:rFonts w:ascii="Arial" w:eastAsia="Times New Roman" w:hAnsi="Arial" w:cs="DINOT-Light"/>
                <w:b/>
                <w:color w:val="000000"/>
                <w:sz w:val="18"/>
                <w:szCs w:val="18"/>
              </w:rPr>
              <w:t xml:space="preserve"> </w:t>
            </w:r>
            <w:r w:rsidR="001B2BD6" w:rsidRPr="009A2CAE">
              <w:rPr>
                <w:rFonts w:ascii="Arial" w:eastAsia="Times New Roman" w:hAnsi="Arial" w:cs="DINOT-Light"/>
                <w:b/>
                <w:color w:val="000000"/>
                <w:sz w:val="18"/>
                <w:szCs w:val="18"/>
              </w:rPr>
              <w:br/>
            </w:r>
            <w:r w:rsidRPr="009A2CAE">
              <w:rPr>
                <w:rFonts w:ascii="Arial" w:eastAsia="Times New Roman" w:hAnsi="Arial" w:cs="DINOT-Light"/>
                <w:b/>
                <w:color w:val="000000"/>
                <w:sz w:val="18"/>
                <w:szCs w:val="18"/>
              </w:rPr>
              <w:t xml:space="preserve">(note </w:t>
            </w:r>
            <w:r w:rsidR="00DB0609" w:rsidRPr="009A2CAE">
              <w:rPr>
                <w:rFonts w:ascii="Arial" w:eastAsia="Times New Roman" w:hAnsi="Arial" w:cs="DINOT-Light"/>
                <w:b/>
                <w:color w:val="000000"/>
                <w:sz w:val="18"/>
                <w:szCs w:val="18"/>
              </w:rPr>
              <w:t>6</w:t>
            </w:r>
            <w:r w:rsidRPr="009A2CAE">
              <w:rPr>
                <w:rFonts w:ascii="Arial" w:eastAsia="Times New Roman" w:hAnsi="Arial" w:cs="DINOT-Light"/>
                <w:b/>
                <w:color w:val="000000"/>
                <w:sz w:val="18"/>
                <w:szCs w:val="18"/>
              </w:rPr>
              <w:t>)</w:t>
            </w:r>
          </w:p>
          <w:p w14:paraId="4DD8DA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1341036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032" w:type="dxa"/>
            <w:gridSpan w:val="2"/>
            <w:tcMar>
              <w:top w:w="11" w:type="dxa"/>
              <w:left w:w="57" w:type="dxa"/>
              <w:bottom w:w="11" w:type="dxa"/>
              <w:right w:w="57" w:type="dxa"/>
            </w:tcMar>
          </w:tcPr>
          <w:p w14:paraId="402D7FC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2C8B056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6C5BF92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1F72C6E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1145757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76" w:type="dxa"/>
            <w:gridSpan w:val="2"/>
          </w:tcPr>
          <w:p w14:paraId="30B939FE" w14:textId="29F2A398"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Before </w:t>
            </w:r>
            <w:r w:rsidR="001B2BD6"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t>non-underlying items</w:t>
            </w:r>
          </w:p>
          <w:p w14:paraId="4CF2893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0F8792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337" w:type="dxa"/>
          </w:tcPr>
          <w:p w14:paraId="5F1E1B91" w14:textId="42047761"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Non-</w:t>
            </w:r>
            <w:r w:rsidR="001B2BD6"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t xml:space="preserve">underlying </w:t>
            </w:r>
            <w:r w:rsidR="001B2BD6"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t>items</w:t>
            </w:r>
            <w:r w:rsidR="001B2BD6"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t xml:space="preserve"> </w:t>
            </w:r>
            <w:r w:rsidRPr="009A2CAE">
              <w:rPr>
                <w:rFonts w:ascii="Arial" w:eastAsia="Times New Roman" w:hAnsi="Arial" w:cs="DINOT-Light"/>
                <w:b/>
                <w:color w:val="000000"/>
                <w:sz w:val="18"/>
                <w:szCs w:val="18"/>
              </w:rPr>
              <w:t xml:space="preserve">(note </w:t>
            </w:r>
            <w:r w:rsidR="00DB0609" w:rsidRPr="009A2CAE">
              <w:rPr>
                <w:rFonts w:ascii="Arial" w:eastAsia="Times New Roman" w:hAnsi="Arial" w:cs="DINOT-Light"/>
                <w:b/>
                <w:color w:val="000000"/>
                <w:sz w:val="18"/>
                <w:szCs w:val="18"/>
              </w:rPr>
              <w:t>6</w:t>
            </w:r>
            <w:r w:rsidRPr="009A2CAE">
              <w:rPr>
                <w:rFonts w:ascii="Arial" w:eastAsia="Times New Roman" w:hAnsi="Arial" w:cs="DINOT-Light"/>
                <w:b/>
                <w:color w:val="000000"/>
                <w:sz w:val="18"/>
                <w:szCs w:val="18"/>
              </w:rPr>
              <w:t>)</w:t>
            </w:r>
          </w:p>
          <w:p w14:paraId="211483F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B1738A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50" w:type="dxa"/>
            <w:tcMar>
              <w:top w:w="11" w:type="dxa"/>
              <w:left w:w="57" w:type="dxa"/>
              <w:bottom w:w="11" w:type="dxa"/>
              <w:right w:w="57" w:type="dxa"/>
            </w:tcMar>
          </w:tcPr>
          <w:p w14:paraId="34E43E2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3331F4F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1E8FF0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130030B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09590305"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2698AD36" w14:textId="77777777" w:rsidTr="009A6ACA">
        <w:trPr>
          <w:trHeight w:val="229"/>
        </w:trPr>
        <w:tc>
          <w:tcPr>
            <w:tcW w:w="3036" w:type="dxa"/>
            <w:tcMar>
              <w:top w:w="11" w:type="dxa"/>
              <w:left w:w="57" w:type="dxa"/>
              <w:bottom w:w="11" w:type="dxa"/>
              <w:right w:w="57" w:type="dxa"/>
            </w:tcMar>
          </w:tcPr>
          <w:p w14:paraId="39D968E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Analysis of charge/(credit) in year</w:t>
            </w:r>
          </w:p>
        </w:tc>
        <w:tc>
          <w:tcPr>
            <w:tcW w:w="1087" w:type="dxa"/>
            <w:tcMar>
              <w:top w:w="11" w:type="dxa"/>
              <w:left w:w="57" w:type="dxa"/>
              <w:bottom w:w="11" w:type="dxa"/>
              <w:right w:w="57" w:type="dxa"/>
            </w:tcMar>
          </w:tcPr>
          <w:p w14:paraId="649A25F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358" w:type="dxa"/>
            <w:tcMar>
              <w:top w:w="11" w:type="dxa"/>
              <w:left w:w="57" w:type="dxa"/>
              <w:bottom w:w="11" w:type="dxa"/>
              <w:right w:w="57" w:type="dxa"/>
            </w:tcMar>
          </w:tcPr>
          <w:p w14:paraId="08AFF3A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032" w:type="dxa"/>
            <w:gridSpan w:val="2"/>
            <w:tcMar>
              <w:top w:w="11" w:type="dxa"/>
              <w:left w:w="57" w:type="dxa"/>
              <w:bottom w:w="11" w:type="dxa"/>
              <w:right w:w="57" w:type="dxa"/>
            </w:tcMar>
          </w:tcPr>
          <w:p w14:paraId="61228B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76" w:type="dxa"/>
            <w:gridSpan w:val="2"/>
          </w:tcPr>
          <w:p w14:paraId="055A44A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337" w:type="dxa"/>
          </w:tcPr>
          <w:p w14:paraId="73080325"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50" w:type="dxa"/>
            <w:tcMar>
              <w:top w:w="11" w:type="dxa"/>
              <w:left w:w="57" w:type="dxa"/>
              <w:bottom w:w="11" w:type="dxa"/>
              <w:right w:w="57" w:type="dxa"/>
            </w:tcMar>
          </w:tcPr>
          <w:p w14:paraId="156D8BCB"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5C7D9FEE" w14:textId="77777777" w:rsidTr="009A6ACA">
        <w:trPr>
          <w:trHeight w:val="229"/>
        </w:trPr>
        <w:tc>
          <w:tcPr>
            <w:tcW w:w="3036" w:type="dxa"/>
            <w:tcMar>
              <w:top w:w="11" w:type="dxa"/>
              <w:left w:w="57" w:type="dxa"/>
              <w:bottom w:w="11" w:type="dxa"/>
              <w:right w:w="57" w:type="dxa"/>
            </w:tcMar>
          </w:tcPr>
          <w:p w14:paraId="4A39A88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i/>
                <w:color w:val="000000"/>
                <w:sz w:val="18"/>
                <w:szCs w:val="18"/>
              </w:rPr>
            </w:pPr>
          </w:p>
        </w:tc>
        <w:tc>
          <w:tcPr>
            <w:tcW w:w="1087" w:type="dxa"/>
            <w:tcMar>
              <w:top w:w="11" w:type="dxa"/>
              <w:left w:w="57" w:type="dxa"/>
              <w:bottom w:w="11" w:type="dxa"/>
              <w:right w:w="57" w:type="dxa"/>
            </w:tcMar>
          </w:tcPr>
          <w:p w14:paraId="210296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color w:val="000000"/>
                <w:sz w:val="18"/>
                <w:szCs w:val="18"/>
              </w:rPr>
            </w:pPr>
          </w:p>
        </w:tc>
        <w:tc>
          <w:tcPr>
            <w:tcW w:w="1358" w:type="dxa"/>
            <w:tcMar>
              <w:top w:w="11" w:type="dxa"/>
              <w:left w:w="57" w:type="dxa"/>
              <w:bottom w:w="11" w:type="dxa"/>
              <w:right w:w="57" w:type="dxa"/>
            </w:tcMar>
          </w:tcPr>
          <w:p w14:paraId="7B5E834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color w:val="000000"/>
                <w:sz w:val="18"/>
                <w:szCs w:val="18"/>
              </w:rPr>
            </w:pPr>
          </w:p>
        </w:tc>
        <w:tc>
          <w:tcPr>
            <w:tcW w:w="1032" w:type="dxa"/>
            <w:gridSpan w:val="2"/>
            <w:tcMar>
              <w:top w:w="11" w:type="dxa"/>
              <w:left w:w="57" w:type="dxa"/>
              <w:bottom w:w="11" w:type="dxa"/>
              <w:right w:w="57" w:type="dxa"/>
            </w:tcMar>
          </w:tcPr>
          <w:p w14:paraId="73DEAC0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color w:val="000000"/>
                <w:sz w:val="18"/>
                <w:szCs w:val="18"/>
              </w:rPr>
            </w:pPr>
          </w:p>
        </w:tc>
        <w:tc>
          <w:tcPr>
            <w:tcW w:w="1276" w:type="dxa"/>
            <w:gridSpan w:val="2"/>
          </w:tcPr>
          <w:p w14:paraId="407A912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color w:val="000000"/>
                <w:sz w:val="18"/>
                <w:szCs w:val="18"/>
              </w:rPr>
            </w:pPr>
          </w:p>
        </w:tc>
        <w:tc>
          <w:tcPr>
            <w:tcW w:w="1337" w:type="dxa"/>
          </w:tcPr>
          <w:p w14:paraId="391ECAA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color w:val="000000"/>
                <w:sz w:val="18"/>
                <w:szCs w:val="18"/>
              </w:rPr>
            </w:pPr>
          </w:p>
        </w:tc>
        <w:tc>
          <w:tcPr>
            <w:tcW w:w="950" w:type="dxa"/>
            <w:tcMar>
              <w:top w:w="11" w:type="dxa"/>
              <w:left w:w="57" w:type="dxa"/>
              <w:bottom w:w="11" w:type="dxa"/>
              <w:right w:w="57" w:type="dxa"/>
            </w:tcMar>
          </w:tcPr>
          <w:p w14:paraId="6D51217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i/>
                <w:color w:val="000000"/>
                <w:sz w:val="18"/>
                <w:szCs w:val="18"/>
              </w:rPr>
            </w:pPr>
          </w:p>
        </w:tc>
      </w:tr>
      <w:tr w:rsidR="00646F4F" w:rsidRPr="00735726" w14:paraId="02CB6D80" w14:textId="77777777" w:rsidTr="009A6ACA">
        <w:trPr>
          <w:trHeight w:val="229"/>
        </w:trPr>
        <w:tc>
          <w:tcPr>
            <w:tcW w:w="3036" w:type="dxa"/>
            <w:tcMar>
              <w:top w:w="11" w:type="dxa"/>
              <w:left w:w="57" w:type="dxa"/>
              <w:bottom w:w="11" w:type="dxa"/>
              <w:right w:w="57" w:type="dxa"/>
            </w:tcMar>
          </w:tcPr>
          <w:p w14:paraId="5A6D553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89" w:name="XMETag_b154fd05b42148a49da7254124226d2f" w:colFirst="1" w:colLast="1"/>
            <w:bookmarkStart w:id="490" w:name="XMETag_144a098408f043339652e82ca072279b" w:colFirst="2" w:colLast="2"/>
            <w:bookmarkStart w:id="491" w:name="XMETag_09da85f5a03c4021af56162cafcf0ffa" w:colFirst="3" w:colLast="3"/>
            <w:bookmarkStart w:id="492" w:name="XMETag_9278186ecef04f66a4100a3070d2a55e" w:colFirst="4" w:colLast="4"/>
            <w:bookmarkStart w:id="493" w:name="XMETag_b461f50465994237b68ec0c262592a49" w:colFirst="5" w:colLast="5"/>
            <w:bookmarkStart w:id="494" w:name="XMETag_9a6e49ab424a474399152dd098acbd39" w:colFirst="6" w:colLast="6"/>
            <w:r w:rsidRPr="00735726">
              <w:rPr>
                <w:rFonts w:ascii="Arial" w:eastAsia="Times New Roman" w:hAnsi="Arial" w:cs="DINOT-Light"/>
                <w:color w:val="000000"/>
                <w:sz w:val="18"/>
                <w:szCs w:val="18"/>
              </w:rPr>
              <w:t>Current year tax charge/(credit)</w:t>
            </w:r>
          </w:p>
        </w:tc>
        <w:tc>
          <w:tcPr>
            <w:tcW w:w="1087" w:type="dxa"/>
            <w:tcMar>
              <w:top w:w="11" w:type="dxa"/>
              <w:left w:w="57" w:type="dxa"/>
              <w:bottom w:w="11" w:type="dxa"/>
              <w:right w:w="57" w:type="dxa"/>
            </w:tcMar>
          </w:tcPr>
          <w:p w14:paraId="2F6BCE9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w:t>
            </w:r>
          </w:p>
        </w:tc>
        <w:tc>
          <w:tcPr>
            <w:tcW w:w="1358" w:type="dxa"/>
            <w:tcMar>
              <w:top w:w="11" w:type="dxa"/>
              <w:left w:w="57" w:type="dxa"/>
              <w:bottom w:w="11" w:type="dxa"/>
              <w:right w:w="57" w:type="dxa"/>
            </w:tcMar>
          </w:tcPr>
          <w:p w14:paraId="55E150F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032" w:type="dxa"/>
            <w:gridSpan w:val="2"/>
            <w:tcMar>
              <w:top w:w="11" w:type="dxa"/>
              <w:left w:w="57" w:type="dxa"/>
              <w:bottom w:w="11" w:type="dxa"/>
              <w:right w:w="57" w:type="dxa"/>
            </w:tcMar>
          </w:tcPr>
          <w:p w14:paraId="3FED0DD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w:t>
            </w:r>
          </w:p>
        </w:tc>
        <w:tc>
          <w:tcPr>
            <w:tcW w:w="1276" w:type="dxa"/>
            <w:gridSpan w:val="2"/>
          </w:tcPr>
          <w:p w14:paraId="0437FA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w:t>
            </w:r>
          </w:p>
        </w:tc>
        <w:tc>
          <w:tcPr>
            <w:tcW w:w="1337" w:type="dxa"/>
          </w:tcPr>
          <w:p w14:paraId="72861F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50" w:type="dxa"/>
            <w:tcMar>
              <w:top w:w="11" w:type="dxa"/>
              <w:left w:w="57" w:type="dxa"/>
              <w:bottom w:w="11" w:type="dxa"/>
              <w:right w:w="57" w:type="dxa"/>
            </w:tcMar>
          </w:tcPr>
          <w:p w14:paraId="1E822B7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w:t>
            </w:r>
          </w:p>
        </w:tc>
      </w:tr>
      <w:tr w:rsidR="00646F4F" w:rsidRPr="00735726" w14:paraId="160CAA92" w14:textId="77777777" w:rsidTr="009A6ACA">
        <w:trPr>
          <w:trHeight w:val="229"/>
        </w:trPr>
        <w:tc>
          <w:tcPr>
            <w:tcW w:w="3036" w:type="dxa"/>
            <w:tcMar>
              <w:top w:w="11" w:type="dxa"/>
              <w:left w:w="57" w:type="dxa"/>
              <w:bottom w:w="11" w:type="dxa"/>
              <w:right w:w="57" w:type="dxa"/>
            </w:tcMar>
          </w:tcPr>
          <w:p w14:paraId="51346A1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495" w:name="XMETag_12066924bb8f482295b2a823390bc53f" w:colFirst="1" w:colLast="1"/>
            <w:bookmarkStart w:id="496" w:name="XMETag_149abe0ac26a4f7e927021a51b678300" w:colFirst="2" w:colLast="2"/>
            <w:bookmarkStart w:id="497" w:name="XMETag_ffc9d449154c4b4a9faefd1a6398da84" w:colFirst="3" w:colLast="3"/>
            <w:bookmarkStart w:id="498" w:name="XMETag_24bde39e9496483ba8c11c936b161182" w:colFirst="4" w:colLast="4"/>
            <w:bookmarkStart w:id="499" w:name="XMETag_1d8111ca31ba480caa89597f895cbc66" w:colFirst="5" w:colLast="5"/>
            <w:bookmarkStart w:id="500" w:name="XMETag_bd74b633fb4f4323a0c694966012a679" w:colFirst="6" w:colLast="6"/>
            <w:bookmarkEnd w:id="489"/>
            <w:bookmarkEnd w:id="490"/>
            <w:bookmarkEnd w:id="491"/>
            <w:bookmarkEnd w:id="492"/>
            <w:bookmarkEnd w:id="493"/>
            <w:bookmarkEnd w:id="494"/>
            <w:r w:rsidRPr="00735726">
              <w:rPr>
                <w:rFonts w:ascii="Arial" w:eastAsia="Times New Roman" w:hAnsi="Arial" w:cs="DINOT-Light"/>
                <w:color w:val="000000"/>
                <w:sz w:val="18"/>
                <w:szCs w:val="18"/>
              </w:rPr>
              <w:t>Deferred tax charge/(credit)</w:t>
            </w:r>
          </w:p>
        </w:tc>
        <w:tc>
          <w:tcPr>
            <w:tcW w:w="1087" w:type="dxa"/>
            <w:tcMar>
              <w:top w:w="11" w:type="dxa"/>
              <w:left w:w="57" w:type="dxa"/>
              <w:bottom w:w="11" w:type="dxa"/>
              <w:right w:w="57" w:type="dxa"/>
            </w:tcMar>
          </w:tcPr>
          <w:p w14:paraId="62D7D79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33.3</w:t>
            </w:r>
          </w:p>
        </w:tc>
        <w:tc>
          <w:tcPr>
            <w:tcW w:w="1358" w:type="dxa"/>
            <w:tcMar>
              <w:top w:w="11" w:type="dxa"/>
              <w:left w:w="57" w:type="dxa"/>
              <w:bottom w:w="11" w:type="dxa"/>
              <w:right w:w="57" w:type="dxa"/>
            </w:tcMar>
          </w:tcPr>
          <w:p w14:paraId="0D76B2C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c>
          <w:tcPr>
            <w:tcW w:w="1032" w:type="dxa"/>
            <w:gridSpan w:val="2"/>
            <w:tcMar>
              <w:top w:w="11" w:type="dxa"/>
              <w:left w:w="57" w:type="dxa"/>
              <w:bottom w:w="11" w:type="dxa"/>
              <w:right w:w="57" w:type="dxa"/>
            </w:tcMar>
          </w:tcPr>
          <w:p w14:paraId="1DB4ED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30.3</w:t>
            </w:r>
          </w:p>
        </w:tc>
        <w:tc>
          <w:tcPr>
            <w:tcW w:w="1276" w:type="dxa"/>
            <w:gridSpan w:val="2"/>
          </w:tcPr>
          <w:p w14:paraId="40FAFD3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c>
          <w:tcPr>
            <w:tcW w:w="1337" w:type="dxa"/>
          </w:tcPr>
          <w:p w14:paraId="77D0C6B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(8.1)</w:t>
            </w:r>
          </w:p>
        </w:tc>
        <w:tc>
          <w:tcPr>
            <w:tcW w:w="950" w:type="dxa"/>
            <w:tcMar>
              <w:top w:w="11" w:type="dxa"/>
              <w:left w:w="57" w:type="dxa"/>
              <w:bottom w:w="11" w:type="dxa"/>
              <w:right w:w="57" w:type="dxa"/>
            </w:tcMar>
          </w:tcPr>
          <w:p w14:paraId="1F658E3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(11.1)</w:t>
            </w:r>
          </w:p>
        </w:tc>
      </w:tr>
      <w:tr w:rsidR="00646F4F" w:rsidRPr="00735726" w14:paraId="3424ABEA" w14:textId="77777777" w:rsidTr="009A6ACA">
        <w:trPr>
          <w:trHeight w:val="229"/>
        </w:trPr>
        <w:tc>
          <w:tcPr>
            <w:tcW w:w="3036" w:type="dxa"/>
            <w:tcMar>
              <w:top w:w="11" w:type="dxa"/>
              <w:left w:w="57" w:type="dxa"/>
              <w:bottom w:w="11" w:type="dxa"/>
              <w:right w:w="57" w:type="dxa"/>
            </w:tcMar>
          </w:tcPr>
          <w:p w14:paraId="7EF8626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501" w:name="XMETag_ea7739a5958c4b94b99e229c3d20e1a3" w:colFirst="1" w:colLast="1"/>
            <w:bookmarkStart w:id="502" w:name="XMETag_744de665a3ca430db341676a8d8cd7e8" w:colFirst="2" w:colLast="2"/>
            <w:bookmarkStart w:id="503" w:name="XMETag_a49726082add4a44b12461c123446ff2" w:colFirst="3" w:colLast="3"/>
            <w:bookmarkStart w:id="504" w:name="XMETag_fd35d249c3ed4fbd8d01d39f65759e73" w:colFirst="4" w:colLast="4"/>
            <w:bookmarkStart w:id="505" w:name="XMETag_9a93c4ceda1b48f1a754d0ffe2a9c74d" w:colFirst="5" w:colLast="5"/>
            <w:bookmarkStart w:id="506" w:name="XMETag_34d2223fc408404783c6149041ec3ca2" w:colFirst="6" w:colLast="6"/>
            <w:bookmarkEnd w:id="495"/>
            <w:bookmarkEnd w:id="496"/>
            <w:bookmarkEnd w:id="497"/>
            <w:bookmarkEnd w:id="498"/>
            <w:bookmarkEnd w:id="499"/>
            <w:bookmarkEnd w:id="500"/>
            <w:r w:rsidRPr="00735726">
              <w:rPr>
                <w:rFonts w:ascii="Arial" w:eastAsia="Times New Roman" w:hAnsi="Arial" w:cs="DINOT-Light"/>
                <w:b/>
                <w:color w:val="000000"/>
                <w:sz w:val="18"/>
                <w:szCs w:val="18"/>
              </w:rPr>
              <w:t>Tax charge/(</w:t>
            </w:r>
            <w:r w:rsidRPr="00735726">
              <w:rPr>
                <w:rFonts w:ascii="Arial" w:eastAsia="Times New Roman" w:hAnsi="Arial" w:cs="DINOT-Light"/>
                <w:b/>
                <w:bCs/>
                <w:color w:val="000000"/>
                <w:sz w:val="18"/>
                <w:szCs w:val="18"/>
              </w:rPr>
              <w:t>credit)</w:t>
            </w:r>
            <w:r w:rsidRPr="00735726">
              <w:rPr>
                <w:rFonts w:ascii="Arial" w:eastAsia="Times New Roman" w:hAnsi="Arial" w:cs="DINOT-Light"/>
                <w:b/>
                <w:color w:val="000000"/>
                <w:sz w:val="18"/>
                <w:szCs w:val="18"/>
              </w:rPr>
              <w:t xml:space="preserve"> for year</w:t>
            </w:r>
          </w:p>
        </w:tc>
        <w:tc>
          <w:tcPr>
            <w:tcW w:w="1087" w:type="dxa"/>
            <w:tcBorders>
              <w:top w:val="single" w:sz="4" w:space="0" w:color="auto"/>
              <w:bottom w:val="single" w:sz="4" w:space="0" w:color="auto"/>
            </w:tcBorders>
            <w:tcMar>
              <w:top w:w="11" w:type="dxa"/>
              <w:left w:w="57" w:type="dxa"/>
              <w:bottom w:w="11" w:type="dxa"/>
              <w:right w:w="57" w:type="dxa"/>
            </w:tcMar>
          </w:tcPr>
          <w:p w14:paraId="19E4E3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36.5</w:t>
            </w:r>
          </w:p>
        </w:tc>
        <w:tc>
          <w:tcPr>
            <w:tcW w:w="1358" w:type="dxa"/>
            <w:tcBorders>
              <w:top w:val="single" w:sz="4" w:space="0" w:color="auto"/>
              <w:bottom w:val="single" w:sz="4" w:space="0" w:color="auto"/>
            </w:tcBorders>
            <w:tcMar>
              <w:top w:w="11" w:type="dxa"/>
              <w:left w:w="57" w:type="dxa"/>
              <w:bottom w:w="11" w:type="dxa"/>
              <w:right w:w="57" w:type="dxa"/>
            </w:tcMar>
          </w:tcPr>
          <w:p w14:paraId="7CE7B3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(3.0)</w:t>
            </w:r>
          </w:p>
        </w:tc>
        <w:tc>
          <w:tcPr>
            <w:tcW w:w="1032" w:type="dxa"/>
            <w:gridSpan w:val="2"/>
            <w:tcBorders>
              <w:top w:val="single" w:sz="4" w:space="0" w:color="auto"/>
              <w:bottom w:val="single" w:sz="4" w:space="0" w:color="auto"/>
            </w:tcBorders>
            <w:tcMar>
              <w:top w:w="11" w:type="dxa"/>
              <w:left w:w="57" w:type="dxa"/>
              <w:bottom w:w="11" w:type="dxa"/>
              <w:right w:w="57" w:type="dxa"/>
            </w:tcMar>
          </w:tcPr>
          <w:p w14:paraId="5FD2BC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33.5</w:t>
            </w:r>
          </w:p>
        </w:tc>
        <w:tc>
          <w:tcPr>
            <w:tcW w:w="1276" w:type="dxa"/>
            <w:gridSpan w:val="2"/>
            <w:tcBorders>
              <w:top w:val="single" w:sz="4" w:space="0" w:color="auto"/>
              <w:bottom w:val="single" w:sz="4" w:space="0" w:color="auto"/>
            </w:tcBorders>
          </w:tcPr>
          <w:p w14:paraId="328E3A0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(4.5)</w:t>
            </w:r>
          </w:p>
        </w:tc>
        <w:tc>
          <w:tcPr>
            <w:tcW w:w="1337" w:type="dxa"/>
            <w:tcBorders>
              <w:top w:val="single" w:sz="4" w:space="0" w:color="auto"/>
              <w:bottom w:val="single" w:sz="4" w:space="0" w:color="auto"/>
            </w:tcBorders>
          </w:tcPr>
          <w:p w14:paraId="1554DB8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(8.1)</w:t>
            </w:r>
          </w:p>
        </w:tc>
        <w:tc>
          <w:tcPr>
            <w:tcW w:w="950" w:type="dxa"/>
            <w:tcBorders>
              <w:top w:val="single" w:sz="4" w:space="0" w:color="auto"/>
              <w:bottom w:val="single" w:sz="4" w:space="0" w:color="auto"/>
            </w:tcBorders>
            <w:tcMar>
              <w:top w:w="11" w:type="dxa"/>
              <w:left w:w="57" w:type="dxa"/>
              <w:bottom w:w="11" w:type="dxa"/>
              <w:right w:w="57" w:type="dxa"/>
            </w:tcMar>
          </w:tcPr>
          <w:p w14:paraId="7376EB1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(12.6)</w:t>
            </w:r>
          </w:p>
        </w:tc>
      </w:tr>
      <w:bookmarkEnd w:id="501"/>
      <w:bookmarkEnd w:id="502"/>
      <w:bookmarkEnd w:id="503"/>
      <w:bookmarkEnd w:id="504"/>
      <w:bookmarkEnd w:id="505"/>
      <w:bookmarkEnd w:id="506"/>
      <w:tr w:rsidR="00646F4F" w:rsidRPr="00735726" w14:paraId="6905DB7A" w14:textId="77777777" w:rsidTr="00CE19B2">
        <w:trPr>
          <w:trHeight w:val="229"/>
        </w:trPr>
        <w:tc>
          <w:tcPr>
            <w:tcW w:w="3036" w:type="dxa"/>
            <w:tcMar>
              <w:top w:w="11" w:type="dxa"/>
              <w:left w:w="57" w:type="dxa"/>
              <w:bottom w:w="11" w:type="dxa"/>
              <w:right w:w="57" w:type="dxa"/>
            </w:tcMar>
          </w:tcPr>
          <w:p w14:paraId="7DE4077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087" w:type="dxa"/>
            <w:tcBorders>
              <w:top w:val="single" w:sz="4" w:space="0" w:color="auto"/>
            </w:tcBorders>
            <w:tcMar>
              <w:top w:w="11" w:type="dxa"/>
              <w:left w:w="57" w:type="dxa"/>
              <w:bottom w:w="11" w:type="dxa"/>
              <w:right w:w="57" w:type="dxa"/>
            </w:tcMar>
          </w:tcPr>
          <w:p w14:paraId="2FFE9F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358" w:type="dxa"/>
            <w:tcBorders>
              <w:top w:val="single" w:sz="4" w:space="0" w:color="auto"/>
            </w:tcBorders>
            <w:tcMar>
              <w:top w:w="11" w:type="dxa"/>
              <w:left w:w="57" w:type="dxa"/>
              <w:bottom w:w="11" w:type="dxa"/>
              <w:right w:w="57" w:type="dxa"/>
            </w:tcMar>
          </w:tcPr>
          <w:p w14:paraId="563F40E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815" w:type="dxa"/>
            <w:tcBorders>
              <w:top w:val="single" w:sz="4" w:space="0" w:color="auto"/>
            </w:tcBorders>
            <w:tcMar>
              <w:top w:w="11" w:type="dxa"/>
              <w:left w:w="57" w:type="dxa"/>
              <w:bottom w:w="11" w:type="dxa"/>
              <w:right w:w="57" w:type="dxa"/>
            </w:tcMar>
          </w:tcPr>
          <w:p w14:paraId="53A9AE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23" w:type="dxa"/>
            <w:gridSpan w:val="2"/>
            <w:tcBorders>
              <w:top w:val="single" w:sz="4" w:space="0" w:color="auto"/>
            </w:tcBorders>
          </w:tcPr>
          <w:p w14:paraId="2F888F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607" w:type="dxa"/>
            <w:gridSpan w:val="2"/>
            <w:tcBorders>
              <w:top w:val="single" w:sz="4" w:space="0" w:color="auto"/>
            </w:tcBorders>
          </w:tcPr>
          <w:p w14:paraId="2502B2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50" w:type="dxa"/>
            <w:tcBorders>
              <w:top w:val="single" w:sz="4" w:space="0" w:color="auto"/>
            </w:tcBorders>
            <w:tcMar>
              <w:top w:w="11" w:type="dxa"/>
              <w:left w:w="57" w:type="dxa"/>
              <w:bottom w:w="11" w:type="dxa"/>
              <w:right w:w="57" w:type="dxa"/>
            </w:tcMar>
          </w:tcPr>
          <w:p w14:paraId="737EF83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bl>
    <w:p w14:paraId="20C1D4D4" w14:textId="77777777" w:rsidR="00646F4F" w:rsidRPr="00735726" w:rsidRDefault="00646F4F" w:rsidP="00646F4F">
      <w:pPr>
        <w:widowControl w:val="0"/>
        <w:suppressAutoHyphens/>
        <w:autoSpaceDE w:val="0"/>
        <w:autoSpaceDN w:val="0"/>
        <w:adjustRightInd w:val="0"/>
        <w:spacing w:after="0"/>
        <w:textAlignment w:val="center"/>
        <w:outlineLvl w:val="0"/>
        <w:rPr>
          <w:rFonts w:ascii="Arial" w:eastAsia="Times New Roman" w:hAnsi="Arial" w:cs="Arial"/>
          <w:color w:val="000000"/>
          <w:sz w:val="18"/>
          <w:szCs w:val="18"/>
        </w:rPr>
      </w:pPr>
      <w:bookmarkStart w:id="507" w:name="XMETag_3f47598bd0984e8da1ec39d0e0c32314"/>
      <w:r w:rsidRPr="00735726">
        <w:rPr>
          <w:rFonts w:ascii="Arial" w:eastAsia="Times New Roman" w:hAnsi="Arial" w:cs="Arial"/>
          <w:color w:val="000000"/>
          <w:sz w:val="18"/>
          <w:szCs w:val="18"/>
        </w:rPr>
        <w:t xml:space="preserve">UK Corporation tax is calculated </w:t>
      </w:r>
      <w:r w:rsidRPr="00735726">
        <w:rPr>
          <w:rFonts w:ascii="Arial" w:eastAsia="Times New Roman" w:hAnsi="Arial" w:cs="Arial"/>
          <w:sz w:val="18"/>
          <w:szCs w:val="18"/>
        </w:rPr>
        <w:t>at 25% (2025: 25%)</w:t>
      </w:r>
      <w:r w:rsidRPr="00735726">
        <w:rPr>
          <w:rFonts w:ascii="Arial" w:eastAsia="Times New Roman" w:hAnsi="Arial" w:cs="Arial"/>
          <w:color w:val="000000"/>
          <w:sz w:val="18"/>
          <w:szCs w:val="18"/>
        </w:rPr>
        <w:t xml:space="preserve"> of the estimated assessable profit for the year.</w:t>
      </w:r>
      <w:bookmarkEnd w:id="507"/>
    </w:p>
    <w:p w14:paraId="470E8602" w14:textId="77777777" w:rsidR="00646F4F" w:rsidRPr="00735726" w:rsidRDefault="00646F4F" w:rsidP="00646F4F">
      <w:pPr>
        <w:widowControl w:val="0"/>
        <w:tabs>
          <w:tab w:val="left" w:pos="340"/>
        </w:tabs>
        <w:suppressAutoHyphens/>
        <w:autoSpaceDE w:val="0"/>
        <w:autoSpaceDN w:val="0"/>
        <w:adjustRightInd w:val="0"/>
        <w:spacing w:after="0"/>
        <w:textAlignment w:val="center"/>
        <w:outlineLvl w:val="0"/>
        <w:rPr>
          <w:rFonts w:ascii="Arial" w:eastAsia="Times New Roman" w:hAnsi="Arial" w:cs="Arial"/>
          <w:b/>
          <w:bCs/>
          <w:caps/>
          <w:color w:val="000000"/>
          <w:sz w:val="18"/>
          <w:szCs w:val="18"/>
        </w:rPr>
      </w:pPr>
    </w:p>
    <w:p w14:paraId="1337CF06" w14:textId="77777777" w:rsidR="00646F4F" w:rsidRPr="009A2CAE" w:rsidRDefault="00646F4F" w:rsidP="00646F4F">
      <w:pPr>
        <w:rPr>
          <w:rFonts w:ascii="Arial" w:eastAsia="Times New Roman" w:hAnsi="Arial" w:cs="Arial"/>
          <w:color w:val="000000"/>
          <w:sz w:val="18"/>
          <w:szCs w:val="18"/>
        </w:rPr>
      </w:pPr>
      <w:r w:rsidRPr="00735726">
        <w:rPr>
          <w:rFonts w:ascii="Arial" w:eastAsia="Times New Roman" w:hAnsi="Arial" w:cs="Arial"/>
          <w:color w:val="000000"/>
          <w:sz w:val="18"/>
          <w:szCs w:val="18"/>
        </w:rPr>
        <w:t>UK corporation tax is stated after a charge relating to prior year current tax of £3.1 million (2025: £0.2 million credit) and a prior year deferred tax credit of £2.7 million (2025: £2.0 million charge). These items arise following the recording of the return to provision adjustments following the submission of the tax computations for the year ended 31 March 2025 to HMRC ahead of the 31 March 2026 filing deadline.</w:t>
      </w:r>
    </w:p>
    <w:p w14:paraId="5F0DD9E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 xml:space="preserve">The tax for the year differs from the theoretical amount that would arise using the standard rate of corporation tax in </w:t>
      </w:r>
      <w:r w:rsidRPr="00735726">
        <w:rPr>
          <w:rFonts w:ascii="Arial" w:eastAsia="Times New Roman" w:hAnsi="Arial" w:cs="Arial"/>
          <w:sz w:val="18"/>
          <w:szCs w:val="18"/>
        </w:rPr>
        <w:t>the UK of 25%</w:t>
      </w:r>
      <w:r w:rsidRPr="00735726">
        <w:rPr>
          <w:rFonts w:ascii="Arial" w:eastAsia="Times New Roman" w:hAnsi="Arial" w:cs="Arial"/>
          <w:color w:val="000000"/>
          <w:sz w:val="18"/>
          <w:szCs w:val="18"/>
        </w:rPr>
        <w:t xml:space="preserve"> (2025: 25%). The differences are explained below:</w:t>
      </w:r>
    </w:p>
    <w:p w14:paraId="316DE3D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p>
    <w:tbl>
      <w:tblPr>
        <w:tblW w:w="9817" w:type="dxa"/>
        <w:tblInd w:w="8" w:type="dxa"/>
        <w:tblLayout w:type="fixed"/>
        <w:tblCellMar>
          <w:left w:w="0" w:type="dxa"/>
          <w:right w:w="0" w:type="dxa"/>
        </w:tblCellMar>
        <w:tblLook w:val="0000" w:firstRow="0" w:lastRow="0" w:firstColumn="0" w:lastColumn="0" w:noHBand="0" w:noVBand="0"/>
      </w:tblPr>
      <w:tblGrid>
        <w:gridCol w:w="7728"/>
        <w:gridCol w:w="956"/>
        <w:gridCol w:w="1133"/>
      </w:tblGrid>
      <w:tr w:rsidR="00646F4F" w:rsidRPr="00735726" w14:paraId="31091C5F" w14:textId="77777777" w:rsidTr="00CE19B2">
        <w:trPr>
          <w:trHeight w:val="57"/>
          <w:tblHeader/>
        </w:trPr>
        <w:tc>
          <w:tcPr>
            <w:tcW w:w="7728" w:type="dxa"/>
            <w:tcMar>
              <w:top w:w="11" w:type="dxa"/>
              <w:left w:w="57" w:type="dxa"/>
              <w:bottom w:w="11" w:type="dxa"/>
              <w:right w:w="57" w:type="dxa"/>
            </w:tcMar>
          </w:tcPr>
          <w:p w14:paraId="5FC97B6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Reconciliation of total tax charge/(credit)</w:t>
            </w:r>
          </w:p>
          <w:p w14:paraId="4F90EEC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b/>
                <w:color w:val="000000"/>
                <w:sz w:val="18"/>
                <w:szCs w:val="18"/>
              </w:rPr>
            </w:pPr>
          </w:p>
        </w:tc>
        <w:tc>
          <w:tcPr>
            <w:tcW w:w="956" w:type="dxa"/>
            <w:tcMar>
              <w:top w:w="11" w:type="dxa"/>
              <w:left w:w="57" w:type="dxa"/>
              <w:bottom w:w="11" w:type="dxa"/>
              <w:right w:w="57" w:type="dxa"/>
            </w:tcMar>
          </w:tcPr>
          <w:p w14:paraId="0624E42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2026</w:t>
            </w:r>
          </w:p>
          <w:p w14:paraId="50520E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£m</w:t>
            </w:r>
          </w:p>
        </w:tc>
        <w:tc>
          <w:tcPr>
            <w:tcW w:w="1133" w:type="dxa"/>
          </w:tcPr>
          <w:p w14:paraId="77155FF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2025</w:t>
            </w:r>
          </w:p>
          <w:p w14:paraId="0A105E9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£m</w:t>
            </w:r>
          </w:p>
        </w:tc>
      </w:tr>
      <w:tr w:rsidR="00646F4F" w:rsidRPr="00735726" w14:paraId="6E8A685F" w14:textId="77777777" w:rsidTr="00CE19B2">
        <w:trPr>
          <w:trHeight w:val="217"/>
        </w:trPr>
        <w:tc>
          <w:tcPr>
            <w:tcW w:w="7728" w:type="dxa"/>
            <w:tcMar>
              <w:top w:w="11" w:type="dxa"/>
              <w:left w:w="57" w:type="dxa"/>
              <w:bottom w:w="11" w:type="dxa"/>
              <w:right w:w="57" w:type="dxa"/>
            </w:tcMar>
          </w:tcPr>
          <w:p w14:paraId="459242B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bookmarkStart w:id="508" w:name="XMETag_ee031e06303041e095b39b9e29280c45" w:colFirst="1" w:colLast="1"/>
            <w:bookmarkStart w:id="509" w:name="XMETag_d10b718a471c49f2aea1901f25868db5" w:colFirst="2" w:colLast="2"/>
            <w:r w:rsidRPr="00735726">
              <w:rPr>
                <w:rFonts w:ascii="Arial" w:eastAsia="Times New Roman" w:hAnsi="Arial" w:cs="Arial"/>
                <w:color w:val="000000"/>
                <w:sz w:val="18"/>
                <w:szCs w:val="18"/>
              </w:rPr>
              <w:t xml:space="preserve">Profit/(loss) before tax </w:t>
            </w:r>
          </w:p>
        </w:tc>
        <w:tc>
          <w:tcPr>
            <w:tcW w:w="956" w:type="dxa"/>
            <w:tcMar>
              <w:top w:w="11" w:type="dxa"/>
              <w:left w:w="57" w:type="dxa"/>
              <w:bottom w:w="11" w:type="dxa"/>
              <w:right w:w="57" w:type="dxa"/>
            </w:tcMar>
          </w:tcPr>
          <w:p w14:paraId="1716A7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124.9</w:t>
            </w:r>
          </w:p>
        </w:tc>
        <w:tc>
          <w:tcPr>
            <w:tcW w:w="1133" w:type="dxa"/>
          </w:tcPr>
          <w:p w14:paraId="5B2D28F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(61.2)</w:t>
            </w:r>
          </w:p>
        </w:tc>
      </w:tr>
      <w:bookmarkEnd w:id="508"/>
      <w:bookmarkEnd w:id="509"/>
      <w:tr w:rsidR="00646F4F" w:rsidRPr="00735726" w14:paraId="3FB7C568" w14:textId="77777777" w:rsidTr="00CE19B2">
        <w:trPr>
          <w:trHeight w:val="217"/>
        </w:trPr>
        <w:tc>
          <w:tcPr>
            <w:tcW w:w="7728" w:type="dxa"/>
            <w:tcMar>
              <w:top w:w="11" w:type="dxa"/>
              <w:left w:w="57" w:type="dxa"/>
              <w:bottom w:w="11" w:type="dxa"/>
              <w:right w:w="57" w:type="dxa"/>
            </w:tcMar>
          </w:tcPr>
          <w:p w14:paraId="4ED2E50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p>
        </w:tc>
        <w:tc>
          <w:tcPr>
            <w:tcW w:w="956" w:type="dxa"/>
            <w:tcMar>
              <w:top w:w="11" w:type="dxa"/>
              <w:left w:w="57" w:type="dxa"/>
              <w:bottom w:w="11" w:type="dxa"/>
              <w:right w:w="57" w:type="dxa"/>
            </w:tcMar>
          </w:tcPr>
          <w:p w14:paraId="0BA8C8D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p>
        </w:tc>
        <w:tc>
          <w:tcPr>
            <w:tcW w:w="1133" w:type="dxa"/>
          </w:tcPr>
          <w:p w14:paraId="652E63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p>
        </w:tc>
      </w:tr>
      <w:tr w:rsidR="00646F4F" w:rsidRPr="00735726" w14:paraId="134D4EF3" w14:textId="77777777" w:rsidTr="00CE19B2">
        <w:trPr>
          <w:trHeight w:val="217"/>
        </w:trPr>
        <w:tc>
          <w:tcPr>
            <w:tcW w:w="7728" w:type="dxa"/>
            <w:tcMar>
              <w:top w:w="11" w:type="dxa"/>
              <w:left w:w="57" w:type="dxa"/>
              <w:bottom w:w="11" w:type="dxa"/>
              <w:right w:w="57" w:type="dxa"/>
            </w:tcMar>
          </w:tcPr>
          <w:p w14:paraId="081CEC0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bookmarkStart w:id="510" w:name="XMETag_2a67f96dc5834420a695cba51ed073d8" w:colFirst="1" w:colLast="1"/>
            <w:bookmarkStart w:id="511" w:name="XMETag_ca1a0ad767cb4ef5841388d9d7e93a36" w:colFirst="2" w:colLast="2"/>
            <w:r w:rsidRPr="00735726">
              <w:rPr>
                <w:rFonts w:ascii="Arial" w:eastAsia="Times New Roman" w:hAnsi="Arial" w:cs="Arial"/>
                <w:color w:val="000000"/>
                <w:sz w:val="18"/>
                <w:szCs w:val="18"/>
              </w:rPr>
              <w:t xml:space="preserve">Profit/(loss) before tax multiplied by the standard rate of corporation tax in the UK of 25% (2025: 25%) </w:t>
            </w:r>
          </w:p>
        </w:tc>
        <w:tc>
          <w:tcPr>
            <w:tcW w:w="956" w:type="dxa"/>
            <w:tcMar>
              <w:top w:w="11" w:type="dxa"/>
              <w:left w:w="57" w:type="dxa"/>
              <w:bottom w:w="11" w:type="dxa"/>
              <w:right w:w="57" w:type="dxa"/>
            </w:tcMar>
          </w:tcPr>
          <w:p w14:paraId="589728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31.2</w:t>
            </w:r>
          </w:p>
        </w:tc>
        <w:tc>
          <w:tcPr>
            <w:tcW w:w="1133" w:type="dxa"/>
          </w:tcPr>
          <w:p w14:paraId="3A0CAC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(15.3)</w:t>
            </w:r>
          </w:p>
        </w:tc>
      </w:tr>
      <w:bookmarkEnd w:id="510"/>
      <w:bookmarkEnd w:id="511"/>
      <w:tr w:rsidR="00646F4F" w:rsidRPr="00735726" w14:paraId="1C2B8999" w14:textId="77777777" w:rsidTr="00CE19B2">
        <w:trPr>
          <w:trHeight w:val="217"/>
        </w:trPr>
        <w:tc>
          <w:tcPr>
            <w:tcW w:w="7728" w:type="dxa"/>
            <w:tcMar>
              <w:top w:w="11" w:type="dxa"/>
              <w:left w:w="57" w:type="dxa"/>
              <w:bottom w:w="11" w:type="dxa"/>
              <w:right w:w="57" w:type="dxa"/>
            </w:tcMar>
          </w:tcPr>
          <w:p w14:paraId="17DA6F0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i/>
                <w:color w:val="000000"/>
                <w:sz w:val="18"/>
                <w:szCs w:val="18"/>
              </w:rPr>
            </w:pPr>
            <w:r w:rsidRPr="00735726">
              <w:rPr>
                <w:rFonts w:ascii="Arial" w:eastAsia="Times New Roman" w:hAnsi="Arial" w:cs="Arial"/>
                <w:i/>
                <w:color w:val="000000"/>
                <w:sz w:val="18"/>
                <w:szCs w:val="18"/>
              </w:rPr>
              <w:t xml:space="preserve">Effects of: </w:t>
            </w:r>
          </w:p>
        </w:tc>
        <w:tc>
          <w:tcPr>
            <w:tcW w:w="956" w:type="dxa"/>
            <w:tcMar>
              <w:top w:w="11" w:type="dxa"/>
              <w:left w:w="57" w:type="dxa"/>
              <w:bottom w:w="11" w:type="dxa"/>
              <w:right w:w="57" w:type="dxa"/>
            </w:tcMar>
          </w:tcPr>
          <w:p w14:paraId="31E26CE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p>
        </w:tc>
        <w:tc>
          <w:tcPr>
            <w:tcW w:w="1133" w:type="dxa"/>
          </w:tcPr>
          <w:p w14:paraId="5679DD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p>
        </w:tc>
      </w:tr>
      <w:tr w:rsidR="00646F4F" w:rsidRPr="00735726" w14:paraId="0938AD16" w14:textId="77777777" w:rsidTr="00CE19B2">
        <w:trPr>
          <w:trHeight w:val="217"/>
        </w:trPr>
        <w:tc>
          <w:tcPr>
            <w:tcW w:w="7728" w:type="dxa"/>
            <w:tcMar>
              <w:top w:w="11" w:type="dxa"/>
              <w:left w:w="57" w:type="dxa"/>
              <w:bottom w:w="11" w:type="dxa"/>
              <w:right w:w="57" w:type="dxa"/>
            </w:tcMar>
          </w:tcPr>
          <w:p w14:paraId="4D4A760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bookmarkStart w:id="512" w:name="XMETag_6d8db7e2a4604d36b3290b5f60d8f2c1" w:colFirst="1" w:colLast="1"/>
            <w:bookmarkStart w:id="513" w:name="XMETag_7afda153626a4aedbc1ce98655860b39" w:colFirst="2" w:colLast="2"/>
            <w:r w:rsidRPr="00735726">
              <w:rPr>
                <w:rFonts w:ascii="Arial" w:eastAsia="Times New Roman" w:hAnsi="Arial" w:cs="Arial"/>
                <w:color w:val="000000"/>
                <w:sz w:val="18"/>
                <w:szCs w:val="18"/>
              </w:rPr>
              <w:t>Expenses not deductible for tax purposes</w:t>
            </w:r>
          </w:p>
        </w:tc>
        <w:tc>
          <w:tcPr>
            <w:tcW w:w="956" w:type="dxa"/>
            <w:tcMar>
              <w:top w:w="11" w:type="dxa"/>
              <w:left w:w="57" w:type="dxa"/>
              <w:bottom w:w="11" w:type="dxa"/>
              <w:right w:w="57" w:type="dxa"/>
            </w:tcMar>
          </w:tcPr>
          <w:p w14:paraId="3C9E639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1.3</w:t>
            </w:r>
          </w:p>
        </w:tc>
        <w:tc>
          <w:tcPr>
            <w:tcW w:w="1133" w:type="dxa"/>
          </w:tcPr>
          <w:p w14:paraId="235EDC5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0.3</w:t>
            </w:r>
          </w:p>
        </w:tc>
      </w:tr>
      <w:tr w:rsidR="00646F4F" w:rsidRPr="00735726" w14:paraId="09140E69" w14:textId="77777777" w:rsidTr="00CE19B2">
        <w:trPr>
          <w:trHeight w:val="217"/>
        </w:trPr>
        <w:tc>
          <w:tcPr>
            <w:tcW w:w="7728" w:type="dxa"/>
            <w:tcMar>
              <w:top w:w="11" w:type="dxa"/>
              <w:left w:w="57" w:type="dxa"/>
              <w:bottom w:w="11" w:type="dxa"/>
              <w:right w:w="57" w:type="dxa"/>
            </w:tcMar>
          </w:tcPr>
          <w:p w14:paraId="5E54DB8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bookmarkStart w:id="514" w:name="XMETag_cc1c2e0837334fbbb9e221ed5c2d0e8b" w:colFirst="1" w:colLast="1"/>
            <w:bookmarkStart w:id="515" w:name="XMETag_c7c27c4d30274e478032db39f2f9a528" w:colFirst="2" w:colLast="2"/>
            <w:bookmarkEnd w:id="512"/>
            <w:bookmarkEnd w:id="513"/>
            <w:r w:rsidRPr="00735726">
              <w:rPr>
                <w:rFonts w:ascii="Arial" w:eastAsia="Times New Roman" w:hAnsi="Arial" w:cs="Arial"/>
                <w:color w:val="000000"/>
                <w:sz w:val="18"/>
                <w:szCs w:val="18"/>
              </w:rPr>
              <w:t>Adjustments to tax charge in respect of prior years</w:t>
            </w:r>
          </w:p>
        </w:tc>
        <w:tc>
          <w:tcPr>
            <w:tcW w:w="956" w:type="dxa"/>
            <w:tcMar>
              <w:top w:w="11" w:type="dxa"/>
              <w:left w:w="57" w:type="dxa"/>
              <w:bottom w:w="11" w:type="dxa"/>
              <w:right w:w="57" w:type="dxa"/>
            </w:tcMar>
          </w:tcPr>
          <w:p w14:paraId="78771FF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0.5</w:t>
            </w:r>
          </w:p>
        </w:tc>
        <w:tc>
          <w:tcPr>
            <w:tcW w:w="1133" w:type="dxa"/>
          </w:tcPr>
          <w:p w14:paraId="0D12109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1.8</w:t>
            </w:r>
          </w:p>
        </w:tc>
      </w:tr>
      <w:tr w:rsidR="00646F4F" w:rsidRPr="00735726" w14:paraId="4C7757D6" w14:textId="77777777" w:rsidTr="00CE19B2">
        <w:trPr>
          <w:trHeight w:val="217"/>
        </w:trPr>
        <w:tc>
          <w:tcPr>
            <w:tcW w:w="7728" w:type="dxa"/>
            <w:tcMar>
              <w:top w:w="11" w:type="dxa"/>
              <w:left w:w="57" w:type="dxa"/>
              <w:bottom w:w="11" w:type="dxa"/>
              <w:right w:w="57" w:type="dxa"/>
            </w:tcMar>
          </w:tcPr>
          <w:p w14:paraId="61798E8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bookmarkStart w:id="516" w:name="XMETag_49708f7265684c36b84ed8afc5f7c1f8" w:colFirst="1" w:colLast="1"/>
            <w:bookmarkStart w:id="517" w:name="XMETag_d281d2007a6744e7a5c06ced690d8224" w:colFirst="2" w:colLast="2"/>
            <w:bookmarkEnd w:id="514"/>
            <w:bookmarkEnd w:id="515"/>
            <w:r w:rsidRPr="00735726">
              <w:rPr>
                <w:rFonts w:ascii="Arial" w:eastAsia="Times New Roman" w:hAnsi="Arial" w:cs="Arial"/>
                <w:color w:val="000000"/>
                <w:sz w:val="18"/>
                <w:szCs w:val="18"/>
              </w:rPr>
              <w:t>Depreciation charged on non-qualifying assets</w:t>
            </w:r>
          </w:p>
        </w:tc>
        <w:tc>
          <w:tcPr>
            <w:tcW w:w="956" w:type="dxa"/>
            <w:tcMar>
              <w:top w:w="11" w:type="dxa"/>
              <w:left w:w="57" w:type="dxa"/>
              <w:bottom w:w="11" w:type="dxa"/>
              <w:right w:w="57" w:type="dxa"/>
            </w:tcMar>
          </w:tcPr>
          <w:p w14:paraId="0F5E070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1133" w:type="dxa"/>
          </w:tcPr>
          <w:p w14:paraId="254112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1.3</w:t>
            </w:r>
          </w:p>
        </w:tc>
      </w:tr>
      <w:tr w:rsidR="00646F4F" w:rsidRPr="00735726" w14:paraId="03ED964D" w14:textId="77777777" w:rsidTr="00CE19B2">
        <w:trPr>
          <w:trHeight w:val="217"/>
        </w:trPr>
        <w:tc>
          <w:tcPr>
            <w:tcW w:w="7728" w:type="dxa"/>
            <w:tcMar>
              <w:top w:w="11" w:type="dxa"/>
              <w:left w:w="57" w:type="dxa"/>
              <w:bottom w:w="11" w:type="dxa"/>
              <w:right w:w="57" w:type="dxa"/>
            </w:tcMar>
          </w:tcPr>
          <w:p w14:paraId="19717B6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bookmarkStart w:id="518" w:name="XMETag_28b0ffb00f084ec5a981071328fe9ab9" w:colFirst="1" w:colLast="1"/>
            <w:bookmarkStart w:id="519" w:name="XMETag_c0b2010534e94b43affb34d54c903611" w:colFirst="2" w:colLast="2"/>
            <w:bookmarkEnd w:id="516"/>
            <w:bookmarkEnd w:id="517"/>
            <w:r w:rsidRPr="00735726">
              <w:rPr>
                <w:rFonts w:ascii="Arial" w:eastAsia="Times New Roman" w:hAnsi="Arial" w:cs="Arial"/>
                <w:color w:val="000000"/>
                <w:sz w:val="18"/>
                <w:szCs w:val="18"/>
              </w:rPr>
              <w:t xml:space="preserve">Other </w:t>
            </w:r>
          </w:p>
        </w:tc>
        <w:tc>
          <w:tcPr>
            <w:tcW w:w="956" w:type="dxa"/>
            <w:tcBorders>
              <w:bottom w:val="single" w:sz="4" w:space="0" w:color="auto"/>
            </w:tcBorders>
            <w:tcMar>
              <w:top w:w="11" w:type="dxa"/>
              <w:left w:w="57" w:type="dxa"/>
              <w:bottom w:w="11" w:type="dxa"/>
              <w:right w:w="57" w:type="dxa"/>
            </w:tcMar>
          </w:tcPr>
          <w:p w14:paraId="3198871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(0.5)</w:t>
            </w:r>
          </w:p>
        </w:tc>
        <w:tc>
          <w:tcPr>
            <w:tcW w:w="1133" w:type="dxa"/>
            <w:tcBorders>
              <w:bottom w:val="single" w:sz="4" w:space="0" w:color="auto"/>
            </w:tcBorders>
          </w:tcPr>
          <w:p w14:paraId="4382972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(0.7)</w:t>
            </w:r>
          </w:p>
        </w:tc>
      </w:tr>
      <w:tr w:rsidR="00646F4F" w:rsidRPr="00735726" w14:paraId="70288D15" w14:textId="77777777" w:rsidTr="00CE19B2">
        <w:trPr>
          <w:trHeight w:val="217"/>
        </w:trPr>
        <w:tc>
          <w:tcPr>
            <w:tcW w:w="7728" w:type="dxa"/>
            <w:tcMar>
              <w:top w:w="11" w:type="dxa"/>
              <w:left w:w="57" w:type="dxa"/>
              <w:bottom w:w="11" w:type="dxa"/>
              <w:right w:w="57" w:type="dxa"/>
            </w:tcMar>
          </w:tcPr>
          <w:p w14:paraId="4CABC75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b/>
                <w:color w:val="000000"/>
                <w:sz w:val="18"/>
                <w:szCs w:val="18"/>
              </w:rPr>
            </w:pPr>
            <w:bookmarkStart w:id="520" w:name="XMETag_521232b1d7284610b5a4433eec38c456" w:colFirst="1" w:colLast="1"/>
            <w:bookmarkStart w:id="521" w:name="XMETag_d102c50850144f74919cccd12495a122" w:colFirst="2" w:colLast="2"/>
            <w:bookmarkEnd w:id="518"/>
            <w:bookmarkEnd w:id="519"/>
            <w:r w:rsidRPr="00735726">
              <w:rPr>
                <w:rFonts w:ascii="Arial" w:eastAsia="Times New Roman" w:hAnsi="Arial" w:cs="Arial"/>
                <w:b/>
                <w:color w:val="000000"/>
                <w:sz w:val="18"/>
                <w:szCs w:val="18"/>
              </w:rPr>
              <w:t>Tax charge/(credit) for year</w:t>
            </w:r>
          </w:p>
        </w:tc>
        <w:tc>
          <w:tcPr>
            <w:tcW w:w="956" w:type="dxa"/>
            <w:tcBorders>
              <w:top w:val="single" w:sz="4" w:space="0" w:color="auto"/>
              <w:bottom w:val="single" w:sz="4" w:space="0" w:color="auto"/>
            </w:tcBorders>
            <w:tcMar>
              <w:top w:w="11" w:type="dxa"/>
              <w:left w:w="57" w:type="dxa"/>
              <w:bottom w:w="11" w:type="dxa"/>
              <w:right w:w="57" w:type="dxa"/>
            </w:tcMar>
          </w:tcPr>
          <w:p w14:paraId="750C07E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bCs/>
                <w:color w:val="000000"/>
                <w:sz w:val="18"/>
                <w:szCs w:val="18"/>
              </w:rPr>
            </w:pPr>
            <w:r w:rsidRPr="00735726">
              <w:rPr>
                <w:rFonts w:ascii="Arial" w:eastAsia="Times New Roman" w:hAnsi="Arial" w:cs="DINOT-Light"/>
                <w:b/>
                <w:bCs/>
                <w:color w:val="000000"/>
                <w:sz w:val="18"/>
                <w:szCs w:val="18"/>
              </w:rPr>
              <w:t>33.5</w:t>
            </w:r>
          </w:p>
        </w:tc>
        <w:tc>
          <w:tcPr>
            <w:tcW w:w="1133" w:type="dxa"/>
            <w:tcBorders>
              <w:top w:val="single" w:sz="4" w:space="0" w:color="auto"/>
              <w:bottom w:val="single" w:sz="4" w:space="0" w:color="auto"/>
            </w:tcBorders>
          </w:tcPr>
          <w:p w14:paraId="699765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DINOT-Light"/>
                <w:b/>
                <w:bCs/>
                <w:color w:val="000000"/>
                <w:sz w:val="18"/>
                <w:szCs w:val="18"/>
              </w:rPr>
              <w:t>(12.6)</w:t>
            </w:r>
          </w:p>
        </w:tc>
      </w:tr>
      <w:bookmarkEnd w:id="520"/>
      <w:bookmarkEnd w:id="521"/>
    </w:tbl>
    <w:p w14:paraId="5EB96041"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p>
    <w:p w14:paraId="08AE80BF"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sz w:val="18"/>
          <w:szCs w:val="18"/>
        </w:rPr>
      </w:pPr>
    </w:p>
    <w:tbl>
      <w:tblPr>
        <w:tblW w:w="9802" w:type="dxa"/>
        <w:tblInd w:w="8" w:type="dxa"/>
        <w:tblLayout w:type="fixed"/>
        <w:tblCellMar>
          <w:left w:w="0" w:type="dxa"/>
          <w:right w:w="0" w:type="dxa"/>
        </w:tblCellMar>
        <w:tblLook w:val="0000" w:firstRow="0" w:lastRow="0" w:firstColumn="0" w:lastColumn="0" w:noHBand="0" w:noVBand="0"/>
      </w:tblPr>
      <w:tblGrid>
        <w:gridCol w:w="7716"/>
        <w:gridCol w:w="955"/>
        <w:gridCol w:w="1131"/>
      </w:tblGrid>
      <w:tr w:rsidR="00646F4F" w:rsidRPr="00735726" w14:paraId="10B48864" w14:textId="77777777" w:rsidTr="00CE19B2">
        <w:trPr>
          <w:trHeight w:val="57"/>
          <w:tblHeader/>
        </w:trPr>
        <w:tc>
          <w:tcPr>
            <w:tcW w:w="7716" w:type="dxa"/>
            <w:tcMar>
              <w:top w:w="11" w:type="dxa"/>
              <w:left w:w="57" w:type="dxa"/>
              <w:bottom w:w="11" w:type="dxa"/>
              <w:right w:w="57" w:type="dxa"/>
            </w:tcMar>
          </w:tcPr>
          <w:p w14:paraId="298DDEC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Reconciliation of current tax charge/(credit)</w:t>
            </w:r>
          </w:p>
          <w:p w14:paraId="42A8456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b/>
                <w:color w:val="000000"/>
                <w:sz w:val="18"/>
                <w:szCs w:val="18"/>
              </w:rPr>
            </w:pPr>
          </w:p>
        </w:tc>
        <w:tc>
          <w:tcPr>
            <w:tcW w:w="955" w:type="dxa"/>
            <w:tcMar>
              <w:top w:w="11" w:type="dxa"/>
              <w:left w:w="57" w:type="dxa"/>
              <w:bottom w:w="11" w:type="dxa"/>
              <w:right w:w="57" w:type="dxa"/>
            </w:tcMar>
          </w:tcPr>
          <w:p w14:paraId="4C7B0A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2026</w:t>
            </w:r>
          </w:p>
          <w:p w14:paraId="273BD2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£m</w:t>
            </w:r>
          </w:p>
        </w:tc>
        <w:tc>
          <w:tcPr>
            <w:tcW w:w="1131" w:type="dxa"/>
          </w:tcPr>
          <w:p w14:paraId="3CFA23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2025</w:t>
            </w:r>
          </w:p>
          <w:p w14:paraId="633C05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Arial"/>
                <w:b/>
                <w:color w:val="000000"/>
                <w:sz w:val="18"/>
                <w:szCs w:val="18"/>
              </w:rPr>
              <w:t>£m</w:t>
            </w:r>
          </w:p>
        </w:tc>
      </w:tr>
      <w:tr w:rsidR="00646F4F" w:rsidRPr="00735726" w14:paraId="0E189647" w14:textId="77777777" w:rsidTr="00CE19B2">
        <w:trPr>
          <w:trHeight w:val="218"/>
        </w:trPr>
        <w:tc>
          <w:tcPr>
            <w:tcW w:w="7716" w:type="dxa"/>
            <w:tcMar>
              <w:top w:w="11" w:type="dxa"/>
              <w:left w:w="57" w:type="dxa"/>
              <w:bottom w:w="11" w:type="dxa"/>
              <w:right w:w="57" w:type="dxa"/>
            </w:tcMar>
          </w:tcPr>
          <w:p w14:paraId="78E1134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bookmarkStart w:id="522" w:name="XMETag_efb0011a54e7423a96d73aeaf0e93e7f" w:colFirst="1" w:colLast="1"/>
            <w:bookmarkStart w:id="523" w:name="XMETag_61ef7714854141368c5c55219ac52a47" w:colFirst="2" w:colLast="2"/>
            <w:r w:rsidRPr="00735726">
              <w:rPr>
                <w:rFonts w:ascii="Arial" w:eastAsia="Times New Roman" w:hAnsi="Arial" w:cs="Arial"/>
                <w:color w:val="000000"/>
                <w:sz w:val="18"/>
                <w:szCs w:val="18"/>
              </w:rPr>
              <w:t>Profit/(loss) before tax</w:t>
            </w:r>
          </w:p>
        </w:tc>
        <w:tc>
          <w:tcPr>
            <w:tcW w:w="955" w:type="dxa"/>
            <w:tcMar>
              <w:top w:w="11" w:type="dxa"/>
              <w:left w:w="57" w:type="dxa"/>
              <w:bottom w:w="11" w:type="dxa"/>
              <w:right w:w="57" w:type="dxa"/>
            </w:tcMar>
          </w:tcPr>
          <w:p w14:paraId="6DAE93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124.9</w:t>
            </w:r>
          </w:p>
        </w:tc>
        <w:tc>
          <w:tcPr>
            <w:tcW w:w="1131" w:type="dxa"/>
          </w:tcPr>
          <w:p w14:paraId="5D5482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(61.2)</w:t>
            </w:r>
          </w:p>
        </w:tc>
      </w:tr>
      <w:bookmarkEnd w:id="522"/>
      <w:bookmarkEnd w:id="523"/>
      <w:tr w:rsidR="00646F4F" w:rsidRPr="00735726" w14:paraId="1F80891A" w14:textId="77777777" w:rsidTr="00CE19B2">
        <w:trPr>
          <w:trHeight w:val="218"/>
        </w:trPr>
        <w:tc>
          <w:tcPr>
            <w:tcW w:w="7716" w:type="dxa"/>
            <w:tcMar>
              <w:top w:w="11" w:type="dxa"/>
              <w:left w:w="57" w:type="dxa"/>
              <w:bottom w:w="11" w:type="dxa"/>
              <w:right w:w="57" w:type="dxa"/>
            </w:tcMar>
          </w:tcPr>
          <w:p w14:paraId="6049D96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p>
        </w:tc>
        <w:tc>
          <w:tcPr>
            <w:tcW w:w="955" w:type="dxa"/>
            <w:tcMar>
              <w:top w:w="11" w:type="dxa"/>
              <w:left w:w="57" w:type="dxa"/>
              <w:bottom w:w="11" w:type="dxa"/>
              <w:right w:w="57" w:type="dxa"/>
            </w:tcMar>
          </w:tcPr>
          <w:p w14:paraId="0C25A2A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p>
        </w:tc>
        <w:tc>
          <w:tcPr>
            <w:tcW w:w="1131" w:type="dxa"/>
          </w:tcPr>
          <w:p w14:paraId="1ADCB1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p>
        </w:tc>
      </w:tr>
      <w:tr w:rsidR="00646F4F" w:rsidRPr="00735726" w14:paraId="58AD1DD6" w14:textId="77777777" w:rsidTr="00CE19B2">
        <w:trPr>
          <w:trHeight w:val="218"/>
        </w:trPr>
        <w:tc>
          <w:tcPr>
            <w:tcW w:w="7716" w:type="dxa"/>
            <w:tcMar>
              <w:top w:w="11" w:type="dxa"/>
              <w:left w:w="57" w:type="dxa"/>
              <w:bottom w:w="11" w:type="dxa"/>
              <w:right w:w="57" w:type="dxa"/>
            </w:tcMar>
          </w:tcPr>
          <w:p w14:paraId="2118745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bookmarkStart w:id="524" w:name="XMETag_b9b7f9bf4614491083d1430d88758a6e" w:colFirst="1" w:colLast="1"/>
            <w:bookmarkStart w:id="525" w:name="XMETag_3b451bb5c4dc4e7fb7f19176e3b4ca39" w:colFirst="2" w:colLast="2"/>
            <w:r w:rsidRPr="00735726">
              <w:rPr>
                <w:rFonts w:ascii="Arial" w:eastAsia="Times New Roman" w:hAnsi="Arial" w:cs="Arial"/>
                <w:color w:val="000000"/>
                <w:sz w:val="18"/>
                <w:szCs w:val="18"/>
              </w:rPr>
              <w:t>Profit/(loss) before tax multiplied by the standard rate of corporation tax in the UK of 25% (2025: 25%)</w:t>
            </w:r>
          </w:p>
        </w:tc>
        <w:tc>
          <w:tcPr>
            <w:tcW w:w="955" w:type="dxa"/>
            <w:tcMar>
              <w:top w:w="11" w:type="dxa"/>
              <w:left w:w="57" w:type="dxa"/>
              <w:bottom w:w="11" w:type="dxa"/>
              <w:right w:w="57" w:type="dxa"/>
            </w:tcMar>
          </w:tcPr>
          <w:p w14:paraId="423371B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31.2</w:t>
            </w:r>
          </w:p>
        </w:tc>
        <w:tc>
          <w:tcPr>
            <w:tcW w:w="1131" w:type="dxa"/>
          </w:tcPr>
          <w:p w14:paraId="4A9F347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(15.3)</w:t>
            </w:r>
          </w:p>
        </w:tc>
      </w:tr>
      <w:bookmarkEnd w:id="524"/>
      <w:bookmarkEnd w:id="525"/>
      <w:tr w:rsidR="00646F4F" w:rsidRPr="00735726" w14:paraId="033AADC7" w14:textId="77777777" w:rsidTr="00CE19B2">
        <w:trPr>
          <w:trHeight w:val="218"/>
        </w:trPr>
        <w:tc>
          <w:tcPr>
            <w:tcW w:w="7716" w:type="dxa"/>
            <w:tcMar>
              <w:top w:w="11" w:type="dxa"/>
              <w:left w:w="57" w:type="dxa"/>
              <w:bottom w:w="11" w:type="dxa"/>
              <w:right w:w="57" w:type="dxa"/>
            </w:tcMar>
          </w:tcPr>
          <w:p w14:paraId="045E7BB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i/>
                <w:color w:val="000000"/>
                <w:sz w:val="18"/>
                <w:szCs w:val="18"/>
              </w:rPr>
            </w:pPr>
            <w:r w:rsidRPr="00735726">
              <w:rPr>
                <w:rFonts w:ascii="Arial" w:eastAsia="Times New Roman" w:hAnsi="Arial" w:cs="Arial"/>
                <w:i/>
                <w:color w:val="000000"/>
                <w:sz w:val="18"/>
                <w:szCs w:val="18"/>
              </w:rPr>
              <w:t xml:space="preserve">Effects of: </w:t>
            </w:r>
          </w:p>
        </w:tc>
        <w:tc>
          <w:tcPr>
            <w:tcW w:w="955" w:type="dxa"/>
            <w:tcMar>
              <w:top w:w="11" w:type="dxa"/>
              <w:left w:w="57" w:type="dxa"/>
              <w:bottom w:w="11" w:type="dxa"/>
              <w:right w:w="57" w:type="dxa"/>
            </w:tcMar>
          </w:tcPr>
          <w:p w14:paraId="37BC5D8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p>
        </w:tc>
        <w:tc>
          <w:tcPr>
            <w:tcW w:w="1131" w:type="dxa"/>
          </w:tcPr>
          <w:p w14:paraId="505C62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p>
        </w:tc>
      </w:tr>
      <w:tr w:rsidR="00646F4F" w:rsidRPr="00735726" w14:paraId="616D5C9E" w14:textId="77777777" w:rsidTr="00CE19B2">
        <w:trPr>
          <w:trHeight w:val="218"/>
        </w:trPr>
        <w:tc>
          <w:tcPr>
            <w:tcW w:w="7716" w:type="dxa"/>
            <w:tcMar>
              <w:top w:w="11" w:type="dxa"/>
              <w:left w:w="57" w:type="dxa"/>
              <w:bottom w:w="11" w:type="dxa"/>
              <w:right w:w="57" w:type="dxa"/>
            </w:tcMar>
          </w:tcPr>
          <w:p w14:paraId="7D295B6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Relief for capital allowances in place of depreciation</w:t>
            </w:r>
          </w:p>
        </w:tc>
        <w:tc>
          <w:tcPr>
            <w:tcW w:w="955" w:type="dxa"/>
            <w:tcMar>
              <w:top w:w="11" w:type="dxa"/>
              <w:left w:w="57" w:type="dxa"/>
              <w:bottom w:w="11" w:type="dxa"/>
              <w:right w:w="57" w:type="dxa"/>
            </w:tcMar>
          </w:tcPr>
          <w:p w14:paraId="36A4231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(77.2)</w:t>
            </w:r>
          </w:p>
        </w:tc>
        <w:tc>
          <w:tcPr>
            <w:tcW w:w="1131" w:type="dxa"/>
          </w:tcPr>
          <w:p w14:paraId="51E1E0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(25.0)</w:t>
            </w:r>
          </w:p>
        </w:tc>
      </w:tr>
      <w:tr w:rsidR="00646F4F" w:rsidRPr="00735726" w14:paraId="72F4954D" w14:textId="77777777" w:rsidTr="00CE19B2">
        <w:trPr>
          <w:trHeight w:val="218"/>
        </w:trPr>
        <w:tc>
          <w:tcPr>
            <w:tcW w:w="7716" w:type="dxa"/>
            <w:tcMar>
              <w:top w:w="11" w:type="dxa"/>
              <w:left w:w="57" w:type="dxa"/>
              <w:bottom w:w="11" w:type="dxa"/>
              <w:right w:w="57" w:type="dxa"/>
            </w:tcMar>
          </w:tcPr>
          <w:p w14:paraId="3B87115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Disallowance of depreciation charged in the accounts</w:t>
            </w:r>
          </w:p>
        </w:tc>
        <w:tc>
          <w:tcPr>
            <w:tcW w:w="955" w:type="dxa"/>
            <w:tcMar>
              <w:top w:w="11" w:type="dxa"/>
              <w:left w:w="57" w:type="dxa"/>
              <w:bottom w:w="11" w:type="dxa"/>
              <w:right w:w="57" w:type="dxa"/>
            </w:tcMar>
          </w:tcPr>
          <w:p w14:paraId="47B1C8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38.3</w:t>
            </w:r>
          </w:p>
        </w:tc>
        <w:tc>
          <w:tcPr>
            <w:tcW w:w="1131" w:type="dxa"/>
          </w:tcPr>
          <w:p w14:paraId="0A72D8D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36.3</w:t>
            </w:r>
          </w:p>
        </w:tc>
      </w:tr>
      <w:tr w:rsidR="00646F4F" w:rsidRPr="00735726" w14:paraId="1175E964" w14:textId="77777777" w:rsidTr="00CE19B2">
        <w:trPr>
          <w:trHeight w:val="218"/>
        </w:trPr>
        <w:tc>
          <w:tcPr>
            <w:tcW w:w="7716" w:type="dxa"/>
            <w:tcMar>
              <w:top w:w="11" w:type="dxa"/>
              <w:left w:w="57" w:type="dxa"/>
              <w:bottom w:w="11" w:type="dxa"/>
              <w:right w:w="57" w:type="dxa"/>
            </w:tcMar>
          </w:tcPr>
          <w:p w14:paraId="2C10A0D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Expenses not deductible for tax purposes</w:t>
            </w:r>
          </w:p>
        </w:tc>
        <w:tc>
          <w:tcPr>
            <w:tcW w:w="955" w:type="dxa"/>
            <w:tcMar>
              <w:top w:w="11" w:type="dxa"/>
              <w:left w:w="57" w:type="dxa"/>
              <w:bottom w:w="11" w:type="dxa"/>
              <w:right w:w="57" w:type="dxa"/>
            </w:tcMar>
          </w:tcPr>
          <w:p w14:paraId="14F700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1.3</w:t>
            </w:r>
          </w:p>
        </w:tc>
        <w:tc>
          <w:tcPr>
            <w:tcW w:w="1131" w:type="dxa"/>
          </w:tcPr>
          <w:p w14:paraId="62EBF7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0.3</w:t>
            </w:r>
          </w:p>
        </w:tc>
      </w:tr>
      <w:tr w:rsidR="00646F4F" w:rsidRPr="00735726" w14:paraId="6C4583BB" w14:textId="77777777" w:rsidTr="00CE19B2">
        <w:trPr>
          <w:trHeight w:val="218"/>
        </w:trPr>
        <w:tc>
          <w:tcPr>
            <w:tcW w:w="7716" w:type="dxa"/>
            <w:tcMar>
              <w:top w:w="11" w:type="dxa"/>
              <w:left w:w="57" w:type="dxa"/>
              <w:bottom w:w="11" w:type="dxa"/>
              <w:right w:w="57" w:type="dxa"/>
            </w:tcMar>
          </w:tcPr>
          <w:p w14:paraId="738760B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Adjustments to tax charge in respect of prior years</w:t>
            </w:r>
          </w:p>
        </w:tc>
        <w:tc>
          <w:tcPr>
            <w:tcW w:w="955" w:type="dxa"/>
            <w:tcMar>
              <w:top w:w="11" w:type="dxa"/>
              <w:left w:w="57" w:type="dxa"/>
              <w:bottom w:w="11" w:type="dxa"/>
              <w:right w:w="57" w:type="dxa"/>
            </w:tcMar>
          </w:tcPr>
          <w:p w14:paraId="2B963F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3.1</w:t>
            </w:r>
          </w:p>
        </w:tc>
        <w:tc>
          <w:tcPr>
            <w:tcW w:w="1131" w:type="dxa"/>
          </w:tcPr>
          <w:p w14:paraId="3E1FFD4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(0.2)</w:t>
            </w:r>
          </w:p>
        </w:tc>
      </w:tr>
      <w:tr w:rsidR="00646F4F" w:rsidRPr="00735726" w14:paraId="519EC7E0" w14:textId="77777777" w:rsidTr="00CE19B2">
        <w:trPr>
          <w:trHeight w:val="218"/>
        </w:trPr>
        <w:tc>
          <w:tcPr>
            <w:tcW w:w="7716" w:type="dxa"/>
            <w:tcMar>
              <w:top w:w="11" w:type="dxa"/>
              <w:left w:w="57" w:type="dxa"/>
              <w:bottom w:w="11" w:type="dxa"/>
              <w:right w:w="57" w:type="dxa"/>
            </w:tcMar>
          </w:tcPr>
          <w:p w14:paraId="41DB9A7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Depreciation charged on non-qualifying assets</w:t>
            </w:r>
          </w:p>
        </w:tc>
        <w:tc>
          <w:tcPr>
            <w:tcW w:w="955" w:type="dxa"/>
            <w:tcMar>
              <w:top w:w="11" w:type="dxa"/>
              <w:left w:w="57" w:type="dxa"/>
              <w:bottom w:w="11" w:type="dxa"/>
              <w:right w:w="57" w:type="dxa"/>
            </w:tcMar>
          </w:tcPr>
          <w:p w14:paraId="20C09E1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1131" w:type="dxa"/>
          </w:tcPr>
          <w:p w14:paraId="187EC0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1.3</w:t>
            </w:r>
          </w:p>
        </w:tc>
      </w:tr>
      <w:tr w:rsidR="00646F4F" w:rsidRPr="00735726" w14:paraId="1FD24D34" w14:textId="77777777" w:rsidTr="00CE19B2">
        <w:trPr>
          <w:trHeight w:val="218"/>
        </w:trPr>
        <w:tc>
          <w:tcPr>
            <w:tcW w:w="7716" w:type="dxa"/>
            <w:tcMar>
              <w:top w:w="11" w:type="dxa"/>
              <w:left w:w="57" w:type="dxa"/>
              <w:bottom w:w="11" w:type="dxa"/>
              <w:right w:w="57" w:type="dxa"/>
            </w:tcMar>
          </w:tcPr>
          <w:p w14:paraId="5366B43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 xml:space="preserve">Relief for capitalised interest </w:t>
            </w:r>
          </w:p>
        </w:tc>
        <w:tc>
          <w:tcPr>
            <w:tcW w:w="955" w:type="dxa"/>
            <w:tcMar>
              <w:top w:w="11" w:type="dxa"/>
              <w:left w:w="57" w:type="dxa"/>
              <w:bottom w:w="11" w:type="dxa"/>
              <w:right w:w="57" w:type="dxa"/>
            </w:tcMar>
          </w:tcPr>
          <w:p w14:paraId="261B912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(8.5)</w:t>
            </w:r>
          </w:p>
        </w:tc>
        <w:tc>
          <w:tcPr>
            <w:tcW w:w="1131" w:type="dxa"/>
          </w:tcPr>
          <w:p w14:paraId="0A9C0E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(5.8)</w:t>
            </w:r>
          </w:p>
        </w:tc>
      </w:tr>
      <w:tr w:rsidR="00646F4F" w:rsidRPr="00735726" w14:paraId="6370DBFE" w14:textId="77777777" w:rsidTr="00CE19B2">
        <w:trPr>
          <w:trHeight w:val="218"/>
        </w:trPr>
        <w:tc>
          <w:tcPr>
            <w:tcW w:w="7716" w:type="dxa"/>
            <w:tcMar>
              <w:top w:w="11" w:type="dxa"/>
              <w:left w:w="57" w:type="dxa"/>
              <w:bottom w:w="11" w:type="dxa"/>
              <w:right w:w="57" w:type="dxa"/>
            </w:tcMar>
          </w:tcPr>
          <w:p w14:paraId="61E87BA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Losses carried forward</w:t>
            </w:r>
          </w:p>
        </w:tc>
        <w:tc>
          <w:tcPr>
            <w:tcW w:w="955" w:type="dxa"/>
            <w:tcMar>
              <w:top w:w="11" w:type="dxa"/>
              <w:left w:w="57" w:type="dxa"/>
              <w:bottom w:w="11" w:type="dxa"/>
              <w:right w:w="57" w:type="dxa"/>
            </w:tcMar>
          </w:tcPr>
          <w:p w14:paraId="2EDBFB7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15.0</w:t>
            </w:r>
          </w:p>
        </w:tc>
        <w:tc>
          <w:tcPr>
            <w:tcW w:w="1131" w:type="dxa"/>
          </w:tcPr>
          <w:p w14:paraId="484A3F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7.9</w:t>
            </w:r>
          </w:p>
        </w:tc>
      </w:tr>
      <w:tr w:rsidR="00646F4F" w:rsidRPr="00735726" w14:paraId="12585A9C" w14:textId="77777777" w:rsidTr="00CE19B2">
        <w:trPr>
          <w:trHeight w:val="218"/>
        </w:trPr>
        <w:tc>
          <w:tcPr>
            <w:tcW w:w="7716" w:type="dxa"/>
            <w:tcMar>
              <w:top w:w="11" w:type="dxa"/>
              <w:left w:w="57" w:type="dxa"/>
              <w:bottom w:w="11" w:type="dxa"/>
              <w:right w:w="57" w:type="dxa"/>
            </w:tcMar>
          </w:tcPr>
          <w:p w14:paraId="7BB4887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Other timing differences</w:t>
            </w:r>
          </w:p>
        </w:tc>
        <w:tc>
          <w:tcPr>
            <w:tcW w:w="955" w:type="dxa"/>
            <w:tcBorders>
              <w:bottom w:val="single" w:sz="4" w:space="0" w:color="auto"/>
            </w:tcBorders>
            <w:tcMar>
              <w:top w:w="11" w:type="dxa"/>
              <w:left w:w="57" w:type="dxa"/>
              <w:bottom w:w="11" w:type="dxa"/>
              <w:right w:w="57" w:type="dxa"/>
            </w:tcMar>
          </w:tcPr>
          <w:p w14:paraId="57E464B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(1.0)</w:t>
            </w:r>
          </w:p>
        </w:tc>
        <w:tc>
          <w:tcPr>
            <w:tcW w:w="1131" w:type="dxa"/>
            <w:tcBorders>
              <w:bottom w:val="single" w:sz="4" w:space="0" w:color="auto"/>
            </w:tcBorders>
          </w:tcPr>
          <w:p w14:paraId="6FF7D9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r>
      <w:tr w:rsidR="00646F4F" w:rsidRPr="00735726" w14:paraId="4F2A6C55" w14:textId="77777777" w:rsidTr="00CE19B2">
        <w:trPr>
          <w:trHeight w:val="218"/>
        </w:trPr>
        <w:tc>
          <w:tcPr>
            <w:tcW w:w="7716" w:type="dxa"/>
            <w:tcMar>
              <w:top w:w="11" w:type="dxa"/>
              <w:left w:w="57" w:type="dxa"/>
              <w:bottom w:w="11" w:type="dxa"/>
              <w:right w:w="57" w:type="dxa"/>
            </w:tcMar>
          </w:tcPr>
          <w:p w14:paraId="6298BB0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Arial"/>
                <w:b/>
                <w:color w:val="000000"/>
                <w:sz w:val="18"/>
                <w:szCs w:val="18"/>
              </w:rPr>
            </w:pPr>
            <w:bookmarkStart w:id="526" w:name="XMETag_e2c0c992810c4bf2ab4e5df3f8f74f7e" w:colFirst="1" w:colLast="1"/>
            <w:bookmarkStart w:id="527" w:name="XMETag_0158def215264b229836d8d40efed76f" w:colFirst="2" w:colLast="2"/>
            <w:r w:rsidRPr="00735726">
              <w:rPr>
                <w:rFonts w:ascii="Arial" w:eastAsia="Times New Roman" w:hAnsi="Arial" w:cs="Arial"/>
                <w:b/>
                <w:color w:val="000000"/>
                <w:sz w:val="18"/>
                <w:szCs w:val="18"/>
              </w:rPr>
              <w:t>Current Tax charge/(credit)</w:t>
            </w:r>
          </w:p>
        </w:tc>
        <w:tc>
          <w:tcPr>
            <w:tcW w:w="955" w:type="dxa"/>
            <w:tcBorders>
              <w:top w:val="single" w:sz="4" w:space="0" w:color="auto"/>
              <w:bottom w:val="single" w:sz="4" w:space="0" w:color="auto"/>
            </w:tcBorders>
            <w:tcMar>
              <w:top w:w="11" w:type="dxa"/>
              <w:left w:w="57" w:type="dxa"/>
              <w:bottom w:w="11" w:type="dxa"/>
              <w:right w:w="57" w:type="dxa"/>
            </w:tcMar>
          </w:tcPr>
          <w:p w14:paraId="184D049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bCs/>
                <w:color w:val="000000"/>
                <w:sz w:val="18"/>
                <w:szCs w:val="18"/>
              </w:rPr>
            </w:pPr>
            <w:r w:rsidRPr="00735726">
              <w:rPr>
                <w:rFonts w:ascii="Arial" w:eastAsia="Times New Roman" w:hAnsi="Arial" w:cs="DINOT-Light"/>
                <w:b/>
                <w:bCs/>
                <w:color w:val="000000"/>
                <w:sz w:val="18"/>
                <w:szCs w:val="18"/>
              </w:rPr>
              <w:t>3.2</w:t>
            </w:r>
          </w:p>
        </w:tc>
        <w:tc>
          <w:tcPr>
            <w:tcW w:w="1131" w:type="dxa"/>
            <w:tcBorders>
              <w:top w:val="single" w:sz="4" w:space="0" w:color="auto"/>
              <w:bottom w:val="single" w:sz="4" w:space="0" w:color="auto"/>
            </w:tcBorders>
          </w:tcPr>
          <w:p w14:paraId="5DB6F6E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b/>
                <w:color w:val="000000"/>
                <w:sz w:val="18"/>
                <w:szCs w:val="18"/>
              </w:rPr>
            </w:pPr>
            <w:r w:rsidRPr="00735726">
              <w:rPr>
                <w:rFonts w:ascii="Arial" w:eastAsia="Times New Roman" w:hAnsi="Arial" w:cs="DINOT-Light"/>
                <w:b/>
                <w:bCs/>
                <w:color w:val="000000"/>
                <w:sz w:val="18"/>
                <w:szCs w:val="18"/>
              </w:rPr>
              <w:t>(1.5)</w:t>
            </w:r>
          </w:p>
        </w:tc>
      </w:tr>
      <w:bookmarkEnd w:id="526"/>
      <w:bookmarkEnd w:id="527"/>
    </w:tbl>
    <w:p w14:paraId="298ADB1D"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p>
    <w:p w14:paraId="4F04A008"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p>
    <w:p w14:paraId="7F7C2B18"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p>
    <w:p w14:paraId="598E2FE7"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p>
    <w:p w14:paraId="3ED0983F"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p>
    <w:p w14:paraId="636D6EDE"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olor w:val="000000"/>
          <w:sz w:val="18"/>
          <w:szCs w:val="18"/>
        </w:rPr>
      </w:pPr>
      <w:r w:rsidRPr="00735726">
        <w:rPr>
          <w:rFonts w:ascii="Arial" w:eastAsia="Times New Roman" w:hAnsi="Arial" w:cs="Arial"/>
          <w:b/>
          <w:bCs/>
          <w:color w:val="000000"/>
          <w:sz w:val="18"/>
          <w:szCs w:val="18"/>
        </w:rPr>
        <w:lastRenderedPageBreak/>
        <w:t>9.   TAXATION (CONTINUED)</w:t>
      </w:r>
    </w:p>
    <w:p w14:paraId="4435E5E3" w14:textId="065EC889" w:rsidR="00646F4F" w:rsidRPr="00735726" w:rsidRDefault="00DB174C" w:rsidP="00DB174C">
      <w:pPr>
        <w:widowControl w:val="0"/>
        <w:suppressAutoHyphens/>
        <w:autoSpaceDE w:val="0"/>
        <w:autoSpaceDN w:val="0"/>
        <w:adjustRightInd w:val="0"/>
        <w:spacing w:after="0"/>
        <w:textAlignment w:val="center"/>
        <w:rPr>
          <w:rFonts w:ascii="Arial" w:eastAsia="Times New Roman" w:hAnsi="Arial" w:cs="Arial"/>
          <w:sz w:val="18"/>
          <w:szCs w:val="18"/>
        </w:rPr>
      </w:pPr>
      <w:r w:rsidRPr="00735726">
        <w:rPr>
          <w:rFonts w:ascii="Arial" w:eastAsia="Times New Roman" w:hAnsi="Arial" w:cs="Arial"/>
          <w:sz w:val="18"/>
          <w:szCs w:val="18"/>
        </w:rPr>
        <w:t>The current tax charge arising on the FY26 accounting profit is £3.2</w:t>
      </w:r>
      <w:r w:rsidR="00DF3496" w:rsidRPr="00735726">
        <w:rPr>
          <w:rFonts w:ascii="Arial" w:eastAsia="Times New Roman" w:hAnsi="Arial" w:cs="Arial"/>
          <w:sz w:val="18"/>
          <w:szCs w:val="18"/>
        </w:rPr>
        <w:t xml:space="preserve"> </w:t>
      </w:r>
      <w:r w:rsidRPr="00735726">
        <w:rPr>
          <w:rFonts w:ascii="Arial" w:eastAsia="Times New Roman" w:hAnsi="Arial" w:cs="Arial"/>
          <w:sz w:val="18"/>
          <w:szCs w:val="18"/>
        </w:rPr>
        <w:t>m</w:t>
      </w:r>
      <w:r w:rsidR="00DF3496" w:rsidRPr="00735726">
        <w:rPr>
          <w:rFonts w:ascii="Arial" w:eastAsia="Times New Roman" w:hAnsi="Arial" w:cs="Arial"/>
          <w:sz w:val="18"/>
          <w:szCs w:val="18"/>
        </w:rPr>
        <w:t>illion</w:t>
      </w:r>
      <w:r w:rsidRPr="00735726">
        <w:rPr>
          <w:rFonts w:ascii="Arial" w:eastAsia="Times New Roman" w:hAnsi="Arial" w:cs="Arial"/>
          <w:sz w:val="18"/>
          <w:szCs w:val="18"/>
        </w:rPr>
        <w:t xml:space="preserve"> (2025: current tax credit of £1.5</w:t>
      </w:r>
      <w:r w:rsidR="00DF3496" w:rsidRPr="00735726">
        <w:rPr>
          <w:rFonts w:ascii="Arial" w:eastAsia="Times New Roman" w:hAnsi="Arial" w:cs="Arial"/>
          <w:sz w:val="18"/>
          <w:szCs w:val="18"/>
        </w:rPr>
        <w:t xml:space="preserve"> </w:t>
      </w:r>
      <w:r w:rsidRPr="00735726">
        <w:rPr>
          <w:rFonts w:ascii="Arial" w:eastAsia="Times New Roman" w:hAnsi="Arial" w:cs="Arial"/>
          <w:sz w:val="18"/>
          <w:szCs w:val="18"/>
        </w:rPr>
        <w:t>m</w:t>
      </w:r>
      <w:r w:rsidR="00DF3496" w:rsidRPr="00735726">
        <w:rPr>
          <w:rFonts w:ascii="Arial" w:eastAsia="Times New Roman" w:hAnsi="Arial" w:cs="Arial"/>
          <w:sz w:val="18"/>
          <w:szCs w:val="18"/>
        </w:rPr>
        <w:t>illion</w:t>
      </w:r>
      <w:r w:rsidRPr="00735726">
        <w:rPr>
          <w:rFonts w:ascii="Arial" w:eastAsia="Times New Roman" w:hAnsi="Arial" w:cs="Arial"/>
          <w:sz w:val="18"/>
          <w:szCs w:val="18"/>
        </w:rPr>
        <w:t>) versus</w:t>
      </w:r>
      <w:r w:rsidR="00DF3496" w:rsidRPr="00735726">
        <w:rPr>
          <w:rFonts w:ascii="Arial" w:eastAsia="Times New Roman" w:hAnsi="Arial" w:cs="Arial"/>
          <w:sz w:val="18"/>
          <w:szCs w:val="18"/>
        </w:rPr>
        <w:t xml:space="preserve"> </w:t>
      </w:r>
      <w:r w:rsidRPr="00735726">
        <w:rPr>
          <w:rFonts w:ascii="Arial" w:eastAsia="Times New Roman" w:hAnsi="Arial" w:cs="Arial"/>
          <w:sz w:val="18"/>
          <w:szCs w:val="18"/>
        </w:rPr>
        <w:t>the expected current tax at the UK headline rate of 25% x PBT. This is driven by a range of adjustments which are explained further below:</w:t>
      </w:r>
    </w:p>
    <w:p w14:paraId="4020BBE8" w14:textId="77777777" w:rsidR="00DB174C" w:rsidRPr="00735726" w:rsidRDefault="00DB174C" w:rsidP="00DB174C">
      <w:pPr>
        <w:widowControl w:val="0"/>
        <w:suppressAutoHyphens/>
        <w:autoSpaceDE w:val="0"/>
        <w:autoSpaceDN w:val="0"/>
        <w:adjustRightInd w:val="0"/>
        <w:spacing w:after="0"/>
        <w:textAlignment w:val="center"/>
        <w:rPr>
          <w:rFonts w:ascii="Arial" w:eastAsia="Times New Roman" w:hAnsi="Arial" w:cs="Arial"/>
          <w:sz w:val="18"/>
          <w:szCs w:val="18"/>
        </w:rPr>
      </w:pPr>
    </w:p>
    <w:p w14:paraId="245A3CDB" w14:textId="77777777" w:rsidR="00DB174C" w:rsidRPr="00735726" w:rsidRDefault="00646F4F" w:rsidP="00DB174C">
      <w:pPr>
        <w:widowControl w:val="0"/>
        <w:suppressAutoHyphens/>
        <w:autoSpaceDE w:val="0"/>
        <w:autoSpaceDN w:val="0"/>
        <w:adjustRightInd w:val="0"/>
        <w:spacing w:after="0"/>
        <w:textAlignment w:val="center"/>
        <w:rPr>
          <w:rFonts w:ascii="Arial" w:eastAsia="Times New Roman" w:hAnsi="Arial" w:cs="Arial"/>
          <w:sz w:val="18"/>
          <w:szCs w:val="18"/>
        </w:rPr>
      </w:pPr>
      <w:r w:rsidRPr="00735726">
        <w:rPr>
          <w:rFonts w:ascii="Arial" w:eastAsia="Times New Roman" w:hAnsi="Arial" w:cs="Arial"/>
          <w:sz w:val="18"/>
          <w:szCs w:val="18"/>
        </w:rPr>
        <w:t xml:space="preserve">The Company benefits from the 100% full expensing and 50% enhanced allowances in respect of qualifying spend (largely plant and machinery). The Company incurs significant capital expenditure each year as it maintains and enhances it assets for the benefit of its customers, communities and the environment. </w:t>
      </w:r>
      <w:r w:rsidR="00DB174C" w:rsidRPr="00735726">
        <w:rPr>
          <w:rFonts w:ascii="Arial" w:eastAsia="Times New Roman" w:hAnsi="Arial" w:cs="Arial"/>
          <w:sz w:val="18"/>
          <w:szCs w:val="18"/>
        </w:rPr>
        <w:t>These enhanced allowances have increased capital allowance claims for the year and contributed significantly to the</w:t>
      </w:r>
    </w:p>
    <w:p w14:paraId="2415EDC4" w14:textId="5624B5E7" w:rsidR="00646F4F" w:rsidRPr="00735726" w:rsidRDefault="00DB174C" w:rsidP="00DB174C">
      <w:pPr>
        <w:widowControl w:val="0"/>
        <w:suppressAutoHyphens/>
        <w:autoSpaceDE w:val="0"/>
        <w:autoSpaceDN w:val="0"/>
        <w:adjustRightInd w:val="0"/>
        <w:spacing w:after="0"/>
        <w:textAlignment w:val="center"/>
        <w:rPr>
          <w:rFonts w:ascii="Arial" w:eastAsia="Times New Roman" w:hAnsi="Arial" w:cs="Arial"/>
          <w:sz w:val="18"/>
          <w:szCs w:val="18"/>
        </w:rPr>
      </w:pPr>
      <w:r w:rsidRPr="00735726">
        <w:rPr>
          <w:rFonts w:ascii="Arial" w:eastAsia="Times New Roman" w:hAnsi="Arial" w:cs="Arial"/>
          <w:sz w:val="18"/>
          <w:szCs w:val="18"/>
        </w:rPr>
        <w:t xml:space="preserve">reduction in expected cash tax. </w:t>
      </w:r>
      <w:proofErr w:type="gramStart"/>
      <w:r w:rsidRPr="00735726">
        <w:rPr>
          <w:rFonts w:ascii="Arial" w:eastAsia="Times New Roman" w:hAnsi="Arial" w:cs="Arial"/>
          <w:sz w:val="18"/>
          <w:szCs w:val="18"/>
        </w:rPr>
        <w:t>Consequently</w:t>
      </w:r>
      <w:proofErr w:type="gramEnd"/>
      <w:r w:rsidRPr="00735726">
        <w:rPr>
          <w:rFonts w:ascii="Arial" w:eastAsia="Times New Roman" w:hAnsi="Arial" w:cs="Arial"/>
          <w:sz w:val="18"/>
          <w:szCs w:val="18"/>
        </w:rPr>
        <w:t xml:space="preserve"> there is a deferred tax charge arising in relation to the tax relief claimed </w:t>
      </w:r>
      <w:proofErr w:type="gramStart"/>
      <w:r w:rsidRPr="00735726">
        <w:rPr>
          <w:rFonts w:ascii="Arial" w:eastAsia="Times New Roman" w:hAnsi="Arial" w:cs="Arial"/>
          <w:sz w:val="18"/>
          <w:szCs w:val="18"/>
        </w:rPr>
        <w:t>in excess of</w:t>
      </w:r>
      <w:proofErr w:type="gramEnd"/>
      <w:r w:rsidRPr="00735726">
        <w:rPr>
          <w:rFonts w:ascii="Arial" w:eastAsia="Times New Roman" w:hAnsi="Arial" w:cs="Arial"/>
          <w:sz w:val="18"/>
          <w:szCs w:val="18"/>
        </w:rPr>
        <w:t xml:space="preserve"> current year depreciation driven by additional capital allowance deductions leading to a higher deferred tax liability.</w:t>
      </w:r>
      <w:r w:rsidRPr="00735726">
        <w:rPr>
          <w:rFonts w:ascii="Arial" w:eastAsia="Times New Roman" w:hAnsi="Arial" w:cs="Arial"/>
          <w:sz w:val="18"/>
          <w:szCs w:val="18"/>
        </w:rPr>
        <w:br/>
      </w:r>
    </w:p>
    <w:p w14:paraId="784F50FD"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r w:rsidRPr="00735726">
        <w:rPr>
          <w:rFonts w:ascii="Arial" w:eastAsia="Times New Roman" w:hAnsi="Arial" w:cs="Arial"/>
          <w:sz w:val="18"/>
          <w:szCs w:val="18"/>
        </w:rPr>
        <w:t>Certain types of expenditure are not deductible for tax purposes. These types of expenditure are set out in tax legislation. The main categories of expenditure not deductible is made up of share-based payments, entertaining and other sundry items.</w:t>
      </w:r>
    </w:p>
    <w:p w14:paraId="15E3037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p>
    <w:p w14:paraId="41094C0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r w:rsidRPr="00735726">
        <w:rPr>
          <w:rFonts w:ascii="Arial" w:eastAsia="Times New Roman" w:hAnsi="Arial" w:cs="Arial"/>
          <w:sz w:val="18"/>
          <w:szCs w:val="18"/>
        </w:rPr>
        <w:t xml:space="preserve">Depreciation charged on non-qualifying assets generates a permanent adjustment which increases the tax charge. Non-qualifying assets are those which do not qualify for writing down tax allowances including certain fixed assets typically in relation to older buildings and premises where tax relief is not available. </w:t>
      </w:r>
    </w:p>
    <w:p w14:paraId="1CB70AF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p>
    <w:p w14:paraId="352CEF8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r w:rsidRPr="00735726">
        <w:rPr>
          <w:rFonts w:ascii="Arial" w:eastAsia="Times New Roman" w:hAnsi="Arial" w:cs="Arial"/>
          <w:sz w:val="18"/>
          <w:szCs w:val="18"/>
        </w:rPr>
        <w:t>Tax losses generated in the year and carried forward generate a deferred tax rather than current tax credit, hence the adjustment to current tax. When utilised, the adjustment will be reflected through a movement from deferred to current tax.</w:t>
      </w:r>
    </w:p>
    <w:p w14:paraId="17ED548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p>
    <w:p w14:paraId="06CF7929" w14:textId="4C3DFEE5"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r w:rsidRPr="00735726">
        <w:rPr>
          <w:rFonts w:ascii="Arial" w:eastAsia="Times New Roman" w:hAnsi="Arial" w:cs="Arial"/>
          <w:sz w:val="18"/>
          <w:szCs w:val="18"/>
        </w:rPr>
        <w:t xml:space="preserve">Other </w:t>
      </w:r>
      <w:r w:rsidR="00DF3496" w:rsidRPr="00735726">
        <w:rPr>
          <w:rFonts w:ascii="Arial" w:eastAsia="Times New Roman" w:hAnsi="Arial" w:cs="Arial"/>
          <w:sz w:val="18"/>
          <w:szCs w:val="18"/>
        </w:rPr>
        <w:t xml:space="preserve">temporary </w:t>
      </w:r>
      <w:r w:rsidRPr="00735726">
        <w:rPr>
          <w:rFonts w:ascii="Arial" w:eastAsia="Times New Roman" w:hAnsi="Arial" w:cs="Arial"/>
          <w:sz w:val="18"/>
          <w:szCs w:val="18"/>
        </w:rPr>
        <w:t>differences relate to the timing of relief for items including pensions, general provisions and financial derivatives. The reduction in the year relates mainly to additional pension contributions made to fund deficits in the scheme.</w:t>
      </w:r>
    </w:p>
    <w:p w14:paraId="6067D862"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p>
    <w:p w14:paraId="0AE5142D"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r w:rsidRPr="00735726">
        <w:rPr>
          <w:rFonts w:ascii="Arial" w:eastAsia="Times New Roman" w:hAnsi="Arial" w:cs="Arial"/>
          <w:sz w:val="18"/>
          <w:szCs w:val="18"/>
        </w:rPr>
        <w:t>Immediate tax relief is available in respect of capitalised interest and foreign exchange gains/losses.</w:t>
      </w:r>
    </w:p>
    <w:p w14:paraId="1143BD65"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Arial"/>
          <w:sz w:val="18"/>
          <w:szCs w:val="18"/>
        </w:rPr>
      </w:pPr>
    </w:p>
    <w:p w14:paraId="6EC5844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Arial"/>
          <w:color w:val="000000"/>
          <w:sz w:val="18"/>
          <w:szCs w:val="18"/>
        </w:rPr>
      </w:pPr>
      <w:r w:rsidRPr="00735726">
        <w:rPr>
          <w:rFonts w:ascii="Arial" w:eastAsia="Times New Roman" w:hAnsi="Arial" w:cs="Arial"/>
          <w:color w:val="000000"/>
          <w:sz w:val="18"/>
          <w:szCs w:val="18"/>
        </w:rPr>
        <w:t>In addition to the amounts recognised in the statement of profit or loss the following tax charges and credits were also recognised:</w:t>
      </w:r>
    </w:p>
    <w:tbl>
      <w:tblPr>
        <w:tblW w:w="9823" w:type="dxa"/>
        <w:tblInd w:w="8" w:type="dxa"/>
        <w:tblLayout w:type="fixed"/>
        <w:tblCellMar>
          <w:left w:w="0" w:type="dxa"/>
          <w:right w:w="0" w:type="dxa"/>
        </w:tblCellMar>
        <w:tblLook w:val="0000" w:firstRow="0" w:lastRow="0" w:firstColumn="0" w:lastColumn="0" w:noHBand="0" w:noVBand="0"/>
      </w:tblPr>
      <w:tblGrid>
        <w:gridCol w:w="7821"/>
        <w:gridCol w:w="912"/>
        <w:gridCol w:w="1090"/>
      </w:tblGrid>
      <w:tr w:rsidR="00646F4F" w:rsidRPr="00735726" w14:paraId="088B2B13" w14:textId="77777777" w:rsidTr="00CE19B2">
        <w:trPr>
          <w:trHeight w:val="57"/>
          <w:tblHeader/>
        </w:trPr>
        <w:tc>
          <w:tcPr>
            <w:tcW w:w="7821" w:type="dxa"/>
            <w:tcMar>
              <w:top w:w="11" w:type="dxa"/>
              <w:left w:w="57" w:type="dxa"/>
              <w:bottom w:w="11" w:type="dxa"/>
              <w:right w:w="57" w:type="dxa"/>
            </w:tcMar>
          </w:tcPr>
          <w:p w14:paraId="2A6FDD8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912" w:type="dxa"/>
            <w:tcMar>
              <w:top w:w="11" w:type="dxa"/>
              <w:left w:w="57" w:type="dxa"/>
              <w:bottom w:w="11" w:type="dxa"/>
              <w:right w:w="57" w:type="dxa"/>
            </w:tcMar>
          </w:tcPr>
          <w:p w14:paraId="209145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001E5C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090" w:type="dxa"/>
            <w:tcMar>
              <w:top w:w="11" w:type="dxa"/>
              <w:left w:w="57" w:type="dxa"/>
              <w:bottom w:w="11" w:type="dxa"/>
              <w:right w:w="57" w:type="dxa"/>
            </w:tcMar>
          </w:tcPr>
          <w:p w14:paraId="27E176A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0F92A9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14E13B56" w14:textId="77777777" w:rsidTr="00CE19B2">
        <w:trPr>
          <w:trHeight w:val="218"/>
        </w:trPr>
        <w:tc>
          <w:tcPr>
            <w:tcW w:w="7821" w:type="dxa"/>
            <w:tcMar>
              <w:top w:w="11" w:type="dxa"/>
              <w:left w:w="57" w:type="dxa"/>
              <w:bottom w:w="11" w:type="dxa"/>
              <w:right w:w="57" w:type="dxa"/>
            </w:tcMar>
          </w:tcPr>
          <w:p w14:paraId="5E003CA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Amounts recognised directly in other comprehensive income</w:t>
            </w:r>
          </w:p>
        </w:tc>
        <w:tc>
          <w:tcPr>
            <w:tcW w:w="912" w:type="dxa"/>
            <w:tcMar>
              <w:top w:w="11" w:type="dxa"/>
              <w:left w:w="57" w:type="dxa"/>
              <w:bottom w:w="11" w:type="dxa"/>
              <w:right w:w="57" w:type="dxa"/>
            </w:tcMar>
          </w:tcPr>
          <w:p w14:paraId="4A24FC0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090" w:type="dxa"/>
            <w:tcMar>
              <w:top w:w="11" w:type="dxa"/>
              <w:left w:w="57" w:type="dxa"/>
              <w:bottom w:w="11" w:type="dxa"/>
              <w:right w:w="57" w:type="dxa"/>
            </w:tcMar>
          </w:tcPr>
          <w:p w14:paraId="07E5C5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11FBB49A" w14:textId="77777777" w:rsidTr="00CE19B2">
        <w:trPr>
          <w:trHeight w:val="218"/>
        </w:trPr>
        <w:tc>
          <w:tcPr>
            <w:tcW w:w="7821" w:type="dxa"/>
            <w:tcMar>
              <w:top w:w="11" w:type="dxa"/>
              <w:left w:w="57" w:type="dxa"/>
              <w:bottom w:w="11" w:type="dxa"/>
              <w:right w:w="57" w:type="dxa"/>
            </w:tcMar>
          </w:tcPr>
          <w:p w14:paraId="1FAE162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28" w:name="XMETag_076cd8a71b8943138390af70bc4a2c30" w:colFirst="1" w:colLast="1"/>
            <w:bookmarkStart w:id="529" w:name="XMETag_8ec00e06806343058e63aa58deed9536" w:colFirst="2" w:colLast="2"/>
            <w:r w:rsidRPr="00735726">
              <w:rPr>
                <w:rFonts w:ascii="Arial" w:eastAsia="Times New Roman" w:hAnsi="Arial" w:cs="DINOT-Light"/>
                <w:color w:val="000000"/>
                <w:sz w:val="18"/>
                <w:szCs w:val="18"/>
              </w:rPr>
              <w:t>Deferred tax (credit)/charge on defined benefit pension schemes</w:t>
            </w:r>
          </w:p>
        </w:tc>
        <w:tc>
          <w:tcPr>
            <w:tcW w:w="912" w:type="dxa"/>
            <w:tcMar>
              <w:top w:w="11" w:type="dxa"/>
              <w:left w:w="57" w:type="dxa"/>
              <w:bottom w:w="11" w:type="dxa"/>
              <w:right w:w="57" w:type="dxa"/>
            </w:tcMar>
          </w:tcPr>
          <w:p w14:paraId="7493B93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090" w:type="dxa"/>
            <w:tcMar>
              <w:top w:w="11" w:type="dxa"/>
              <w:left w:w="57" w:type="dxa"/>
              <w:bottom w:w="11" w:type="dxa"/>
              <w:right w:w="57" w:type="dxa"/>
            </w:tcMar>
          </w:tcPr>
          <w:p w14:paraId="623478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r>
      <w:tr w:rsidR="00646F4F" w:rsidRPr="00735726" w14:paraId="31636A0A" w14:textId="77777777" w:rsidTr="00CE19B2">
        <w:trPr>
          <w:trHeight w:val="218"/>
        </w:trPr>
        <w:tc>
          <w:tcPr>
            <w:tcW w:w="7821" w:type="dxa"/>
            <w:tcMar>
              <w:top w:w="11" w:type="dxa"/>
              <w:left w:w="57" w:type="dxa"/>
              <w:bottom w:w="11" w:type="dxa"/>
              <w:right w:w="57" w:type="dxa"/>
            </w:tcMar>
          </w:tcPr>
          <w:p w14:paraId="004C3FB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30" w:name="XMETag_94fcd600cc404d9c9eb41804d0f2cebb" w:colFirst="1" w:colLast="1"/>
            <w:bookmarkStart w:id="531" w:name="XMETag_94de0724961345618ca003a260b04ccf" w:colFirst="2" w:colLast="2"/>
            <w:bookmarkEnd w:id="528"/>
            <w:bookmarkEnd w:id="529"/>
            <w:r w:rsidRPr="00735726">
              <w:rPr>
                <w:rFonts w:ascii="Arial" w:eastAsia="Times New Roman" w:hAnsi="Arial" w:cs="DINOT-Light"/>
                <w:color w:val="000000"/>
                <w:sz w:val="18"/>
                <w:szCs w:val="18"/>
              </w:rPr>
              <w:t>Deferred tax charge/(credit) on cash flow hedges</w:t>
            </w:r>
          </w:p>
        </w:tc>
        <w:tc>
          <w:tcPr>
            <w:tcW w:w="912" w:type="dxa"/>
            <w:tcMar>
              <w:top w:w="11" w:type="dxa"/>
              <w:left w:w="57" w:type="dxa"/>
              <w:bottom w:w="11" w:type="dxa"/>
              <w:right w:w="57" w:type="dxa"/>
            </w:tcMar>
          </w:tcPr>
          <w:p w14:paraId="08359C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090" w:type="dxa"/>
            <w:tcMar>
              <w:top w:w="11" w:type="dxa"/>
              <w:left w:w="57" w:type="dxa"/>
              <w:bottom w:w="11" w:type="dxa"/>
              <w:right w:w="57" w:type="dxa"/>
            </w:tcMar>
          </w:tcPr>
          <w:p w14:paraId="0BCF790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w:t>
            </w:r>
          </w:p>
        </w:tc>
      </w:tr>
      <w:bookmarkEnd w:id="530"/>
      <w:bookmarkEnd w:id="531"/>
      <w:tr w:rsidR="00646F4F" w:rsidRPr="00735726" w14:paraId="2C5C2E64" w14:textId="77777777" w:rsidTr="00CE19B2">
        <w:trPr>
          <w:trHeight w:val="218"/>
        </w:trPr>
        <w:tc>
          <w:tcPr>
            <w:tcW w:w="7821" w:type="dxa"/>
            <w:tcMar>
              <w:top w:w="11" w:type="dxa"/>
              <w:left w:w="57" w:type="dxa"/>
              <w:bottom w:w="11" w:type="dxa"/>
              <w:right w:w="57" w:type="dxa"/>
            </w:tcMar>
          </w:tcPr>
          <w:p w14:paraId="014F38F9"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912" w:type="dxa"/>
            <w:tcMar>
              <w:top w:w="11" w:type="dxa"/>
              <w:left w:w="57" w:type="dxa"/>
              <w:bottom w:w="11" w:type="dxa"/>
              <w:right w:w="57" w:type="dxa"/>
            </w:tcMar>
          </w:tcPr>
          <w:p w14:paraId="574950B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p>
        </w:tc>
        <w:tc>
          <w:tcPr>
            <w:tcW w:w="1090" w:type="dxa"/>
            <w:tcMar>
              <w:top w:w="11" w:type="dxa"/>
              <w:left w:w="57" w:type="dxa"/>
              <w:bottom w:w="11" w:type="dxa"/>
              <w:right w:w="57" w:type="dxa"/>
            </w:tcMar>
          </w:tcPr>
          <w:p w14:paraId="32A984E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bl>
    <w:p w14:paraId="676C8D10"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sz w:val="18"/>
          <w:szCs w:val="18"/>
        </w:rPr>
      </w:pPr>
      <w:r w:rsidRPr="00735726">
        <w:rPr>
          <w:rFonts w:ascii="Arial" w:eastAsia="Times New Roman" w:hAnsi="Arial" w:cs="Arial"/>
          <w:b/>
          <w:bCs/>
          <w:sz w:val="18"/>
          <w:szCs w:val="18"/>
        </w:rPr>
        <w:t>OECD Pillar Two</w:t>
      </w:r>
    </w:p>
    <w:p w14:paraId="4A6C9DBE" w14:textId="77777777" w:rsidR="00646F4F" w:rsidRPr="00735726" w:rsidRDefault="00646F4F" w:rsidP="00646F4F">
      <w:pPr>
        <w:spacing w:after="160"/>
        <w:rPr>
          <w:rFonts w:ascii="Arial" w:eastAsia="Times New Roman" w:hAnsi="Arial" w:cs="Arial"/>
          <w:sz w:val="18"/>
          <w:szCs w:val="18"/>
        </w:rPr>
      </w:pPr>
      <w:r w:rsidRPr="00735726">
        <w:rPr>
          <w:rFonts w:ascii="Arial" w:eastAsia="Times New Roman" w:hAnsi="Arial" w:cs="Arial"/>
          <w:sz w:val="18"/>
          <w:szCs w:val="18"/>
        </w:rPr>
        <w:t xml:space="preserve">Pillar Two legislation is applicable to the Company. Under the legislation, the Company will be required to pay a top-up tax on profits of its subsidiaries </w:t>
      </w:r>
      <w:proofErr w:type="gramStart"/>
      <w:r w:rsidRPr="00735726">
        <w:rPr>
          <w:rFonts w:ascii="Arial" w:eastAsia="Times New Roman" w:hAnsi="Arial" w:cs="Arial"/>
          <w:sz w:val="18"/>
          <w:szCs w:val="18"/>
        </w:rPr>
        <w:t>in order to</w:t>
      </w:r>
      <w:proofErr w:type="gramEnd"/>
      <w:r w:rsidRPr="00735726">
        <w:rPr>
          <w:rFonts w:ascii="Arial" w:eastAsia="Times New Roman" w:hAnsi="Arial" w:cs="Arial"/>
          <w:sz w:val="18"/>
          <w:szCs w:val="18"/>
        </w:rPr>
        <w:t xml:space="preserve"> ensure that these profits are taxed at a global minimum tax rate of 15%. </w:t>
      </w:r>
    </w:p>
    <w:p w14:paraId="43EC5053" w14:textId="5251DE3C"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sz w:val="18"/>
          <w:szCs w:val="18"/>
        </w:rPr>
      </w:pPr>
      <w:r w:rsidRPr="00735726">
        <w:rPr>
          <w:rFonts w:ascii="Arial" w:eastAsia="Times New Roman" w:hAnsi="Arial" w:cs="Arial"/>
          <w:sz w:val="18"/>
          <w:szCs w:val="18"/>
        </w:rPr>
        <w:t xml:space="preserve">The UK is the only jurisdiction in which the Company operates therefore an assessment of any potential Pillar Two tax exposure for </w:t>
      </w:r>
      <w:r w:rsidR="00DB0609" w:rsidRPr="00735726">
        <w:rPr>
          <w:rFonts w:ascii="Arial" w:eastAsia="Times New Roman" w:hAnsi="Arial" w:cs="Arial"/>
          <w:sz w:val="18"/>
          <w:szCs w:val="18"/>
        </w:rPr>
        <w:t>financial year 2025/</w:t>
      </w:r>
      <w:r w:rsidRPr="00735726">
        <w:rPr>
          <w:rFonts w:ascii="Arial" w:eastAsia="Times New Roman" w:hAnsi="Arial" w:cs="Arial"/>
          <w:sz w:val="18"/>
          <w:szCs w:val="18"/>
        </w:rPr>
        <w:t xml:space="preserve">26 has been performed focusing on the application of the UK domestic top-up tax rules. The assessment performed by the Company, in line with UK legislation, is based on country-by-country reporting principles and financial statements information for </w:t>
      </w:r>
      <w:r w:rsidR="00DB0609" w:rsidRPr="00735726">
        <w:rPr>
          <w:rFonts w:ascii="Arial" w:eastAsia="Times New Roman" w:hAnsi="Arial" w:cs="Arial"/>
          <w:sz w:val="18"/>
          <w:szCs w:val="18"/>
        </w:rPr>
        <w:t>financial year 2025/</w:t>
      </w:r>
      <w:r w:rsidRPr="00735726">
        <w:rPr>
          <w:rFonts w:ascii="Arial" w:eastAsia="Times New Roman" w:hAnsi="Arial" w:cs="Arial"/>
          <w:sz w:val="18"/>
          <w:szCs w:val="18"/>
        </w:rPr>
        <w:t>26. Based on that information, the UK is expected to meet the conditions of the transitional safe harbours such that no top-up tax arises. The Company is continuing to assess the impact of the Pillar Two income taxes legislation and related updates on its future financial</w:t>
      </w:r>
      <w:r w:rsidR="00DF3496" w:rsidRPr="00735726">
        <w:rPr>
          <w:rFonts w:ascii="Arial" w:eastAsia="Times New Roman" w:hAnsi="Arial" w:cs="Arial"/>
          <w:sz w:val="18"/>
          <w:szCs w:val="18"/>
        </w:rPr>
        <w:t xml:space="preserve"> </w:t>
      </w:r>
      <w:r w:rsidRPr="00735726">
        <w:rPr>
          <w:rFonts w:ascii="Arial" w:eastAsia="Times New Roman" w:hAnsi="Arial" w:cs="Arial"/>
          <w:sz w:val="18"/>
          <w:szCs w:val="18"/>
        </w:rPr>
        <w:t>performance.</w:t>
      </w:r>
    </w:p>
    <w:p w14:paraId="5BD252DF"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sz w:val="18"/>
          <w:szCs w:val="18"/>
        </w:rPr>
      </w:pPr>
    </w:p>
    <w:p w14:paraId="2EC2233C"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sz w:val="18"/>
          <w:szCs w:val="18"/>
        </w:rPr>
      </w:pPr>
    </w:p>
    <w:p w14:paraId="68CE6FB0" w14:textId="77777777" w:rsidR="00646F4F" w:rsidRPr="00735726" w:rsidRDefault="00646F4F" w:rsidP="00646F4F">
      <w:pPr>
        <w:spacing w:after="160"/>
        <w:rPr>
          <w:rFonts w:ascii="Arial" w:eastAsia="Times New Roman" w:hAnsi="Arial" w:cs="Arial"/>
          <w:b/>
          <w:bCs/>
          <w:color w:val="000000"/>
          <w:sz w:val="18"/>
          <w:szCs w:val="18"/>
        </w:rPr>
      </w:pPr>
    </w:p>
    <w:p w14:paraId="529FAA4C" w14:textId="77777777" w:rsidR="00646F4F" w:rsidRPr="00735726" w:rsidRDefault="00646F4F" w:rsidP="00646F4F">
      <w:pPr>
        <w:spacing w:after="160"/>
        <w:rPr>
          <w:rFonts w:ascii="Arial" w:eastAsia="Times New Roman" w:hAnsi="Arial" w:cs="Arial"/>
          <w:b/>
          <w:bCs/>
          <w:color w:val="000000"/>
          <w:sz w:val="18"/>
          <w:szCs w:val="18"/>
        </w:rPr>
      </w:pPr>
    </w:p>
    <w:p w14:paraId="4F980D78" w14:textId="77777777" w:rsidR="00D61316" w:rsidRPr="00735726" w:rsidRDefault="00D61316" w:rsidP="00646F4F">
      <w:pPr>
        <w:spacing w:after="160"/>
        <w:rPr>
          <w:rFonts w:ascii="Arial" w:eastAsia="Times New Roman" w:hAnsi="Arial" w:cs="Arial"/>
          <w:b/>
          <w:bCs/>
          <w:color w:val="000000"/>
          <w:sz w:val="18"/>
          <w:szCs w:val="18"/>
        </w:rPr>
      </w:pPr>
    </w:p>
    <w:p w14:paraId="52550D02" w14:textId="77777777" w:rsidR="00646F4F" w:rsidRPr="00735726" w:rsidRDefault="00646F4F" w:rsidP="00646F4F">
      <w:pPr>
        <w:spacing w:after="160"/>
        <w:rPr>
          <w:rFonts w:ascii="Arial" w:eastAsia="Times New Roman" w:hAnsi="Arial" w:cs="Arial"/>
          <w:b/>
          <w:bCs/>
          <w:color w:val="000000"/>
          <w:sz w:val="18"/>
          <w:szCs w:val="18"/>
        </w:rPr>
      </w:pPr>
    </w:p>
    <w:p w14:paraId="23E0F90B" w14:textId="77777777" w:rsidR="00646F4F" w:rsidRPr="00735726" w:rsidRDefault="00646F4F" w:rsidP="00646F4F">
      <w:pPr>
        <w:spacing w:after="16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10.</w:t>
      </w:r>
      <w:r w:rsidRPr="00735726">
        <w:rPr>
          <w:rFonts w:ascii="Arial" w:eastAsia="Times New Roman" w:hAnsi="Arial" w:cs="Arial"/>
          <w:b/>
          <w:bCs/>
          <w:caps/>
          <w:color w:val="000000"/>
          <w:sz w:val="18"/>
          <w:szCs w:val="18"/>
        </w:rPr>
        <w:tab/>
        <w:t>Dividends</w:t>
      </w:r>
    </w:p>
    <w:tbl>
      <w:tblPr>
        <w:tblpPr w:leftFromText="180" w:rightFromText="180" w:vertAnchor="text" w:tblpX="8" w:tblpY="1"/>
        <w:tblOverlap w:val="never"/>
        <w:tblW w:w="9863" w:type="dxa"/>
        <w:tblLayout w:type="fixed"/>
        <w:tblCellMar>
          <w:left w:w="0" w:type="dxa"/>
          <w:right w:w="0" w:type="dxa"/>
        </w:tblCellMar>
        <w:tblLook w:val="0000" w:firstRow="0" w:lastRow="0" w:firstColumn="0" w:lastColumn="0" w:noHBand="0" w:noVBand="0"/>
      </w:tblPr>
      <w:tblGrid>
        <w:gridCol w:w="7809"/>
        <w:gridCol w:w="958"/>
        <w:gridCol w:w="1096"/>
      </w:tblGrid>
      <w:tr w:rsidR="00646F4F" w:rsidRPr="00735726" w14:paraId="0C52E1ED" w14:textId="77777777" w:rsidTr="00CE19B2">
        <w:trPr>
          <w:trHeight w:val="57"/>
          <w:tblHeader/>
        </w:trPr>
        <w:tc>
          <w:tcPr>
            <w:tcW w:w="7809" w:type="dxa"/>
            <w:tcMar>
              <w:top w:w="11" w:type="dxa"/>
              <w:left w:w="57" w:type="dxa"/>
              <w:bottom w:w="11" w:type="dxa"/>
              <w:right w:w="57" w:type="dxa"/>
            </w:tcMar>
          </w:tcPr>
          <w:p w14:paraId="08BEE361"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958" w:type="dxa"/>
            <w:tcMar>
              <w:top w:w="11" w:type="dxa"/>
              <w:left w:w="57" w:type="dxa"/>
              <w:bottom w:w="11" w:type="dxa"/>
              <w:right w:w="57" w:type="dxa"/>
            </w:tcMar>
          </w:tcPr>
          <w:p w14:paraId="1E25C58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2A18666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096" w:type="dxa"/>
          </w:tcPr>
          <w:p w14:paraId="051C348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618466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7D5FD665" w14:textId="77777777" w:rsidTr="00CE19B2">
        <w:trPr>
          <w:trHeight w:val="221"/>
        </w:trPr>
        <w:tc>
          <w:tcPr>
            <w:tcW w:w="7809" w:type="dxa"/>
            <w:tcMar>
              <w:top w:w="11" w:type="dxa"/>
              <w:left w:w="57" w:type="dxa"/>
              <w:bottom w:w="11" w:type="dxa"/>
              <w:right w:w="57" w:type="dxa"/>
            </w:tcMar>
          </w:tcPr>
          <w:p w14:paraId="62B1ED27" w14:textId="7777777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Amounts recognised as distributions to equity holders in the year:</w:t>
            </w:r>
          </w:p>
        </w:tc>
        <w:tc>
          <w:tcPr>
            <w:tcW w:w="958" w:type="dxa"/>
            <w:tcMar>
              <w:top w:w="11" w:type="dxa"/>
              <w:left w:w="57" w:type="dxa"/>
              <w:bottom w:w="11" w:type="dxa"/>
              <w:right w:w="57" w:type="dxa"/>
            </w:tcMar>
          </w:tcPr>
          <w:p w14:paraId="5EE3E9E0" w14:textId="77777777" w:rsidR="00646F4F" w:rsidRPr="00735726" w:rsidRDefault="00646F4F" w:rsidP="00CE19B2">
            <w:pPr>
              <w:widowControl w:val="0"/>
              <w:suppressAutoHyphens/>
              <w:autoSpaceDE w:val="0"/>
              <w:autoSpaceDN w:val="0"/>
              <w:adjustRightInd w:val="0"/>
              <w:spacing w:after="0"/>
              <w:jc w:val="right"/>
              <w:textAlignment w:val="center"/>
              <w:rPr>
                <w:rFonts w:ascii="Arial" w:eastAsia="Times New Roman" w:hAnsi="Arial" w:cs="DINOT-Light"/>
                <w:color w:val="000000"/>
                <w:sz w:val="18"/>
                <w:szCs w:val="18"/>
              </w:rPr>
            </w:pPr>
          </w:p>
        </w:tc>
        <w:tc>
          <w:tcPr>
            <w:tcW w:w="1096" w:type="dxa"/>
          </w:tcPr>
          <w:p w14:paraId="6890281D" w14:textId="77777777" w:rsidR="00646F4F" w:rsidRPr="00735726" w:rsidRDefault="00646F4F" w:rsidP="00CE19B2">
            <w:pPr>
              <w:widowControl w:val="0"/>
              <w:suppressAutoHyphens/>
              <w:autoSpaceDE w:val="0"/>
              <w:autoSpaceDN w:val="0"/>
              <w:adjustRightInd w:val="0"/>
              <w:spacing w:after="0"/>
              <w:jc w:val="right"/>
              <w:textAlignment w:val="center"/>
              <w:rPr>
                <w:rFonts w:ascii="Arial" w:eastAsia="Times New Roman" w:hAnsi="Arial" w:cs="DINOT-Light"/>
                <w:color w:val="000000"/>
                <w:sz w:val="18"/>
                <w:szCs w:val="18"/>
              </w:rPr>
            </w:pPr>
          </w:p>
        </w:tc>
      </w:tr>
      <w:tr w:rsidR="00646F4F" w:rsidRPr="00735726" w14:paraId="2A72BB3B" w14:textId="77777777" w:rsidTr="00CE19B2">
        <w:trPr>
          <w:trHeight w:val="221"/>
        </w:trPr>
        <w:tc>
          <w:tcPr>
            <w:tcW w:w="7809" w:type="dxa"/>
            <w:tcMar>
              <w:top w:w="11" w:type="dxa"/>
              <w:left w:w="57" w:type="dxa"/>
              <w:bottom w:w="11" w:type="dxa"/>
              <w:right w:w="57" w:type="dxa"/>
            </w:tcMar>
          </w:tcPr>
          <w:p w14:paraId="60B0D62D" w14:textId="77777777" w:rsidR="00646F4F" w:rsidRPr="00735726" w:rsidRDefault="00646F4F" w:rsidP="00CE19B2">
            <w:pPr>
              <w:widowControl w:val="0"/>
              <w:suppressAutoHyphens/>
              <w:autoSpaceDE w:val="0"/>
              <w:autoSpaceDN w:val="0"/>
              <w:adjustRightInd w:val="0"/>
              <w:spacing w:after="0" w:line="360" w:lineRule="auto"/>
              <w:textAlignment w:val="center"/>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Declared and approved:</w:t>
            </w:r>
          </w:p>
        </w:tc>
        <w:tc>
          <w:tcPr>
            <w:tcW w:w="958" w:type="dxa"/>
            <w:tcMar>
              <w:top w:w="11" w:type="dxa"/>
              <w:left w:w="57" w:type="dxa"/>
              <w:bottom w:w="11" w:type="dxa"/>
              <w:right w:w="57" w:type="dxa"/>
            </w:tcMar>
          </w:tcPr>
          <w:p w14:paraId="7B15755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096" w:type="dxa"/>
          </w:tcPr>
          <w:p w14:paraId="01440B5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3C11E024" w14:textId="77777777" w:rsidTr="00CE19B2">
        <w:trPr>
          <w:trHeight w:val="221"/>
        </w:trPr>
        <w:tc>
          <w:tcPr>
            <w:tcW w:w="7809" w:type="dxa"/>
            <w:tcMar>
              <w:top w:w="11" w:type="dxa"/>
              <w:left w:w="57" w:type="dxa"/>
              <w:bottom w:w="11" w:type="dxa"/>
              <w:right w:w="57" w:type="dxa"/>
            </w:tcMar>
          </w:tcPr>
          <w:p w14:paraId="0E857EA2" w14:textId="77777777" w:rsidR="00646F4F" w:rsidRPr="009A2CAE" w:rsidRDefault="00646F4F" w:rsidP="00CE19B2">
            <w:pPr>
              <w:widowControl w:val="0"/>
              <w:suppressAutoHyphens/>
              <w:autoSpaceDE w:val="0"/>
              <w:autoSpaceDN w:val="0"/>
              <w:adjustRightInd w:val="0"/>
              <w:spacing w:after="0" w:line="360" w:lineRule="auto"/>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Declared dividend of 20.0p per ordinary share in respect of 2024/25</w:t>
            </w:r>
          </w:p>
        </w:tc>
        <w:tc>
          <w:tcPr>
            <w:tcW w:w="958" w:type="dxa"/>
            <w:tcMar>
              <w:top w:w="11" w:type="dxa"/>
              <w:left w:w="57" w:type="dxa"/>
              <w:bottom w:w="11" w:type="dxa"/>
              <w:right w:w="57" w:type="dxa"/>
            </w:tcMar>
          </w:tcPr>
          <w:p w14:paraId="3257D4A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125.0</w:t>
            </w:r>
          </w:p>
        </w:tc>
        <w:tc>
          <w:tcPr>
            <w:tcW w:w="1096" w:type="dxa"/>
          </w:tcPr>
          <w:p w14:paraId="6E86951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r>
      <w:tr w:rsidR="00646F4F" w:rsidRPr="00735726" w14:paraId="0BC152B1" w14:textId="77777777" w:rsidTr="00CE19B2">
        <w:trPr>
          <w:trHeight w:val="221"/>
        </w:trPr>
        <w:tc>
          <w:tcPr>
            <w:tcW w:w="7809" w:type="dxa"/>
            <w:tcMar>
              <w:top w:w="11" w:type="dxa"/>
              <w:left w:w="57" w:type="dxa"/>
              <w:bottom w:w="11" w:type="dxa"/>
              <w:right w:w="57" w:type="dxa"/>
            </w:tcMar>
          </w:tcPr>
          <w:p w14:paraId="14D0AC68" w14:textId="77777777" w:rsidR="00646F4F" w:rsidRPr="009A2CAE" w:rsidRDefault="00646F4F" w:rsidP="00CE19B2">
            <w:pPr>
              <w:widowControl w:val="0"/>
              <w:suppressAutoHyphens/>
              <w:autoSpaceDE w:val="0"/>
              <w:autoSpaceDN w:val="0"/>
              <w:adjustRightInd w:val="0"/>
              <w:spacing w:after="0" w:line="360" w:lineRule="auto"/>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Declared dividend of 12.0p per ordinary share in respect of 2025/26</w:t>
            </w:r>
          </w:p>
        </w:tc>
        <w:tc>
          <w:tcPr>
            <w:tcW w:w="958" w:type="dxa"/>
            <w:tcMar>
              <w:top w:w="11" w:type="dxa"/>
              <w:left w:w="57" w:type="dxa"/>
              <w:bottom w:w="11" w:type="dxa"/>
              <w:right w:w="57" w:type="dxa"/>
            </w:tcMar>
          </w:tcPr>
          <w:p w14:paraId="2472D7C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75.0</w:t>
            </w:r>
          </w:p>
        </w:tc>
        <w:tc>
          <w:tcPr>
            <w:tcW w:w="1096" w:type="dxa"/>
          </w:tcPr>
          <w:p w14:paraId="64CC46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r>
      <w:tr w:rsidR="00646F4F" w:rsidRPr="00735726" w14:paraId="4F9D51EB" w14:textId="77777777" w:rsidTr="00CE19B2">
        <w:trPr>
          <w:trHeight w:val="221"/>
        </w:trPr>
        <w:tc>
          <w:tcPr>
            <w:tcW w:w="7809" w:type="dxa"/>
            <w:tcMar>
              <w:top w:w="11" w:type="dxa"/>
              <w:left w:w="57" w:type="dxa"/>
              <w:bottom w:w="11" w:type="dxa"/>
              <w:right w:w="57" w:type="dxa"/>
            </w:tcMar>
          </w:tcPr>
          <w:p w14:paraId="128E07FA"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532" w:name="XMETag_0aff0c8a086b40bb9ae5c75a85e9ed52" w:colFirst="1" w:colLast="1"/>
            <w:bookmarkStart w:id="533" w:name="XMETag_01b908e1e38d48d6a94eb895bd4b6907" w:colFirst="2" w:colLast="2"/>
          </w:p>
        </w:tc>
        <w:tc>
          <w:tcPr>
            <w:tcW w:w="958" w:type="dxa"/>
            <w:tcBorders>
              <w:top w:val="single" w:sz="4" w:space="0" w:color="auto"/>
              <w:bottom w:val="single" w:sz="4" w:space="0" w:color="auto"/>
            </w:tcBorders>
            <w:tcMar>
              <w:top w:w="11" w:type="dxa"/>
              <w:left w:w="57" w:type="dxa"/>
              <w:bottom w:w="11" w:type="dxa"/>
              <w:right w:w="57" w:type="dxa"/>
            </w:tcMar>
          </w:tcPr>
          <w:p w14:paraId="6DD4B3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200.0</w:t>
            </w:r>
          </w:p>
        </w:tc>
        <w:tc>
          <w:tcPr>
            <w:tcW w:w="1096" w:type="dxa"/>
            <w:tcBorders>
              <w:top w:val="single" w:sz="4" w:space="0" w:color="auto"/>
              <w:bottom w:val="single" w:sz="4" w:space="0" w:color="auto"/>
            </w:tcBorders>
          </w:tcPr>
          <w:p w14:paraId="13FF99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r>
      <w:bookmarkEnd w:id="532"/>
      <w:bookmarkEnd w:id="533"/>
    </w:tbl>
    <w:p w14:paraId="615C71B2"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365E2F1B" w14:textId="77777777" w:rsidR="003B49C3" w:rsidRPr="00735726" w:rsidRDefault="003B49C3" w:rsidP="003B49C3">
      <w:pPr>
        <w:rPr>
          <w:rFonts w:ascii="Arial" w:hAnsi="Arial" w:cs="Arial"/>
          <w:sz w:val="18"/>
          <w:szCs w:val="18"/>
        </w:rPr>
      </w:pPr>
      <w:r w:rsidRPr="00735726">
        <w:rPr>
          <w:rFonts w:ascii="Arial" w:hAnsi="Arial" w:cs="Arial"/>
          <w:sz w:val="18"/>
          <w:szCs w:val="18"/>
        </w:rPr>
        <w:t>On 4 July 2025 a dividend of 20.0p per share, totalling £125.0 million, in respect of 2024/25 was approved by the Board. On 27 March 2026 a dividend of 12.0p per share, totalling £75.0 million, in respect of 2025/26 was approved by the Board.</w:t>
      </w:r>
    </w:p>
    <w:p w14:paraId="5641EA43" w14:textId="77777777" w:rsidR="003B49C3" w:rsidRPr="00735726" w:rsidRDefault="003B49C3" w:rsidP="003B49C3">
      <w:pPr>
        <w:rPr>
          <w:rFonts w:ascii="Arial" w:hAnsi="Arial" w:cs="Arial"/>
          <w:sz w:val="18"/>
          <w:szCs w:val="18"/>
        </w:rPr>
      </w:pPr>
      <w:r w:rsidRPr="00735726">
        <w:rPr>
          <w:rFonts w:ascii="Arial" w:hAnsi="Arial" w:cs="Arial"/>
          <w:sz w:val="18"/>
          <w:szCs w:val="18"/>
        </w:rPr>
        <w:t>Dividends of £75.0 million were paid to the parent undertaking in the year (2025: £nil).</w:t>
      </w:r>
    </w:p>
    <w:p w14:paraId="39C4E2CF" w14:textId="77777777" w:rsidR="003B49C3" w:rsidRPr="00735726" w:rsidRDefault="003B49C3" w:rsidP="003B49C3">
      <w:r w:rsidRPr="00735726">
        <w:rPr>
          <w:rFonts w:ascii="Arial" w:eastAsia="Times New Roman" w:hAnsi="Arial" w:cs="DINOT-Light"/>
          <w:color w:val="000000"/>
          <w:sz w:val="18"/>
          <w:szCs w:val="18"/>
        </w:rPr>
        <w:t>£170.0 million of unpaid dividends are recognised within amounts owed to parent undertaking (2025: £45.0 million).</w:t>
      </w:r>
    </w:p>
    <w:p w14:paraId="58FC6F88"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11.</w:t>
      </w:r>
      <w:r w:rsidRPr="00735726">
        <w:rPr>
          <w:rFonts w:ascii="Arial" w:eastAsia="Times New Roman" w:hAnsi="Arial" w:cs="Arial"/>
          <w:b/>
          <w:bCs/>
          <w:caps/>
          <w:color w:val="000000"/>
          <w:sz w:val="18"/>
          <w:szCs w:val="18"/>
        </w:rPr>
        <w:tab/>
        <w:t>Employment costs</w:t>
      </w:r>
    </w:p>
    <w:tbl>
      <w:tblPr>
        <w:tblW w:w="9816" w:type="dxa"/>
        <w:tblInd w:w="8" w:type="dxa"/>
        <w:tblLayout w:type="fixed"/>
        <w:tblCellMar>
          <w:left w:w="0" w:type="dxa"/>
          <w:right w:w="0" w:type="dxa"/>
        </w:tblCellMar>
        <w:tblLook w:val="0000" w:firstRow="0" w:lastRow="0" w:firstColumn="0" w:lastColumn="0" w:noHBand="0" w:noVBand="0"/>
      </w:tblPr>
      <w:tblGrid>
        <w:gridCol w:w="6456"/>
        <w:gridCol w:w="1108"/>
        <w:gridCol w:w="1144"/>
        <w:gridCol w:w="1108"/>
      </w:tblGrid>
      <w:tr w:rsidR="00646F4F" w:rsidRPr="00735726" w14:paraId="15921855" w14:textId="77777777" w:rsidTr="00CE19B2">
        <w:trPr>
          <w:trHeight w:val="551"/>
          <w:tblHeader/>
        </w:trPr>
        <w:tc>
          <w:tcPr>
            <w:tcW w:w="6456" w:type="dxa"/>
            <w:tcMar>
              <w:top w:w="11" w:type="dxa"/>
              <w:left w:w="57" w:type="dxa"/>
              <w:bottom w:w="11" w:type="dxa"/>
              <w:right w:w="57" w:type="dxa"/>
            </w:tcMar>
          </w:tcPr>
          <w:p w14:paraId="674F90CA"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08" w:type="dxa"/>
            <w:tcMar>
              <w:top w:w="11" w:type="dxa"/>
              <w:left w:w="57" w:type="dxa"/>
              <w:bottom w:w="11" w:type="dxa"/>
              <w:right w:w="57" w:type="dxa"/>
            </w:tcMar>
          </w:tcPr>
          <w:p w14:paraId="72729429"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30AACF9F"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w:t>
            </w:r>
          </w:p>
        </w:tc>
        <w:tc>
          <w:tcPr>
            <w:tcW w:w="1144" w:type="dxa"/>
            <w:tcMar>
              <w:top w:w="11" w:type="dxa"/>
              <w:left w:w="57" w:type="dxa"/>
              <w:bottom w:w="11" w:type="dxa"/>
              <w:right w:w="57" w:type="dxa"/>
            </w:tcMar>
          </w:tcPr>
          <w:p w14:paraId="23EBE1C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2B42438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08" w:type="dxa"/>
            <w:tcMar>
              <w:top w:w="11" w:type="dxa"/>
              <w:left w:w="57" w:type="dxa"/>
              <w:bottom w:w="11" w:type="dxa"/>
              <w:right w:w="57" w:type="dxa"/>
            </w:tcMar>
          </w:tcPr>
          <w:p w14:paraId="282636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5CF3F1D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6781377A" w14:textId="77777777" w:rsidTr="00CE19B2">
        <w:trPr>
          <w:trHeight w:val="221"/>
        </w:trPr>
        <w:tc>
          <w:tcPr>
            <w:tcW w:w="6456" w:type="dxa"/>
            <w:tcMar>
              <w:top w:w="11" w:type="dxa"/>
              <w:left w:w="57" w:type="dxa"/>
              <w:bottom w:w="11" w:type="dxa"/>
              <w:right w:w="57" w:type="dxa"/>
            </w:tcMar>
          </w:tcPr>
          <w:p w14:paraId="20BC2A1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534" w:name="XMETag_ee7510c9c46341ecb9c532c7eb49d176" w:colFirst="2" w:colLast="2"/>
            <w:bookmarkStart w:id="535" w:name="XMETag_ef759f8d18f847ce8aa1fe6da4dbebc8" w:colFirst="3" w:colLast="3"/>
            <w:r w:rsidRPr="00735726">
              <w:rPr>
                <w:rFonts w:ascii="Arial" w:eastAsia="Times New Roman" w:hAnsi="Arial" w:cs="DINOT-Light"/>
                <w:sz w:val="18"/>
                <w:szCs w:val="18"/>
              </w:rPr>
              <w:t>Wages and salaries</w:t>
            </w:r>
          </w:p>
        </w:tc>
        <w:tc>
          <w:tcPr>
            <w:tcW w:w="1108" w:type="dxa"/>
            <w:tcMar>
              <w:top w:w="11" w:type="dxa"/>
              <w:left w:w="57" w:type="dxa"/>
              <w:bottom w:w="11" w:type="dxa"/>
              <w:right w:w="57" w:type="dxa"/>
            </w:tcMar>
          </w:tcPr>
          <w:p w14:paraId="6DA719C1"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1144" w:type="dxa"/>
            <w:tcMar>
              <w:top w:w="11" w:type="dxa"/>
              <w:left w:w="57" w:type="dxa"/>
              <w:bottom w:w="11" w:type="dxa"/>
              <w:right w:w="57" w:type="dxa"/>
            </w:tcMar>
          </w:tcPr>
          <w:p w14:paraId="3E93EECF" w14:textId="23657E24" w:rsidR="00646F4F" w:rsidRPr="00735726" w:rsidRDefault="003B5CB3"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124.1</w:t>
            </w:r>
          </w:p>
        </w:tc>
        <w:tc>
          <w:tcPr>
            <w:tcW w:w="1108" w:type="dxa"/>
            <w:tcMar>
              <w:top w:w="11" w:type="dxa"/>
              <w:left w:w="57" w:type="dxa"/>
              <w:bottom w:w="11" w:type="dxa"/>
              <w:right w:w="57" w:type="dxa"/>
            </w:tcMar>
          </w:tcPr>
          <w:p w14:paraId="4C3D52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127.9</w:t>
            </w:r>
          </w:p>
        </w:tc>
      </w:tr>
      <w:tr w:rsidR="00646F4F" w:rsidRPr="00735726" w14:paraId="5DDC700B" w14:textId="77777777" w:rsidTr="00CE19B2">
        <w:trPr>
          <w:trHeight w:val="221"/>
        </w:trPr>
        <w:tc>
          <w:tcPr>
            <w:tcW w:w="6456" w:type="dxa"/>
            <w:tcMar>
              <w:top w:w="11" w:type="dxa"/>
              <w:left w:w="57" w:type="dxa"/>
              <w:bottom w:w="11" w:type="dxa"/>
              <w:right w:w="57" w:type="dxa"/>
            </w:tcMar>
          </w:tcPr>
          <w:p w14:paraId="633A281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536" w:name="XMETag_1964f40911f6496f9367e8e2af00f138" w:colFirst="2" w:colLast="2"/>
            <w:bookmarkStart w:id="537" w:name="XMETag_c779ca0862db4b3d8dfa36094c1422f9" w:colFirst="3" w:colLast="3"/>
            <w:bookmarkEnd w:id="534"/>
            <w:bookmarkEnd w:id="535"/>
            <w:r w:rsidRPr="00735726">
              <w:rPr>
                <w:rFonts w:ascii="Arial" w:eastAsia="Times New Roman" w:hAnsi="Arial" w:cs="DINOT-Light"/>
                <w:sz w:val="18"/>
                <w:szCs w:val="18"/>
              </w:rPr>
              <w:t>Social security costs</w:t>
            </w:r>
          </w:p>
        </w:tc>
        <w:tc>
          <w:tcPr>
            <w:tcW w:w="1108" w:type="dxa"/>
            <w:tcMar>
              <w:top w:w="11" w:type="dxa"/>
              <w:left w:w="57" w:type="dxa"/>
              <w:bottom w:w="11" w:type="dxa"/>
              <w:right w:w="57" w:type="dxa"/>
            </w:tcMar>
          </w:tcPr>
          <w:p w14:paraId="49212CAF"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1144" w:type="dxa"/>
            <w:tcMar>
              <w:top w:w="11" w:type="dxa"/>
              <w:left w:w="57" w:type="dxa"/>
              <w:bottom w:w="11" w:type="dxa"/>
              <w:right w:w="57" w:type="dxa"/>
            </w:tcMar>
          </w:tcPr>
          <w:p w14:paraId="18BC1B1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15.8</w:t>
            </w:r>
          </w:p>
        </w:tc>
        <w:tc>
          <w:tcPr>
            <w:tcW w:w="1108" w:type="dxa"/>
            <w:tcMar>
              <w:top w:w="11" w:type="dxa"/>
              <w:left w:w="57" w:type="dxa"/>
              <w:bottom w:w="11" w:type="dxa"/>
              <w:right w:w="57" w:type="dxa"/>
            </w:tcMar>
          </w:tcPr>
          <w:p w14:paraId="036893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12.3</w:t>
            </w:r>
          </w:p>
        </w:tc>
      </w:tr>
      <w:tr w:rsidR="00646F4F" w:rsidRPr="00735726" w14:paraId="44F2F0FF" w14:textId="77777777" w:rsidTr="00CE19B2">
        <w:trPr>
          <w:trHeight w:val="221"/>
        </w:trPr>
        <w:tc>
          <w:tcPr>
            <w:tcW w:w="6456" w:type="dxa"/>
            <w:tcMar>
              <w:top w:w="11" w:type="dxa"/>
              <w:left w:w="57" w:type="dxa"/>
              <w:bottom w:w="11" w:type="dxa"/>
              <w:right w:w="57" w:type="dxa"/>
            </w:tcMar>
          </w:tcPr>
          <w:p w14:paraId="6CC3384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538" w:name="XMETag_ce5f630b9cc1411f9261ac500ab627d4" w:colFirst="2" w:colLast="2"/>
            <w:bookmarkStart w:id="539" w:name="XMETag_6e7d092b479c45f981bfa17c44fd9a8e" w:colFirst="3" w:colLast="3"/>
            <w:bookmarkEnd w:id="536"/>
            <w:bookmarkEnd w:id="537"/>
            <w:r w:rsidRPr="00735726">
              <w:rPr>
                <w:rFonts w:ascii="Arial" w:eastAsia="Times New Roman" w:hAnsi="Arial" w:cs="DINOT-Light"/>
                <w:sz w:val="18"/>
                <w:szCs w:val="18"/>
              </w:rPr>
              <w:t xml:space="preserve">Pension costs </w:t>
            </w:r>
          </w:p>
        </w:tc>
        <w:tc>
          <w:tcPr>
            <w:tcW w:w="1108" w:type="dxa"/>
            <w:tcMar>
              <w:top w:w="11" w:type="dxa"/>
              <w:left w:w="57" w:type="dxa"/>
              <w:bottom w:w="11" w:type="dxa"/>
              <w:right w:w="57" w:type="dxa"/>
            </w:tcMar>
          </w:tcPr>
          <w:p w14:paraId="1853C7CE" w14:textId="345D0E90"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r w:rsidRPr="009A2CAE">
              <w:rPr>
                <w:rFonts w:ascii="Arial" w:eastAsia="Times New Roman" w:hAnsi="Arial" w:cs="DINOT-Light"/>
                <w:sz w:val="18"/>
                <w:szCs w:val="18"/>
              </w:rPr>
              <w:t>2</w:t>
            </w:r>
            <w:r w:rsidR="00DB0609" w:rsidRPr="009A2CAE">
              <w:rPr>
                <w:rFonts w:ascii="Arial" w:eastAsia="Times New Roman" w:hAnsi="Arial" w:cs="DINOT-Light"/>
                <w:sz w:val="18"/>
                <w:szCs w:val="18"/>
              </w:rPr>
              <w:t>5</w:t>
            </w:r>
          </w:p>
        </w:tc>
        <w:tc>
          <w:tcPr>
            <w:tcW w:w="1144" w:type="dxa"/>
            <w:tcMar>
              <w:top w:w="11" w:type="dxa"/>
              <w:left w:w="57" w:type="dxa"/>
              <w:bottom w:w="11" w:type="dxa"/>
              <w:right w:w="57" w:type="dxa"/>
            </w:tcMar>
          </w:tcPr>
          <w:p w14:paraId="6124D79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11.5</w:t>
            </w:r>
          </w:p>
        </w:tc>
        <w:tc>
          <w:tcPr>
            <w:tcW w:w="1108" w:type="dxa"/>
            <w:tcMar>
              <w:top w:w="11" w:type="dxa"/>
              <w:left w:w="57" w:type="dxa"/>
              <w:bottom w:w="11" w:type="dxa"/>
              <w:right w:w="57" w:type="dxa"/>
            </w:tcMar>
          </w:tcPr>
          <w:p w14:paraId="5D70A1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11.6</w:t>
            </w:r>
          </w:p>
        </w:tc>
      </w:tr>
      <w:tr w:rsidR="00646F4F" w:rsidRPr="00735726" w14:paraId="619AAED0" w14:textId="77777777" w:rsidTr="00CE19B2">
        <w:trPr>
          <w:trHeight w:val="221"/>
        </w:trPr>
        <w:tc>
          <w:tcPr>
            <w:tcW w:w="6456" w:type="dxa"/>
            <w:tcMar>
              <w:top w:w="11" w:type="dxa"/>
              <w:left w:w="57" w:type="dxa"/>
              <w:bottom w:w="11" w:type="dxa"/>
              <w:right w:w="57" w:type="dxa"/>
            </w:tcMar>
          </w:tcPr>
          <w:p w14:paraId="37143EC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540" w:name="XMETag_1745115cd96443b7a7750d90b310bfc3" w:colFirst="2" w:colLast="2"/>
            <w:bookmarkStart w:id="541" w:name="XMETag_962785fcdbf44d9296c17d8faab31603" w:colFirst="3" w:colLast="3"/>
            <w:bookmarkEnd w:id="538"/>
            <w:bookmarkEnd w:id="539"/>
            <w:r w:rsidRPr="00735726">
              <w:rPr>
                <w:rFonts w:ascii="Arial" w:eastAsia="Times New Roman" w:hAnsi="Arial" w:cs="DINOT-Light"/>
                <w:sz w:val="18"/>
                <w:szCs w:val="18"/>
              </w:rPr>
              <w:t>Share-based payments</w:t>
            </w:r>
          </w:p>
        </w:tc>
        <w:tc>
          <w:tcPr>
            <w:tcW w:w="1108" w:type="dxa"/>
            <w:tcMar>
              <w:top w:w="11" w:type="dxa"/>
              <w:left w:w="57" w:type="dxa"/>
              <w:bottom w:w="11" w:type="dxa"/>
              <w:right w:w="57" w:type="dxa"/>
            </w:tcMar>
          </w:tcPr>
          <w:p w14:paraId="1EB83CF8"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1144" w:type="dxa"/>
            <w:tcBorders>
              <w:bottom w:val="single" w:sz="4" w:space="0" w:color="auto"/>
            </w:tcBorders>
            <w:tcMar>
              <w:top w:w="11" w:type="dxa"/>
              <w:left w:w="57" w:type="dxa"/>
              <w:bottom w:w="11" w:type="dxa"/>
              <w:right w:w="57" w:type="dxa"/>
            </w:tcMar>
          </w:tcPr>
          <w:p w14:paraId="1D07BB2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0.8</w:t>
            </w:r>
          </w:p>
        </w:tc>
        <w:tc>
          <w:tcPr>
            <w:tcW w:w="1108" w:type="dxa"/>
            <w:tcBorders>
              <w:bottom w:val="single" w:sz="4" w:space="0" w:color="auto"/>
            </w:tcBorders>
            <w:tcMar>
              <w:top w:w="11" w:type="dxa"/>
              <w:left w:w="57" w:type="dxa"/>
              <w:bottom w:w="11" w:type="dxa"/>
              <w:right w:w="57" w:type="dxa"/>
            </w:tcMar>
          </w:tcPr>
          <w:p w14:paraId="4CA499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0.3</w:t>
            </w:r>
          </w:p>
        </w:tc>
      </w:tr>
      <w:bookmarkEnd w:id="540"/>
      <w:bookmarkEnd w:id="541"/>
      <w:tr w:rsidR="00646F4F" w:rsidRPr="00735726" w14:paraId="2B48E150" w14:textId="77777777" w:rsidTr="00CE19B2">
        <w:trPr>
          <w:trHeight w:val="221"/>
        </w:trPr>
        <w:tc>
          <w:tcPr>
            <w:tcW w:w="6456" w:type="dxa"/>
            <w:tcMar>
              <w:top w:w="11" w:type="dxa"/>
              <w:left w:w="57" w:type="dxa"/>
              <w:bottom w:w="11" w:type="dxa"/>
              <w:right w:w="57" w:type="dxa"/>
            </w:tcMar>
          </w:tcPr>
          <w:p w14:paraId="06313B1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r w:rsidRPr="00735726">
              <w:rPr>
                <w:rFonts w:ascii="Arial" w:eastAsia="Times New Roman" w:hAnsi="Arial" w:cs="DINOT-Light"/>
                <w:b/>
                <w:sz w:val="18"/>
                <w:szCs w:val="18"/>
              </w:rPr>
              <w:t>Total employment costs</w:t>
            </w:r>
          </w:p>
        </w:tc>
        <w:tc>
          <w:tcPr>
            <w:tcW w:w="1108" w:type="dxa"/>
            <w:tcMar>
              <w:top w:w="11" w:type="dxa"/>
              <w:left w:w="57" w:type="dxa"/>
              <w:bottom w:w="11" w:type="dxa"/>
              <w:right w:w="57" w:type="dxa"/>
            </w:tcMar>
          </w:tcPr>
          <w:p w14:paraId="29B5309C"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sz w:val="18"/>
                <w:szCs w:val="18"/>
              </w:rPr>
            </w:pPr>
          </w:p>
        </w:tc>
        <w:tc>
          <w:tcPr>
            <w:tcW w:w="1144" w:type="dxa"/>
            <w:tcBorders>
              <w:top w:val="single" w:sz="4" w:space="0" w:color="auto"/>
              <w:bottom w:val="single" w:sz="4" w:space="0" w:color="auto"/>
            </w:tcBorders>
            <w:tcMar>
              <w:top w:w="11" w:type="dxa"/>
              <w:left w:w="57" w:type="dxa"/>
              <w:bottom w:w="11" w:type="dxa"/>
              <w:right w:w="57" w:type="dxa"/>
            </w:tcMar>
          </w:tcPr>
          <w:p w14:paraId="2716942F" w14:textId="14F03211" w:rsidR="00646F4F" w:rsidRPr="00735726" w:rsidRDefault="003B5CB3"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152.2</w:t>
            </w:r>
          </w:p>
        </w:tc>
        <w:tc>
          <w:tcPr>
            <w:tcW w:w="1108" w:type="dxa"/>
            <w:tcBorders>
              <w:top w:val="single" w:sz="4" w:space="0" w:color="auto"/>
              <w:bottom w:val="single" w:sz="4" w:space="0" w:color="auto"/>
            </w:tcBorders>
            <w:tcMar>
              <w:top w:w="11" w:type="dxa"/>
              <w:left w:w="57" w:type="dxa"/>
              <w:bottom w:w="11" w:type="dxa"/>
              <w:right w:w="57" w:type="dxa"/>
            </w:tcMar>
          </w:tcPr>
          <w:p w14:paraId="283F9BC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152.1</w:t>
            </w:r>
          </w:p>
        </w:tc>
      </w:tr>
      <w:tr w:rsidR="00646F4F" w:rsidRPr="00735726" w14:paraId="69AB4C11" w14:textId="77777777" w:rsidTr="00CE19B2">
        <w:trPr>
          <w:trHeight w:val="221"/>
        </w:trPr>
        <w:tc>
          <w:tcPr>
            <w:tcW w:w="6456" w:type="dxa"/>
            <w:tcMar>
              <w:top w:w="11" w:type="dxa"/>
              <w:left w:w="57" w:type="dxa"/>
              <w:bottom w:w="11" w:type="dxa"/>
              <w:right w:w="57" w:type="dxa"/>
            </w:tcMar>
          </w:tcPr>
          <w:p w14:paraId="25F88BBC"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08" w:type="dxa"/>
            <w:tcMar>
              <w:top w:w="11" w:type="dxa"/>
              <w:left w:w="57" w:type="dxa"/>
              <w:bottom w:w="11" w:type="dxa"/>
              <w:right w:w="57" w:type="dxa"/>
            </w:tcMar>
          </w:tcPr>
          <w:p w14:paraId="4B1584B0"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44" w:type="dxa"/>
            <w:tcBorders>
              <w:top w:val="single" w:sz="4" w:space="0" w:color="auto"/>
            </w:tcBorders>
            <w:tcMar>
              <w:top w:w="11" w:type="dxa"/>
              <w:left w:w="57" w:type="dxa"/>
              <w:bottom w:w="11" w:type="dxa"/>
              <w:right w:w="57" w:type="dxa"/>
            </w:tcMar>
          </w:tcPr>
          <w:p w14:paraId="1390222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8" w:type="dxa"/>
            <w:tcBorders>
              <w:top w:val="single" w:sz="4" w:space="0" w:color="auto"/>
            </w:tcBorders>
            <w:tcMar>
              <w:top w:w="11" w:type="dxa"/>
              <w:left w:w="57" w:type="dxa"/>
              <w:bottom w:w="11" w:type="dxa"/>
              <w:right w:w="57" w:type="dxa"/>
            </w:tcMar>
          </w:tcPr>
          <w:p w14:paraId="1B7B710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42E6A4A6" w14:textId="77777777" w:rsidTr="00CE19B2">
        <w:trPr>
          <w:trHeight w:val="221"/>
        </w:trPr>
        <w:tc>
          <w:tcPr>
            <w:tcW w:w="6456" w:type="dxa"/>
            <w:tcMar>
              <w:top w:w="11" w:type="dxa"/>
              <w:left w:w="57" w:type="dxa"/>
              <w:bottom w:w="11" w:type="dxa"/>
              <w:right w:w="57" w:type="dxa"/>
            </w:tcMar>
          </w:tcPr>
          <w:p w14:paraId="6B92090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Charged as follows:</w:t>
            </w:r>
          </w:p>
        </w:tc>
        <w:tc>
          <w:tcPr>
            <w:tcW w:w="1108" w:type="dxa"/>
            <w:tcMar>
              <w:top w:w="11" w:type="dxa"/>
              <w:left w:w="57" w:type="dxa"/>
              <w:bottom w:w="11" w:type="dxa"/>
              <w:right w:w="57" w:type="dxa"/>
            </w:tcMar>
          </w:tcPr>
          <w:p w14:paraId="5C7258F8"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44" w:type="dxa"/>
            <w:tcMar>
              <w:top w:w="11" w:type="dxa"/>
              <w:left w:w="57" w:type="dxa"/>
              <w:bottom w:w="11" w:type="dxa"/>
              <w:right w:w="57" w:type="dxa"/>
            </w:tcMar>
          </w:tcPr>
          <w:p w14:paraId="29CBF7B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8" w:type="dxa"/>
            <w:tcMar>
              <w:top w:w="11" w:type="dxa"/>
              <w:left w:w="57" w:type="dxa"/>
              <w:bottom w:w="11" w:type="dxa"/>
              <w:right w:w="57" w:type="dxa"/>
            </w:tcMar>
          </w:tcPr>
          <w:p w14:paraId="10EBD8BE"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0D7CC565" w14:textId="77777777" w:rsidTr="00CE19B2">
        <w:trPr>
          <w:trHeight w:val="221"/>
        </w:trPr>
        <w:tc>
          <w:tcPr>
            <w:tcW w:w="6456" w:type="dxa"/>
            <w:tcMar>
              <w:top w:w="11" w:type="dxa"/>
              <w:left w:w="57" w:type="dxa"/>
              <w:bottom w:w="11" w:type="dxa"/>
              <w:right w:w="57" w:type="dxa"/>
            </w:tcMar>
          </w:tcPr>
          <w:p w14:paraId="254753EA" w14:textId="335ADEE6"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42" w:name="XMETag_0a70c382b7814afd80e250fa79f11551" w:colFirst="2" w:colLast="2"/>
            <w:bookmarkStart w:id="543" w:name="XMETag_3069c534e9e340f4bf1e4cb81344c9a7" w:colFirst="3" w:colLast="3"/>
            <w:r w:rsidRPr="00735726">
              <w:rPr>
                <w:rFonts w:ascii="Arial" w:eastAsia="Times New Roman" w:hAnsi="Arial" w:cs="DINOT-Light"/>
                <w:color w:val="000000"/>
                <w:sz w:val="18"/>
                <w:szCs w:val="18"/>
              </w:rPr>
              <w:t>Employee costs</w:t>
            </w:r>
            <w:r w:rsidR="00DF3496" w:rsidRPr="00735726">
              <w:rPr>
                <w:rFonts w:ascii="Arial" w:eastAsia="Times New Roman" w:hAnsi="Arial" w:cs="DINOT-Light"/>
                <w:color w:val="000000"/>
                <w:sz w:val="18"/>
                <w:szCs w:val="18"/>
              </w:rPr>
              <w:t xml:space="preserve"> (excluding non-underlying items)</w:t>
            </w:r>
          </w:p>
        </w:tc>
        <w:tc>
          <w:tcPr>
            <w:tcW w:w="1108" w:type="dxa"/>
            <w:tcMar>
              <w:top w:w="11" w:type="dxa"/>
              <w:left w:w="57" w:type="dxa"/>
              <w:bottom w:w="11" w:type="dxa"/>
              <w:right w:w="57" w:type="dxa"/>
            </w:tcMar>
          </w:tcPr>
          <w:p w14:paraId="3C6B0928"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44" w:type="dxa"/>
            <w:tcMar>
              <w:top w:w="11" w:type="dxa"/>
              <w:left w:w="57" w:type="dxa"/>
              <w:bottom w:w="11" w:type="dxa"/>
              <w:right w:w="57" w:type="dxa"/>
            </w:tcMar>
          </w:tcPr>
          <w:p w14:paraId="714B12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84.9</w:t>
            </w:r>
          </w:p>
        </w:tc>
        <w:tc>
          <w:tcPr>
            <w:tcW w:w="1108" w:type="dxa"/>
            <w:tcMar>
              <w:top w:w="11" w:type="dxa"/>
              <w:left w:w="57" w:type="dxa"/>
              <w:bottom w:w="11" w:type="dxa"/>
              <w:right w:w="57" w:type="dxa"/>
            </w:tcMar>
          </w:tcPr>
          <w:p w14:paraId="6811C9E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95.0</w:t>
            </w:r>
          </w:p>
        </w:tc>
      </w:tr>
      <w:tr w:rsidR="003B5CB3" w:rsidRPr="00735726" w14:paraId="6EB2CD98" w14:textId="77777777" w:rsidTr="00B339E8">
        <w:trPr>
          <w:trHeight w:val="221"/>
        </w:trPr>
        <w:tc>
          <w:tcPr>
            <w:tcW w:w="6456" w:type="dxa"/>
            <w:tcMar>
              <w:top w:w="11" w:type="dxa"/>
              <w:left w:w="57" w:type="dxa"/>
              <w:bottom w:w="11" w:type="dxa"/>
              <w:right w:w="57" w:type="dxa"/>
            </w:tcMar>
          </w:tcPr>
          <w:p w14:paraId="4AF3FCFD" w14:textId="77777777" w:rsidR="003B5CB3" w:rsidRPr="00735726" w:rsidRDefault="003B5CB3" w:rsidP="00B339E8">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Employment costs (non-underlying items)</w:t>
            </w:r>
          </w:p>
        </w:tc>
        <w:tc>
          <w:tcPr>
            <w:tcW w:w="1108" w:type="dxa"/>
            <w:tcMar>
              <w:top w:w="11" w:type="dxa"/>
              <w:left w:w="57" w:type="dxa"/>
              <w:bottom w:w="11" w:type="dxa"/>
              <w:right w:w="57" w:type="dxa"/>
            </w:tcMar>
          </w:tcPr>
          <w:p w14:paraId="0D3D50F4" w14:textId="7F238288" w:rsidR="003B5CB3" w:rsidRPr="009A2CAE" w:rsidRDefault="00DB0609" w:rsidP="00B339E8">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6</w:t>
            </w:r>
          </w:p>
        </w:tc>
        <w:tc>
          <w:tcPr>
            <w:tcW w:w="1144" w:type="dxa"/>
            <w:tcMar>
              <w:top w:w="11" w:type="dxa"/>
              <w:left w:w="57" w:type="dxa"/>
              <w:bottom w:w="11" w:type="dxa"/>
              <w:right w:w="57" w:type="dxa"/>
            </w:tcMar>
          </w:tcPr>
          <w:p w14:paraId="0457485B" w14:textId="77777777" w:rsidR="003B5CB3" w:rsidRPr="009A2CAE" w:rsidRDefault="003B5CB3" w:rsidP="00B339E8">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w:t>
            </w:r>
          </w:p>
        </w:tc>
        <w:tc>
          <w:tcPr>
            <w:tcW w:w="1108" w:type="dxa"/>
            <w:tcMar>
              <w:top w:w="11" w:type="dxa"/>
              <w:left w:w="57" w:type="dxa"/>
              <w:bottom w:w="11" w:type="dxa"/>
              <w:right w:w="57" w:type="dxa"/>
            </w:tcMar>
          </w:tcPr>
          <w:p w14:paraId="237F88E0" w14:textId="77777777" w:rsidR="003B5CB3" w:rsidRPr="009A2CAE" w:rsidRDefault="003B5CB3" w:rsidP="00B339E8">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8.6</w:t>
            </w:r>
          </w:p>
        </w:tc>
      </w:tr>
      <w:tr w:rsidR="00646F4F" w:rsidRPr="00735726" w14:paraId="7E2F3841" w14:textId="77777777" w:rsidTr="00CE19B2">
        <w:trPr>
          <w:trHeight w:val="221"/>
        </w:trPr>
        <w:tc>
          <w:tcPr>
            <w:tcW w:w="6456" w:type="dxa"/>
            <w:tcMar>
              <w:top w:w="11" w:type="dxa"/>
              <w:left w:w="57" w:type="dxa"/>
              <w:bottom w:w="11" w:type="dxa"/>
              <w:right w:w="57" w:type="dxa"/>
            </w:tcMar>
          </w:tcPr>
          <w:p w14:paraId="06AD78EE" w14:textId="1400B332"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44" w:name="XMETag_c2913920b8844c4bb700d3da2577adfc" w:colFirst="2" w:colLast="2"/>
            <w:bookmarkStart w:id="545" w:name="XMETag_155591c69d8c477b8f6a41cd033fced6" w:colFirst="3" w:colLast="3"/>
            <w:bookmarkEnd w:id="542"/>
            <w:bookmarkEnd w:id="543"/>
            <w:r w:rsidRPr="00735726">
              <w:rPr>
                <w:rFonts w:ascii="Arial" w:eastAsia="Times New Roman" w:hAnsi="Arial" w:cs="DINOT-Light"/>
                <w:color w:val="000000"/>
                <w:sz w:val="18"/>
                <w:szCs w:val="18"/>
              </w:rPr>
              <w:t>Capital schemes</w:t>
            </w:r>
            <w:r w:rsidR="003B5CB3" w:rsidRPr="00735726">
              <w:rPr>
                <w:rFonts w:ascii="Arial" w:eastAsia="Times New Roman" w:hAnsi="Arial" w:cs="DINOT-Light"/>
                <w:color w:val="000000"/>
                <w:sz w:val="18"/>
                <w:szCs w:val="18"/>
              </w:rPr>
              <w:t xml:space="preserve"> </w:t>
            </w:r>
            <w:r w:rsidR="006C1BA9" w:rsidRPr="00735726">
              <w:rPr>
                <w:rFonts w:ascii="Arial" w:eastAsia="Times New Roman" w:hAnsi="Arial" w:cs="DINOT-Light"/>
                <w:color w:val="000000"/>
                <w:sz w:val="18"/>
                <w:szCs w:val="18"/>
              </w:rPr>
              <w:t xml:space="preserve">- </w:t>
            </w:r>
            <w:r w:rsidR="003B5CB3" w:rsidRPr="00735726">
              <w:rPr>
                <w:rFonts w:ascii="Arial" w:eastAsia="Times New Roman" w:hAnsi="Arial" w:cs="DINOT-Light"/>
                <w:color w:val="000000"/>
                <w:sz w:val="18"/>
                <w:szCs w:val="18"/>
              </w:rPr>
              <w:t>property, plant and equipment</w:t>
            </w:r>
          </w:p>
        </w:tc>
        <w:tc>
          <w:tcPr>
            <w:tcW w:w="1108" w:type="dxa"/>
            <w:tcMar>
              <w:top w:w="11" w:type="dxa"/>
              <w:left w:w="57" w:type="dxa"/>
              <w:bottom w:w="11" w:type="dxa"/>
              <w:right w:w="57" w:type="dxa"/>
            </w:tcMar>
          </w:tcPr>
          <w:p w14:paraId="4804EFA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44" w:type="dxa"/>
            <w:tcMar>
              <w:top w:w="11" w:type="dxa"/>
              <w:left w:w="57" w:type="dxa"/>
              <w:bottom w:w="11" w:type="dxa"/>
              <w:right w:w="57" w:type="dxa"/>
            </w:tcMar>
          </w:tcPr>
          <w:p w14:paraId="006A54BA" w14:textId="0DD207C1" w:rsidR="00646F4F" w:rsidRPr="00735726" w:rsidRDefault="003B5CB3"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65.5</w:t>
            </w:r>
          </w:p>
        </w:tc>
        <w:tc>
          <w:tcPr>
            <w:tcW w:w="1108" w:type="dxa"/>
            <w:tcMar>
              <w:top w:w="11" w:type="dxa"/>
              <w:left w:w="57" w:type="dxa"/>
              <w:bottom w:w="11" w:type="dxa"/>
              <w:right w:w="57" w:type="dxa"/>
            </w:tcMar>
          </w:tcPr>
          <w:p w14:paraId="0A41178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48.2</w:t>
            </w:r>
          </w:p>
        </w:tc>
      </w:tr>
      <w:tr w:rsidR="00646F4F" w:rsidRPr="00735726" w14:paraId="5D94E56B" w14:textId="77777777" w:rsidTr="00CE19B2">
        <w:trPr>
          <w:trHeight w:val="221"/>
        </w:trPr>
        <w:tc>
          <w:tcPr>
            <w:tcW w:w="6456" w:type="dxa"/>
            <w:tcMar>
              <w:top w:w="11" w:type="dxa"/>
              <w:left w:w="57" w:type="dxa"/>
              <w:bottom w:w="11" w:type="dxa"/>
              <w:right w:w="57" w:type="dxa"/>
            </w:tcMar>
          </w:tcPr>
          <w:p w14:paraId="7256442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bookmarkStart w:id="546" w:name="XMETag_1d86daabcf8648bbb78d89a065d85dad" w:colFirst="2" w:colLast="2"/>
            <w:bookmarkStart w:id="547" w:name="XMETag_7a5af842ead9420e8025ae24850c2a77" w:colFirst="3" w:colLast="3"/>
            <w:bookmarkEnd w:id="544"/>
            <w:bookmarkEnd w:id="545"/>
            <w:r w:rsidRPr="00735726">
              <w:rPr>
                <w:rFonts w:ascii="Arial" w:eastAsia="Times New Roman" w:hAnsi="Arial" w:cs="DINOT-Light"/>
                <w:bCs/>
                <w:color w:val="000000"/>
                <w:sz w:val="18"/>
                <w:szCs w:val="18"/>
              </w:rPr>
              <w:t>Research and development</w:t>
            </w:r>
          </w:p>
        </w:tc>
        <w:tc>
          <w:tcPr>
            <w:tcW w:w="1108" w:type="dxa"/>
            <w:tcMar>
              <w:top w:w="11" w:type="dxa"/>
              <w:left w:w="57" w:type="dxa"/>
              <w:bottom w:w="11" w:type="dxa"/>
              <w:right w:w="57" w:type="dxa"/>
            </w:tcMar>
          </w:tcPr>
          <w:p w14:paraId="7280ECD8"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44" w:type="dxa"/>
            <w:tcBorders>
              <w:bottom w:val="single" w:sz="4" w:space="0" w:color="auto"/>
            </w:tcBorders>
            <w:tcMar>
              <w:top w:w="11" w:type="dxa"/>
              <w:left w:w="57" w:type="dxa"/>
              <w:bottom w:w="11" w:type="dxa"/>
              <w:right w:w="57" w:type="dxa"/>
            </w:tcMar>
          </w:tcPr>
          <w:p w14:paraId="570B1D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0.3</w:t>
            </w:r>
          </w:p>
        </w:tc>
        <w:tc>
          <w:tcPr>
            <w:tcW w:w="1108" w:type="dxa"/>
            <w:tcBorders>
              <w:bottom w:val="single" w:sz="4" w:space="0" w:color="auto"/>
            </w:tcBorders>
            <w:tcMar>
              <w:top w:w="11" w:type="dxa"/>
              <w:left w:w="57" w:type="dxa"/>
              <w:bottom w:w="11" w:type="dxa"/>
              <w:right w:w="57" w:type="dxa"/>
            </w:tcMar>
          </w:tcPr>
          <w:p w14:paraId="607E050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0.3</w:t>
            </w:r>
          </w:p>
        </w:tc>
      </w:tr>
      <w:bookmarkEnd w:id="546"/>
      <w:bookmarkEnd w:id="547"/>
      <w:tr w:rsidR="00646F4F" w:rsidRPr="00735726" w14:paraId="029C443C" w14:textId="77777777" w:rsidTr="00CE19B2">
        <w:trPr>
          <w:trHeight w:val="66"/>
        </w:trPr>
        <w:tc>
          <w:tcPr>
            <w:tcW w:w="6456" w:type="dxa"/>
            <w:tcMar>
              <w:top w:w="11" w:type="dxa"/>
              <w:left w:w="57" w:type="dxa"/>
              <w:bottom w:w="11" w:type="dxa"/>
              <w:right w:w="57" w:type="dxa"/>
            </w:tcMar>
          </w:tcPr>
          <w:p w14:paraId="343212F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b/>
                <w:color w:val="000000"/>
                <w:sz w:val="18"/>
                <w:szCs w:val="18"/>
              </w:rPr>
              <w:t>Total employment costs</w:t>
            </w:r>
          </w:p>
        </w:tc>
        <w:tc>
          <w:tcPr>
            <w:tcW w:w="1108" w:type="dxa"/>
            <w:tcMar>
              <w:top w:w="11" w:type="dxa"/>
              <w:left w:w="57" w:type="dxa"/>
              <w:bottom w:w="11" w:type="dxa"/>
              <w:right w:w="57" w:type="dxa"/>
            </w:tcMar>
          </w:tcPr>
          <w:p w14:paraId="000E4016"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144" w:type="dxa"/>
            <w:tcBorders>
              <w:top w:val="single" w:sz="4" w:space="0" w:color="auto"/>
              <w:bottom w:val="single" w:sz="4" w:space="0" w:color="auto"/>
            </w:tcBorders>
            <w:tcMar>
              <w:top w:w="11" w:type="dxa"/>
              <w:left w:w="57" w:type="dxa"/>
              <w:bottom w:w="11" w:type="dxa"/>
              <w:right w:w="57" w:type="dxa"/>
            </w:tcMar>
          </w:tcPr>
          <w:p w14:paraId="3DBD41DE" w14:textId="007F0C80" w:rsidR="00646F4F" w:rsidRPr="00735726" w:rsidRDefault="003B5CB3"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152.2</w:t>
            </w:r>
          </w:p>
        </w:tc>
        <w:tc>
          <w:tcPr>
            <w:tcW w:w="1108" w:type="dxa"/>
            <w:tcBorders>
              <w:top w:val="single" w:sz="4" w:space="0" w:color="auto"/>
              <w:bottom w:val="single" w:sz="4" w:space="0" w:color="auto"/>
            </w:tcBorders>
            <w:tcMar>
              <w:top w:w="11" w:type="dxa"/>
              <w:left w:w="57" w:type="dxa"/>
              <w:bottom w:w="11" w:type="dxa"/>
              <w:right w:w="57" w:type="dxa"/>
            </w:tcMar>
          </w:tcPr>
          <w:p w14:paraId="2094AC2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152.1</w:t>
            </w:r>
          </w:p>
        </w:tc>
      </w:tr>
    </w:tbl>
    <w:p w14:paraId="3FF267E5"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1889B94" w14:textId="0DA7CF7D"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Details of Directors’ emoluments are set out in </w:t>
      </w:r>
      <w:r w:rsidRPr="009A2CAE">
        <w:rPr>
          <w:rFonts w:ascii="Arial" w:eastAsia="Times New Roman" w:hAnsi="Arial" w:cs="DINOT-Light"/>
          <w:color w:val="000000"/>
          <w:sz w:val="18"/>
          <w:szCs w:val="18"/>
        </w:rPr>
        <w:t xml:space="preserve">note </w:t>
      </w:r>
      <w:r w:rsidR="00556E33" w:rsidRPr="009A2CAE">
        <w:rPr>
          <w:rFonts w:ascii="Arial" w:eastAsia="Times New Roman" w:hAnsi="Arial" w:cs="DINOT-Light"/>
          <w:color w:val="000000"/>
          <w:sz w:val="18"/>
          <w:szCs w:val="18"/>
        </w:rPr>
        <w:t>12</w:t>
      </w:r>
      <w:r w:rsidRPr="009A2CAE">
        <w:rPr>
          <w:rFonts w:ascii="Arial" w:eastAsia="Times New Roman" w:hAnsi="Arial" w:cs="DINOT-Light"/>
          <w:color w:val="000000"/>
          <w:sz w:val="18"/>
          <w:szCs w:val="18"/>
        </w:rPr>
        <w:t xml:space="preserve">. </w:t>
      </w:r>
    </w:p>
    <w:p w14:paraId="00C55004"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C9B555D"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average monthly number of persons (including Executive Directors) employed by the Company was:</w:t>
      </w:r>
    </w:p>
    <w:p w14:paraId="5E269532"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9816" w:type="dxa"/>
        <w:tblInd w:w="8" w:type="dxa"/>
        <w:tblLayout w:type="fixed"/>
        <w:tblCellMar>
          <w:left w:w="0" w:type="dxa"/>
          <w:right w:w="0" w:type="dxa"/>
        </w:tblCellMar>
        <w:tblLook w:val="0000" w:firstRow="0" w:lastRow="0" w:firstColumn="0" w:lastColumn="0" w:noHBand="0" w:noVBand="0"/>
      </w:tblPr>
      <w:tblGrid>
        <w:gridCol w:w="6456"/>
        <w:gridCol w:w="1108"/>
        <w:gridCol w:w="1144"/>
        <w:gridCol w:w="1108"/>
      </w:tblGrid>
      <w:tr w:rsidR="00646F4F" w:rsidRPr="00735726" w14:paraId="3EFE72C8" w14:textId="77777777" w:rsidTr="00CE19B2">
        <w:trPr>
          <w:trHeight w:val="551"/>
          <w:tblHeader/>
        </w:trPr>
        <w:tc>
          <w:tcPr>
            <w:tcW w:w="6456" w:type="dxa"/>
            <w:tcMar>
              <w:top w:w="11" w:type="dxa"/>
              <w:left w:w="57" w:type="dxa"/>
              <w:bottom w:w="11" w:type="dxa"/>
              <w:right w:w="57" w:type="dxa"/>
            </w:tcMar>
          </w:tcPr>
          <w:p w14:paraId="09367E4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08" w:type="dxa"/>
            <w:tcMar>
              <w:top w:w="11" w:type="dxa"/>
              <w:left w:w="57" w:type="dxa"/>
              <w:bottom w:w="11" w:type="dxa"/>
              <w:right w:w="57" w:type="dxa"/>
            </w:tcMar>
          </w:tcPr>
          <w:p w14:paraId="0A9793E2"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44" w:type="dxa"/>
            <w:tcMar>
              <w:top w:w="11" w:type="dxa"/>
              <w:left w:w="57" w:type="dxa"/>
              <w:bottom w:w="11" w:type="dxa"/>
              <w:right w:w="57" w:type="dxa"/>
            </w:tcMar>
          </w:tcPr>
          <w:p w14:paraId="741105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4BFA41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08" w:type="dxa"/>
            <w:tcMar>
              <w:top w:w="11" w:type="dxa"/>
              <w:left w:w="57" w:type="dxa"/>
              <w:bottom w:w="11" w:type="dxa"/>
              <w:right w:w="57" w:type="dxa"/>
            </w:tcMar>
          </w:tcPr>
          <w:p w14:paraId="5AC1A6E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522DB82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3FE22BDC" w14:textId="77777777" w:rsidTr="00CE19B2">
        <w:trPr>
          <w:trHeight w:val="221"/>
        </w:trPr>
        <w:tc>
          <w:tcPr>
            <w:tcW w:w="6456" w:type="dxa"/>
            <w:tcMar>
              <w:top w:w="11" w:type="dxa"/>
              <w:left w:w="57" w:type="dxa"/>
              <w:bottom w:w="11" w:type="dxa"/>
              <w:right w:w="57" w:type="dxa"/>
            </w:tcMar>
          </w:tcPr>
          <w:p w14:paraId="4286287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Operations</w:t>
            </w:r>
          </w:p>
        </w:tc>
        <w:tc>
          <w:tcPr>
            <w:tcW w:w="1108" w:type="dxa"/>
            <w:tcMar>
              <w:top w:w="11" w:type="dxa"/>
              <w:left w:w="57" w:type="dxa"/>
              <w:bottom w:w="11" w:type="dxa"/>
              <w:right w:w="57" w:type="dxa"/>
            </w:tcMar>
          </w:tcPr>
          <w:p w14:paraId="2FCC2857"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1144" w:type="dxa"/>
            <w:tcMar>
              <w:top w:w="11" w:type="dxa"/>
              <w:left w:w="57" w:type="dxa"/>
              <w:bottom w:w="11" w:type="dxa"/>
              <w:right w:w="57" w:type="dxa"/>
            </w:tcMar>
          </w:tcPr>
          <w:p w14:paraId="46345EC8" w14:textId="54B2C65A" w:rsidR="00646F4F" w:rsidRPr="00735726" w:rsidRDefault="00654F5E"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1,948</w:t>
            </w:r>
          </w:p>
        </w:tc>
        <w:tc>
          <w:tcPr>
            <w:tcW w:w="1108" w:type="dxa"/>
            <w:tcMar>
              <w:top w:w="11" w:type="dxa"/>
              <w:left w:w="57" w:type="dxa"/>
              <w:bottom w:w="11" w:type="dxa"/>
              <w:right w:w="57" w:type="dxa"/>
            </w:tcMar>
          </w:tcPr>
          <w:p w14:paraId="6224FB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1,921</w:t>
            </w:r>
          </w:p>
        </w:tc>
      </w:tr>
      <w:tr w:rsidR="00646F4F" w:rsidRPr="00735726" w14:paraId="370EE3A0" w14:textId="77777777" w:rsidTr="00CE19B2">
        <w:trPr>
          <w:trHeight w:val="221"/>
        </w:trPr>
        <w:tc>
          <w:tcPr>
            <w:tcW w:w="6456" w:type="dxa"/>
            <w:tcMar>
              <w:top w:w="11" w:type="dxa"/>
              <w:left w:w="57" w:type="dxa"/>
              <w:bottom w:w="11" w:type="dxa"/>
              <w:right w:w="57" w:type="dxa"/>
            </w:tcMar>
          </w:tcPr>
          <w:p w14:paraId="62B9728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Support functions</w:t>
            </w:r>
          </w:p>
        </w:tc>
        <w:tc>
          <w:tcPr>
            <w:tcW w:w="1108" w:type="dxa"/>
            <w:tcMar>
              <w:top w:w="11" w:type="dxa"/>
              <w:left w:w="57" w:type="dxa"/>
              <w:bottom w:w="11" w:type="dxa"/>
              <w:right w:w="57" w:type="dxa"/>
            </w:tcMar>
          </w:tcPr>
          <w:p w14:paraId="7F6CB768"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sz w:val="18"/>
                <w:szCs w:val="18"/>
              </w:rPr>
            </w:pPr>
          </w:p>
        </w:tc>
        <w:tc>
          <w:tcPr>
            <w:tcW w:w="1144" w:type="dxa"/>
            <w:tcMar>
              <w:top w:w="11" w:type="dxa"/>
              <w:left w:w="57" w:type="dxa"/>
              <w:bottom w:w="11" w:type="dxa"/>
              <w:right w:w="57" w:type="dxa"/>
            </w:tcMar>
          </w:tcPr>
          <w:p w14:paraId="08C4FA5C" w14:textId="6970491A" w:rsidR="00646F4F" w:rsidRPr="00735726" w:rsidRDefault="00654F5E"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747</w:t>
            </w:r>
          </w:p>
        </w:tc>
        <w:tc>
          <w:tcPr>
            <w:tcW w:w="1108" w:type="dxa"/>
            <w:tcMar>
              <w:top w:w="11" w:type="dxa"/>
              <w:left w:w="57" w:type="dxa"/>
              <w:bottom w:w="11" w:type="dxa"/>
              <w:right w:w="57" w:type="dxa"/>
            </w:tcMar>
          </w:tcPr>
          <w:p w14:paraId="07C54C5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856</w:t>
            </w:r>
          </w:p>
        </w:tc>
      </w:tr>
      <w:tr w:rsidR="00646F4F" w:rsidRPr="00735726" w14:paraId="2AEF2E76" w14:textId="77777777" w:rsidTr="00CE19B2">
        <w:trPr>
          <w:trHeight w:val="221"/>
        </w:trPr>
        <w:tc>
          <w:tcPr>
            <w:tcW w:w="6456" w:type="dxa"/>
            <w:tcMar>
              <w:top w:w="11" w:type="dxa"/>
              <w:left w:w="57" w:type="dxa"/>
              <w:bottom w:w="11" w:type="dxa"/>
              <w:right w:w="57" w:type="dxa"/>
            </w:tcMar>
          </w:tcPr>
          <w:p w14:paraId="513F3D2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r w:rsidRPr="00735726">
              <w:rPr>
                <w:rFonts w:ascii="Arial" w:eastAsia="Times New Roman" w:hAnsi="Arial" w:cs="DINOT-Light"/>
                <w:b/>
                <w:sz w:val="18"/>
                <w:szCs w:val="18"/>
              </w:rPr>
              <w:t xml:space="preserve">Total </w:t>
            </w:r>
          </w:p>
        </w:tc>
        <w:tc>
          <w:tcPr>
            <w:tcW w:w="1108" w:type="dxa"/>
            <w:tcMar>
              <w:top w:w="11" w:type="dxa"/>
              <w:left w:w="57" w:type="dxa"/>
              <w:bottom w:w="11" w:type="dxa"/>
              <w:right w:w="57" w:type="dxa"/>
            </w:tcMar>
          </w:tcPr>
          <w:p w14:paraId="021ACF3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sz w:val="18"/>
                <w:szCs w:val="18"/>
              </w:rPr>
            </w:pPr>
          </w:p>
        </w:tc>
        <w:tc>
          <w:tcPr>
            <w:tcW w:w="1144" w:type="dxa"/>
            <w:tcBorders>
              <w:top w:val="single" w:sz="4" w:space="0" w:color="auto"/>
              <w:bottom w:val="single" w:sz="4" w:space="0" w:color="auto"/>
            </w:tcBorders>
            <w:tcMar>
              <w:top w:w="11" w:type="dxa"/>
              <w:left w:w="57" w:type="dxa"/>
              <w:bottom w:w="11" w:type="dxa"/>
              <w:right w:w="57" w:type="dxa"/>
            </w:tcMar>
          </w:tcPr>
          <w:p w14:paraId="598BA7ED" w14:textId="13B1658E" w:rsidR="00646F4F" w:rsidRPr="00735726" w:rsidRDefault="00654F5E"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2,695</w:t>
            </w:r>
          </w:p>
        </w:tc>
        <w:tc>
          <w:tcPr>
            <w:tcW w:w="1108" w:type="dxa"/>
            <w:tcBorders>
              <w:top w:val="single" w:sz="4" w:space="0" w:color="auto"/>
              <w:bottom w:val="single" w:sz="4" w:space="0" w:color="auto"/>
            </w:tcBorders>
            <w:tcMar>
              <w:top w:w="11" w:type="dxa"/>
              <w:left w:w="57" w:type="dxa"/>
              <w:bottom w:w="11" w:type="dxa"/>
              <w:right w:w="57" w:type="dxa"/>
            </w:tcMar>
          </w:tcPr>
          <w:p w14:paraId="5DB6051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2,777</w:t>
            </w:r>
          </w:p>
        </w:tc>
      </w:tr>
    </w:tbl>
    <w:p w14:paraId="34D6212F"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15C3EA62"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bookmarkStart w:id="548" w:name="_Hlk72145363"/>
      <w:r w:rsidRPr="00735726">
        <w:rPr>
          <w:rFonts w:ascii="Arial" w:eastAsia="Times New Roman" w:hAnsi="Arial" w:cs="Arial"/>
          <w:b/>
          <w:bCs/>
          <w:caps/>
          <w:color w:val="000000"/>
          <w:sz w:val="18"/>
          <w:szCs w:val="18"/>
        </w:rPr>
        <w:t>12.</w:t>
      </w:r>
      <w:r w:rsidRPr="00735726">
        <w:rPr>
          <w:rFonts w:ascii="Arial" w:eastAsia="Times New Roman" w:hAnsi="Arial" w:cs="Arial"/>
          <w:b/>
          <w:bCs/>
          <w:caps/>
          <w:color w:val="000000"/>
          <w:sz w:val="18"/>
          <w:szCs w:val="18"/>
        </w:rPr>
        <w:tab/>
        <w:t>Directors’ emoluments</w:t>
      </w:r>
    </w:p>
    <w:tbl>
      <w:tblPr>
        <w:tblW w:w="9788" w:type="dxa"/>
        <w:tblInd w:w="8" w:type="dxa"/>
        <w:tblLayout w:type="fixed"/>
        <w:tblCellMar>
          <w:left w:w="0" w:type="dxa"/>
          <w:right w:w="0" w:type="dxa"/>
        </w:tblCellMar>
        <w:tblLook w:val="0000" w:firstRow="0" w:lastRow="0" w:firstColumn="0" w:lastColumn="0" w:noHBand="0" w:noVBand="0"/>
      </w:tblPr>
      <w:tblGrid>
        <w:gridCol w:w="7573"/>
        <w:gridCol w:w="1107"/>
        <w:gridCol w:w="1108"/>
      </w:tblGrid>
      <w:tr w:rsidR="00646F4F" w:rsidRPr="00735726" w14:paraId="1E3D098E" w14:textId="77777777" w:rsidTr="00CE19B2">
        <w:trPr>
          <w:trHeight w:val="67"/>
          <w:tblHeader/>
        </w:trPr>
        <w:tc>
          <w:tcPr>
            <w:tcW w:w="7573" w:type="dxa"/>
            <w:tcMar>
              <w:top w:w="11" w:type="dxa"/>
              <w:left w:w="57" w:type="dxa"/>
              <w:bottom w:w="11" w:type="dxa"/>
              <w:right w:w="57" w:type="dxa"/>
            </w:tcMar>
          </w:tcPr>
          <w:p w14:paraId="1803711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07" w:type="dxa"/>
            <w:tcMar>
              <w:top w:w="11" w:type="dxa"/>
              <w:left w:w="57" w:type="dxa"/>
              <w:bottom w:w="11" w:type="dxa"/>
              <w:right w:w="57" w:type="dxa"/>
            </w:tcMar>
          </w:tcPr>
          <w:p w14:paraId="57156D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C0CDC15"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£000</w:t>
            </w:r>
          </w:p>
        </w:tc>
        <w:tc>
          <w:tcPr>
            <w:tcW w:w="1108" w:type="dxa"/>
          </w:tcPr>
          <w:p w14:paraId="4463F56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49CB7B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£000</w:t>
            </w:r>
          </w:p>
        </w:tc>
      </w:tr>
      <w:tr w:rsidR="00646F4F" w:rsidRPr="00735726" w14:paraId="70065B81" w14:textId="77777777" w:rsidTr="00CE19B2">
        <w:trPr>
          <w:trHeight w:val="257"/>
        </w:trPr>
        <w:tc>
          <w:tcPr>
            <w:tcW w:w="7573" w:type="dxa"/>
            <w:tcMar>
              <w:top w:w="11" w:type="dxa"/>
              <w:left w:w="57" w:type="dxa"/>
              <w:bottom w:w="11" w:type="dxa"/>
              <w:right w:w="57" w:type="dxa"/>
            </w:tcMar>
          </w:tcPr>
          <w:p w14:paraId="26A43FE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Executive Directors: </w:t>
            </w:r>
          </w:p>
        </w:tc>
        <w:tc>
          <w:tcPr>
            <w:tcW w:w="1107" w:type="dxa"/>
            <w:tcMar>
              <w:top w:w="11" w:type="dxa"/>
              <w:left w:w="57" w:type="dxa"/>
              <w:bottom w:w="11" w:type="dxa"/>
              <w:right w:w="57" w:type="dxa"/>
            </w:tcMar>
          </w:tcPr>
          <w:p w14:paraId="0634B7B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8" w:type="dxa"/>
          </w:tcPr>
          <w:p w14:paraId="2F79D5A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25556EC4" w14:textId="77777777" w:rsidTr="00CE19B2">
        <w:trPr>
          <w:trHeight w:val="257"/>
        </w:trPr>
        <w:tc>
          <w:tcPr>
            <w:tcW w:w="7573" w:type="dxa"/>
            <w:tcMar>
              <w:top w:w="11" w:type="dxa"/>
              <w:left w:w="57" w:type="dxa"/>
              <w:bottom w:w="11" w:type="dxa"/>
              <w:right w:w="57" w:type="dxa"/>
            </w:tcMar>
          </w:tcPr>
          <w:p w14:paraId="3EF15D0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49" w:name="XMETag_6761b83e090040ac951ccfff23eb4a84" w:colFirst="1" w:colLast="1"/>
            <w:bookmarkStart w:id="550" w:name="XMETag_8aaef2945c5d41b4b303348063de8f99" w:colFirst="2" w:colLast="2"/>
            <w:r w:rsidRPr="00735726">
              <w:rPr>
                <w:rFonts w:ascii="Arial" w:eastAsia="Times New Roman" w:hAnsi="Arial" w:cs="DINOT-Light"/>
                <w:color w:val="000000"/>
                <w:sz w:val="18"/>
                <w:szCs w:val="18"/>
              </w:rPr>
              <w:t xml:space="preserve">   Salary</w:t>
            </w:r>
          </w:p>
        </w:tc>
        <w:tc>
          <w:tcPr>
            <w:tcW w:w="1107" w:type="dxa"/>
            <w:tcMar>
              <w:top w:w="11" w:type="dxa"/>
              <w:left w:w="57" w:type="dxa"/>
              <w:bottom w:w="11" w:type="dxa"/>
              <w:right w:w="57" w:type="dxa"/>
            </w:tcMar>
          </w:tcPr>
          <w:p w14:paraId="4C8A7E14" w14:textId="67A9F5C1" w:rsidR="00646F4F" w:rsidRPr="00735726" w:rsidRDefault="000035A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sz w:val="18"/>
                <w:szCs w:val="18"/>
              </w:rPr>
              <w:t>611</w:t>
            </w:r>
          </w:p>
        </w:tc>
        <w:tc>
          <w:tcPr>
            <w:tcW w:w="1108" w:type="dxa"/>
          </w:tcPr>
          <w:p w14:paraId="7813A9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805</w:t>
            </w:r>
          </w:p>
        </w:tc>
      </w:tr>
      <w:tr w:rsidR="00646F4F" w:rsidRPr="00735726" w14:paraId="31BE3363" w14:textId="77777777" w:rsidTr="00CE19B2">
        <w:trPr>
          <w:trHeight w:val="257"/>
        </w:trPr>
        <w:tc>
          <w:tcPr>
            <w:tcW w:w="7573" w:type="dxa"/>
            <w:tcMar>
              <w:top w:w="11" w:type="dxa"/>
              <w:left w:w="57" w:type="dxa"/>
              <w:bottom w:w="11" w:type="dxa"/>
              <w:right w:w="57" w:type="dxa"/>
            </w:tcMar>
          </w:tcPr>
          <w:p w14:paraId="5987132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51" w:name="XMETag_e022ce7eb98c49bcad999ef5a5b58096" w:colFirst="1" w:colLast="1"/>
            <w:bookmarkStart w:id="552" w:name="XMETag_15960c0b19e14fe99f6584f7d7730c93" w:colFirst="2" w:colLast="2"/>
            <w:bookmarkEnd w:id="549"/>
            <w:bookmarkEnd w:id="550"/>
            <w:r w:rsidRPr="00735726">
              <w:rPr>
                <w:rFonts w:ascii="Arial" w:eastAsia="Times New Roman" w:hAnsi="Arial" w:cs="DINOT-Light"/>
                <w:color w:val="000000"/>
                <w:sz w:val="18"/>
                <w:szCs w:val="18"/>
              </w:rPr>
              <w:t xml:space="preserve">   Other emoluments, including payments in lieu of pension provision</w:t>
            </w:r>
          </w:p>
        </w:tc>
        <w:tc>
          <w:tcPr>
            <w:tcW w:w="1107" w:type="dxa"/>
            <w:tcMar>
              <w:top w:w="11" w:type="dxa"/>
              <w:left w:w="57" w:type="dxa"/>
              <w:bottom w:w="11" w:type="dxa"/>
              <w:right w:w="57" w:type="dxa"/>
            </w:tcMar>
          </w:tcPr>
          <w:p w14:paraId="2DF73AC7" w14:textId="7E45E67E" w:rsidR="00646F4F" w:rsidRPr="00735726" w:rsidRDefault="000035A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sz w:val="18"/>
                <w:szCs w:val="18"/>
              </w:rPr>
              <w:t>86</w:t>
            </w:r>
          </w:p>
        </w:tc>
        <w:tc>
          <w:tcPr>
            <w:tcW w:w="1108" w:type="dxa"/>
          </w:tcPr>
          <w:p w14:paraId="0096BC3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100</w:t>
            </w:r>
          </w:p>
        </w:tc>
      </w:tr>
      <w:bookmarkEnd w:id="551"/>
      <w:bookmarkEnd w:id="552"/>
      <w:tr w:rsidR="000035AF" w:rsidRPr="00735726" w14:paraId="0345181C" w14:textId="77777777" w:rsidTr="00CE19B2">
        <w:trPr>
          <w:trHeight w:val="257"/>
        </w:trPr>
        <w:tc>
          <w:tcPr>
            <w:tcW w:w="7573" w:type="dxa"/>
            <w:tcMar>
              <w:top w:w="11" w:type="dxa"/>
              <w:left w:w="57" w:type="dxa"/>
              <w:bottom w:w="11" w:type="dxa"/>
              <w:right w:w="57" w:type="dxa"/>
            </w:tcMar>
          </w:tcPr>
          <w:p w14:paraId="5E9CFE36" w14:textId="4B6816F2" w:rsidR="000035AF" w:rsidRPr="00735726" w:rsidRDefault="000035A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Compensation for loss of office</w:t>
            </w:r>
          </w:p>
        </w:tc>
        <w:tc>
          <w:tcPr>
            <w:tcW w:w="1107" w:type="dxa"/>
            <w:tcMar>
              <w:top w:w="11" w:type="dxa"/>
              <w:left w:w="57" w:type="dxa"/>
              <w:bottom w:w="11" w:type="dxa"/>
              <w:right w:w="57" w:type="dxa"/>
            </w:tcMar>
          </w:tcPr>
          <w:p w14:paraId="47D146F7" w14:textId="64E80C49" w:rsidR="000035AF" w:rsidRPr="00735726" w:rsidRDefault="000035A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515</w:t>
            </w:r>
          </w:p>
        </w:tc>
        <w:tc>
          <w:tcPr>
            <w:tcW w:w="1108" w:type="dxa"/>
          </w:tcPr>
          <w:p w14:paraId="429C5A68" w14:textId="738C04E8" w:rsidR="000035AF" w:rsidRPr="00735726" w:rsidRDefault="00E9165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342</w:t>
            </w:r>
          </w:p>
        </w:tc>
      </w:tr>
      <w:tr w:rsidR="00646F4F" w:rsidRPr="00735726" w14:paraId="3E7B3532" w14:textId="77777777" w:rsidTr="00CE19B2">
        <w:trPr>
          <w:trHeight w:val="257"/>
        </w:trPr>
        <w:tc>
          <w:tcPr>
            <w:tcW w:w="7573" w:type="dxa"/>
            <w:tcMar>
              <w:top w:w="11" w:type="dxa"/>
              <w:left w:w="57" w:type="dxa"/>
              <w:bottom w:w="11" w:type="dxa"/>
              <w:right w:w="57" w:type="dxa"/>
            </w:tcMar>
          </w:tcPr>
          <w:p w14:paraId="68C62E6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53" w:name="XMETag_95d1a97bb2e64a36bc433f3c13ba2bb5" w:colFirst="1" w:colLast="1"/>
            <w:bookmarkStart w:id="554" w:name="XMETag_f271d5b19fa5468983c2bf605f1fcb92" w:colFirst="2" w:colLast="2"/>
            <w:r w:rsidRPr="00735726">
              <w:rPr>
                <w:rFonts w:ascii="Arial" w:eastAsia="Times New Roman" w:hAnsi="Arial" w:cs="DINOT-Light"/>
                <w:color w:val="000000"/>
                <w:sz w:val="18"/>
                <w:szCs w:val="18"/>
              </w:rPr>
              <w:t>Non-Executive Directors (including Chair)</w:t>
            </w:r>
          </w:p>
        </w:tc>
        <w:tc>
          <w:tcPr>
            <w:tcW w:w="1107" w:type="dxa"/>
            <w:tcBorders>
              <w:bottom w:val="single" w:sz="4" w:space="0" w:color="auto"/>
            </w:tcBorders>
            <w:tcMar>
              <w:top w:w="11" w:type="dxa"/>
              <w:left w:w="57" w:type="dxa"/>
              <w:bottom w:w="11" w:type="dxa"/>
              <w:right w:w="57" w:type="dxa"/>
            </w:tcMar>
          </w:tcPr>
          <w:p w14:paraId="15EF687F" w14:textId="5AA879DD" w:rsidR="00646F4F" w:rsidRPr="00735726" w:rsidRDefault="000035A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sz w:val="18"/>
                <w:szCs w:val="18"/>
              </w:rPr>
              <w:t>535</w:t>
            </w:r>
          </w:p>
        </w:tc>
        <w:tc>
          <w:tcPr>
            <w:tcW w:w="1108" w:type="dxa"/>
            <w:tcBorders>
              <w:bottom w:val="single" w:sz="4" w:space="0" w:color="auto"/>
            </w:tcBorders>
          </w:tcPr>
          <w:p w14:paraId="1C8892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454</w:t>
            </w:r>
          </w:p>
        </w:tc>
      </w:tr>
      <w:tr w:rsidR="00646F4F" w:rsidRPr="00735726" w14:paraId="53FEAD2C" w14:textId="77777777" w:rsidTr="00CE19B2">
        <w:trPr>
          <w:trHeight w:val="257"/>
        </w:trPr>
        <w:tc>
          <w:tcPr>
            <w:tcW w:w="7573" w:type="dxa"/>
            <w:tcMar>
              <w:top w:w="11" w:type="dxa"/>
              <w:left w:w="57" w:type="dxa"/>
              <w:bottom w:w="11" w:type="dxa"/>
              <w:right w:w="57" w:type="dxa"/>
            </w:tcMar>
          </w:tcPr>
          <w:p w14:paraId="17B497B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555" w:name="XMETag_d803323ad57443d29a48a1f659b60592" w:colFirst="1" w:colLast="1"/>
            <w:bookmarkStart w:id="556" w:name="XMETag_c7a86747e32744f3ae10ae6b12434abb" w:colFirst="2" w:colLast="2"/>
            <w:bookmarkEnd w:id="553"/>
            <w:bookmarkEnd w:id="554"/>
            <w:r w:rsidRPr="00735726">
              <w:rPr>
                <w:rFonts w:ascii="Arial" w:eastAsia="Times New Roman" w:hAnsi="Arial" w:cs="DINOT-Light"/>
                <w:b/>
                <w:color w:val="000000"/>
                <w:sz w:val="18"/>
                <w:szCs w:val="18"/>
              </w:rPr>
              <w:t>Total emoluments</w:t>
            </w:r>
          </w:p>
        </w:tc>
        <w:tc>
          <w:tcPr>
            <w:tcW w:w="1107" w:type="dxa"/>
            <w:tcBorders>
              <w:top w:val="single" w:sz="4" w:space="0" w:color="auto"/>
              <w:bottom w:val="single" w:sz="4" w:space="0" w:color="auto"/>
            </w:tcBorders>
            <w:tcMar>
              <w:top w:w="11" w:type="dxa"/>
              <w:left w:w="57" w:type="dxa"/>
              <w:bottom w:w="11" w:type="dxa"/>
              <w:right w:w="57" w:type="dxa"/>
            </w:tcMar>
          </w:tcPr>
          <w:p w14:paraId="062DAF3D" w14:textId="0C580A80" w:rsidR="00646F4F" w:rsidRPr="00735726" w:rsidRDefault="000035A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sz w:val="18"/>
                <w:szCs w:val="18"/>
              </w:rPr>
              <w:t>1,74</w:t>
            </w:r>
            <w:r w:rsidR="00DB0609" w:rsidRPr="00735726">
              <w:rPr>
                <w:rFonts w:ascii="Arial" w:eastAsia="Times New Roman" w:hAnsi="Arial" w:cs="DINOT-Light"/>
                <w:b/>
                <w:bCs/>
                <w:sz w:val="18"/>
                <w:szCs w:val="18"/>
              </w:rPr>
              <w:t>7</w:t>
            </w:r>
          </w:p>
        </w:tc>
        <w:tc>
          <w:tcPr>
            <w:tcW w:w="1108" w:type="dxa"/>
            <w:tcBorders>
              <w:top w:val="single" w:sz="4" w:space="0" w:color="auto"/>
              <w:bottom w:val="single" w:sz="4" w:space="0" w:color="auto"/>
            </w:tcBorders>
          </w:tcPr>
          <w:p w14:paraId="21A86385" w14:textId="1791BCC6" w:rsidR="00646F4F" w:rsidRPr="00735726" w:rsidRDefault="00E9165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1,701</w:t>
            </w:r>
          </w:p>
        </w:tc>
      </w:tr>
      <w:bookmarkEnd w:id="555"/>
      <w:bookmarkEnd w:id="556"/>
    </w:tbl>
    <w:p w14:paraId="6C46523D"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0CDE585"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bookmarkStart w:id="557" w:name="XMETag_f1bb679ac5204801a9468d30293476e8"/>
    </w:p>
    <w:p w14:paraId="2AA45E49"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12.</w:t>
      </w:r>
      <w:r w:rsidRPr="00735726">
        <w:rPr>
          <w:rFonts w:ascii="Arial" w:eastAsia="Times New Roman" w:hAnsi="Arial" w:cs="Arial"/>
          <w:b/>
          <w:bCs/>
          <w:caps/>
          <w:color w:val="000000"/>
          <w:sz w:val="18"/>
          <w:szCs w:val="18"/>
        </w:rPr>
        <w:tab/>
        <w:t>Directors’ emoluments (CONTINUED)</w:t>
      </w:r>
    </w:p>
    <w:p w14:paraId="7EC1ED82" w14:textId="3DAC4051"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More detailed information concerning Directors’ emoluments (including pensions and the highest paid Director) is shown in the Annual Report on Remuneration on pages</w:t>
      </w:r>
      <w:r w:rsidRPr="009A2CAE">
        <w:rPr>
          <w:rFonts w:ascii="Arial" w:eastAsia="Times New Roman" w:hAnsi="Arial" w:cs="DINOT-Light"/>
          <w:sz w:val="18"/>
          <w:szCs w:val="18"/>
        </w:rPr>
        <w:t xml:space="preserve"> </w:t>
      </w:r>
      <w:r w:rsidR="00644FAB" w:rsidRPr="009A2CAE">
        <w:rPr>
          <w:rFonts w:ascii="Arial" w:eastAsia="Times New Roman" w:hAnsi="Arial" w:cs="DINOT-Light"/>
          <w:sz w:val="18"/>
          <w:szCs w:val="18"/>
        </w:rPr>
        <w:t xml:space="preserve">152 </w:t>
      </w:r>
      <w:r w:rsidRPr="009A2CAE">
        <w:rPr>
          <w:rFonts w:ascii="Arial" w:eastAsia="Times New Roman" w:hAnsi="Arial" w:cs="DINOT-Light"/>
          <w:sz w:val="18"/>
          <w:szCs w:val="18"/>
        </w:rPr>
        <w:t xml:space="preserve">to </w:t>
      </w:r>
      <w:r w:rsidR="00644FAB" w:rsidRPr="009A2CAE">
        <w:rPr>
          <w:rFonts w:ascii="Arial" w:eastAsia="Times New Roman" w:hAnsi="Arial" w:cs="DINOT-Light"/>
          <w:sz w:val="18"/>
          <w:szCs w:val="18"/>
        </w:rPr>
        <w:t>159</w:t>
      </w:r>
      <w:r w:rsidRPr="009A2CAE">
        <w:rPr>
          <w:rFonts w:ascii="Arial" w:eastAsia="Times New Roman" w:hAnsi="Arial" w:cs="DINOT-Light"/>
          <w:sz w:val="18"/>
          <w:szCs w:val="18"/>
        </w:rPr>
        <w:t xml:space="preserve">. </w:t>
      </w:r>
      <w:r w:rsidRPr="00735726">
        <w:rPr>
          <w:rFonts w:ascii="Arial" w:eastAsia="Times New Roman" w:hAnsi="Arial" w:cs="DINOT-Light"/>
          <w:sz w:val="18"/>
          <w:szCs w:val="18"/>
        </w:rPr>
        <w:t>This report also details arrangements with Pennon Group plc for the payment and recharging of emoluments relating to Directors who serve as Directors of both Pennon Group</w:t>
      </w:r>
      <w:r w:rsidR="00D03215" w:rsidRPr="00735726">
        <w:rPr>
          <w:rFonts w:ascii="Arial" w:eastAsia="Times New Roman" w:hAnsi="Arial" w:cs="DINOT-Light"/>
          <w:sz w:val="18"/>
          <w:szCs w:val="18"/>
        </w:rPr>
        <w:t xml:space="preserve"> plc</w:t>
      </w:r>
      <w:r w:rsidRPr="00735726">
        <w:rPr>
          <w:rFonts w:ascii="Arial" w:eastAsia="Times New Roman" w:hAnsi="Arial" w:cs="DINOT-Light"/>
          <w:sz w:val="18"/>
          <w:szCs w:val="18"/>
        </w:rPr>
        <w:t xml:space="preserve"> and </w:t>
      </w:r>
      <w:proofErr w:type="gramStart"/>
      <w:r w:rsidRPr="00735726">
        <w:rPr>
          <w:rFonts w:ascii="Arial" w:eastAsia="Times New Roman" w:hAnsi="Arial" w:cs="DINOT-Light"/>
          <w:sz w:val="18"/>
          <w:szCs w:val="18"/>
        </w:rPr>
        <w:t>South West</w:t>
      </w:r>
      <w:proofErr w:type="gramEnd"/>
      <w:r w:rsidRPr="00735726">
        <w:rPr>
          <w:rFonts w:ascii="Arial" w:eastAsia="Times New Roman" w:hAnsi="Arial" w:cs="DINOT-Light"/>
          <w:sz w:val="18"/>
          <w:szCs w:val="18"/>
        </w:rPr>
        <w:t xml:space="preserve"> Water. All variable incentives are fully funded by Pennon Group plc. The full single total figure of remuneration table is shown on page </w:t>
      </w:r>
      <w:r w:rsidR="00644FAB" w:rsidRPr="009A2CAE">
        <w:rPr>
          <w:rFonts w:ascii="Arial" w:eastAsia="Times New Roman" w:hAnsi="Arial" w:cs="DINOT-Light"/>
          <w:sz w:val="18"/>
          <w:szCs w:val="18"/>
        </w:rPr>
        <w:t>137</w:t>
      </w:r>
      <w:r w:rsidRPr="009A2CAE">
        <w:rPr>
          <w:rFonts w:ascii="Arial" w:eastAsia="Times New Roman" w:hAnsi="Arial" w:cs="DINOT-Light"/>
          <w:sz w:val="18"/>
          <w:szCs w:val="18"/>
        </w:rPr>
        <w:t xml:space="preserve"> </w:t>
      </w:r>
      <w:r w:rsidRPr="00735726">
        <w:rPr>
          <w:rFonts w:ascii="Arial" w:eastAsia="Times New Roman" w:hAnsi="Arial" w:cs="DINOT-Light"/>
          <w:sz w:val="18"/>
          <w:szCs w:val="18"/>
        </w:rPr>
        <w:t xml:space="preserve">of the Pennon Group plc Annual Report and Accounts 2026. These arrangements are fully funded by Pennon Group plc. </w:t>
      </w:r>
    </w:p>
    <w:p w14:paraId="70C19001"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558" w:name="_Hlk103107948"/>
      <w:bookmarkStart w:id="559" w:name="_Hlk103108072"/>
      <w:bookmarkEnd w:id="557"/>
    </w:p>
    <w:p w14:paraId="4CBE7943"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bookmarkEnd w:id="548"/>
    <w:bookmarkEnd w:id="558"/>
    <w:bookmarkEnd w:id="559"/>
    <w:p w14:paraId="423EE5C4"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13.</w:t>
      </w:r>
      <w:r w:rsidRPr="00735726">
        <w:rPr>
          <w:rFonts w:ascii="Arial" w:eastAsia="Times New Roman" w:hAnsi="Arial" w:cs="Arial"/>
          <w:b/>
          <w:bCs/>
          <w:caps/>
          <w:color w:val="000000"/>
          <w:sz w:val="18"/>
          <w:szCs w:val="18"/>
        </w:rPr>
        <w:tab/>
        <w:t>GOODWILL</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279842D5" w14:textId="77777777" w:rsidTr="00CE19B2">
        <w:trPr>
          <w:trHeight w:val="60"/>
          <w:tblHeader/>
        </w:trPr>
        <w:tc>
          <w:tcPr>
            <w:tcW w:w="7739" w:type="dxa"/>
            <w:tcMar>
              <w:top w:w="11" w:type="dxa"/>
              <w:left w:w="57" w:type="dxa"/>
              <w:bottom w:w="11" w:type="dxa"/>
              <w:right w:w="57" w:type="dxa"/>
            </w:tcMar>
            <w:vAlign w:val="center"/>
          </w:tcPr>
          <w:p w14:paraId="020175A9"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vAlign w:val="center"/>
          </w:tcPr>
          <w:p w14:paraId="0D0B85A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0E120B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center"/>
          </w:tcPr>
          <w:p w14:paraId="65528C3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ADAD1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A1978D4" w14:textId="77777777" w:rsidTr="00CE19B2">
        <w:trPr>
          <w:gridAfter w:val="2"/>
          <w:wAfter w:w="2267" w:type="dxa"/>
          <w:trHeight w:val="226"/>
        </w:trPr>
        <w:tc>
          <w:tcPr>
            <w:tcW w:w="7739" w:type="dxa"/>
            <w:tcMar>
              <w:top w:w="11" w:type="dxa"/>
              <w:left w:w="57" w:type="dxa"/>
              <w:bottom w:w="11" w:type="dxa"/>
              <w:right w:w="57" w:type="dxa"/>
            </w:tcMar>
            <w:vAlign w:val="center"/>
          </w:tcPr>
          <w:p w14:paraId="1748ACCA" w14:textId="07A8EECD"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Cost</w:t>
            </w:r>
            <w:r w:rsidR="00D804BB" w:rsidRPr="00735726">
              <w:rPr>
                <w:rFonts w:ascii="Arial" w:eastAsia="Times New Roman" w:hAnsi="Arial" w:cs="DINOT-Light"/>
                <w:b/>
                <w:color w:val="000000"/>
                <w:sz w:val="18"/>
                <w:szCs w:val="18"/>
              </w:rPr>
              <w:t xml:space="preserve"> and Net book value</w:t>
            </w:r>
          </w:p>
        </w:tc>
      </w:tr>
      <w:tr w:rsidR="00646F4F" w:rsidRPr="00735726" w14:paraId="75EDD0DC" w14:textId="77777777" w:rsidTr="00CE19B2">
        <w:trPr>
          <w:trHeight w:val="271"/>
        </w:trPr>
        <w:tc>
          <w:tcPr>
            <w:tcW w:w="7739" w:type="dxa"/>
            <w:tcMar>
              <w:top w:w="11" w:type="dxa"/>
              <w:left w:w="57" w:type="dxa"/>
              <w:bottom w:w="11" w:type="dxa"/>
              <w:right w:w="57" w:type="dxa"/>
            </w:tcMar>
            <w:vAlign w:val="center"/>
          </w:tcPr>
          <w:p w14:paraId="1E3D46BE" w14:textId="4B3275D7" w:rsidR="00646F4F" w:rsidRPr="00735726" w:rsidRDefault="00646F4F" w:rsidP="00CE19B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560" w:name="XMETag_b6cb2cd872ae45eda65e31a070d415cb" w:colFirst="1" w:colLast="1"/>
            <w:bookmarkStart w:id="561" w:name="XMETag_b84634982acf447e9f9493d15f97a4a2" w:colFirst="2" w:colLast="2"/>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1 April</w:t>
            </w:r>
          </w:p>
        </w:tc>
        <w:tc>
          <w:tcPr>
            <w:tcW w:w="1133" w:type="dxa"/>
            <w:tcMar>
              <w:top w:w="11" w:type="dxa"/>
              <w:left w:w="57" w:type="dxa"/>
              <w:bottom w:w="11" w:type="dxa"/>
              <w:right w:w="57" w:type="dxa"/>
            </w:tcMar>
            <w:vAlign w:val="center"/>
          </w:tcPr>
          <w:p w14:paraId="2FCFA5D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299.6</w:t>
            </w:r>
          </w:p>
        </w:tc>
        <w:tc>
          <w:tcPr>
            <w:tcW w:w="1134" w:type="dxa"/>
            <w:tcMar>
              <w:top w:w="11" w:type="dxa"/>
              <w:left w:w="57" w:type="dxa"/>
              <w:bottom w:w="11" w:type="dxa"/>
              <w:right w:w="57" w:type="dxa"/>
            </w:tcMar>
            <w:vAlign w:val="center"/>
          </w:tcPr>
          <w:p w14:paraId="4C18FE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299.6</w:t>
            </w:r>
          </w:p>
        </w:tc>
      </w:tr>
      <w:tr w:rsidR="00646F4F" w:rsidRPr="00735726" w14:paraId="50A4DFF5" w14:textId="77777777" w:rsidTr="00CE19B2">
        <w:trPr>
          <w:trHeight w:val="100"/>
        </w:trPr>
        <w:tc>
          <w:tcPr>
            <w:tcW w:w="7739" w:type="dxa"/>
            <w:tcMar>
              <w:top w:w="11" w:type="dxa"/>
              <w:left w:w="57" w:type="dxa"/>
              <w:bottom w:w="11" w:type="dxa"/>
              <w:right w:w="57" w:type="dxa"/>
            </w:tcMar>
            <w:vAlign w:val="center"/>
          </w:tcPr>
          <w:p w14:paraId="3F728EB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562" w:name="XMETag_7c00d9f3eb2949bebd42ab81b109f481" w:colFirst="1" w:colLast="1"/>
            <w:bookmarkStart w:id="563" w:name="XMETag_67cb76b9dd1e41f7bfb2bbd655527761" w:colFirst="2" w:colLast="2"/>
            <w:bookmarkEnd w:id="560"/>
            <w:bookmarkEnd w:id="561"/>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w:t>
            </w:r>
          </w:p>
        </w:tc>
        <w:tc>
          <w:tcPr>
            <w:tcW w:w="1133" w:type="dxa"/>
            <w:tcBorders>
              <w:top w:val="single" w:sz="4" w:space="0" w:color="auto"/>
              <w:bottom w:val="single" w:sz="4" w:space="0" w:color="auto"/>
            </w:tcBorders>
            <w:tcMar>
              <w:top w:w="11" w:type="dxa"/>
              <w:left w:w="57" w:type="dxa"/>
              <w:bottom w:w="11" w:type="dxa"/>
              <w:right w:w="57" w:type="dxa"/>
            </w:tcMar>
            <w:vAlign w:val="center"/>
          </w:tcPr>
          <w:p w14:paraId="28D9F9F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299.6</w:t>
            </w:r>
          </w:p>
        </w:tc>
        <w:tc>
          <w:tcPr>
            <w:tcW w:w="1134" w:type="dxa"/>
            <w:tcBorders>
              <w:top w:val="single" w:sz="4" w:space="0" w:color="auto"/>
              <w:bottom w:val="single" w:sz="4" w:space="0" w:color="auto"/>
            </w:tcBorders>
            <w:tcMar>
              <w:top w:w="11" w:type="dxa"/>
              <w:left w:w="57" w:type="dxa"/>
              <w:bottom w:w="11" w:type="dxa"/>
              <w:right w:w="57" w:type="dxa"/>
            </w:tcMar>
            <w:vAlign w:val="center"/>
          </w:tcPr>
          <w:p w14:paraId="4D5854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299.6</w:t>
            </w:r>
          </w:p>
        </w:tc>
      </w:tr>
      <w:bookmarkEnd w:id="562"/>
      <w:bookmarkEnd w:id="563"/>
    </w:tbl>
    <w:p w14:paraId="6030A97F" w14:textId="77777777" w:rsidR="00646F4F" w:rsidRPr="009A2CAE" w:rsidRDefault="00646F4F" w:rsidP="00646F4F">
      <w:pPr>
        <w:autoSpaceDE w:val="0"/>
        <w:autoSpaceDN w:val="0"/>
        <w:adjustRightInd w:val="0"/>
        <w:spacing w:after="0" w:line="240" w:lineRule="auto"/>
        <w:rPr>
          <w:rFonts w:ascii="Arial" w:eastAsia="Times New Roman" w:hAnsi="Arial" w:cs="DINOT-Light"/>
          <w:sz w:val="18"/>
          <w:szCs w:val="18"/>
        </w:rPr>
      </w:pPr>
    </w:p>
    <w:p w14:paraId="45E351C4" w14:textId="77777777" w:rsidR="00646F4F" w:rsidRPr="009A2CAE" w:rsidRDefault="00646F4F" w:rsidP="00646F4F">
      <w:pPr>
        <w:autoSpaceDE w:val="0"/>
        <w:autoSpaceDN w:val="0"/>
        <w:adjustRightInd w:val="0"/>
        <w:spacing w:after="0" w:line="240" w:lineRule="auto"/>
        <w:rPr>
          <w:rFonts w:ascii="Arial" w:eastAsia="Times New Roman" w:hAnsi="Arial" w:cs="DINOT-Light"/>
          <w:sz w:val="18"/>
          <w:szCs w:val="18"/>
        </w:rPr>
      </w:pPr>
      <w:bookmarkStart w:id="564" w:name="XMETag_1f4f95a553fa4da69f4b5276c8032b38"/>
    </w:p>
    <w:p w14:paraId="3CC4A3DF" w14:textId="77777777" w:rsidR="00646F4F" w:rsidRPr="00735726" w:rsidRDefault="00646F4F" w:rsidP="00646F4F">
      <w:pPr>
        <w:autoSpaceDE w:val="0"/>
        <w:autoSpaceDN w:val="0"/>
        <w:adjustRightInd w:val="0"/>
        <w:spacing w:after="0"/>
        <w:rPr>
          <w:rFonts w:ascii="Arial" w:eastAsia="Times New Roman" w:hAnsi="Arial" w:cs="DINOT-Light"/>
          <w:sz w:val="18"/>
          <w:szCs w:val="18"/>
        </w:rPr>
      </w:pPr>
      <w:r w:rsidRPr="00735726">
        <w:rPr>
          <w:rFonts w:ascii="Arial" w:eastAsia="Times New Roman" w:hAnsi="Arial" w:cs="DINOT-Light"/>
          <w:sz w:val="18"/>
          <w:szCs w:val="18"/>
        </w:rPr>
        <w:t>In 2022/23, goodwill of £248.3 million was recognised on acquisition of Bristol Water. Goodwill of £51.3 million was recognised on acquisition of Bournemouth Water in 2016/17.</w:t>
      </w:r>
    </w:p>
    <w:p w14:paraId="5ECF696B" w14:textId="77777777" w:rsidR="00646F4F" w:rsidRPr="009A2CAE" w:rsidRDefault="00646F4F" w:rsidP="00646F4F">
      <w:pPr>
        <w:autoSpaceDE w:val="0"/>
        <w:autoSpaceDN w:val="0"/>
        <w:adjustRightInd w:val="0"/>
        <w:spacing w:after="0"/>
        <w:rPr>
          <w:rFonts w:ascii="Arial" w:eastAsia="Times New Roman" w:hAnsi="Arial" w:cs="DINOT-Light"/>
          <w:sz w:val="18"/>
          <w:szCs w:val="18"/>
        </w:rPr>
      </w:pPr>
    </w:p>
    <w:p w14:paraId="560C0BAE" w14:textId="58A5DC1F"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Company’s operations comprise the regions of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Bournemouth Water and Bristol Water. The Company operates under one management structure with functional integration across the operating segment generating the synergies of the combination. The recoverable amount is the higher of fair value, less costs to sell, and the value-in-use. Value-in-use represents the present value of projected future cash flows expected to be derived from the Company, discounted using a pre-tax discount rate which reflects an assessment of the market cost of capital of the Company. Impairments are charged to the statement of profit or loss in the year which they arise.</w:t>
      </w:r>
    </w:p>
    <w:p w14:paraId="2728FBF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i/>
          <w:iCs/>
          <w:color w:val="000000"/>
          <w:sz w:val="18"/>
          <w:szCs w:val="18"/>
        </w:rPr>
      </w:pPr>
    </w:p>
    <w:p w14:paraId="6A55E4FA" w14:textId="77777777" w:rsidR="00646F4F" w:rsidRPr="00735726" w:rsidRDefault="00646F4F" w:rsidP="00646F4F">
      <w:pPr>
        <w:autoSpaceDE w:val="0"/>
        <w:autoSpaceDN w:val="0"/>
        <w:adjustRightInd w:val="0"/>
        <w:spacing w:after="0"/>
        <w:rPr>
          <w:rFonts w:ascii="Arial" w:eastAsia="Calibri" w:hAnsi="Arial" w:cs="Arial"/>
          <w:b/>
          <w:bCs/>
          <w:sz w:val="18"/>
          <w:szCs w:val="18"/>
        </w:rPr>
      </w:pPr>
      <w:r w:rsidRPr="00735726">
        <w:rPr>
          <w:rFonts w:ascii="Arial" w:eastAsia="Calibri" w:hAnsi="Arial" w:cs="Arial"/>
          <w:b/>
          <w:bCs/>
          <w:sz w:val="18"/>
          <w:szCs w:val="18"/>
        </w:rPr>
        <w:t>Impairment testing of goodwill</w:t>
      </w:r>
    </w:p>
    <w:p w14:paraId="7C3E2CE6" w14:textId="461242C5"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The Company tests goodwill for impairment annually or more frequently if there are any indications that</w:t>
      </w:r>
      <w:r w:rsidR="003B5CB3" w:rsidRPr="00735726">
        <w:rPr>
          <w:rFonts w:ascii="Arial" w:eastAsia="Times New Roman" w:hAnsi="Arial" w:cs="DINOT-Light"/>
          <w:sz w:val="18"/>
          <w:szCs w:val="18"/>
        </w:rPr>
        <w:t xml:space="preserve"> </w:t>
      </w:r>
      <w:r w:rsidRPr="00735726">
        <w:rPr>
          <w:rFonts w:ascii="Arial" w:eastAsia="Times New Roman" w:hAnsi="Arial" w:cs="DINOT-Light"/>
          <w:sz w:val="18"/>
          <w:szCs w:val="18"/>
        </w:rPr>
        <w:t>impairment may have arisen.</w:t>
      </w:r>
    </w:p>
    <w:p w14:paraId="784D6AD6"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bookmarkEnd w:id="564"/>
    <w:p w14:paraId="11A50928" w14:textId="35CE41BB" w:rsidR="003B5CB3" w:rsidRPr="00735726" w:rsidRDefault="00646F4F" w:rsidP="003B5CB3">
      <w:pPr>
        <w:spacing w:after="160"/>
        <w:rPr>
          <w:rFonts w:ascii="Arial" w:eastAsia="Times New Roman" w:hAnsi="Arial" w:cs="DINOT-Light"/>
          <w:sz w:val="18"/>
          <w:szCs w:val="18"/>
        </w:rPr>
      </w:pPr>
      <w:r w:rsidRPr="00735726">
        <w:rPr>
          <w:rFonts w:ascii="Arial" w:eastAsia="Times New Roman" w:hAnsi="Arial" w:cs="DINOT-Light"/>
          <w:sz w:val="18"/>
          <w:szCs w:val="18"/>
        </w:rPr>
        <w:t xml:space="preserve">Impairment testing is carried out based on the fair value less costs of disposal method. The recoverable amount of the water business segment is assessed using level 2 fair value hierarchy techniques, with reference to the market value of the water business, using a market-based observable premium, based on historical water industry merger and acquisition activity, </w:t>
      </w:r>
      <w:r w:rsidR="003B5CB3" w:rsidRPr="00735726">
        <w:rPr>
          <w:rFonts w:ascii="Arial" w:eastAsia="Times New Roman" w:hAnsi="Arial" w:cs="DINOT-Light"/>
          <w:sz w:val="18"/>
          <w:szCs w:val="18"/>
        </w:rPr>
        <w:t xml:space="preserve">to Regulated Capital Value (RCV) as defined by Ofwat. The recoverable amount is adjusted for estimated costs to sell. Historical water industry transactions provide a range of premia that could be used in the calculation, for the current financial year applying a premium to RCV was not required to maintain impairment headroom. </w:t>
      </w:r>
    </w:p>
    <w:p w14:paraId="5E1D7147" w14:textId="1969F9E8" w:rsidR="00646F4F" w:rsidRPr="00735726" w:rsidRDefault="00646F4F" w:rsidP="003B5CB3">
      <w:pPr>
        <w:spacing w:after="160"/>
        <w:rPr>
          <w:rFonts w:ascii="Arial" w:eastAsia="Times New Roman" w:hAnsi="Arial" w:cs="Arial"/>
          <w:b/>
          <w:bCs/>
          <w:caps/>
          <w:color w:val="000000"/>
          <w:sz w:val="18"/>
          <w:szCs w:val="18"/>
        </w:rPr>
      </w:pPr>
      <w:r w:rsidRPr="00735726">
        <w:rPr>
          <w:rFonts w:ascii="Arial" w:eastAsia="Times New Roman" w:hAnsi="Arial" w:cs="DINOT-Light"/>
          <w:sz w:val="18"/>
          <w:szCs w:val="18"/>
        </w:rPr>
        <w:t>The results of tests performed during the year demonstrate significant headroom in the water CGU, and it is judged that no reasonable change in the key assumptions would cause the carrying amount of the CGUs to exceed the recoverable amount.</w:t>
      </w:r>
    </w:p>
    <w:p w14:paraId="53A564E2" w14:textId="77777777" w:rsidR="00E86E61" w:rsidRPr="009A2CAE" w:rsidRDefault="00E86E61">
      <w:pPr>
        <w:spacing w:after="160" w:line="259" w:lineRule="auto"/>
        <w:rPr>
          <w:rFonts w:ascii="Arial" w:eastAsia="Times New Roman" w:hAnsi="Arial" w:cs="Arial"/>
          <w:b/>
          <w:bCs/>
          <w:caps/>
          <w:color w:val="000000"/>
          <w:sz w:val="18"/>
          <w:szCs w:val="18"/>
        </w:rPr>
      </w:pPr>
      <w:r w:rsidRPr="009A2CAE">
        <w:rPr>
          <w:rFonts w:ascii="Arial" w:eastAsia="Times New Roman" w:hAnsi="Arial" w:cs="Arial"/>
          <w:b/>
          <w:bCs/>
          <w:caps/>
          <w:color w:val="000000"/>
          <w:sz w:val="18"/>
          <w:szCs w:val="18"/>
        </w:rPr>
        <w:br w:type="page"/>
      </w:r>
    </w:p>
    <w:p w14:paraId="2A8FA622" w14:textId="50DD44CE"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14.</w:t>
      </w:r>
      <w:r w:rsidRPr="00735726">
        <w:rPr>
          <w:rFonts w:ascii="Arial" w:eastAsia="Times New Roman" w:hAnsi="Arial" w:cs="Arial"/>
          <w:b/>
          <w:bCs/>
          <w:caps/>
          <w:color w:val="000000"/>
          <w:sz w:val="18"/>
          <w:szCs w:val="18"/>
        </w:rPr>
        <w:tab/>
        <w:t>OTHER INTANGIBLE ASSETS</w:t>
      </w:r>
    </w:p>
    <w:tbl>
      <w:tblPr>
        <w:tblW w:w="9773" w:type="dxa"/>
        <w:tblInd w:w="8" w:type="dxa"/>
        <w:tblLayout w:type="fixed"/>
        <w:tblCellMar>
          <w:left w:w="0" w:type="dxa"/>
          <w:right w:w="0" w:type="dxa"/>
        </w:tblCellMar>
        <w:tblLook w:val="0000" w:firstRow="0" w:lastRow="0" w:firstColumn="0" w:lastColumn="0" w:noHBand="0" w:noVBand="0"/>
      </w:tblPr>
      <w:tblGrid>
        <w:gridCol w:w="6938"/>
        <w:gridCol w:w="992"/>
        <w:gridCol w:w="851"/>
        <w:gridCol w:w="992"/>
      </w:tblGrid>
      <w:tr w:rsidR="00646F4F" w:rsidRPr="00735726" w14:paraId="54C42FA5" w14:textId="77777777" w:rsidTr="00CE19B2">
        <w:trPr>
          <w:trHeight w:val="265"/>
          <w:tblHeader/>
        </w:trPr>
        <w:tc>
          <w:tcPr>
            <w:tcW w:w="6938" w:type="dxa"/>
            <w:tcMar>
              <w:top w:w="11" w:type="dxa"/>
              <w:left w:w="57" w:type="dxa"/>
              <w:bottom w:w="11" w:type="dxa"/>
              <w:right w:w="57" w:type="dxa"/>
            </w:tcMar>
            <w:vAlign w:val="bottom"/>
          </w:tcPr>
          <w:p w14:paraId="63E52B0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Mar>
              <w:top w:w="11" w:type="dxa"/>
              <w:left w:w="57" w:type="dxa"/>
              <w:bottom w:w="11" w:type="dxa"/>
              <w:right w:w="57" w:type="dxa"/>
            </w:tcMar>
            <w:vAlign w:val="bottom"/>
          </w:tcPr>
          <w:p w14:paraId="69B1CDF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vAlign w:val="bottom"/>
          </w:tcPr>
          <w:p w14:paraId="65367B2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Mar>
              <w:top w:w="11" w:type="dxa"/>
              <w:left w:w="57" w:type="dxa"/>
              <w:bottom w:w="11" w:type="dxa"/>
              <w:right w:w="57" w:type="dxa"/>
            </w:tcMar>
            <w:vAlign w:val="bottom"/>
          </w:tcPr>
          <w:p w14:paraId="76206B6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r w:rsidRPr="00735726">
              <w:rPr>
                <w:rFonts w:ascii="Arial" w:eastAsia="Times New Roman" w:hAnsi="Arial" w:cs="DINOT-Light"/>
                <w:b/>
                <w:color w:val="000000"/>
                <w:sz w:val="18"/>
                <w:szCs w:val="18"/>
              </w:rPr>
              <w:br/>
              <w:t>£m</w:t>
            </w:r>
          </w:p>
        </w:tc>
      </w:tr>
      <w:tr w:rsidR="00646F4F" w:rsidRPr="00735726" w14:paraId="698874FB" w14:textId="77777777" w:rsidTr="00CE19B2">
        <w:trPr>
          <w:trHeight w:val="226"/>
        </w:trPr>
        <w:tc>
          <w:tcPr>
            <w:tcW w:w="6938" w:type="dxa"/>
            <w:tcMar>
              <w:top w:w="11" w:type="dxa"/>
              <w:left w:w="57" w:type="dxa"/>
              <w:bottom w:w="11" w:type="dxa"/>
              <w:right w:w="57" w:type="dxa"/>
            </w:tcMar>
          </w:tcPr>
          <w:p w14:paraId="0564AAD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Cost:</w:t>
            </w:r>
          </w:p>
        </w:tc>
        <w:tc>
          <w:tcPr>
            <w:tcW w:w="992" w:type="dxa"/>
            <w:tcMar>
              <w:top w:w="11" w:type="dxa"/>
              <w:left w:w="57" w:type="dxa"/>
              <w:bottom w:w="11" w:type="dxa"/>
              <w:right w:w="57" w:type="dxa"/>
            </w:tcMar>
          </w:tcPr>
          <w:p w14:paraId="01FA515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7B0F7D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bottom w:val="single" w:sz="4" w:space="0" w:color="auto"/>
            </w:tcBorders>
            <w:tcMar>
              <w:top w:w="11" w:type="dxa"/>
              <w:left w:w="57" w:type="dxa"/>
              <w:bottom w:w="11" w:type="dxa"/>
              <w:right w:w="57" w:type="dxa"/>
            </w:tcMar>
          </w:tcPr>
          <w:p w14:paraId="1C61A8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0C41AC" w:rsidRPr="00735726" w14:paraId="24996AAA" w14:textId="77777777" w:rsidTr="00CE19B2">
        <w:trPr>
          <w:trHeight w:val="226"/>
        </w:trPr>
        <w:tc>
          <w:tcPr>
            <w:tcW w:w="6938" w:type="dxa"/>
            <w:tcMar>
              <w:top w:w="11" w:type="dxa"/>
              <w:left w:w="57" w:type="dxa"/>
              <w:bottom w:w="11" w:type="dxa"/>
              <w:right w:w="57" w:type="dxa"/>
            </w:tcMar>
          </w:tcPr>
          <w:p w14:paraId="08606AF2" w14:textId="2504DC02" w:rsidR="000C41AC" w:rsidRPr="00735726" w:rsidRDefault="000C41AC"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992" w:type="dxa"/>
            <w:tcMar>
              <w:top w:w="11" w:type="dxa"/>
              <w:left w:w="57" w:type="dxa"/>
              <w:bottom w:w="11" w:type="dxa"/>
              <w:right w:w="57" w:type="dxa"/>
            </w:tcMar>
          </w:tcPr>
          <w:p w14:paraId="75F3854D" w14:textId="77777777" w:rsidR="000C41AC" w:rsidRPr="00735726" w:rsidRDefault="000C41A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1A4DCE71" w14:textId="77777777" w:rsidR="000C41AC" w:rsidRPr="00735726" w:rsidRDefault="000C41A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bottom w:val="single" w:sz="4" w:space="0" w:color="auto"/>
            </w:tcBorders>
            <w:tcMar>
              <w:top w:w="11" w:type="dxa"/>
              <w:left w:w="57" w:type="dxa"/>
              <w:bottom w:w="11" w:type="dxa"/>
              <w:right w:w="57" w:type="dxa"/>
            </w:tcMar>
          </w:tcPr>
          <w:p w14:paraId="35F57515" w14:textId="7ED9C2D2" w:rsidR="000C41AC" w:rsidRPr="00735726" w:rsidRDefault="000C41A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18.4</w:t>
            </w:r>
          </w:p>
        </w:tc>
      </w:tr>
      <w:tr w:rsidR="000C41AC" w:rsidRPr="00735726" w14:paraId="0F30A1A8" w14:textId="77777777" w:rsidTr="00CE19B2">
        <w:trPr>
          <w:trHeight w:val="226"/>
        </w:trPr>
        <w:tc>
          <w:tcPr>
            <w:tcW w:w="6938" w:type="dxa"/>
            <w:tcMar>
              <w:top w:w="11" w:type="dxa"/>
              <w:left w:w="57" w:type="dxa"/>
              <w:bottom w:w="11" w:type="dxa"/>
              <w:right w:w="57" w:type="dxa"/>
            </w:tcMar>
          </w:tcPr>
          <w:p w14:paraId="2828D4CF" w14:textId="74238CF5" w:rsidR="000C41AC" w:rsidRPr="00735726" w:rsidRDefault="000C41AC"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Additions</w:t>
            </w:r>
          </w:p>
        </w:tc>
        <w:tc>
          <w:tcPr>
            <w:tcW w:w="992" w:type="dxa"/>
            <w:tcMar>
              <w:top w:w="11" w:type="dxa"/>
              <w:left w:w="57" w:type="dxa"/>
              <w:bottom w:w="11" w:type="dxa"/>
              <w:right w:w="57" w:type="dxa"/>
            </w:tcMar>
          </w:tcPr>
          <w:p w14:paraId="4178D9BF" w14:textId="77777777" w:rsidR="000C41AC" w:rsidRPr="00735726" w:rsidRDefault="000C41A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54465857" w14:textId="77777777" w:rsidR="000C41AC" w:rsidRPr="00735726" w:rsidRDefault="000C41A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bottom w:val="single" w:sz="4" w:space="0" w:color="auto"/>
            </w:tcBorders>
            <w:tcMar>
              <w:top w:w="11" w:type="dxa"/>
              <w:left w:w="57" w:type="dxa"/>
              <w:bottom w:w="11" w:type="dxa"/>
              <w:right w:w="57" w:type="dxa"/>
            </w:tcMar>
          </w:tcPr>
          <w:p w14:paraId="29B7E749" w14:textId="1FD5E960" w:rsidR="000C41AC" w:rsidRPr="00735726" w:rsidRDefault="000C41A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2.2</w:t>
            </w:r>
          </w:p>
        </w:tc>
      </w:tr>
      <w:tr w:rsidR="00646F4F" w:rsidRPr="00735726" w14:paraId="07482531" w14:textId="77777777" w:rsidTr="00CE19B2">
        <w:trPr>
          <w:trHeight w:val="226"/>
        </w:trPr>
        <w:tc>
          <w:tcPr>
            <w:tcW w:w="6938" w:type="dxa"/>
            <w:tcMar>
              <w:top w:w="11" w:type="dxa"/>
              <w:left w:w="57" w:type="dxa"/>
              <w:bottom w:w="11" w:type="dxa"/>
              <w:right w:w="57" w:type="dxa"/>
            </w:tcMar>
          </w:tcPr>
          <w:p w14:paraId="32FCB147" w14:textId="0F3B9A9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w:t>
            </w:r>
            <w:r w:rsidR="000C41AC" w:rsidRPr="00735726">
              <w:rPr>
                <w:rFonts w:ascii="Arial" w:eastAsia="Times New Roman" w:hAnsi="Arial" w:cs="DINOT-Light"/>
                <w:b/>
                <w:color w:val="000000"/>
                <w:sz w:val="18"/>
                <w:szCs w:val="18"/>
              </w:rPr>
              <w:t>31 March</w:t>
            </w:r>
            <w:r w:rsidRPr="00735726">
              <w:rPr>
                <w:rFonts w:ascii="Arial" w:eastAsia="Times New Roman" w:hAnsi="Arial" w:cs="DINOT-Light"/>
                <w:b/>
                <w:color w:val="000000"/>
                <w:sz w:val="18"/>
                <w:szCs w:val="18"/>
              </w:rPr>
              <w:t xml:space="preserve"> 2025</w:t>
            </w:r>
          </w:p>
        </w:tc>
        <w:tc>
          <w:tcPr>
            <w:tcW w:w="992" w:type="dxa"/>
            <w:tcMar>
              <w:top w:w="11" w:type="dxa"/>
              <w:left w:w="57" w:type="dxa"/>
              <w:bottom w:w="11" w:type="dxa"/>
              <w:right w:w="57" w:type="dxa"/>
            </w:tcMar>
          </w:tcPr>
          <w:p w14:paraId="2329C0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13C88C1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top w:val="single" w:sz="4" w:space="0" w:color="auto"/>
              <w:bottom w:val="single" w:sz="4" w:space="0" w:color="auto"/>
            </w:tcBorders>
            <w:tcMar>
              <w:top w:w="11" w:type="dxa"/>
              <w:left w:w="57" w:type="dxa"/>
              <w:bottom w:w="11" w:type="dxa"/>
              <w:right w:w="57" w:type="dxa"/>
            </w:tcMar>
          </w:tcPr>
          <w:p w14:paraId="0FB3FE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20.6</w:t>
            </w:r>
          </w:p>
        </w:tc>
      </w:tr>
      <w:tr w:rsidR="00646F4F" w:rsidRPr="00735726" w14:paraId="49D0AF16" w14:textId="77777777" w:rsidTr="00CE19B2">
        <w:trPr>
          <w:trHeight w:val="226"/>
        </w:trPr>
        <w:tc>
          <w:tcPr>
            <w:tcW w:w="6938" w:type="dxa"/>
            <w:tcMar>
              <w:top w:w="11" w:type="dxa"/>
              <w:left w:w="57" w:type="dxa"/>
              <w:bottom w:w="11" w:type="dxa"/>
              <w:right w:w="57" w:type="dxa"/>
            </w:tcMar>
          </w:tcPr>
          <w:p w14:paraId="75C780C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Additions</w:t>
            </w:r>
          </w:p>
        </w:tc>
        <w:tc>
          <w:tcPr>
            <w:tcW w:w="992" w:type="dxa"/>
            <w:tcMar>
              <w:top w:w="11" w:type="dxa"/>
              <w:left w:w="57" w:type="dxa"/>
              <w:bottom w:w="11" w:type="dxa"/>
              <w:right w:w="57" w:type="dxa"/>
            </w:tcMar>
          </w:tcPr>
          <w:p w14:paraId="01A3F9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851" w:type="dxa"/>
            <w:tcMar>
              <w:top w:w="11" w:type="dxa"/>
              <w:left w:w="57" w:type="dxa"/>
              <w:bottom w:w="11" w:type="dxa"/>
              <w:right w:w="57" w:type="dxa"/>
            </w:tcMar>
          </w:tcPr>
          <w:p w14:paraId="0AAF5D3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0497ACE6" w14:textId="7CA648CD" w:rsidR="00646F4F" w:rsidRPr="00735726" w:rsidRDefault="00450D37"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5.9</w:t>
            </w:r>
          </w:p>
        </w:tc>
      </w:tr>
      <w:tr w:rsidR="00646F4F" w:rsidRPr="00735726" w14:paraId="22EE47B3" w14:textId="77777777" w:rsidTr="00CE19B2">
        <w:trPr>
          <w:trHeight w:val="226"/>
        </w:trPr>
        <w:tc>
          <w:tcPr>
            <w:tcW w:w="6938" w:type="dxa"/>
            <w:tcMar>
              <w:top w:w="11" w:type="dxa"/>
              <w:left w:w="57" w:type="dxa"/>
              <w:bottom w:w="11" w:type="dxa"/>
              <w:right w:w="57" w:type="dxa"/>
            </w:tcMar>
          </w:tcPr>
          <w:p w14:paraId="65D9B1A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992" w:type="dxa"/>
            <w:tcMar>
              <w:top w:w="11" w:type="dxa"/>
              <w:left w:w="57" w:type="dxa"/>
              <w:bottom w:w="11" w:type="dxa"/>
              <w:right w:w="57" w:type="dxa"/>
            </w:tcMar>
          </w:tcPr>
          <w:p w14:paraId="6B82115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77E0FC9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top w:val="single" w:sz="4" w:space="0" w:color="auto"/>
              <w:bottom w:val="single" w:sz="4" w:space="0" w:color="auto"/>
            </w:tcBorders>
            <w:tcMar>
              <w:top w:w="11" w:type="dxa"/>
              <w:left w:w="57" w:type="dxa"/>
              <w:bottom w:w="11" w:type="dxa"/>
              <w:right w:w="57" w:type="dxa"/>
            </w:tcMar>
          </w:tcPr>
          <w:p w14:paraId="0D481F87" w14:textId="1243D849"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26.</w:t>
            </w:r>
            <w:r w:rsidR="00450D37" w:rsidRPr="00735726">
              <w:rPr>
                <w:rFonts w:ascii="Arial" w:eastAsia="Times New Roman" w:hAnsi="Arial" w:cs="DINOT-Light"/>
                <w:b/>
                <w:color w:val="000000"/>
                <w:sz w:val="18"/>
                <w:szCs w:val="18"/>
              </w:rPr>
              <w:t>5</w:t>
            </w:r>
          </w:p>
        </w:tc>
      </w:tr>
      <w:tr w:rsidR="00646F4F" w:rsidRPr="00735726" w14:paraId="43E0D584" w14:textId="77777777" w:rsidTr="00CE19B2">
        <w:trPr>
          <w:trHeight w:val="226"/>
        </w:trPr>
        <w:tc>
          <w:tcPr>
            <w:tcW w:w="6938" w:type="dxa"/>
            <w:tcMar>
              <w:top w:w="11" w:type="dxa"/>
              <w:left w:w="57" w:type="dxa"/>
              <w:bottom w:w="11" w:type="dxa"/>
              <w:right w:w="57" w:type="dxa"/>
            </w:tcMar>
          </w:tcPr>
          <w:p w14:paraId="2A4166B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992" w:type="dxa"/>
            <w:tcMar>
              <w:top w:w="11" w:type="dxa"/>
              <w:left w:w="57" w:type="dxa"/>
              <w:bottom w:w="11" w:type="dxa"/>
              <w:right w:w="57" w:type="dxa"/>
            </w:tcMar>
          </w:tcPr>
          <w:p w14:paraId="2A0E0EF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851" w:type="dxa"/>
            <w:tcMar>
              <w:top w:w="11" w:type="dxa"/>
              <w:left w:w="57" w:type="dxa"/>
              <w:bottom w:w="11" w:type="dxa"/>
              <w:right w:w="57" w:type="dxa"/>
            </w:tcMar>
          </w:tcPr>
          <w:p w14:paraId="785FD73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0FD044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5F141193" w14:textId="77777777" w:rsidTr="00CE19B2">
        <w:trPr>
          <w:trHeight w:val="226"/>
        </w:trPr>
        <w:tc>
          <w:tcPr>
            <w:tcW w:w="6938" w:type="dxa"/>
            <w:tcMar>
              <w:top w:w="11" w:type="dxa"/>
              <w:left w:w="57" w:type="dxa"/>
              <w:bottom w:w="11" w:type="dxa"/>
              <w:right w:w="57" w:type="dxa"/>
            </w:tcMar>
          </w:tcPr>
          <w:p w14:paraId="236BFBD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Accumulated amortisation:</w:t>
            </w:r>
          </w:p>
        </w:tc>
        <w:tc>
          <w:tcPr>
            <w:tcW w:w="992" w:type="dxa"/>
            <w:tcMar>
              <w:top w:w="11" w:type="dxa"/>
              <w:left w:w="57" w:type="dxa"/>
              <w:bottom w:w="11" w:type="dxa"/>
              <w:right w:w="57" w:type="dxa"/>
            </w:tcMar>
          </w:tcPr>
          <w:p w14:paraId="00A8A37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6093256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bottom w:val="single" w:sz="4" w:space="0" w:color="auto"/>
            </w:tcBorders>
            <w:tcMar>
              <w:top w:w="11" w:type="dxa"/>
              <w:left w:w="57" w:type="dxa"/>
              <w:bottom w:w="11" w:type="dxa"/>
              <w:right w:w="57" w:type="dxa"/>
            </w:tcMar>
          </w:tcPr>
          <w:p w14:paraId="080FBE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0C41AC" w:rsidRPr="00735726" w14:paraId="4F6323EB" w14:textId="77777777" w:rsidTr="00CE19B2">
        <w:trPr>
          <w:trHeight w:val="226"/>
        </w:trPr>
        <w:tc>
          <w:tcPr>
            <w:tcW w:w="6938" w:type="dxa"/>
            <w:tcMar>
              <w:top w:w="11" w:type="dxa"/>
              <w:left w:w="57" w:type="dxa"/>
              <w:bottom w:w="11" w:type="dxa"/>
              <w:right w:w="57" w:type="dxa"/>
            </w:tcMar>
          </w:tcPr>
          <w:p w14:paraId="427346AA" w14:textId="46790168"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992" w:type="dxa"/>
            <w:tcMar>
              <w:top w:w="11" w:type="dxa"/>
              <w:left w:w="57" w:type="dxa"/>
              <w:bottom w:w="11" w:type="dxa"/>
              <w:right w:w="57" w:type="dxa"/>
            </w:tcMar>
          </w:tcPr>
          <w:p w14:paraId="5B6ACA96"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2AEACCBD"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bottom w:val="single" w:sz="4" w:space="0" w:color="auto"/>
            </w:tcBorders>
            <w:tcMar>
              <w:top w:w="11" w:type="dxa"/>
              <w:left w:w="57" w:type="dxa"/>
              <w:bottom w:w="11" w:type="dxa"/>
              <w:right w:w="57" w:type="dxa"/>
            </w:tcMar>
          </w:tcPr>
          <w:p w14:paraId="0CBD25E3" w14:textId="6155E6A8"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4.2</w:t>
            </w:r>
          </w:p>
        </w:tc>
      </w:tr>
      <w:tr w:rsidR="000C41AC" w:rsidRPr="00735726" w14:paraId="69A57DC4" w14:textId="77777777" w:rsidTr="00277639">
        <w:trPr>
          <w:trHeight w:val="226"/>
        </w:trPr>
        <w:tc>
          <w:tcPr>
            <w:tcW w:w="6938" w:type="dxa"/>
            <w:tcMar>
              <w:top w:w="11" w:type="dxa"/>
              <w:left w:w="57" w:type="dxa"/>
              <w:bottom w:w="11" w:type="dxa"/>
              <w:right w:w="57" w:type="dxa"/>
            </w:tcMar>
          </w:tcPr>
          <w:p w14:paraId="0191447B" w14:textId="7043E684"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Charge for year</w:t>
            </w:r>
          </w:p>
        </w:tc>
        <w:tc>
          <w:tcPr>
            <w:tcW w:w="992" w:type="dxa"/>
            <w:tcMar>
              <w:top w:w="11" w:type="dxa"/>
              <w:left w:w="57" w:type="dxa"/>
              <w:bottom w:w="11" w:type="dxa"/>
              <w:right w:w="57" w:type="dxa"/>
            </w:tcMar>
          </w:tcPr>
          <w:p w14:paraId="3CFCCA05"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48DF0985"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bottom w:val="single" w:sz="4" w:space="0" w:color="auto"/>
            </w:tcBorders>
            <w:tcMar>
              <w:top w:w="11" w:type="dxa"/>
              <w:left w:w="57" w:type="dxa"/>
              <w:bottom w:w="11" w:type="dxa"/>
              <w:right w:w="57" w:type="dxa"/>
            </w:tcMar>
          </w:tcPr>
          <w:p w14:paraId="2F7D013E" w14:textId="36FD3376"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Cs/>
                <w:color w:val="000000"/>
                <w:sz w:val="18"/>
                <w:szCs w:val="18"/>
              </w:rPr>
              <w:t>2.5</w:t>
            </w:r>
          </w:p>
        </w:tc>
      </w:tr>
      <w:tr w:rsidR="000C41AC" w:rsidRPr="00735726" w14:paraId="43C1EE45" w14:textId="77777777" w:rsidTr="00277639">
        <w:trPr>
          <w:trHeight w:val="226"/>
        </w:trPr>
        <w:tc>
          <w:tcPr>
            <w:tcW w:w="6938" w:type="dxa"/>
            <w:tcMar>
              <w:top w:w="11" w:type="dxa"/>
              <w:left w:w="57" w:type="dxa"/>
              <w:bottom w:w="11" w:type="dxa"/>
              <w:right w:w="57" w:type="dxa"/>
            </w:tcMar>
          </w:tcPr>
          <w:p w14:paraId="1FF31CDB" w14:textId="4FCD2D14"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992" w:type="dxa"/>
            <w:tcMar>
              <w:top w:w="11" w:type="dxa"/>
              <w:left w:w="57" w:type="dxa"/>
              <w:bottom w:w="11" w:type="dxa"/>
              <w:right w:w="57" w:type="dxa"/>
            </w:tcMar>
          </w:tcPr>
          <w:p w14:paraId="4CA6B8FA"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33132A3C"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top w:val="single" w:sz="4" w:space="0" w:color="auto"/>
              <w:bottom w:val="single" w:sz="4" w:space="0" w:color="auto"/>
            </w:tcBorders>
            <w:tcMar>
              <w:top w:w="11" w:type="dxa"/>
              <w:left w:w="57" w:type="dxa"/>
              <w:bottom w:w="11" w:type="dxa"/>
              <w:right w:w="57" w:type="dxa"/>
            </w:tcMar>
          </w:tcPr>
          <w:p w14:paraId="01480A5B"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6.7</w:t>
            </w:r>
          </w:p>
        </w:tc>
      </w:tr>
      <w:tr w:rsidR="000C41AC" w:rsidRPr="00735726" w14:paraId="7DE640F9" w14:textId="77777777" w:rsidTr="00277639">
        <w:trPr>
          <w:trHeight w:val="226"/>
        </w:trPr>
        <w:tc>
          <w:tcPr>
            <w:tcW w:w="6938" w:type="dxa"/>
            <w:tcMar>
              <w:top w:w="11" w:type="dxa"/>
              <w:left w:w="57" w:type="dxa"/>
              <w:bottom w:w="11" w:type="dxa"/>
              <w:right w:w="57" w:type="dxa"/>
            </w:tcMar>
          </w:tcPr>
          <w:p w14:paraId="01DEA32A" w14:textId="77777777"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Charge for year</w:t>
            </w:r>
          </w:p>
        </w:tc>
        <w:tc>
          <w:tcPr>
            <w:tcW w:w="992" w:type="dxa"/>
            <w:tcMar>
              <w:top w:w="11" w:type="dxa"/>
              <w:left w:w="57" w:type="dxa"/>
              <w:bottom w:w="11" w:type="dxa"/>
              <w:right w:w="57" w:type="dxa"/>
            </w:tcMar>
          </w:tcPr>
          <w:p w14:paraId="552635E2"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851" w:type="dxa"/>
            <w:tcMar>
              <w:top w:w="11" w:type="dxa"/>
              <w:left w:w="57" w:type="dxa"/>
              <w:bottom w:w="11" w:type="dxa"/>
              <w:right w:w="57" w:type="dxa"/>
            </w:tcMar>
          </w:tcPr>
          <w:p w14:paraId="35EDFEB7"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06517445" w14:textId="0D4739D3"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1.</w:t>
            </w:r>
            <w:r w:rsidR="00450D37" w:rsidRPr="00735726">
              <w:rPr>
                <w:rFonts w:ascii="Arial" w:eastAsia="Times New Roman" w:hAnsi="Arial" w:cs="DINOT-Light"/>
                <w:bCs/>
                <w:color w:val="000000"/>
                <w:sz w:val="18"/>
                <w:szCs w:val="18"/>
              </w:rPr>
              <w:t>3</w:t>
            </w:r>
          </w:p>
        </w:tc>
      </w:tr>
      <w:tr w:rsidR="000C41AC" w:rsidRPr="00735726" w14:paraId="75616AAB" w14:textId="77777777" w:rsidTr="00CE19B2">
        <w:trPr>
          <w:trHeight w:val="226"/>
        </w:trPr>
        <w:tc>
          <w:tcPr>
            <w:tcW w:w="6938" w:type="dxa"/>
            <w:tcMar>
              <w:top w:w="11" w:type="dxa"/>
              <w:left w:w="57" w:type="dxa"/>
              <w:bottom w:w="11" w:type="dxa"/>
              <w:right w:w="57" w:type="dxa"/>
            </w:tcMar>
          </w:tcPr>
          <w:p w14:paraId="05577C5C" w14:textId="77777777"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992" w:type="dxa"/>
            <w:tcMar>
              <w:top w:w="11" w:type="dxa"/>
              <w:left w:w="57" w:type="dxa"/>
              <w:bottom w:w="11" w:type="dxa"/>
              <w:right w:w="57" w:type="dxa"/>
            </w:tcMar>
          </w:tcPr>
          <w:p w14:paraId="084A781E"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2BEECE32"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top w:val="single" w:sz="4" w:space="0" w:color="auto"/>
              <w:bottom w:val="single" w:sz="4" w:space="0" w:color="auto"/>
            </w:tcBorders>
            <w:tcMar>
              <w:top w:w="11" w:type="dxa"/>
              <w:left w:w="57" w:type="dxa"/>
              <w:bottom w:w="11" w:type="dxa"/>
              <w:right w:w="57" w:type="dxa"/>
            </w:tcMar>
          </w:tcPr>
          <w:p w14:paraId="03692FF5" w14:textId="00821A2A" w:rsidR="000C41AC" w:rsidRPr="00735726" w:rsidRDefault="00450D37"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8.0</w:t>
            </w:r>
          </w:p>
        </w:tc>
      </w:tr>
      <w:tr w:rsidR="000C41AC" w:rsidRPr="00735726" w14:paraId="2C662A90" w14:textId="77777777" w:rsidTr="00CE19B2">
        <w:trPr>
          <w:trHeight w:val="226"/>
        </w:trPr>
        <w:tc>
          <w:tcPr>
            <w:tcW w:w="6938" w:type="dxa"/>
            <w:tcMar>
              <w:top w:w="11" w:type="dxa"/>
              <w:left w:w="57" w:type="dxa"/>
              <w:bottom w:w="11" w:type="dxa"/>
              <w:right w:w="57" w:type="dxa"/>
            </w:tcMar>
          </w:tcPr>
          <w:p w14:paraId="354629D1" w14:textId="77777777"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992" w:type="dxa"/>
            <w:tcMar>
              <w:top w:w="11" w:type="dxa"/>
              <w:left w:w="57" w:type="dxa"/>
              <w:bottom w:w="11" w:type="dxa"/>
              <w:right w:w="57" w:type="dxa"/>
            </w:tcMar>
          </w:tcPr>
          <w:p w14:paraId="5FBF0EF7"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851" w:type="dxa"/>
            <w:tcMar>
              <w:top w:w="11" w:type="dxa"/>
              <w:left w:w="57" w:type="dxa"/>
              <w:bottom w:w="11" w:type="dxa"/>
              <w:right w:w="57" w:type="dxa"/>
            </w:tcMar>
          </w:tcPr>
          <w:p w14:paraId="3FAE03FB"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11DB7D64"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0C41AC" w:rsidRPr="00735726" w14:paraId="22C8248B" w14:textId="77777777" w:rsidTr="00277639">
        <w:trPr>
          <w:trHeight w:val="226"/>
        </w:trPr>
        <w:tc>
          <w:tcPr>
            <w:tcW w:w="6938" w:type="dxa"/>
            <w:tcMar>
              <w:top w:w="11" w:type="dxa"/>
              <w:left w:w="57" w:type="dxa"/>
              <w:bottom w:w="11" w:type="dxa"/>
              <w:right w:w="57" w:type="dxa"/>
            </w:tcMar>
          </w:tcPr>
          <w:p w14:paraId="667BA9DB" w14:textId="77777777"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Carrying amount:</w:t>
            </w:r>
          </w:p>
        </w:tc>
        <w:tc>
          <w:tcPr>
            <w:tcW w:w="992" w:type="dxa"/>
            <w:tcMar>
              <w:top w:w="11" w:type="dxa"/>
              <w:left w:w="57" w:type="dxa"/>
              <w:bottom w:w="11" w:type="dxa"/>
              <w:right w:w="57" w:type="dxa"/>
            </w:tcMar>
          </w:tcPr>
          <w:p w14:paraId="313024B4"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1EFCE7AE"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bottom w:val="single" w:sz="4" w:space="0" w:color="auto"/>
            </w:tcBorders>
            <w:tcMar>
              <w:top w:w="11" w:type="dxa"/>
              <w:left w:w="57" w:type="dxa"/>
              <w:bottom w:w="11" w:type="dxa"/>
              <w:right w:w="57" w:type="dxa"/>
            </w:tcMar>
          </w:tcPr>
          <w:p w14:paraId="6750D354"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0C41AC" w:rsidRPr="00735726" w14:paraId="6195099A" w14:textId="77777777" w:rsidTr="00277639">
        <w:trPr>
          <w:trHeight w:val="226"/>
        </w:trPr>
        <w:tc>
          <w:tcPr>
            <w:tcW w:w="6938" w:type="dxa"/>
            <w:tcMar>
              <w:top w:w="11" w:type="dxa"/>
              <w:left w:w="57" w:type="dxa"/>
              <w:bottom w:w="11" w:type="dxa"/>
              <w:right w:w="57" w:type="dxa"/>
            </w:tcMar>
          </w:tcPr>
          <w:p w14:paraId="5B18B05A" w14:textId="2B37DF77"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992" w:type="dxa"/>
            <w:tcMar>
              <w:top w:w="11" w:type="dxa"/>
              <w:left w:w="57" w:type="dxa"/>
              <w:bottom w:w="11" w:type="dxa"/>
              <w:right w:w="57" w:type="dxa"/>
            </w:tcMar>
          </w:tcPr>
          <w:p w14:paraId="5D325A3D"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6FBCC56D"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top w:val="single" w:sz="4" w:space="0" w:color="auto"/>
              <w:bottom w:val="single" w:sz="4" w:space="0" w:color="auto"/>
            </w:tcBorders>
            <w:tcMar>
              <w:top w:w="11" w:type="dxa"/>
              <w:left w:w="57" w:type="dxa"/>
              <w:bottom w:w="11" w:type="dxa"/>
              <w:right w:w="57" w:type="dxa"/>
            </w:tcMar>
          </w:tcPr>
          <w:p w14:paraId="37EEDCAF" w14:textId="25434CDA"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14.2</w:t>
            </w:r>
          </w:p>
        </w:tc>
      </w:tr>
      <w:tr w:rsidR="000C41AC" w:rsidRPr="00735726" w14:paraId="312ED1AD" w14:textId="77777777" w:rsidTr="00277639">
        <w:trPr>
          <w:trHeight w:val="226"/>
        </w:trPr>
        <w:tc>
          <w:tcPr>
            <w:tcW w:w="6938" w:type="dxa"/>
            <w:tcMar>
              <w:top w:w="11" w:type="dxa"/>
              <w:left w:w="57" w:type="dxa"/>
              <w:bottom w:w="11" w:type="dxa"/>
              <w:right w:w="57" w:type="dxa"/>
            </w:tcMar>
          </w:tcPr>
          <w:p w14:paraId="732EB8F7" w14:textId="1A326DD0"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992" w:type="dxa"/>
            <w:tcMar>
              <w:top w:w="11" w:type="dxa"/>
              <w:left w:w="57" w:type="dxa"/>
              <w:bottom w:w="11" w:type="dxa"/>
              <w:right w:w="57" w:type="dxa"/>
            </w:tcMar>
          </w:tcPr>
          <w:p w14:paraId="627ADF14"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1ECCEC24"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top w:val="single" w:sz="4" w:space="0" w:color="auto"/>
              <w:bottom w:val="single" w:sz="4" w:space="0" w:color="auto"/>
            </w:tcBorders>
            <w:tcMar>
              <w:top w:w="11" w:type="dxa"/>
              <w:left w:w="57" w:type="dxa"/>
              <w:bottom w:w="11" w:type="dxa"/>
              <w:right w:w="57" w:type="dxa"/>
            </w:tcMar>
          </w:tcPr>
          <w:p w14:paraId="368BEDCE"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13.9</w:t>
            </w:r>
          </w:p>
        </w:tc>
      </w:tr>
      <w:tr w:rsidR="000C41AC" w:rsidRPr="00735726" w14:paraId="268B880F" w14:textId="77777777" w:rsidTr="00CE19B2">
        <w:trPr>
          <w:trHeight w:val="226"/>
        </w:trPr>
        <w:tc>
          <w:tcPr>
            <w:tcW w:w="6938" w:type="dxa"/>
            <w:tcMar>
              <w:top w:w="11" w:type="dxa"/>
              <w:left w:w="57" w:type="dxa"/>
              <w:bottom w:w="11" w:type="dxa"/>
              <w:right w:w="57" w:type="dxa"/>
            </w:tcMar>
          </w:tcPr>
          <w:p w14:paraId="6C2EAB84" w14:textId="77777777" w:rsidR="000C41AC" w:rsidRPr="00735726" w:rsidRDefault="000C41AC" w:rsidP="000C41A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992" w:type="dxa"/>
            <w:tcMar>
              <w:top w:w="11" w:type="dxa"/>
              <w:left w:w="57" w:type="dxa"/>
              <w:bottom w:w="11" w:type="dxa"/>
              <w:right w:w="57" w:type="dxa"/>
            </w:tcMar>
          </w:tcPr>
          <w:p w14:paraId="5576E6B4"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Mar>
              <w:top w:w="11" w:type="dxa"/>
              <w:left w:w="57" w:type="dxa"/>
              <w:bottom w:w="11" w:type="dxa"/>
              <w:right w:w="57" w:type="dxa"/>
            </w:tcMar>
          </w:tcPr>
          <w:p w14:paraId="4D7D7C0E"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top w:val="single" w:sz="4" w:space="0" w:color="auto"/>
              <w:bottom w:val="single" w:sz="4" w:space="0" w:color="auto"/>
            </w:tcBorders>
            <w:tcMar>
              <w:top w:w="11" w:type="dxa"/>
              <w:left w:w="57" w:type="dxa"/>
              <w:bottom w:w="11" w:type="dxa"/>
              <w:right w:w="57" w:type="dxa"/>
            </w:tcMar>
          </w:tcPr>
          <w:p w14:paraId="620CF7CE" w14:textId="77777777" w:rsidR="000C41AC" w:rsidRPr="00735726" w:rsidRDefault="000C41AC" w:rsidP="000C41A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18.5</w:t>
            </w:r>
          </w:p>
        </w:tc>
      </w:tr>
    </w:tbl>
    <w:p w14:paraId="51EF6258"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679C9AF7"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Other intangible assets relate to software development. Software consists of capitalised development costs being an internally generated intangible asset. The carrying values of other intangible assets are reviewed annually or when events or changes in circumstance indicate that the carrying amounts may not be fully recoverable.</w:t>
      </w:r>
    </w:p>
    <w:p w14:paraId="7DF1DD21" w14:textId="77777777" w:rsidR="00646F4F" w:rsidRPr="009A2CAE" w:rsidRDefault="00646F4F" w:rsidP="00277639">
      <w:pPr>
        <w:widowControl w:val="0"/>
        <w:tabs>
          <w:tab w:val="left" w:pos="340"/>
        </w:tabs>
        <w:suppressAutoHyphens/>
        <w:autoSpaceDE w:val="0"/>
        <w:autoSpaceDN w:val="0"/>
        <w:adjustRightInd w:val="0"/>
        <w:spacing w:after="0" w:line="240" w:lineRule="auto"/>
        <w:textAlignment w:val="center"/>
        <w:rPr>
          <w:rFonts w:ascii="Arial" w:eastAsia="Times New Roman" w:hAnsi="Arial" w:cs="Arial"/>
          <w:b/>
          <w:bCs/>
          <w:caps/>
          <w:color w:val="000000"/>
          <w:sz w:val="18"/>
          <w:szCs w:val="18"/>
        </w:rPr>
      </w:pPr>
    </w:p>
    <w:p w14:paraId="28B18E5A" w14:textId="77777777" w:rsidR="00E86E61" w:rsidRPr="00735726" w:rsidRDefault="00E86E61">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br w:type="page"/>
      </w:r>
    </w:p>
    <w:p w14:paraId="42BD2E4E" w14:textId="5648249D"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15. Property, plant and equipment</w:t>
      </w:r>
    </w:p>
    <w:p w14:paraId="6EA62ECA" w14:textId="77777777" w:rsidR="00646F4F" w:rsidRPr="009A2CAE" w:rsidRDefault="00646F4F" w:rsidP="00277639">
      <w:pPr>
        <w:widowControl w:val="0"/>
        <w:tabs>
          <w:tab w:val="left" w:pos="340"/>
        </w:tabs>
        <w:suppressAutoHyphens/>
        <w:autoSpaceDE w:val="0"/>
        <w:autoSpaceDN w:val="0"/>
        <w:adjustRightInd w:val="0"/>
        <w:spacing w:after="0" w:line="240" w:lineRule="auto"/>
        <w:textAlignment w:val="center"/>
        <w:rPr>
          <w:rFonts w:ascii="Arial" w:eastAsia="Times New Roman" w:hAnsi="Arial" w:cs="Arial"/>
          <w:b/>
          <w:bCs/>
          <w:caps/>
          <w:color w:val="000000"/>
          <w:sz w:val="18"/>
          <w:szCs w:val="18"/>
        </w:rPr>
      </w:pPr>
    </w:p>
    <w:tbl>
      <w:tblPr>
        <w:tblW w:w="10033" w:type="dxa"/>
        <w:tblInd w:w="8" w:type="dxa"/>
        <w:tblLayout w:type="fixed"/>
        <w:tblCellMar>
          <w:left w:w="0" w:type="dxa"/>
          <w:right w:w="0" w:type="dxa"/>
        </w:tblCellMar>
        <w:tblLook w:val="0000" w:firstRow="0" w:lastRow="0" w:firstColumn="0" w:lastColumn="0" w:noHBand="0" w:noVBand="0"/>
      </w:tblPr>
      <w:tblGrid>
        <w:gridCol w:w="3143"/>
        <w:gridCol w:w="984"/>
        <w:gridCol w:w="1407"/>
        <w:gridCol w:w="1125"/>
        <w:gridCol w:w="1125"/>
        <w:gridCol w:w="1264"/>
        <w:gridCol w:w="985"/>
      </w:tblGrid>
      <w:tr w:rsidR="00646F4F" w:rsidRPr="00735726" w14:paraId="587982D8" w14:textId="77777777" w:rsidTr="00CE19B2">
        <w:trPr>
          <w:trHeight w:val="265"/>
          <w:tblHeader/>
        </w:trPr>
        <w:tc>
          <w:tcPr>
            <w:tcW w:w="3143" w:type="dxa"/>
            <w:tcMar>
              <w:top w:w="11" w:type="dxa"/>
              <w:left w:w="57" w:type="dxa"/>
              <w:bottom w:w="11" w:type="dxa"/>
              <w:right w:w="57" w:type="dxa"/>
            </w:tcMar>
            <w:vAlign w:val="bottom"/>
          </w:tcPr>
          <w:p w14:paraId="785DEE05"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84" w:type="dxa"/>
            <w:tcMar>
              <w:top w:w="11" w:type="dxa"/>
              <w:left w:w="57" w:type="dxa"/>
              <w:bottom w:w="11" w:type="dxa"/>
              <w:right w:w="57" w:type="dxa"/>
            </w:tcMar>
            <w:vAlign w:val="bottom"/>
          </w:tcPr>
          <w:p w14:paraId="468132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6583B5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Land and buildings </w:t>
            </w:r>
            <w:r w:rsidRPr="00735726">
              <w:rPr>
                <w:rFonts w:ascii="Arial" w:eastAsia="Times New Roman" w:hAnsi="Arial" w:cs="DINOT-Light"/>
                <w:b/>
                <w:color w:val="000000"/>
                <w:sz w:val="18"/>
                <w:szCs w:val="18"/>
              </w:rPr>
              <w:br/>
              <w:t>£m</w:t>
            </w:r>
          </w:p>
        </w:tc>
        <w:tc>
          <w:tcPr>
            <w:tcW w:w="1407" w:type="dxa"/>
            <w:tcMar>
              <w:top w:w="11" w:type="dxa"/>
              <w:left w:w="57" w:type="dxa"/>
              <w:bottom w:w="11" w:type="dxa"/>
              <w:right w:w="57" w:type="dxa"/>
            </w:tcMar>
            <w:vAlign w:val="bottom"/>
          </w:tcPr>
          <w:p w14:paraId="08CD547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82ED2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754B7B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Infrastructure assets </w:t>
            </w:r>
          </w:p>
          <w:p w14:paraId="1819FB1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25" w:type="dxa"/>
            <w:tcMar>
              <w:top w:w="11" w:type="dxa"/>
              <w:left w:w="57" w:type="dxa"/>
              <w:bottom w:w="11" w:type="dxa"/>
              <w:right w:w="57" w:type="dxa"/>
            </w:tcMar>
            <w:vAlign w:val="bottom"/>
          </w:tcPr>
          <w:p w14:paraId="37C39A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66182E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8B7236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Operational properties </w:t>
            </w:r>
          </w:p>
          <w:p w14:paraId="34D56D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25" w:type="dxa"/>
            <w:tcMar>
              <w:top w:w="11" w:type="dxa"/>
              <w:left w:w="57" w:type="dxa"/>
              <w:bottom w:w="11" w:type="dxa"/>
              <w:right w:w="57" w:type="dxa"/>
            </w:tcMar>
            <w:vAlign w:val="bottom"/>
          </w:tcPr>
          <w:p w14:paraId="7AE9B2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Fixed and moveable plant and equipment </w:t>
            </w:r>
          </w:p>
          <w:p w14:paraId="7262101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64" w:type="dxa"/>
            <w:tcMar>
              <w:top w:w="11" w:type="dxa"/>
              <w:left w:w="57" w:type="dxa"/>
              <w:bottom w:w="11" w:type="dxa"/>
              <w:right w:w="57" w:type="dxa"/>
            </w:tcMar>
            <w:vAlign w:val="bottom"/>
          </w:tcPr>
          <w:p w14:paraId="371141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2BFDC2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111CA7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Construction in progress</w:t>
            </w:r>
          </w:p>
          <w:p w14:paraId="62923B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85" w:type="dxa"/>
            <w:tcMar>
              <w:top w:w="11" w:type="dxa"/>
              <w:left w:w="57" w:type="dxa"/>
              <w:bottom w:w="11" w:type="dxa"/>
              <w:right w:w="57" w:type="dxa"/>
            </w:tcMar>
            <w:vAlign w:val="bottom"/>
          </w:tcPr>
          <w:p w14:paraId="1EF92E7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br/>
              <w:t>Total</w:t>
            </w:r>
            <w:r w:rsidRPr="00735726">
              <w:rPr>
                <w:rFonts w:ascii="Arial" w:eastAsia="Times New Roman" w:hAnsi="Arial" w:cs="DINOT-Light"/>
                <w:b/>
                <w:color w:val="000000"/>
                <w:sz w:val="18"/>
                <w:szCs w:val="18"/>
              </w:rPr>
              <w:br/>
              <w:t>£m</w:t>
            </w:r>
          </w:p>
        </w:tc>
      </w:tr>
      <w:tr w:rsidR="00646F4F" w:rsidRPr="00735726" w14:paraId="705325A9" w14:textId="77777777" w:rsidTr="00CE19B2">
        <w:trPr>
          <w:trHeight w:val="226"/>
        </w:trPr>
        <w:tc>
          <w:tcPr>
            <w:tcW w:w="3143" w:type="dxa"/>
            <w:tcMar>
              <w:top w:w="11" w:type="dxa"/>
              <w:left w:w="57" w:type="dxa"/>
              <w:bottom w:w="11" w:type="dxa"/>
              <w:right w:w="57" w:type="dxa"/>
            </w:tcMar>
          </w:tcPr>
          <w:p w14:paraId="489D87F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Cost:</w:t>
            </w:r>
          </w:p>
        </w:tc>
        <w:tc>
          <w:tcPr>
            <w:tcW w:w="984" w:type="dxa"/>
            <w:tcMar>
              <w:top w:w="11" w:type="dxa"/>
              <w:left w:w="57" w:type="dxa"/>
              <w:bottom w:w="11" w:type="dxa"/>
              <w:right w:w="57" w:type="dxa"/>
            </w:tcMar>
          </w:tcPr>
          <w:p w14:paraId="5E75CC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07" w:type="dxa"/>
            <w:tcMar>
              <w:top w:w="11" w:type="dxa"/>
              <w:left w:w="57" w:type="dxa"/>
              <w:bottom w:w="11" w:type="dxa"/>
              <w:right w:w="57" w:type="dxa"/>
            </w:tcMar>
          </w:tcPr>
          <w:p w14:paraId="68462A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25" w:type="dxa"/>
            <w:tcMar>
              <w:top w:w="11" w:type="dxa"/>
              <w:left w:w="57" w:type="dxa"/>
              <w:bottom w:w="11" w:type="dxa"/>
              <w:right w:w="57" w:type="dxa"/>
            </w:tcMar>
          </w:tcPr>
          <w:p w14:paraId="66D1B9B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25" w:type="dxa"/>
            <w:tcMar>
              <w:top w:w="11" w:type="dxa"/>
              <w:left w:w="57" w:type="dxa"/>
              <w:bottom w:w="11" w:type="dxa"/>
              <w:right w:w="57" w:type="dxa"/>
            </w:tcMar>
          </w:tcPr>
          <w:p w14:paraId="16CF8B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64" w:type="dxa"/>
            <w:tcMar>
              <w:top w:w="11" w:type="dxa"/>
              <w:left w:w="57" w:type="dxa"/>
              <w:bottom w:w="11" w:type="dxa"/>
              <w:right w:w="57" w:type="dxa"/>
            </w:tcMar>
          </w:tcPr>
          <w:p w14:paraId="3334541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85" w:type="dxa"/>
            <w:tcMar>
              <w:top w:w="11" w:type="dxa"/>
              <w:left w:w="57" w:type="dxa"/>
              <w:bottom w:w="11" w:type="dxa"/>
              <w:right w:w="57" w:type="dxa"/>
            </w:tcMar>
          </w:tcPr>
          <w:p w14:paraId="798B4E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3FC1700E" w14:textId="77777777" w:rsidTr="00CE19B2">
        <w:trPr>
          <w:trHeight w:val="226"/>
        </w:trPr>
        <w:tc>
          <w:tcPr>
            <w:tcW w:w="3143" w:type="dxa"/>
            <w:tcMar>
              <w:top w:w="11" w:type="dxa"/>
              <w:left w:w="57" w:type="dxa"/>
              <w:bottom w:w="11" w:type="dxa"/>
              <w:right w:w="57" w:type="dxa"/>
            </w:tcMar>
          </w:tcPr>
          <w:p w14:paraId="40D8BBC1" w14:textId="1984B0F3"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565" w:name="XMETag_801178216dba484795c6f6684090a732" w:colFirst="1" w:colLast="1"/>
            <w:bookmarkStart w:id="566" w:name="XMETag_5c7f0fb5b52a46f1835f586464d7cdcc" w:colFirst="2" w:colLast="2"/>
            <w:bookmarkStart w:id="567" w:name="XMETag_4f4ece792d88410bbef6381a727c3280" w:colFirst="3" w:colLast="3"/>
            <w:bookmarkStart w:id="568" w:name="XMETag_2b10876a805740638f7a8ac32684c10a" w:colFirst="4" w:colLast="4"/>
            <w:bookmarkStart w:id="569" w:name="XMETag_b1505317e2634afd99fc18403b0e222a" w:colFirst="5" w:colLast="5"/>
            <w:bookmarkStart w:id="570" w:name="XMETag_4f0f04c012d2434d8905931078234ce6" w:colFirst="6" w:colLast="6"/>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984" w:type="dxa"/>
            <w:tcMar>
              <w:top w:w="11" w:type="dxa"/>
              <w:left w:w="57" w:type="dxa"/>
              <w:bottom w:w="11" w:type="dxa"/>
              <w:right w:w="57" w:type="dxa"/>
            </w:tcMar>
          </w:tcPr>
          <w:p w14:paraId="55A7C29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122.1</w:t>
            </w:r>
          </w:p>
        </w:tc>
        <w:tc>
          <w:tcPr>
            <w:tcW w:w="1407" w:type="dxa"/>
            <w:tcMar>
              <w:top w:w="11" w:type="dxa"/>
              <w:left w:w="57" w:type="dxa"/>
              <w:bottom w:w="11" w:type="dxa"/>
              <w:right w:w="57" w:type="dxa"/>
            </w:tcMar>
          </w:tcPr>
          <w:p w14:paraId="1FE0EEC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2,707.6</w:t>
            </w:r>
          </w:p>
        </w:tc>
        <w:tc>
          <w:tcPr>
            <w:tcW w:w="1125" w:type="dxa"/>
            <w:tcMar>
              <w:top w:w="11" w:type="dxa"/>
              <w:left w:w="57" w:type="dxa"/>
              <w:bottom w:w="11" w:type="dxa"/>
              <w:right w:w="57" w:type="dxa"/>
            </w:tcMar>
          </w:tcPr>
          <w:p w14:paraId="13350C8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987.1</w:t>
            </w:r>
          </w:p>
        </w:tc>
        <w:tc>
          <w:tcPr>
            <w:tcW w:w="1125" w:type="dxa"/>
            <w:tcMar>
              <w:top w:w="11" w:type="dxa"/>
              <w:left w:w="57" w:type="dxa"/>
              <w:bottom w:w="11" w:type="dxa"/>
              <w:right w:w="57" w:type="dxa"/>
            </w:tcMar>
          </w:tcPr>
          <w:p w14:paraId="752F69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2,517.4</w:t>
            </w:r>
          </w:p>
        </w:tc>
        <w:tc>
          <w:tcPr>
            <w:tcW w:w="1264" w:type="dxa"/>
            <w:tcMar>
              <w:top w:w="11" w:type="dxa"/>
              <w:left w:w="57" w:type="dxa"/>
              <w:bottom w:w="11" w:type="dxa"/>
              <w:right w:w="57" w:type="dxa"/>
            </w:tcMar>
          </w:tcPr>
          <w:p w14:paraId="36E6530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544.7</w:t>
            </w:r>
          </w:p>
        </w:tc>
        <w:tc>
          <w:tcPr>
            <w:tcW w:w="985" w:type="dxa"/>
            <w:tcMar>
              <w:top w:w="11" w:type="dxa"/>
              <w:left w:w="57" w:type="dxa"/>
              <w:bottom w:w="11" w:type="dxa"/>
              <w:right w:w="57" w:type="dxa"/>
            </w:tcMar>
          </w:tcPr>
          <w:p w14:paraId="3D0D3B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6,878.9</w:t>
            </w:r>
          </w:p>
        </w:tc>
      </w:tr>
      <w:tr w:rsidR="00646F4F" w:rsidRPr="00735726" w14:paraId="48097B87" w14:textId="77777777" w:rsidTr="00CE19B2">
        <w:trPr>
          <w:trHeight w:val="49"/>
        </w:trPr>
        <w:tc>
          <w:tcPr>
            <w:tcW w:w="3143" w:type="dxa"/>
            <w:tcMar>
              <w:top w:w="11" w:type="dxa"/>
              <w:left w:w="57" w:type="dxa"/>
              <w:bottom w:w="11" w:type="dxa"/>
              <w:right w:w="57" w:type="dxa"/>
            </w:tcMar>
          </w:tcPr>
          <w:p w14:paraId="7AF4AB5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71" w:name="XMETag_ee387abc3b8a43cba28806e98ce0c0dc" w:colFirst="1" w:colLast="1"/>
            <w:bookmarkStart w:id="572" w:name="XMETag_39ebc51e0a6e40808f8201b1bd86e9fa" w:colFirst="2" w:colLast="2"/>
            <w:bookmarkStart w:id="573" w:name="XMETag_8d9f605405ab4b689fe36b8b5c6561a2" w:colFirst="3" w:colLast="3"/>
            <w:bookmarkStart w:id="574" w:name="XMETag_1b86abded5e14bbd8631d00706e91f42" w:colFirst="4" w:colLast="4"/>
            <w:bookmarkStart w:id="575" w:name="XMETag_ae1edf0c7f65428e94d6168de2547f15" w:colFirst="5" w:colLast="5"/>
            <w:bookmarkStart w:id="576" w:name="XMETag_54a02124bd1d4781ac0e8b326e53c16a" w:colFirst="6" w:colLast="6"/>
            <w:bookmarkEnd w:id="565"/>
            <w:bookmarkEnd w:id="566"/>
            <w:bookmarkEnd w:id="567"/>
            <w:bookmarkEnd w:id="568"/>
            <w:bookmarkEnd w:id="569"/>
            <w:bookmarkEnd w:id="570"/>
            <w:r w:rsidRPr="00735726">
              <w:rPr>
                <w:rFonts w:ascii="Arial" w:eastAsia="Times New Roman" w:hAnsi="Arial" w:cs="DINOT-Light"/>
                <w:color w:val="000000"/>
                <w:sz w:val="18"/>
                <w:szCs w:val="18"/>
              </w:rPr>
              <w:t>Additions</w:t>
            </w:r>
          </w:p>
        </w:tc>
        <w:tc>
          <w:tcPr>
            <w:tcW w:w="984" w:type="dxa"/>
            <w:tcMar>
              <w:top w:w="11" w:type="dxa"/>
              <w:left w:w="57" w:type="dxa"/>
              <w:bottom w:w="11" w:type="dxa"/>
              <w:right w:w="57" w:type="dxa"/>
            </w:tcMar>
          </w:tcPr>
          <w:p w14:paraId="175D21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w:t>
            </w:r>
          </w:p>
        </w:tc>
        <w:tc>
          <w:tcPr>
            <w:tcW w:w="1407" w:type="dxa"/>
            <w:tcMar>
              <w:top w:w="11" w:type="dxa"/>
              <w:left w:w="57" w:type="dxa"/>
              <w:bottom w:w="11" w:type="dxa"/>
              <w:right w:w="57" w:type="dxa"/>
            </w:tcMar>
          </w:tcPr>
          <w:p w14:paraId="6AD2C5D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68.3</w:t>
            </w:r>
          </w:p>
        </w:tc>
        <w:tc>
          <w:tcPr>
            <w:tcW w:w="1125" w:type="dxa"/>
            <w:tcMar>
              <w:top w:w="11" w:type="dxa"/>
              <w:left w:w="57" w:type="dxa"/>
              <w:bottom w:w="11" w:type="dxa"/>
              <w:right w:w="57" w:type="dxa"/>
            </w:tcMar>
          </w:tcPr>
          <w:p w14:paraId="32FD68A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8.9</w:t>
            </w:r>
          </w:p>
        </w:tc>
        <w:tc>
          <w:tcPr>
            <w:tcW w:w="1125" w:type="dxa"/>
            <w:tcMar>
              <w:top w:w="11" w:type="dxa"/>
              <w:left w:w="57" w:type="dxa"/>
              <w:bottom w:w="11" w:type="dxa"/>
              <w:right w:w="57" w:type="dxa"/>
            </w:tcMar>
          </w:tcPr>
          <w:p w14:paraId="3EA5BA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98.4</w:t>
            </w:r>
          </w:p>
        </w:tc>
        <w:tc>
          <w:tcPr>
            <w:tcW w:w="1264" w:type="dxa"/>
            <w:tcMar>
              <w:top w:w="11" w:type="dxa"/>
              <w:left w:w="57" w:type="dxa"/>
              <w:bottom w:w="11" w:type="dxa"/>
              <w:right w:w="57" w:type="dxa"/>
            </w:tcMar>
          </w:tcPr>
          <w:p w14:paraId="76EE7C1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409.7</w:t>
            </w:r>
          </w:p>
        </w:tc>
        <w:tc>
          <w:tcPr>
            <w:tcW w:w="985" w:type="dxa"/>
            <w:tcMar>
              <w:top w:w="11" w:type="dxa"/>
              <w:left w:w="57" w:type="dxa"/>
              <w:bottom w:w="11" w:type="dxa"/>
              <w:right w:w="57" w:type="dxa"/>
            </w:tcMar>
          </w:tcPr>
          <w:p w14:paraId="361B153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586.5</w:t>
            </w:r>
          </w:p>
        </w:tc>
      </w:tr>
      <w:tr w:rsidR="00646F4F" w:rsidRPr="00735726" w14:paraId="49913A13" w14:textId="77777777" w:rsidTr="00CE19B2">
        <w:trPr>
          <w:trHeight w:val="226"/>
        </w:trPr>
        <w:tc>
          <w:tcPr>
            <w:tcW w:w="3143" w:type="dxa"/>
            <w:tcMar>
              <w:top w:w="11" w:type="dxa"/>
              <w:left w:w="57" w:type="dxa"/>
              <w:bottom w:w="11" w:type="dxa"/>
              <w:right w:w="57" w:type="dxa"/>
            </w:tcMar>
          </w:tcPr>
          <w:p w14:paraId="2ED4CBC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77" w:name="XMETag_4e3cf43732674c1ab276afcc85a2b037" w:colFirst="1" w:colLast="1"/>
            <w:bookmarkStart w:id="578" w:name="XMETag_67dedc2cf81f42ff82b6d9603ca825ea" w:colFirst="2" w:colLast="2"/>
            <w:bookmarkStart w:id="579" w:name="XMETag_64646df0fd3849f39ea5fbfed10d62b7" w:colFirst="3" w:colLast="3"/>
            <w:bookmarkStart w:id="580" w:name="XMETag_a5ac479186b54a409ec01d0516d08dc7" w:colFirst="4" w:colLast="4"/>
            <w:bookmarkStart w:id="581" w:name="XMETag_58601c6a9ca540a9bff0c3dd17003bcc" w:colFirst="5" w:colLast="5"/>
            <w:bookmarkStart w:id="582" w:name="XMETag_e842384181ff4040aab5532c804a8c8f" w:colFirst="6" w:colLast="6"/>
            <w:bookmarkEnd w:id="571"/>
            <w:bookmarkEnd w:id="572"/>
            <w:bookmarkEnd w:id="573"/>
            <w:bookmarkEnd w:id="574"/>
            <w:bookmarkEnd w:id="575"/>
            <w:bookmarkEnd w:id="576"/>
            <w:r w:rsidRPr="00735726">
              <w:rPr>
                <w:rFonts w:ascii="Arial" w:eastAsia="Times New Roman" w:hAnsi="Arial" w:cs="DINOT-Light"/>
                <w:color w:val="000000"/>
                <w:sz w:val="18"/>
                <w:szCs w:val="18"/>
              </w:rPr>
              <w:t>Assets adopted at fair value</w:t>
            </w:r>
          </w:p>
        </w:tc>
        <w:tc>
          <w:tcPr>
            <w:tcW w:w="984" w:type="dxa"/>
            <w:tcMar>
              <w:top w:w="11" w:type="dxa"/>
              <w:left w:w="57" w:type="dxa"/>
              <w:bottom w:w="11" w:type="dxa"/>
              <w:right w:w="57" w:type="dxa"/>
            </w:tcMar>
          </w:tcPr>
          <w:p w14:paraId="349959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07" w:type="dxa"/>
            <w:tcMar>
              <w:top w:w="11" w:type="dxa"/>
              <w:left w:w="57" w:type="dxa"/>
              <w:bottom w:w="11" w:type="dxa"/>
              <w:right w:w="57" w:type="dxa"/>
            </w:tcMar>
          </w:tcPr>
          <w:p w14:paraId="79FFA1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17.4</w:t>
            </w:r>
          </w:p>
        </w:tc>
        <w:tc>
          <w:tcPr>
            <w:tcW w:w="1125" w:type="dxa"/>
            <w:tcMar>
              <w:top w:w="11" w:type="dxa"/>
              <w:left w:w="57" w:type="dxa"/>
              <w:bottom w:w="11" w:type="dxa"/>
              <w:right w:w="57" w:type="dxa"/>
            </w:tcMar>
          </w:tcPr>
          <w:p w14:paraId="5EF0844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25" w:type="dxa"/>
            <w:tcMar>
              <w:top w:w="11" w:type="dxa"/>
              <w:left w:w="57" w:type="dxa"/>
              <w:bottom w:w="11" w:type="dxa"/>
              <w:right w:w="57" w:type="dxa"/>
            </w:tcMar>
          </w:tcPr>
          <w:p w14:paraId="4C107E0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264" w:type="dxa"/>
            <w:tcMar>
              <w:top w:w="11" w:type="dxa"/>
              <w:left w:w="57" w:type="dxa"/>
              <w:bottom w:w="11" w:type="dxa"/>
              <w:right w:w="57" w:type="dxa"/>
            </w:tcMar>
          </w:tcPr>
          <w:p w14:paraId="2FBF96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85" w:type="dxa"/>
            <w:tcMar>
              <w:top w:w="11" w:type="dxa"/>
              <w:left w:w="57" w:type="dxa"/>
              <w:bottom w:w="11" w:type="dxa"/>
              <w:right w:w="57" w:type="dxa"/>
            </w:tcMar>
          </w:tcPr>
          <w:p w14:paraId="63F5036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17.4</w:t>
            </w:r>
          </w:p>
        </w:tc>
      </w:tr>
      <w:tr w:rsidR="00646F4F" w:rsidRPr="00735726" w14:paraId="257F14A1" w14:textId="77777777" w:rsidTr="00CE19B2">
        <w:trPr>
          <w:trHeight w:val="226"/>
        </w:trPr>
        <w:tc>
          <w:tcPr>
            <w:tcW w:w="3143" w:type="dxa"/>
            <w:tcMar>
              <w:top w:w="11" w:type="dxa"/>
              <w:left w:w="57" w:type="dxa"/>
              <w:bottom w:w="11" w:type="dxa"/>
              <w:right w:w="57" w:type="dxa"/>
            </w:tcMar>
          </w:tcPr>
          <w:p w14:paraId="636DBDB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83" w:name="XMETag_5356826ea7a142468642cdd3fc81c14b" w:colFirst="1" w:colLast="1"/>
            <w:bookmarkStart w:id="584" w:name="XMETag_3ce4fe255fc2473babb374b17f18e0fd" w:colFirst="2" w:colLast="2"/>
            <w:bookmarkStart w:id="585" w:name="XMETag_13496afb1d154b49bf8d6a03abb8048e" w:colFirst="3" w:colLast="3"/>
            <w:bookmarkStart w:id="586" w:name="XMETag_31b3f72bcf66450188bd6c439602a961" w:colFirst="4" w:colLast="4"/>
            <w:bookmarkStart w:id="587" w:name="XMETag_bb9cb73273034343b59cfb25f31101dc" w:colFirst="5" w:colLast="5"/>
            <w:bookmarkStart w:id="588" w:name="XMETag_3b82a13c4efa4edc8bea9b5f902a0c7b" w:colFirst="6" w:colLast="6"/>
            <w:bookmarkEnd w:id="577"/>
            <w:bookmarkEnd w:id="578"/>
            <w:bookmarkEnd w:id="579"/>
            <w:bookmarkEnd w:id="580"/>
            <w:bookmarkEnd w:id="581"/>
            <w:bookmarkEnd w:id="582"/>
            <w:r w:rsidRPr="00735726">
              <w:rPr>
                <w:rFonts w:ascii="Arial" w:eastAsia="Times New Roman" w:hAnsi="Arial" w:cs="DINOT-Light"/>
                <w:color w:val="000000"/>
                <w:sz w:val="18"/>
                <w:szCs w:val="18"/>
              </w:rPr>
              <w:t>Disposals</w:t>
            </w:r>
          </w:p>
        </w:tc>
        <w:tc>
          <w:tcPr>
            <w:tcW w:w="984" w:type="dxa"/>
            <w:tcMar>
              <w:top w:w="11" w:type="dxa"/>
              <w:left w:w="57" w:type="dxa"/>
              <w:bottom w:w="11" w:type="dxa"/>
              <w:right w:w="57" w:type="dxa"/>
            </w:tcMar>
          </w:tcPr>
          <w:p w14:paraId="04134AD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(0.1)</w:t>
            </w:r>
          </w:p>
        </w:tc>
        <w:tc>
          <w:tcPr>
            <w:tcW w:w="1407" w:type="dxa"/>
            <w:tcMar>
              <w:top w:w="11" w:type="dxa"/>
              <w:left w:w="57" w:type="dxa"/>
              <w:bottom w:w="11" w:type="dxa"/>
              <w:right w:w="57" w:type="dxa"/>
            </w:tcMar>
          </w:tcPr>
          <w:p w14:paraId="732B6A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c>
          <w:tcPr>
            <w:tcW w:w="1125" w:type="dxa"/>
            <w:tcMar>
              <w:top w:w="11" w:type="dxa"/>
              <w:left w:w="57" w:type="dxa"/>
              <w:bottom w:w="11" w:type="dxa"/>
              <w:right w:w="57" w:type="dxa"/>
            </w:tcMar>
          </w:tcPr>
          <w:p w14:paraId="639B10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(0.9)</w:t>
            </w:r>
          </w:p>
        </w:tc>
        <w:tc>
          <w:tcPr>
            <w:tcW w:w="1125" w:type="dxa"/>
            <w:tcMar>
              <w:top w:w="11" w:type="dxa"/>
              <w:left w:w="57" w:type="dxa"/>
              <w:bottom w:w="11" w:type="dxa"/>
              <w:right w:w="57" w:type="dxa"/>
            </w:tcMar>
          </w:tcPr>
          <w:p w14:paraId="4ECB4B4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(13.7)</w:t>
            </w:r>
          </w:p>
        </w:tc>
        <w:tc>
          <w:tcPr>
            <w:tcW w:w="1264" w:type="dxa"/>
            <w:tcMar>
              <w:top w:w="11" w:type="dxa"/>
              <w:left w:w="57" w:type="dxa"/>
              <w:bottom w:w="11" w:type="dxa"/>
              <w:right w:w="57" w:type="dxa"/>
            </w:tcMar>
          </w:tcPr>
          <w:p w14:paraId="6813CF7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85" w:type="dxa"/>
            <w:tcMar>
              <w:top w:w="11" w:type="dxa"/>
              <w:left w:w="57" w:type="dxa"/>
              <w:bottom w:w="11" w:type="dxa"/>
              <w:right w:w="57" w:type="dxa"/>
            </w:tcMar>
          </w:tcPr>
          <w:p w14:paraId="5B09E41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(16.3)</w:t>
            </w:r>
          </w:p>
        </w:tc>
      </w:tr>
      <w:tr w:rsidR="00646F4F" w:rsidRPr="00735726" w14:paraId="0651B3D4" w14:textId="77777777" w:rsidTr="00277639">
        <w:trPr>
          <w:trHeight w:val="226"/>
        </w:trPr>
        <w:tc>
          <w:tcPr>
            <w:tcW w:w="3143" w:type="dxa"/>
            <w:tcMar>
              <w:top w:w="11" w:type="dxa"/>
              <w:left w:w="57" w:type="dxa"/>
              <w:bottom w:w="11" w:type="dxa"/>
              <w:right w:w="57" w:type="dxa"/>
            </w:tcMar>
          </w:tcPr>
          <w:p w14:paraId="17471DA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89" w:name="XMETag_9b7e256016a944198e601ec87065a834" w:colFirst="1" w:colLast="1"/>
            <w:bookmarkStart w:id="590" w:name="XMETag_adc370f0557041d1bb44ce352b7a80c5" w:colFirst="2" w:colLast="2"/>
            <w:bookmarkStart w:id="591" w:name="XMETag_c9bd0b6017954bdca26b301a42ae5f67" w:colFirst="3" w:colLast="3"/>
            <w:bookmarkStart w:id="592" w:name="XMETag_a8b5deef67914df6ae6bc96c88745f22" w:colFirst="4" w:colLast="4"/>
            <w:bookmarkStart w:id="593" w:name="XMETag_ee93eff9fcaa4016a86b10b0d83ff1ae" w:colFirst="5" w:colLast="5"/>
            <w:bookmarkStart w:id="594" w:name="XMETag_79834ccc919f45c699068ce459545525" w:colFirst="6" w:colLast="6"/>
            <w:bookmarkEnd w:id="583"/>
            <w:bookmarkEnd w:id="584"/>
            <w:bookmarkEnd w:id="585"/>
            <w:bookmarkEnd w:id="586"/>
            <w:bookmarkEnd w:id="587"/>
            <w:bookmarkEnd w:id="588"/>
            <w:r w:rsidRPr="00735726">
              <w:rPr>
                <w:rFonts w:ascii="Arial" w:eastAsia="Times New Roman" w:hAnsi="Arial" w:cs="DINOT-Light"/>
                <w:color w:val="000000"/>
                <w:sz w:val="18"/>
                <w:szCs w:val="18"/>
              </w:rPr>
              <w:t>Transfers/reclassifications</w:t>
            </w:r>
          </w:p>
        </w:tc>
        <w:tc>
          <w:tcPr>
            <w:tcW w:w="984" w:type="dxa"/>
            <w:tcBorders>
              <w:bottom w:val="single" w:sz="4" w:space="0" w:color="auto"/>
            </w:tcBorders>
            <w:tcMar>
              <w:top w:w="11" w:type="dxa"/>
              <w:left w:w="57" w:type="dxa"/>
              <w:bottom w:w="11" w:type="dxa"/>
              <w:right w:w="57" w:type="dxa"/>
            </w:tcMar>
          </w:tcPr>
          <w:p w14:paraId="1E49A69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1407" w:type="dxa"/>
            <w:tcBorders>
              <w:bottom w:val="single" w:sz="4" w:space="0" w:color="auto"/>
            </w:tcBorders>
            <w:tcMar>
              <w:top w:w="11" w:type="dxa"/>
              <w:left w:w="57" w:type="dxa"/>
              <w:bottom w:w="11" w:type="dxa"/>
              <w:right w:w="57" w:type="dxa"/>
            </w:tcMar>
          </w:tcPr>
          <w:p w14:paraId="0A88288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43.3</w:t>
            </w:r>
          </w:p>
        </w:tc>
        <w:tc>
          <w:tcPr>
            <w:tcW w:w="1125" w:type="dxa"/>
            <w:tcBorders>
              <w:bottom w:val="single" w:sz="4" w:space="0" w:color="auto"/>
            </w:tcBorders>
            <w:tcMar>
              <w:top w:w="11" w:type="dxa"/>
              <w:left w:w="57" w:type="dxa"/>
              <w:bottom w:w="11" w:type="dxa"/>
              <w:right w:w="57" w:type="dxa"/>
            </w:tcMar>
          </w:tcPr>
          <w:p w14:paraId="24867A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13.1</w:t>
            </w:r>
          </w:p>
        </w:tc>
        <w:tc>
          <w:tcPr>
            <w:tcW w:w="1125" w:type="dxa"/>
            <w:tcBorders>
              <w:bottom w:val="single" w:sz="4" w:space="0" w:color="auto"/>
            </w:tcBorders>
            <w:tcMar>
              <w:top w:w="11" w:type="dxa"/>
              <w:left w:w="57" w:type="dxa"/>
              <w:bottom w:w="11" w:type="dxa"/>
              <w:right w:w="57" w:type="dxa"/>
            </w:tcMar>
          </w:tcPr>
          <w:p w14:paraId="562330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63.8</w:t>
            </w:r>
          </w:p>
        </w:tc>
        <w:tc>
          <w:tcPr>
            <w:tcW w:w="1264" w:type="dxa"/>
            <w:tcBorders>
              <w:bottom w:val="single" w:sz="4" w:space="0" w:color="auto"/>
            </w:tcBorders>
            <w:tcMar>
              <w:top w:w="11" w:type="dxa"/>
              <w:left w:w="57" w:type="dxa"/>
              <w:bottom w:w="11" w:type="dxa"/>
              <w:right w:w="57" w:type="dxa"/>
            </w:tcMar>
          </w:tcPr>
          <w:p w14:paraId="1F0465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(117.1)</w:t>
            </w:r>
          </w:p>
        </w:tc>
        <w:tc>
          <w:tcPr>
            <w:tcW w:w="985" w:type="dxa"/>
            <w:tcBorders>
              <w:bottom w:val="single" w:sz="4" w:space="0" w:color="auto"/>
            </w:tcBorders>
            <w:tcMar>
              <w:top w:w="11" w:type="dxa"/>
              <w:left w:w="57" w:type="dxa"/>
              <w:bottom w:w="11" w:type="dxa"/>
              <w:right w:w="57" w:type="dxa"/>
            </w:tcMar>
          </w:tcPr>
          <w:p w14:paraId="06B91B1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w:t>
            </w:r>
          </w:p>
        </w:tc>
      </w:tr>
      <w:bookmarkEnd w:id="589"/>
      <w:bookmarkEnd w:id="590"/>
      <w:bookmarkEnd w:id="591"/>
      <w:bookmarkEnd w:id="592"/>
      <w:bookmarkEnd w:id="593"/>
      <w:bookmarkEnd w:id="594"/>
      <w:tr w:rsidR="00646F4F" w:rsidRPr="00735726" w14:paraId="3391910C" w14:textId="77777777" w:rsidTr="00277639">
        <w:trPr>
          <w:trHeight w:val="226"/>
        </w:trPr>
        <w:tc>
          <w:tcPr>
            <w:tcW w:w="3143" w:type="dxa"/>
            <w:tcMar>
              <w:top w:w="11" w:type="dxa"/>
              <w:left w:w="57" w:type="dxa"/>
              <w:bottom w:w="11" w:type="dxa"/>
              <w:right w:w="57" w:type="dxa"/>
            </w:tcMar>
          </w:tcPr>
          <w:p w14:paraId="076C776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984" w:type="dxa"/>
            <w:tcBorders>
              <w:top w:val="single" w:sz="4" w:space="0" w:color="auto"/>
              <w:bottom w:val="single" w:sz="4" w:space="0" w:color="auto"/>
            </w:tcBorders>
            <w:tcMar>
              <w:top w:w="11" w:type="dxa"/>
              <w:left w:w="57" w:type="dxa"/>
              <w:bottom w:w="11" w:type="dxa"/>
              <w:right w:w="57" w:type="dxa"/>
            </w:tcMar>
          </w:tcPr>
          <w:p w14:paraId="672D64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124.2</w:t>
            </w:r>
          </w:p>
        </w:tc>
        <w:tc>
          <w:tcPr>
            <w:tcW w:w="1407" w:type="dxa"/>
            <w:tcBorders>
              <w:top w:val="single" w:sz="4" w:space="0" w:color="auto"/>
              <w:bottom w:val="single" w:sz="4" w:space="0" w:color="auto"/>
            </w:tcBorders>
            <w:tcMar>
              <w:top w:w="11" w:type="dxa"/>
              <w:left w:w="57" w:type="dxa"/>
              <w:bottom w:w="11" w:type="dxa"/>
              <w:right w:w="57" w:type="dxa"/>
            </w:tcMar>
          </w:tcPr>
          <w:p w14:paraId="5372009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2,835.0</w:t>
            </w:r>
          </w:p>
        </w:tc>
        <w:tc>
          <w:tcPr>
            <w:tcW w:w="1125" w:type="dxa"/>
            <w:tcBorders>
              <w:top w:val="single" w:sz="4" w:space="0" w:color="auto"/>
              <w:bottom w:val="single" w:sz="4" w:space="0" w:color="auto"/>
            </w:tcBorders>
            <w:tcMar>
              <w:top w:w="11" w:type="dxa"/>
              <w:left w:w="57" w:type="dxa"/>
              <w:bottom w:w="11" w:type="dxa"/>
              <w:right w:w="57" w:type="dxa"/>
            </w:tcMar>
          </w:tcPr>
          <w:p w14:paraId="578E53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1,008.2</w:t>
            </w:r>
          </w:p>
        </w:tc>
        <w:tc>
          <w:tcPr>
            <w:tcW w:w="1125" w:type="dxa"/>
            <w:tcBorders>
              <w:top w:val="single" w:sz="4" w:space="0" w:color="auto"/>
              <w:bottom w:val="single" w:sz="4" w:space="0" w:color="auto"/>
            </w:tcBorders>
            <w:tcMar>
              <w:top w:w="11" w:type="dxa"/>
              <w:left w:w="57" w:type="dxa"/>
              <w:bottom w:w="11" w:type="dxa"/>
              <w:right w:w="57" w:type="dxa"/>
            </w:tcMar>
          </w:tcPr>
          <w:p w14:paraId="0A193A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2,665.9</w:t>
            </w:r>
          </w:p>
        </w:tc>
        <w:tc>
          <w:tcPr>
            <w:tcW w:w="1264" w:type="dxa"/>
            <w:tcBorders>
              <w:top w:val="single" w:sz="4" w:space="0" w:color="auto"/>
              <w:bottom w:val="single" w:sz="4" w:space="0" w:color="auto"/>
            </w:tcBorders>
            <w:tcMar>
              <w:top w:w="11" w:type="dxa"/>
              <w:left w:w="57" w:type="dxa"/>
              <w:bottom w:w="11" w:type="dxa"/>
              <w:right w:w="57" w:type="dxa"/>
            </w:tcMar>
          </w:tcPr>
          <w:p w14:paraId="04EE4A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837.3</w:t>
            </w:r>
          </w:p>
        </w:tc>
        <w:tc>
          <w:tcPr>
            <w:tcW w:w="985" w:type="dxa"/>
            <w:tcBorders>
              <w:top w:val="single" w:sz="4" w:space="0" w:color="auto"/>
              <w:bottom w:val="single" w:sz="4" w:space="0" w:color="auto"/>
            </w:tcBorders>
            <w:tcMar>
              <w:top w:w="11" w:type="dxa"/>
              <w:left w:w="57" w:type="dxa"/>
              <w:bottom w:w="11" w:type="dxa"/>
              <w:right w:w="57" w:type="dxa"/>
            </w:tcMar>
          </w:tcPr>
          <w:p w14:paraId="44B6CAD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7,470.6</w:t>
            </w:r>
          </w:p>
        </w:tc>
      </w:tr>
      <w:tr w:rsidR="00646F4F" w:rsidRPr="00735726" w14:paraId="0869F22D" w14:textId="77777777" w:rsidTr="00277639">
        <w:trPr>
          <w:trHeight w:val="226"/>
        </w:trPr>
        <w:tc>
          <w:tcPr>
            <w:tcW w:w="3143" w:type="dxa"/>
            <w:tcMar>
              <w:top w:w="11" w:type="dxa"/>
              <w:left w:w="57" w:type="dxa"/>
              <w:bottom w:w="11" w:type="dxa"/>
              <w:right w:w="57" w:type="dxa"/>
            </w:tcMar>
          </w:tcPr>
          <w:p w14:paraId="7276508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595" w:name="XMETag_948e616e528e48ac896c96f1241c0acd" w:colFirst="1" w:colLast="1"/>
            <w:bookmarkStart w:id="596" w:name="XMETag_cb1151e1c08a4deeaad990a0441aa624" w:colFirst="2" w:colLast="2"/>
            <w:bookmarkStart w:id="597" w:name="XMETag_fa0bd8e3b0de4e9a807af457f490b7a2" w:colFirst="3" w:colLast="3"/>
            <w:bookmarkStart w:id="598" w:name="XMETag_85ad0cb935e64ae3965bad4c23371026" w:colFirst="4" w:colLast="4"/>
            <w:bookmarkStart w:id="599" w:name="XMETag_0fe69e24c8524823afd5fa519001b0cf" w:colFirst="5" w:colLast="5"/>
            <w:bookmarkStart w:id="600" w:name="XMETag_a2fba3a5337e4e29ab6c1e4245469400" w:colFirst="6" w:colLast="6"/>
            <w:r w:rsidRPr="00735726">
              <w:rPr>
                <w:rFonts w:ascii="Arial" w:eastAsia="Times New Roman" w:hAnsi="Arial" w:cs="DINOT-Light"/>
                <w:color w:val="000000"/>
                <w:sz w:val="18"/>
                <w:szCs w:val="18"/>
              </w:rPr>
              <w:t>Additions</w:t>
            </w:r>
          </w:p>
        </w:tc>
        <w:tc>
          <w:tcPr>
            <w:tcW w:w="984" w:type="dxa"/>
            <w:tcBorders>
              <w:top w:val="single" w:sz="4" w:space="0" w:color="auto"/>
            </w:tcBorders>
            <w:tcMar>
              <w:top w:w="11" w:type="dxa"/>
              <w:left w:w="57" w:type="dxa"/>
              <w:bottom w:w="11" w:type="dxa"/>
              <w:right w:w="57" w:type="dxa"/>
            </w:tcMar>
          </w:tcPr>
          <w:p w14:paraId="3FFB21D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0.4</w:t>
            </w:r>
          </w:p>
        </w:tc>
        <w:tc>
          <w:tcPr>
            <w:tcW w:w="1407" w:type="dxa"/>
            <w:tcBorders>
              <w:top w:val="single" w:sz="4" w:space="0" w:color="auto"/>
            </w:tcBorders>
            <w:tcMar>
              <w:top w:w="11" w:type="dxa"/>
              <w:left w:w="57" w:type="dxa"/>
              <w:bottom w:w="11" w:type="dxa"/>
              <w:right w:w="57" w:type="dxa"/>
            </w:tcMar>
          </w:tcPr>
          <w:p w14:paraId="204EA301" w14:textId="53319666"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112.6</w:t>
            </w:r>
          </w:p>
        </w:tc>
        <w:tc>
          <w:tcPr>
            <w:tcW w:w="1125" w:type="dxa"/>
            <w:tcBorders>
              <w:top w:val="single" w:sz="4" w:space="0" w:color="auto"/>
            </w:tcBorders>
            <w:tcMar>
              <w:top w:w="11" w:type="dxa"/>
              <w:left w:w="57" w:type="dxa"/>
              <w:bottom w:w="11" w:type="dxa"/>
              <w:right w:w="57" w:type="dxa"/>
            </w:tcMar>
          </w:tcPr>
          <w:p w14:paraId="03D02C0B" w14:textId="0E84905C"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40.9</w:t>
            </w:r>
          </w:p>
        </w:tc>
        <w:tc>
          <w:tcPr>
            <w:tcW w:w="1125" w:type="dxa"/>
            <w:tcBorders>
              <w:top w:val="single" w:sz="4" w:space="0" w:color="auto"/>
            </w:tcBorders>
            <w:tcMar>
              <w:top w:w="11" w:type="dxa"/>
              <w:left w:w="57" w:type="dxa"/>
              <w:bottom w:w="11" w:type="dxa"/>
              <w:right w:w="57" w:type="dxa"/>
            </w:tcMar>
          </w:tcPr>
          <w:p w14:paraId="64364AD5" w14:textId="6253E600"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w:t>
            </w:r>
            <w:r w:rsidR="00D121BA" w:rsidRPr="00735726">
              <w:rPr>
                <w:rFonts w:ascii="Arial" w:eastAsia="Times New Roman" w:hAnsi="Arial" w:cs="DINOT-Light"/>
                <w:color w:val="000000"/>
                <w:sz w:val="18"/>
                <w:szCs w:val="18"/>
              </w:rPr>
              <w:t>7</w:t>
            </w:r>
          </w:p>
        </w:tc>
        <w:tc>
          <w:tcPr>
            <w:tcW w:w="1264" w:type="dxa"/>
            <w:tcBorders>
              <w:top w:val="single" w:sz="4" w:space="0" w:color="auto"/>
            </w:tcBorders>
            <w:tcMar>
              <w:top w:w="11" w:type="dxa"/>
              <w:left w:w="57" w:type="dxa"/>
              <w:bottom w:w="11" w:type="dxa"/>
              <w:right w:w="57" w:type="dxa"/>
            </w:tcMar>
          </w:tcPr>
          <w:p w14:paraId="11E1A6FF" w14:textId="47AB879C"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391.</w:t>
            </w:r>
            <w:r w:rsidR="00D121BA" w:rsidRPr="00735726">
              <w:rPr>
                <w:rFonts w:ascii="Arial" w:eastAsia="Times New Roman" w:hAnsi="Arial" w:cs="DINOT-Light"/>
                <w:color w:val="000000"/>
                <w:sz w:val="18"/>
                <w:szCs w:val="18"/>
              </w:rPr>
              <w:t>8</w:t>
            </w:r>
          </w:p>
        </w:tc>
        <w:tc>
          <w:tcPr>
            <w:tcW w:w="985" w:type="dxa"/>
            <w:tcBorders>
              <w:top w:val="single" w:sz="4" w:space="0" w:color="auto"/>
            </w:tcBorders>
            <w:tcMar>
              <w:top w:w="11" w:type="dxa"/>
              <w:left w:w="57" w:type="dxa"/>
              <w:bottom w:w="11" w:type="dxa"/>
              <w:right w:w="57" w:type="dxa"/>
            </w:tcMar>
          </w:tcPr>
          <w:p w14:paraId="18D04168" w14:textId="1A7E3DF2"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557.</w:t>
            </w:r>
            <w:r w:rsidR="00D121BA" w:rsidRPr="00735726">
              <w:rPr>
                <w:rFonts w:ascii="Arial" w:eastAsia="Times New Roman" w:hAnsi="Arial" w:cs="DINOT-Light"/>
                <w:color w:val="000000"/>
                <w:sz w:val="18"/>
                <w:szCs w:val="18"/>
              </w:rPr>
              <w:t>4</w:t>
            </w:r>
          </w:p>
        </w:tc>
      </w:tr>
      <w:tr w:rsidR="00646F4F" w:rsidRPr="00735726" w14:paraId="3F90FDCA" w14:textId="77777777" w:rsidTr="00CE19B2">
        <w:trPr>
          <w:trHeight w:val="226"/>
        </w:trPr>
        <w:tc>
          <w:tcPr>
            <w:tcW w:w="3143" w:type="dxa"/>
            <w:tcMar>
              <w:top w:w="11" w:type="dxa"/>
              <w:left w:w="57" w:type="dxa"/>
              <w:bottom w:w="11" w:type="dxa"/>
              <w:right w:w="57" w:type="dxa"/>
            </w:tcMar>
          </w:tcPr>
          <w:p w14:paraId="637C4F1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601" w:name="XMETag_75da22a9bca24861b661fb96a8591748" w:colFirst="1" w:colLast="1"/>
            <w:bookmarkStart w:id="602" w:name="XMETag_2bb9307123824a3e8dd68900bd448c7b" w:colFirst="2" w:colLast="2"/>
            <w:bookmarkStart w:id="603" w:name="XMETag_d55682d3c8af488aaaf3f23ed62627e2" w:colFirst="3" w:colLast="3"/>
            <w:bookmarkStart w:id="604" w:name="XMETag_352126cd5f344ed69138ec86ea15d6b4" w:colFirst="4" w:colLast="4"/>
            <w:bookmarkStart w:id="605" w:name="XMETag_a7f32fa794f145c78c95dd6b8f641b7f" w:colFirst="5" w:colLast="5"/>
            <w:bookmarkStart w:id="606" w:name="XMETag_31023a18e5fa410d8c005ea74ccf0b17" w:colFirst="6" w:colLast="6"/>
            <w:bookmarkEnd w:id="595"/>
            <w:bookmarkEnd w:id="596"/>
            <w:bookmarkEnd w:id="597"/>
            <w:bookmarkEnd w:id="598"/>
            <w:bookmarkEnd w:id="599"/>
            <w:bookmarkEnd w:id="600"/>
            <w:r w:rsidRPr="00735726">
              <w:rPr>
                <w:rFonts w:ascii="Arial" w:eastAsia="Times New Roman" w:hAnsi="Arial" w:cs="DINOT-Light"/>
                <w:color w:val="000000"/>
                <w:sz w:val="18"/>
                <w:szCs w:val="18"/>
              </w:rPr>
              <w:t>Assets adopted at fair value</w:t>
            </w:r>
          </w:p>
        </w:tc>
        <w:tc>
          <w:tcPr>
            <w:tcW w:w="984" w:type="dxa"/>
            <w:tcMar>
              <w:top w:w="11" w:type="dxa"/>
              <w:left w:w="57" w:type="dxa"/>
              <w:bottom w:w="11" w:type="dxa"/>
              <w:right w:w="57" w:type="dxa"/>
            </w:tcMar>
          </w:tcPr>
          <w:p w14:paraId="32F2D55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07" w:type="dxa"/>
            <w:tcMar>
              <w:top w:w="11" w:type="dxa"/>
              <w:left w:w="57" w:type="dxa"/>
              <w:bottom w:w="11" w:type="dxa"/>
              <w:right w:w="57" w:type="dxa"/>
            </w:tcMar>
          </w:tcPr>
          <w:p w14:paraId="28EE1B2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13.2</w:t>
            </w:r>
          </w:p>
        </w:tc>
        <w:tc>
          <w:tcPr>
            <w:tcW w:w="1125" w:type="dxa"/>
            <w:tcMar>
              <w:top w:w="11" w:type="dxa"/>
              <w:left w:w="57" w:type="dxa"/>
              <w:bottom w:w="11" w:type="dxa"/>
              <w:right w:w="57" w:type="dxa"/>
            </w:tcMar>
          </w:tcPr>
          <w:p w14:paraId="51939C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25" w:type="dxa"/>
            <w:tcMar>
              <w:top w:w="11" w:type="dxa"/>
              <w:left w:w="57" w:type="dxa"/>
              <w:bottom w:w="11" w:type="dxa"/>
              <w:right w:w="57" w:type="dxa"/>
            </w:tcMar>
          </w:tcPr>
          <w:p w14:paraId="26DE263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264" w:type="dxa"/>
            <w:tcMar>
              <w:top w:w="11" w:type="dxa"/>
              <w:left w:w="57" w:type="dxa"/>
              <w:bottom w:w="11" w:type="dxa"/>
              <w:right w:w="57" w:type="dxa"/>
            </w:tcMar>
          </w:tcPr>
          <w:p w14:paraId="336D7D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85" w:type="dxa"/>
            <w:tcMar>
              <w:top w:w="11" w:type="dxa"/>
              <w:left w:w="57" w:type="dxa"/>
              <w:bottom w:w="11" w:type="dxa"/>
              <w:right w:w="57" w:type="dxa"/>
            </w:tcMar>
          </w:tcPr>
          <w:p w14:paraId="0A6AD59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13.2</w:t>
            </w:r>
          </w:p>
        </w:tc>
      </w:tr>
      <w:tr w:rsidR="00646F4F" w:rsidRPr="00735726" w14:paraId="5D818D61" w14:textId="77777777" w:rsidTr="00CE19B2">
        <w:trPr>
          <w:trHeight w:val="226"/>
        </w:trPr>
        <w:tc>
          <w:tcPr>
            <w:tcW w:w="3143" w:type="dxa"/>
            <w:tcMar>
              <w:top w:w="11" w:type="dxa"/>
              <w:left w:w="57" w:type="dxa"/>
              <w:bottom w:w="11" w:type="dxa"/>
              <w:right w:w="57" w:type="dxa"/>
            </w:tcMar>
          </w:tcPr>
          <w:p w14:paraId="3864F27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607" w:name="XMETag_e2aa3025df0d43f2b718e8f569eac305" w:colFirst="1" w:colLast="1"/>
            <w:bookmarkStart w:id="608" w:name="XMETag_44b42d87fada42f2b6e3240f4ae888de" w:colFirst="2" w:colLast="2"/>
            <w:bookmarkStart w:id="609" w:name="XMETag_2d6b2c09c60a48f29199e5bd79dbb111" w:colFirst="3" w:colLast="3"/>
            <w:bookmarkStart w:id="610" w:name="XMETag_8057ccbf8b124d4ab38cb1fe96e638bb" w:colFirst="4" w:colLast="4"/>
            <w:bookmarkStart w:id="611" w:name="XMETag_cda690676b244097888390d99957730a" w:colFirst="5" w:colLast="5"/>
            <w:bookmarkStart w:id="612" w:name="XMETag_43197454ea6149bd8b372cf407ed8ef8" w:colFirst="6" w:colLast="6"/>
            <w:bookmarkEnd w:id="601"/>
            <w:bookmarkEnd w:id="602"/>
            <w:bookmarkEnd w:id="603"/>
            <w:bookmarkEnd w:id="604"/>
            <w:bookmarkEnd w:id="605"/>
            <w:bookmarkEnd w:id="606"/>
            <w:r w:rsidRPr="00735726">
              <w:rPr>
                <w:rFonts w:ascii="Arial" w:eastAsia="Times New Roman" w:hAnsi="Arial" w:cs="DINOT-Light"/>
                <w:color w:val="000000"/>
                <w:sz w:val="18"/>
                <w:szCs w:val="18"/>
              </w:rPr>
              <w:t>Disposals</w:t>
            </w:r>
          </w:p>
        </w:tc>
        <w:tc>
          <w:tcPr>
            <w:tcW w:w="984" w:type="dxa"/>
            <w:tcMar>
              <w:top w:w="11" w:type="dxa"/>
              <w:left w:w="57" w:type="dxa"/>
              <w:bottom w:w="11" w:type="dxa"/>
              <w:right w:w="57" w:type="dxa"/>
            </w:tcMar>
          </w:tcPr>
          <w:p w14:paraId="13B7A9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07" w:type="dxa"/>
            <w:tcMar>
              <w:top w:w="11" w:type="dxa"/>
              <w:left w:w="57" w:type="dxa"/>
              <w:bottom w:w="11" w:type="dxa"/>
              <w:right w:w="57" w:type="dxa"/>
            </w:tcMar>
          </w:tcPr>
          <w:p w14:paraId="07FD225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25" w:type="dxa"/>
            <w:tcMar>
              <w:top w:w="11" w:type="dxa"/>
              <w:left w:w="57" w:type="dxa"/>
              <w:bottom w:w="11" w:type="dxa"/>
              <w:right w:w="57" w:type="dxa"/>
            </w:tcMar>
          </w:tcPr>
          <w:p w14:paraId="151B11E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(0.4)</w:t>
            </w:r>
          </w:p>
        </w:tc>
        <w:tc>
          <w:tcPr>
            <w:tcW w:w="1125" w:type="dxa"/>
            <w:tcMar>
              <w:top w:w="11" w:type="dxa"/>
              <w:left w:w="57" w:type="dxa"/>
              <w:bottom w:w="11" w:type="dxa"/>
              <w:right w:w="57" w:type="dxa"/>
            </w:tcMar>
          </w:tcPr>
          <w:p w14:paraId="4A8AFB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w:t>
            </w:r>
          </w:p>
        </w:tc>
        <w:tc>
          <w:tcPr>
            <w:tcW w:w="1264" w:type="dxa"/>
            <w:tcMar>
              <w:top w:w="11" w:type="dxa"/>
              <w:left w:w="57" w:type="dxa"/>
              <w:bottom w:w="11" w:type="dxa"/>
              <w:right w:w="57" w:type="dxa"/>
            </w:tcMar>
          </w:tcPr>
          <w:p w14:paraId="50D4A2E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85" w:type="dxa"/>
            <w:tcMar>
              <w:top w:w="11" w:type="dxa"/>
              <w:left w:w="57" w:type="dxa"/>
              <w:bottom w:w="11" w:type="dxa"/>
              <w:right w:w="57" w:type="dxa"/>
            </w:tcMar>
          </w:tcPr>
          <w:p w14:paraId="087A790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w:t>
            </w:r>
          </w:p>
        </w:tc>
      </w:tr>
      <w:tr w:rsidR="00646F4F" w:rsidRPr="00735726" w14:paraId="5F1FF984" w14:textId="77777777" w:rsidTr="00CE19B2">
        <w:trPr>
          <w:trHeight w:val="226"/>
        </w:trPr>
        <w:tc>
          <w:tcPr>
            <w:tcW w:w="3143" w:type="dxa"/>
            <w:tcMar>
              <w:top w:w="11" w:type="dxa"/>
              <w:left w:w="57" w:type="dxa"/>
              <w:bottom w:w="11" w:type="dxa"/>
              <w:right w:w="57" w:type="dxa"/>
            </w:tcMar>
          </w:tcPr>
          <w:p w14:paraId="4E19B6E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613" w:name="XMETag_7c56d66dcc2d457b895ab9a75981b423" w:colFirst="1" w:colLast="1"/>
            <w:bookmarkStart w:id="614" w:name="XMETag_3df248386e714e578e45f5d4b753ab09" w:colFirst="2" w:colLast="2"/>
            <w:bookmarkStart w:id="615" w:name="XMETag_974cd56e85c14e07a897cc5b9c155e9d" w:colFirst="3" w:colLast="3"/>
            <w:bookmarkStart w:id="616" w:name="XMETag_002c51549e8546a581eadd6f6e123e15" w:colFirst="4" w:colLast="4"/>
            <w:bookmarkStart w:id="617" w:name="XMETag_41b28caa96714bc7bff85ae4a4127d9a" w:colFirst="5" w:colLast="5"/>
            <w:bookmarkStart w:id="618" w:name="XMETag_989ce61adedb455aa79008dbae8eed81" w:colFirst="6" w:colLast="6"/>
            <w:bookmarkEnd w:id="607"/>
            <w:bookmarkEnd w:id="608"/>
            <w:bookmarkEnd w:id="609"/>
            <w:bookmarkEnd w:id="610"/>
            <w:bookmarkEnd w:id="611"/>
            <w:bookmarkEnd w:id="612"/>
            <w:r w:rsidRPr="00735726">
              <w:rPr>
                <w:rFonts w:ascii="Arial" w:eastAsia="Times New Roman" w:hAnsi="Arial" w:cs="DINOT-Light"/>
                <w:color w:val="000000"/>
                <w:sz w:val="18"/>
                <w:szCs w:val="18"/>
              </w:rPr>
              <w:t>Transfers/reclassifications</w:t>
            </w:r>
          </w:p>
        </w:tc>
        <w:tc>
          <w:tcPr>
            <w:tcW w:w="984" w:type="dxa"/>
            <w:tcBorders>
              <w:bottom w:val="single" w:sz="4" w:space="0" w:color="auto"/>
            </w:tcBorders>
            <w:tcMar>
              <w:top w:w="11" w:type="dxa"/>
              <w:left w:w="57" w:type="dxa"/>
              <w:bottom w:w="11" w:type="dxa"/>
              <w:right w:w="57" w:type="dxa"/>
            </w:tcMar>
          </w:tcPr>
          <w:p w14:paraId="4B8A8EA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w:t>
            </w:r>
          </w:p>
        </w:tc>
        <w:tc>
          <w:tcPr>
            <w:tcW w:w="1407" w:type="dxa"/>
            <w:tcBorders>
              <w:bottom w:val="single" w:sz="4" w:space="0" w:color="auto"/>
            </w:tcBorders>
            <w:tcMar>
              <w:top w:w="11" w:type="dxa"/>
              <w:left w:w="57" w:type="dxa"/>
              <w:bottom w:w="11" w:type="dxa"/>
              <w:right w:w="57" w:type="dxa"/>
            </w:tcMar>
          </w:tcPr>
          <w:p w14:paraId="1D8EF170" w14:textId="07AB478D"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113.2</w:t>
            </w:r>
          </w:p>
        </w:tc>
        <w:tc>
          <w:tcPr>
            <w:tcW w:w="1125" w:type="dxa"/>
            <w:tcBorders>
              <w:bottom w:val="single" w:sz="4" w:space="0" w:color="auto"/>
            </w:tcBorders>
            <w:tcMar>
              <w:top w:w="11" w:type="dxa"/>
              <w:left w:w="57" w:type="dxa"/>
              <w:bottom w:w="11" w:type="dxa"/>
              <w:right w:w="57" w:type="dxa"/>
            </w:tcMar>
          </w:tcPr>
          <w:p w14:paraId="0FD11096" w14:textId="06689D2E"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10.1</w:t>
            </w:r>
          </w:p>
        </w:tc>
        <w:tc>
          <w:tcPr>
            <w:tcW w:w="1125" w:type="dxa"/>
            <w:tcBorders>
              <w:bottom w:val="single" w:sz="4" w:space="0" w:color="auto"/>
            </w:tcBorders>
            <w:tcMar>
              <w:top w:w="11" w:type="dxa"/>
              <w:left w:w="57" w:type="dxa"/>
              <w:bottom w:w="11" w:type="dxa"/>
              <w:right w:w="57" w:type="dxa"/>
            </w:tcMar>
          </w:tcPr>
          <w:p w14:paraId="6275F520" w14:textId="4CA389AD"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(24.6)</w:t>
            </w:r>
          </w:p>
        </w:tc>
        <w:tc>
          <w:tcPr>
            <w:tcW w:w="1264" w:type="dxa"/>
            <w:tcBorders>
              <w:bottom w:val="single" w:sz="4" w:space="0" w:color="auto"/>
            </w:tcBorders>
            <w:tcMar>
              <w:top w:w="11" w:type="dxa"/>
              <w:left w:w="57" w:type="dxa"/>
              <w:bottom w:w="11" w:type="dxa"/>
              <w:right w:w="57" w:type="dxa"/>
            </w:tcMar>
          </w:tcPr>
          <w:p w14:paraId="6249B406" w14:textId="76550950"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(99.1)</w:t>
            </w:r>
          </w:p>
        </w:tc>
        <w:tc>
          <w:tcPr>
            <w:tcW w:w="985" w:type="dxa"/>
            <w:tcBorders>
              <w:bottom w:val="single" w:sz="4" w:space="0" w:color="auto"/>
            </w:tcBorders>
            <w:tcMar>
              <w:top w:w="11" w:type="dxa"/>
              <w:left w:w="57" w:type="dxa"/>
              <w:bottom w:w="11" w:type="dxa"/>
              <w:right w:w="57" w:type="dxa"/>
            </w:tcMar>
          </w:tcPr>
          <w:p w14:paraId="408C3D7F" w14:textId="67AA1410"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0.7</w:t>
            </w:r>
          </w:p>
        </w:tc>
      </w:tr>
      <w:tr w:rsidR="00646F4F" w:rsidRPr="00735726" w14:paraId="29B08A85" w14:textId="77777777" w:rsidTr="00CE19B2">
        <w:trPr>
          <w:trHeight w:val="226"/>
        </w:trPr>
        <w:tc>
          <w:tcPr>
            <w:tcW w:w="3143" w:type="dxa"/>
            <w:tcMar>
              <w:top w:w="11" w:type="dxa"/>
              <w:left w:w="57" w:type="dxa"/>
              <w:bottom w:w="11" w:type="dxa"/>
              <w:right w:w="57" w:type="dxa"/>
            </w:tcMar>
          </w:tcPr>
          <w:p w14:paraId="68B4289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619" w:name="XMETag_23c27ab5cf794a509a3c70bd41bf6cd4" w:colFirst="1" w:colLast="1"/>
            <w:bookmarkStart w:id="620" w:name="XMETag_139768aaa9624a4c9ee54f4f44fa222d" w:colFirst="2" w:colLast="2"/>
            <w:bookmarkStart w:id="621" w:name="XMETag_01f912830eca4c8086c9b85817774ef1" w:colFirst="3" w:colLast="3"/>
            <w:bookmarkStart w:id="622" w:name="XMETag_44cc641eb02e46888e648f51d844632e" w:colFirst="4" w:colLast="4"/>
            <w:bookmarkStart w:id="623" w:name="XMETag_0436af417f954b0ea795313c0bcd754e" w:colFirst="5" w:colLast="5"/>
            <w:bookmarkStart w:id="624" w:name="XMETag_1f59565ce2e34569903a25ae3db9a097" w:colFirst="6" w:colLast="6"/>
            <w:bookmarkEnd w:id="613"/>
            <w:bookmarkEnd w:id="614"/>
            <w:bookmarkEnd w:id="615"/>
            <w:bookmarkEnd w:id="616"/>
            <w:bookmarkEnd w:id="617"/>
            <w:bookmarkEnd w:id="618"/>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984" w:type="dxa"/>
            <w:tcBorders>
              <w:top w:val="single" w:sz="4" w:space="0" w:color="auto"/>
              <w:bottom w:val="single" w:sz="4" w:space="0" w:color="auto"/>
            </w:tcBorders>
            <w:tcMar>
              <w:top w:w="11" w:type="dxa"/>
              <w:left w:w="57" w:type="dxa"/>
              <w:bottom w:w="11" w:type="dxa"/>
              <w:right w:w="57" w:type="dxa"/>
            </w:tcMar>
          </w:tcPr>
          <w:p w14:paraId="62875CA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125.7</w:t>
            </w:r>
          </w:p>
        </w:tc>
        <w:tc>
          <w:tcPr>
            <w:tcW w:w="1407" w:type="dxa"/>
            <w:tcBorders>
              <w:top w:val="single" w:sz="4" w:space="0" w:color="auto"/>
              <w:bottom w:val="single" w:sz="4" w:space="0" w:color="auto"/>
            </w:tcBorders>
            <w:tcMar>
              <w:top w:w="11" w:type="dxa"/>
              <w:left w:w="57" w:type="dxa"/>
              <w:bottom w:w="11" w:type="dxa"/>
              <w:right w:w="57" w:type="dxa"/>
            </w:tcMar>
          </w:tcPr>
          <w:p w14:paraId="7DF9C33C" w14:textId="0B80E78C"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3,074.0</w:t>
            </w:r>
          </w:p>
        </w:tc>
        <w:tc>
          <w:tcPr>
            <w:tcW w:w="1125" w:type="dxa"/>
            <w:tcBorders>
              <w:top w:val="single" w:sz="4" w:space="0" w:color="auto"/>
              <w:bottom w:val="single" w:sz="4" w:space="0" w:color="auto"/>
            </w:tcBorders>
            <w:tcMar>
              <w:top w:w="11" w:type="dxa"/>
              <w:left w:w="57" w:type="dxa"/>
              <w:bottom w:w="11" w:type="dxa"/>
              <w:right w:w="57" w:type="dxa"/>
            </w:tcMar>
          </w:tcPr>
          <w:p w14:paraId="71C3D5D2" w14:textId="644C9823"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1,058.8</w:t>
            </w:r>
          </w:p>
        </w:tc>
        <w:tc>
          <w:tcPr>
            <w:tcW w:w="1125" w:type="dxa"/>
            <w:tcBorders>
              <w:top w:val="single" w:sz="4" w:space="0" w:color="auto"/>
              <w:bottom w:val="single" w:sz="4" w:space="0" w:color="auto"/>
            </w:tcBorders>
            <w:tcMar>
              <w:top w:w="11" w:type="dxa"/>
              <w:left w:w="57" w:type="dxa"/>
              <w:bottom w:w="11" w:type="dxa"/>
              <w:right w:w="57" w:type="dxa"/>
            </w:tcMar>
          </w:tcPr>
          <w:p w14:paraId="00EED167" w14:textId="781B3152"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2,651.</w:t>
            </w:r>
            <w:r w:rsidR="00D121BA" w:rsidRPr="00735726">
              <w:rPr>
                <w:rFonts w:ascii="Arial" w:eastAsia="Times New Roman" w:hAnsi="Arial" w:cs="DINOT-Light"/>
                <w:b/>
                <w:bCs/>
                <w:color w:val="000000"/>
                <w:sz w:val="18"/>
                <w:szCs w:val="18"/>
              </w:rPr>
              <w:t>5</w:t>
            </w:r>
          </w:p>
        </w:tc>
        <w:tc>
          <w:tcPr>
            <w:tcW w:w="1264" w:type="dxa"/>
            <w:tcBorders>
              <w:top w:val="single" w:sz="4" w:space="0" w:color="auto"/>
              <w:bottom w:val="single" w:sz="4" w:space="0" w:color="auto"/>
            </w:tcBorders>
            <w:tcMar>
              <w:top w:w="11" w:type="dxa"/>
              <w:left w:w="57" w:type="dxa"/>
              <w:bottom w:w="11" w:type="dxa"/>
              <w:right w:w="57" w:type="dxa"/>
            </w:tcMar>
          </w:tcPr>
          <w:p w14:paraId="64E4167C" w14:textId="464010C6"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1,1</w:t>
            </w:r>
            <w:r w:rsidR="00D121BA" w:rsidRPr="00735726">
              <w:rPr>
                <w:rFonts w:ascii="Arial" w:eastAsia="Times New Roman" w:hAnsi="Arial" w:cs="DINOT-Light"/>
                <w:b/>
                <w:bCs/>
                <w:color w:val="000000"/>
                <w:sz w:val="18"/>
                <w:szCs w:val="18"/>
              </w:rPr>
              <w:t>30.0</w:t>
            </w:r>
          </w:p>
        </w:tc>
        <w:tc>
          <w:tcPr>
            <w:tcW w:w="985" w:type="dxa"/>
            <w:tcBorders>
              <w:top w:val="single" w:sz="4" w:space="0" w:color="auto"/>
              <w:bottom w:val="single" w:sz="4" w:space="0" w:color="auto"/>
            </w:tcBorders>
            <w:tcMar>
              <w:top w:w="11" w:type="dxa"/>
              <w:left w:w="57" w:type="dxa"/>
              <w:bottom w:w="11" w:type="dxa"/>
              <w:right w:w="57" w:type="dxa"/>
            </w:tcMar>
          </w:tcPr>
          <w:p w14:paraId="1D3F8A7C" w14:textId="22D04AAE"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8,0</w:t>
            </w:r>
            <w:r w:rsidR="00D121BA" w:rsidRPr="00735726">
              <w:rPr>
                <w:rFonts w:ascii="Arial" w:eastAsia="Times New Roman" w:hAnsi="Arial" w:cs="DINOT-Light"/>
                <w:b/>
                <w:bCs/>
                <w:color w:val="000000"/>
                <w:sz w:val="18"/>
                <w:szCs w:val="18"/>
              </w:rPr>
              <w:t>40.0</w:t>
            </w:r>
          </w:p>
        </w:tc>
      </w:tr>
      <w:bookmarkEnd w:id="619"/>
      <w:bookmarkEnd w:id="620"/>
      <w:bookmarkEnd w:id="621"/>
      <w:bookmarkEnd w:id="622"/>
      <w:bookmarkEnd w:id="623"/>
      <w:bookmarkEnd w:id="624"/>
      <w:tr w:rsidR="00646F4F" w:rsidRPr="00735726" w14:paraId="65681E72" w14:textId="77777777" w:rsidTr="00CE19B2">
        <w:trPr>
          <w:trHeight w:val="226"/>
        </w:trPr>
        <w:tc>
          <w:tcPr>
            <w:tcW w:w="3143" w:type="dxa"/>
            <w:tcMar>
              <w:top w:w="11" w:type="dxa"/>
              <w:left w:w="57" w:type="dxa"/>
              <w:bottom w:w="11" w:type="dxa"/>
              <w:right w:w="57" w:type="dxa"/>
            </w:tcMar>
          </w:tcPr>
          <w:p w14:paraId="74BED120"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984" w:type="dxa"/>
            <w:tcBorders>
              <w:top w:val="single" w:sz="4" w:space="0" w:color="auto"/>
            </w:tcBorders>
            <w:tcMar>
              <w:top w:w="11" w:type="dxa"/>
              <w:left w:w="57" w:type="dxa"/>
              <w:bottom w:w="11" w:type="dxa"/>
              <w:right w:w="57" w:type="dxa"/>
            </w:tcMar>
          </w:tcPr>
          <w:p w14:paraId="5769BD6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07" w:type="dxa"/>
            <w:tcBorders>
              <w:top w:val="single" w:sz="4" w:space="0" w:color="auto"/>
            </w:tcBorders>
            <w:tcMar>
              <w:top w:w="11" w:type="dxa"/>
              <w:left w:w="57" w:type="dxa"/>
              <w:bottom w:w="11" w:type="dxa"/>
              <w:right w:w="57" w:type="dxa"/>
            </w:tcMar>
          </w:tcPr>
          <w:p w14:paraId="0E93C6C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25" w:type="dxa"/>
            <w:tcBorders>
              <w:top w:val="single" w:sz="4" w:space="0" w:color="auto"/>
            </w:tcBorders>
            <w:tcMar>
              <w:top w:w="11" w:type="dxa"/>
              <w:left w:w="57" w:type="dxa"/>
              <w:bottom w:w="11" w:type="dxa"/>
              <w:right w:w="57" w:type="dxa"/>
            </w:tcMar>
          </w:tcPr>
          <w:p w14:paraId="563E6AA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25" w:type="dxa"/>
            <w:tcBorders>
              <w:top w:val="single" w:sz="4" w:space="0" w:color="auto"/>
            </w:tcBorders>
            <w:tcMar>
              <w:top w:w="11" w:type="dxa"/>
              <w:left w:w="57" w:type="dxa"/>
              <w:bottom w:w="11" w:type="dxa"/>
              <w:right w:w="57" w:type="dxa"/>
            </w:tcMar>
          </w:tcPr>
          <w:p w14:paraId="338E941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64" w:type="dxa"/>
            <w:tcBorders>
              <w:top w:val="single" w:sz="4" w:space="0" w:color="auto"/>
            </w:tcBorders>
            <w:tcMar>
              <w:top w:w="11" w:type="dxa"/>
              <w:left w:w="57" w:type="dxa"/>
              <w:bottom w:w="11" w:type="dxa"/>
              <w:right w:w="57" w:type="dxa"/>
            </w:tcMar>
          </w:tcPr>
          <w:p w14:paraId="7FD4D14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85" w:type="dxa"/>
            <w:tcBorders>
              <w:top w:val="single" w:sz="4" w:space="0" w:color="auto"/>
            </w:tcBorders>
            <w:tcMar>
              <w:top w:w="11" w:type="dxa"/>
              <w:left w:w="57" w:type="dxa"/>
              <w:bottom w:w="11" w:type="dxa"/>
              <w:right w:w="57" w:type="dxa"/>
            </w:tcMar>
          </w:tcPr>
          <w:p w14:paraId="226DB29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2939942C" w14:textId="77777777" w:rsidTr="00CE19B2">
        <w:trPr>
          <w:trHeight w:val="226"/>
        </w:trPr>
        <w:tc>
          <w:tcPr>
            <w:tcW w:w="3143" w:type="dxa"/>
            <w:tcMar>
              <w:top w:w="11" w:type="dxa"/>
              <w:left w:w="57" w:type="dxa"/>
              <w:bottom w:w="11" w:type="dxa"/>
              <w:right w:w="57" w:type="dxa"/>
            </w:tcMar>
          </w:tcPr>
          <w:p w14:paraId="6664D6F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Accumulated depreciation:</w:t>
            </w:r>
          </w:p>
        </w:tc>
        <w:tc>
          <w:tcPr>
            <w:tcW w:w="984" w:type="dxa"/>
            <w:tcMar>
              <w:top w:w="11" w:type="dxa"/>
              <w:left w:w="57" w:type="dxa"/>
              <w:bottom w:w="11" w:type="dxa"/>
              <w:right w:w="57" w:type="dxa"/>
            </w:tcMar>
          </w:tcPr>
          <w:p w14:paraId="45980D5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07" w:type="dxa"/>
            <w:tcMar>
              <w:top w:w="11" w:type="dxa"/>
              <w:left w:w="57" w:type="dxa"/>
              <w:bottom w:w="11" w:type="dxa"/>
              <w:right w:w="57" w:type="dxa"/>
            </w:tcMar>
          </w:tcPr>
          <w:p w14:paraId="75437D6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25" w:type="dxa"/>
            <w:tcMar>
              <w:top w:w="11" w:type="dxa"/>
              <w:left w:w="57" w:type="dxa"/>
              <w:bottom w:w="11" w:type="dxa"/>
              <w:right w:w="57" w:type="dxa"/>
            </w:tcMar>
          </w:tcPr>
          <w:p w14:paraId="392E628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25" w:type="dxa"/>
            <w:tcMar>
              <w:top w:w="11" w:type="dxa"/>
              <w:left w:w="57" w:type="dxa"/>
              <w:bottom w:w="11" w:type="dxa"/>
              <w:right w:w="57" w:type="dxa"/>
            </w:tcMar>
          </w:tcPr>
          <w:p w14:paraId="4386E9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64" w:type="dxa"/>
            <w:tcMar>
              <w:top w:w="11" w:type="dxa"/>
              <w:left w:w="57" w:type="dxa"/>
              <w:bottom w:w="11" w:type="dxa"/>
              <w:right w:w="57" w:type="dxa"/>
            </w:tcMar>
          </w:tcPr>
          <w:p w14:paraId="29B200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85" w:type="dxa"/>
            <w:tcMar>
              <w:top w:w="11" w:type="dxa"/>
              <w:left w:w="57" w:type="dxa"/>
              <w:bottom w:w="11" w:type="dxa"/>
              <w:right w:w="57" w:type="dxa"/>
            </w:tcMar>
          </w:tcPr>
          <w:p w14:paraId="2CD959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6E3F4339" w14:textId="77777777" w:rsidTr="00CE19B2">
        <w:trPr>
          <w:trHeight w:val="226"/>
        </w:trPr>
        <w:tc>
          <w:tcPr>
            <w:tcW w:w="3143" w:type="dxa"/>
            <w:tcMar>
              <w:top w:w="11" w:type="dxa"/>
              <w:left w:w="57" w:type="dxa"/>
              <w:bottom w:w="11" w:type="dxa"/>
              <w:right w:w="57" w:type="dxa"/>
            </w:tcMar>
          </w:tcPr>
          <w:p w14:paraId="20F63706" w14:textId="1E7C3121"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625" w:name="XMETag_aee2bd98ff814013849d9de804333b1c" w:colFirst="1" w:colLast="1"/>
            <w:bookmarkStart w:id="626" w:name="XMETag_8ff11868584448e7bf50a263ca0120af" w:colFirst="2" w:colLast="2"/>
            <w:bookmarkStart w:id="627" w:name="XMETag_da4e2c67e7e24cada3d79a75130f75a5" w:colFirst="3" w:colLast="3"/>
            <w:bookmarkStart w:id="628" w:name="XMETag_fbe80c2319b341f68a1828100c792c4f" w:colFirst="4" w:colLast="4"/>
            <w:bookmarkStart w:id="629" w:name="XMETag_52effb5d7e5046d2b232666465e08fde" w:colFirst="5" w:colLast="5"/>
            <w:bookmarkStart w:id="630" w:name="XMETag_05be2116049948f58858bdae10ffdc17" w:colFirst="6" w:colLast="6"/>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984" w:type="dxa"/>
            <w:tcMar>
              <w:top w:w="11" w:type="dxa"/>
              <w:left w:w="57" w:type="dxa"/>
              <w:bottom w:w="11" w:type="dxa"/>
              <w:right w:w="57" w:type="dxa"/>
            </w:tcMar>
          </w:tcPr>
          <w:p w14:paraId="20A9AF4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28.2</w:t>
            </w:r>
          </w:p>
        </w:tc>
        <w:tc>
          <w:tcPr>
            <w:tcW w:w="1407" w:type="dxa"/>
            <w:tcMar>
              <w:top w:w="11" w:type="dxa"/>
              <w:left w:w="57" w:type="dxa"/>
              <w:bottom w:w="11" w:type="dxa"/>
              <w:right w:w="57" w:type="dxa"/>
            </w:tcMar>
          </w:tcPr>
          <w:p w14:paraId="28B534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404.1</w:t>
            </w:r>
          </w:p>
        </w:tc>
        <w:tc>
          <w:tcPr>
            <w:tcW w:w="1125" w:type="dxa"/>
            <w:tcMar>
              <w:top w:w="11" w:type="dxa"/>
              <w:left w:w="57" w:type="dxa"/>
              <w:bottom w:w="11" w:type="dxa"/>
              <w:right w:w="57" w:type="dxa"/>
            </w:tcMar>
          </w:tcPr>
          <w:p w14:paraId="4AB723F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341.0</w:t>
            </w:r>
          </w:p>
        </w:tc>
        <w:tc>
          <w:tcPr>
            <w:tcW w:w="1125" w:type="dxa"/>
            <w:tcMar>
              <w:top w:w="11" w:type="dxa"/>
              <w:left w:w="57" w:type="dxa"/>
              <w:bottom w:w="11" w:type="dxa"/>
              <w:right w:w="57" w:type="dxa"/>
            </w:tcMar>
          </w:tcPr>
          <w:p w14:paraId="6EEB9AD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1,534.5</w:t>
            </w:r>
          </w:p>
        </w:tc>
        <w:tc>
          <w:tcPr>
            <w:tcW w:w="1264" w:type="dxa"/>
            <w:tcMar>
              <w:top w:w="11" w:type="dxa"/>
              <w:left w:w="57" w:type="dxa"/>
              <w:bottom w:w="11" w:type="dxa"/>
              <w:right w:w="57" w:type="dxa"/>
            </w:tcMar>
          </w:tcPr>
          <w:p w14:paraId="5FA0EBD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85" w:type="dxa"/>
            <w:tcMar>
              <w:top w:w="11" w:type="dxa"/>
              <w:left w:w="57" w:type="dxa"/>
              <w:bottom w:w="11" w:type="dxa"/>
              <w:right w:w="57" w:type="dxa"/>
            </w:tcMar>
          </w:tcPr>
          <w:p w14:paraId="3B84BC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2,307.8</w:t>
            </w:r>
          </w:p>
        </w:tc>
      </w:tr>
      <w:tr w:rsidR="00646F4F" w:rsidRPr="00735726" w14:paraId="5BD5DDFD" w14:textId="77777777" w:rsidTr="00CE19B2">
        <w:trPr>
          <w:trHeight w:val="226"/>
        </w:trPr>
        <w:tc>
          <w:tcPr>
            <w:tcW w:w="3143" w:type="dxa"/>
            <w:tcMar>
              <w:top w:w="11" w:type="dxa"/>
              <w:left w:w="57" w:type="dxa"/>
              <w:bottom w:w="11" w:type="dxa"/>
              <w:right w:w="57" w:type="dxa"/>
            </w:tcMar>
          </w:tcPr>
          <w:p w14:paraId="0C02D6A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631" w:name="XMETag_6402ec5f72194445bd483b21f2839959" w:colFirst="1" w:colLast="1"/>
            <w:bookmarkStart w:id="632" w:name="XMETag_edfa6e5f9a6c4705976e51d7f24f22ed" w:colFirst="2" w:colLast="2"/>
            <w:bookmarkStart w:id="633" w:name="XMETag_8269667279384ca6a3a885dd0b505d83" w:colFirst="3" w:colLast="3"/>
            <w:bookmarkStart w:id="634" w:name="XMETag_22d4d358eba74d04b958dde49b1c5569" w:colFirst="4" w:colLast="4"/>
            <w:bookmarkStart w:id="635" w:name="XMETag_ce559894a4ae4ca3b5f04ab7cda00dfe" w:colFirst="5" w:colLast="5"/>
            <w:bookmarkStart w:id="636" w:name="XMETag_18517b4455634e85ac5ae21aaa8578c2" w:colFirst="6" w:colLast="6"/>
            <w:bookmarkEnd w:id="625"/>
            <w:bookmarkEnd w:id="626"/>
            <w:bookmarkEnd w:id="627"/>
            <w:bookmarkEnd w:id="628"/>
            <w:bookmarkEnd w:id="629"/>
            <w:bookmarkEnd w:id="630"/>
            <w:r w:rsidRPr="00735726">
              <w:rPr>
                <w:rFonts w:ascii="Arial" w:eastAsia="Times New Roman" w:hAnsi="Arial" w:cs="DINOT-Light"/>
                <w:color w:val="000000"/>
                <w:sz w:val="18"/>
                <w:szCs w:val="18"/>
              </w:rPr>
              <w:t>Charge for year</w:t>
            </w:r>
          </w:p>
        </w:tc>
        <w:tc>
          <w:tcPr>
            <w:tcW w:w="984" w:type="dxa"/>
            <w:tcMar>
              <w:top w:w="11" w:type="dxa"/>
              <w:left w:w="57" w:type="dxa"/>
              <w:bottom w:w="11" w:type="dxa"/>
              <w:right w:w="57" w:type="dxa"/>
            </w:tcMar>
          </w:tcPr>
          <w:p w14:paraId="63F24C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w:t>
            </w:r>
          </w:p>
        </w:tc>
        <w:tc>
          <w:tcPr>
            <w:tcW w:w="1407" w:type="dxa"/>
            <w:tcMar>
              <w:top w:w="11" w:type="dxa"/>
              <w:left w:w="57" w:type="dxa"/>
              <w:bottom w:w="11" w:type="dxa"/>
              <w:right w:w="57" w:type="dxa"/>
            </w:tcMar>
          </w:tcPr>
          <w:p w14:paraId="6178C61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41.2</w:t>
            </w:r>
          </w:p>
        </w:tc>
        <w:tc>
          <w:tcPr>
            <w:tcW w:w="1125" w:type="dxa"/>
            <w:tcMar>
              <w:top w:w="11" w:type="dxa"/>
              <w:left w:w="57" w:type="dxa"/>
              <w:bottom w:w="11" w:type="dxa"/>
              <w:right w:w="57" w:type="dxa"/>
            </w:tcMar>
          </w:tcPr>
          <w:p w14:paraId="715418A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21.4</w:t>
            </w:r>
          </w:p>
        </w:tc>
        <w:tc>
          <w:tcPr>
            <w:tcW w:w="1125" w:type="dxa"/>
            <w:tcMar>
              <w:top w:w="11" w:type="dxa"/>
              <w:left w:w="57" w:type="dxa"/>
              <w:bottom w:w="11" w:type="dxa"/>
              <w:right w:w="57" w:type="dxa"/>
            </w:tcMar>
          </w:tcPr>
          <w:p w14:paraId="42419BC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103.3</w:t>
            </w:r>
          </w:p>
        </w:tc>
        <w:tc>
          <w:tcPr>
            <w:tcW w:w="1264" w:type="dxa"/>
            <w:tcMar>
              <w:top w:w="11" w:type="dxa"/>
              <w:left w:w="57" w:type="dxa"/>
              <w:bottom w:w="11" w:type="dxa"/>
              <w:right w:w="57" w:type="dxa"/>
            </w:tcMar>
          </w:tcPr>
          <w:p w14:paraId="6A01D94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85" w:type="dxa"/>
            <w:tcMar>
              <w:top w:w="11" w:type="dxa"/>
              <w:left w:w="57" w:type="dxa"/>
              <w:bottom w:w="11" w:type="dxa"/>
              <w:right w:w="57" w:type="dxa"/>
            </w:tcMar>
          </w:tcPr>
          <w:p w14:paraId="63F8D37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169.8</w:t>
            </w:r>
          </w:p>
        </w:tc>
      </w:tr>
      <w:tr w:rsidR="00646F4F" w:rsidRPr="00735726" w14:paraId="6FA7BB35" w14:textId="77777777" w:rsidTr="00CE19B2">
        <w:trPr>
          <w:trHeight w:val="226"/>
        </w:trPr>
        <w:tc>
          <w:tcPr>
            <w:tcW w:w="3143" w:type="dxa"/>
            <w:tcMar>
              <w:top w:w="11" w:type="dxa"/>
              <w:left w:w="57" w:type="dxa"/>
              <w:bottom w:w="11" w:type="dxa"/>
              <w:right w:w="57" w:type="dxa"/>
            </w:tcMar>
          </w:tcPr>
          <w:p w14:paraId="36B2179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637" w:name="XMETag_98c39c0f28864c0cb6e1ec98b699a7f2" w:colFirst="1" w:colLast="1"/>
            <w:bookmarkStart w:id="638" w:name="XMETag_4b3b63d349f9419cad64c82ab371a67b" w:colFirst="2" w:colLast="2"/>
            <w:bookmarkStart w:id="639" w:name="XMETag_3494d456296f45418820b8406bf12baa" w:colFirst="3" w:colLast="3"/>
            <w:bookmarkStart w:id="640" w:name="XMETag_9aa8d6c4e30447e3b531da9104f19a6e" w:colFirst="4" w:colLast="4"/>
            <w:bookmarkStart w:id="641" w:name="XMETag_f98ffda493654c58a24934897d55e4d5" w:colFirst="5" w:colLast="5"/>
            <w:bookmarkStart w:id="642" w:name="XMETag_a3600a105d504e2f8a5707b512bf60a4" w:colFirst="6" w:colLast="6"/>
            <w:bookmarkEnd w:id="631"/>
            <w:bookmarkEnd w:id="632"/>
            <w:bookmarkEnd w:id="633"/>
            <w:bookmarkEnd w:id="634"/>
            <w:bookmarkEnd w:id="635"/>
            <w:bookmarkEnd w:id="636"/>
            <w:r w:rsidRPr="00735726">
              <w:rPr>
                <w:rFonts w:ascii="Arial" w:eastAsia="Times New Roman" w:hAnsi="Arial" w:cs="DINOT-Light"/>
                <w:color w:val="000000"/>
                <w:sz w:val="18"/>
                <w:szCs w:val="18"/>
              </w:rPr>
              <w:t>Disposals</w:t>
            </w:r>
          </w:p>
        </w:tc>
        <w:tc>
          <w:tcPr>
            <w:tcW w:w="984" w:type="dxa"/>
            <w:tcMar>
              <w:top w:w="11" w:type="dxa"/>
              <w:left w:w="57" w:type="dxa"/>
              <w:bottom w:w="11" w:type="dxa"/>
              <w:right w:w="57" w:type="dxa"/>
            </w:tcMar>
          </w:tcPr>
          <w:p w14:paraId="6940C0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07" w:type="dxa"/>
            <w:tcMar>
              <w:top w:w="11" w:type="dxa"/>
              <w:left w:w="57" w:type="dxa"/>
              <w:bottom w:w="11" w:type="dxa"/>
              <w:right w:w="57" w:type="dxa"/>
            </w:tcMar>
          </w:tcPr>
          <w:p w14:paraId="742C49C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c>
          <w:tcPr>
            <w:tcW w:w="1125" w:type="dxa"/>
            <w:tcMar>
              <w:top w:w="11" w:type="dxa"/>
              <w:left w:w="57" w:type="dxa"/>
              <w:bottom w:w="11" w:type="dxa"/>
              <w:right w:w="57" w:type="dxa"/>
            </w:tcMar>
          </w:tcPr>
          <w:p w14:paraId="6216E8C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(0.9)</w:t>
            </w:r>
          </w:p>
        </w:tc>
        <w:tc>
          <w:tcPr>
            <w:tcW w:w="1125" w:type="dxa"/>
            <w:tcMar>
              <w:top w:w="11" w:type="dxa"/>
              <w:left w:w="57" w:type="dxa"/>
              <w:bottom w:w="11" w:type="dxa"/>
              <w:right w:w="57" w:type="dxa"/>
            </w:tcMar>
          </w:tcPr>
          <w:p w14:paraId="23EBF40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(13.6)</w:t>
            </w:r>
          </w:p>
        </w:tc>
        <w:tc>
          <w:tcPr>
            <w:tcW w:w="1264" w:type="dxa"/>
            <w:tcMar>
              <w:top w:w="11" w:type="dxa"/>
              <w:left w:w="57" w:type="dxa"/>
              <w:bottom w:w="11" w:type="dxa"/>
              <w:right w:w="57" w:type="dxa"/>
            </w:tcMar>
          </w:tcPr>
          <w:p w14:paraId="2DFD881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85" w:type="dxa"/>
            <w:tcMar>
              <w:top w:w="11" w:type="dxa"/>
              <w:left w:w="57" w:type="dxa"/>
              <w:bottom w:w="11" w:type="dxa"/>
              <w:right w:w="57" w:type="dxa"/>
            </w:tcMar>
          </w:tcPr>
          <w:p w14:paraId="725987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(16.1)</w:t>
            </w:r>
          </w:p>
        </w:tc>
      </w:tr>
      <w:tr w:rsidR="00646F4F" w:rsidRPr="00735726" w14:paraId="6E2865D7" w14:textId="77777777" w:rsidTr="00277639">
        <w:trPr>
          <w:trHeight w:val="226"/>
        </w:trPr>
        <w:tc>
          <w:tcPr>
            <w:tcW w:w="3143" w:type="dxa"/>
            <w:tcMar>
              <w:top w:w="11" w:type="dxa"/>
              <w:left w:w="57" w:type="dxa"/>
              <w:bottom w:w="11" w:type="dxa"/>
              <w:right w:w="57" w:type="dxa"/>
            </w:tcMar>
          </w:tcPr>
          <w:p w14:paraId="10C5C96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Transfers/reclassifications</w:t>
            </w:r>
          </w:p>
        </w:tc>
        <w:tc>
          <w:tcPr>
            <w:tcW w:w="984" w:type="dxa"/>
            <w:tcBorders>
              <w:bottom w:val="single" w:sz="4" w:space="0" w:color="auto"/>
            </w:tcBorders>
            <w:tcMar>
              <w:top w:w="11" w:type="dxa"/>
              <w:left w:w="57" w:type="dxa"/>
              <w:bottom w:w="11" w:type="dxa"/>
              <w:right w:w="57" w:type="dxa"/>
            </w:tcMar>
          </w:tcPr>
          <w:p w14:paraId="0ECB621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07" w:type="dxa"/>
            <w:tcBorders>
              <w:bottom w:val="single" w:sz="4" w:space="0" w:color="auto"/>
            </w:tcBorders>
            <w:tcMar>
              <w:top w:w="11" w:type="dxa"/>
              <w:left w:w="57" w:type="dxa"/>
              <w:bottom w:w="11" w:type="dxa"/>
              <w:right w:w="57" w:type="dxa"/>
            </w:tcMar>
          </w:tcPr>
          <w:p w14:paraId="2B7EA34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25" w:type="dxa"/>
            <w:tcBorders>
              <w:bottom w:val="single" w:sz="4" w:space="0" w:color="auto"/>
            </w:tcBorders>
            <w:tcMar>
              <w:top w:w="11" w:type="dxa"/>
              <w:left w:w="57" w:type="dxa"/>
              <w:bottom w:w="11" w:type="dxa"/>
              <w:right w:w="57" w:type="dxa"/>
            </w:tcMar>
          </w:tcPr>
          <w:p w14:paraId="344AF1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0.9</w:t>
            </w:r>
          </w:p>
        </w:tc>
        <w:tc>
          <w:tcPr>
            <w:tcW w:w="1125" w:type="dxa"/>
            <w:tcBorders>
              <w:bottom w:val="single" w:sz="4" w:space="0" w:color="auto"/>
            </w:tcBorders>
            <w:tcMar>
              <w:top w:w="11" w:type="dxa"/>
              <w:left w:w="57" w:type="dxa"/>
              <w:bottom w:w="11" w:type="dxa"/>
              <w:right w:w="57" w:type="dxa"/>
            </w:tcMar>
          </w:tcPr>
          <w:p w14:paraId="3A18D3C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w:t>
            </w:r>
          </w:p>
        </w:tc>
        <w:tc>
          <w:tcPr>
            <w:tcW w:w="1264" w:type="dxa"/>
            <w:tcBorders>
              <w:bottom w:val="single" w:sz="4" w:space="0" w:color="auto"/>
            </w:tcBorders>
            <w:tcMar>
              <w:top w:w="11" w:type="dxa"/>
              <w:left w:w="57" w:type="dxa"/>
              <w:bottom w:w="11" w:type="dxa"/>
              <w:right w:w="57" w:type="dxa"/>
            </w:tcMar>
          </w:tcPr>
          <w:p w14:paraId="658105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w:t>
            </w:r>
          </w:p>
        </w:tc>
        <w:tc>
          <w:tcPr>
            <w:tcW w:w="985" w:type="dxa"/>
            <w:tcBorders>
              <w:bottom w:val="single" w:sz="4" w:space="0" w:color="auto"/>
            </w:tcBorders>
            <w:tcMar>
              <w:top w:w="11" w:type="dxa"/>
              <w:left w:w="57" w:type="dxa"/>
              <w:bottom w:w="11" w:type="dxa"/>
              <w:right w:w="57" w:type="dxa"/>
            </w:tcMar>
          </w:tcPr>
          <w:p w14:paraId="21BD17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w:t>
            </w:r>
          </w:p>
        </w:tc>
      </w:tr>
      <w:tr w:rsidR="00646F4F" w:rsidRPr="00735726" w14:paraId="4A47C79F" w14:textId="77777777" w:rsidTr="00277639">
        <w:trPr>
          <w:trHeight w:val="226"/>
        </w:trPr>
        <w:tc>
          <w:tcPr>
            <w:tcW w:w="3143" w:type="dxa"/>
            <w:tcMar>
              <w:top w:w="11" w:type="dxa"/>
              <w:left w:w="57" w:type="dxa"/>
              <w:bottom w:w="11" w:type="dxa"/>
              <w:right w:w="57" w:type="dxa"/>
            </w:tcMar>
          </w:tcPr>
          <w:p w14:paraId="1ED7D93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643" w:name="XMETag_a53d0979a8af4af6878149e2ea0a3b59" w:colFirst="1" w:colLast="1"/>
            <w:bookmarkStart w:id="644" w:name="XMETag_8bd4834b4217454eadf553ff406c3968" w:colFirst="2" w:colLast="2"/>
            <w:bookmarkStart w:id="645" w:name="XMETag_19e89501f84346c0ad3a2564a47240fd" w:colFirst="3" w:colLast="3"/>
            <w:bookmarkStart w:id="646" w:name="XMETag_4c4ab630a8bf4c43a1f48e204697af15" w:colFirst="4" w:colLast="4"/>
            <w:bookmarkStart w:id="647" w:name="XMETag_c348f5a1a7874505af434cf8fb434735" w:colFirst="5" w:colLast="5"/>
            <w:bookmarkStart w:id="648" w:name="XMETag_81cb1ccb72a441eab77d363a7e3308f6" w:colFirst="6" w:colLast="6"/>
            <w:bookmarkEnd w:id="637"/>
            <w:bookmarkEnd w:id="638"/>
            <w:bookmarkEnd w:id="639"/>
            <w:bookmarkEnd w:id="640"/>
            <w:bookmarkEnd w:id="641"/>
            <w:bookmarkEnd w:id="642"/>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984" w:type="dxa"/>
            <w:tcBorders>
              <w:top w:val="single" w:sz="4" w:space="0" w:color="auto"/>
              <w:bottom w:val="single" w:sz="4" w:space="0" w:color="auto"/>
            </w:tcBorders>
            <w:tcMar>
              <w:top w:w="11" w:type="dxa"/>
              <w:left w:w="57" w:type="dxa"/>
              <w:bottom w:w="11" w:type="dxa"/>
              <w:right w:w="57" w:type="dxa"/>
            </w:tcMar>
          </w:tcPr>
          <w:p w14:paraId="59B4492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32.1</w:t>
            </w:r>
          </w:p>
        </w:tc>
        <w:tc>
          <w:tcPr>
            <w:tcW w:w="1407" w:type="dxa"/>
            <w:tcBorders>
              <w:top w:val="single" w:sz="4" w:space="0" w:color="auto"/>
              <w:bottom w:val="single" w:sz="4" w:space="0" w:color="auto"/>
            </w:tcBorders>
            <w:tcMar>
              <w:top w:w="11" w:type="dxa"/>
              <w:left w:w="57" w:type="dxa"/>
              <w:bottom w:w="11" w:type="dxa"/>
              <w:right w:w="57" w:type="dxa"/>
            </w:tcMar>
          </w:tcPr>
          <w:p w14:paraId="7468206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443.7</w:t>
            </w:r>
          </w:p>
        </w:tc>
        <w:tc>
          <w:tcPr>
            <w:tcW w:w="1125" w:type="dxa"/>
            <w:tcBorders>
              <w:top w:val="single" w:sz="4" w:space="0" w:color="auto"/>
              <w:bottom w:val="single" w:sz="4" w:space="0" w:color="auto"/>
            </w:tcBorders>
            <w:tcMar>
              <w:top w:w="11" w:type="dxa"/>
              <w:left w:w="57" w:type="dxa"/>
              <w:bottom w:w="11" w:type="dxa"/>
              <w:right w:w="57" w:type="dxa"/>
            </w:tcMar>
          </w:tcPr>
          <w:p w14:paraId="59B0268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362.4</w:t>
            </w:r>
          </w:p>
        </w:tc>
        <w:tc>
          <w:tcPr>
            <w:tcW w:w="1125" w:type="dxa"/>
            <w:tcBorders>
              <w:top w:val="single" w:sz="4" w:space="0" w:color="auto"/>
              <w:bottom w:val="single" w:sz="4" w:space="0" w:color="auto"/>
            </w:tcBorders>
            <w:tcMar>
              <w:top w:w="11" w:type="dxa"/>
              <w:left w:w="57" w:type="dxa"/>
              <w:bottom w:w="11" w:type="dxa"/>
              <w:right w:w="57" w:type="dxa"/>
            </w:tcMar>
          </w:tcPr>
          <w:p w14:paraId="55C3B0E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1,626.0</w:t>
            </w:r>
          </w:p>
        </w:tc>
        <w:tc>
          <w:tcPr>
            <w:tcW w:w="1264" w:type="dxa"/>
            <w:tcBorders>
              <w:top w:val="single" w:sz="4" w:space="0" w:color="auto"/>
              <w:bottom w:val="single" w:sz="4" w:space="0" w:color="auto"/>
            </w:tcBorders>
            <w:tcMar>
              <w:top w:w="11" w:type="dxa"/>
              <w:left w:w="57" w:type="dxa"/>
              <w:bottom w:w="11" w:type="dxa"/>
              <w:right w:w="57" w:type="dxa"/>
            </w:tcMar>
          </w:tcPr>
          <w:p w14:paraId="4F67A62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w:t>
            </w:r>
          </w:p>
        </w:tc>
        <w:tc>
          <w:tcPr>
            <w:tcW w:w="985" w:type="dxa"/>
            <w:tcBorders>
              <w:top w:val="single" w:sz="4" w:space="0" w:color="auto"/>
              <w:bottom w:val="single" w:sz="4" w:space="0" w:color="auto"/>
            </w:tcBorders>
            <w:tcMar>
              <w:top w:w="11" w:type="dxa"/>
              <w:left w:w="57" w:type="dxa"/>
              <w:bottom w:w="11" w:type="dxa"/>
              <w:right w:w="57" w:type="dxa"/>
            </w:tcMar>
          </w:tcPr>
          <w:p w14:paraId="565D09A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2,465.6</w:t>
            </w:r>
          </w:p>
        </w:tc>
      </w:tr>
      <w:tr w:rsidR="00646F4F" w:rsidRPr="00735726" w14:paraId="7CD7B464" w14:textId="77777777" w:rsidTr="00277639">
        <w:trPr>
          <w:trHeight w:val="226"/>
        </w:trPr>
        <w:tc>
          <w:tcPr>
            <w:tcW w:w="3143" w:type="dxa"/>
            <w:tcMar>
              <w:top w:w="11" w:type="dxa"/>
              <w:left w:w="57" w:type="dxa"/>
              <w:bottom w:w="11" w:type="dxa"/>
              <w:right w:w="57" w:type="dxa"/>
            </w:tcMar>
          </w:tcPr>
          <w:p w14:paraId="3EC1FFF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649" w:name="XMETag_8f6e817b318245bb905b4921d885aa68" w:colFirst="1" w:colLast="1"/>
            <w:bookmarkStart w:id="650" w:name="XMETag_a193a61a76ca4946a89a9fb3acd10a6c" w:colFirst="2" w:colLast="2"/>
            <w:bookmarkStart w:id="651" w:name="XMETag_7744040fc4d24197be1cc54ab7437c0b" w:colFirst="3" w:colLast="3"/>
            <w:bookmarkStart w:id="652" w:name="XMETag_59e297d759f44905b080a2647f831d6c" w:colFirst="4" w:colLast="4"/>
            <w:bookmarkStart w:id="653" w:name="XMETag_2b2ec03466ad41ce9016c5978a83618d" w:colFirst="5" w:colLast="5"/>
            <w:bookmarkStart w:id="654" w:name="XMETag_338a5a61de334be4adb833cc6ef53dd0" w:colFirst="6" w:colLast="6"/>
            <w:bookmarkEnd w:id="643"/>
            <w:bookmarkEnd w:id="644"/>
            <w:bookmarkEnd w:id="645"/>
            <w:bookmarkEnd w:id="646"/>
            <w:bookmarkEnd w:id="647"/>
            <w:bookmarkEnd w:id="648"/>
            <w:r w:rsidRPr="00735726">
              <w:rPr>
                <w:rFonts w:ascii="Arial" w:eastAsia="Times New Roman" w:hAnsi="Arial" w:cs="DINOT-Light"/>
                <w:color w:val="000000"/>
                <w:sz w:val="18"/>
                <w:szCs w:val="18"/>
              </w:rPr>
              <w:t>Charge for year</w:t>
            </w:r>
          </w:p>
        </w:tc>
        <w:tc>
          <w:tcPr>
            <w:tcW w:w="984" w:type="dxa"/>
            <w:tcBorders>
              <w:top w:val="single" w:sz="4" w:space="0" w:color="auto"/>
            </w:tcBorders>
            <w:tcMar>
              <w:top w:w="11" w:type="dxa"/>
              <w:left w:w="57" w:type="dxa"/>
              <w:bottom w:w="11" w:type="dxa"/>
              <w:right w:w="57" w:type="dxa"/>
            </w:tcMar>
          </w:tcPr>
          <w:p w14:paraId="3384B0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w:t>
            </w:r>
          </w:p>
        </w:tc>
        <w:tc>
          <w:tcPr>
            <w:tcW w:w="1407" w:type="dxa"/>
            <w:tcBorders>
              <w:top w:val="single" w:sz="4" w:space="0" w:color="auto"/>
            </w:tcBorders>
            <w:tcMar>
              <w:top w:w="11" w:type="dxa"/>
              <w:left w:w="57" w:type="dxa"/>
              <w:bottom w:w="11" w:type="dxa"/>
              <w:right w:w="57" w:type="dxa"/>
            </w:tcMar>
          </w:tcPr>
          <w:p w14:paraId="0484F91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44.9</w:t>
            </w:r>
          </w:p>
        </w:tc>
        <w:tc>
          <w:tcPr>
            <w:tcW w:w="1125" w:type="dxa"/>
            <w:tcBorders>
              <w:top w:val="single" w:sz="4" w:space="0" w:color="auto"/>
            </w:tcBorders>
            <w:tcMar>
              <w:top w:w="11" w:type="dxa"/>
              <w:left w:w="57" w:type="dxa"/>
              <w:bottom w:w="11" w:type="dxa"/>
              <w:right w:w="57" w:type="dxa"/>
            </w:tcMar>
          </w:tcPr>
          <w:p w14:paraId="7C541A7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21.7</w:t>
            </w:r>
          </w:p>
        </w:tc>
        <w:tc>
          <w:tcPr>
            <w:tcW w:w="1125" w:type="dxa"/>
            <w:tcBorders>
              <w:top w:val="single" w:sz="4" w:space="0" w:color="auto"/>
            </w:tcBorders>
            <w:tcMar>
              <w:top w:w="11" w:type="dxa"/>
              <w:left w:w="57" w:type="dxa"/>
              <w:bottom w:w="11" w:type="dxa"/>
              <w:right w:w="57" w:type="dxa"/>
            </w:tcMar>
          </w:tcPr>
          <w:p w14:paraId="4188AC9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102.5</w:t>
            </w:r>
          </w:p>
        </w:tc>
        <w:tc>
          <w:tcPr>
            <w:tcW w:w="1264" w:type="dxa"/>
            <w:tcBorders>
              <w:top w:val="single" w:sz="4" w:space="0" w:color="auto"/>
            </w:tcBorders>
            <w:tcMar>
              <w:top w:w="11" w:type="dxa"/>
              <w:left w:w="57" w:type="dxa"/>
              <w:bottom w:w="11" w:type="dxa"/>
              <w:right w:w="57" w:type="dxa"/>
            </w:tcMar>
          </w:tcPr>
          <w:p w14:paraId="3351D07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85" w:type="dxa"/>
            <w:tcBorders>
              <w:top w:val="single" w:sz="4" w:space="0" w:color="auto"/>
            </w:tcBorders>
            <w:tcMar>
              <w:top w:w="11" w:type="dxa"/>
              <w:left w:w="57" w:type="dxa"/>
              <w:bottom w:w="11" w:type="dxa"/>
              <w:right w:w="57" w:type="dxa"/>
            </w:tcMar>
          </w:tcPr>
          <w:p w14:paraId="64B7DE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173.0</w:t>
            </w:r>
          </w:p>
        </w:tc>
      </w:tr>
      <w:tr w:rsidR="00646F4F" w:rsidRPr="00735726" w14:paraId="02A74BD2" w14:textId="77777777" w:rsidTr="00CE19B2">
        <w:trPr>
          <w:trHeight w:val="226"/>
        </w:trPr>
        <w:tc>
          <w:tcPr>
            <w:tcW w:w="3143" w:type="dxa"/>
            <w:tcMar>
              <w:top w:w="11" w:type="dxa"/>
              <w:left w:w="57" w:type="dxa"/>
              <w:bottom w:w="11" w:type="dxa"/>
              <w:right w:w="57" w:type="dxa"/>
            </w:tcMar>
          </w:tcPr>
          <w:p w14:paraId="7A3055A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655" w:name="XMETag_a642f8868fd9437bb3c3cb83a96e4fa7" w:colFirst="1" w:colLast="1"/>
            <w:bookmarkStart w:id="656" w:name="XMETag_546301f78e5d4c2991d7a8d123f73474" w:colFirst="2" w:colLast="2"/>
            <w:bookmarkStart w:id="657" w:name="XMETag_2acfd84ee22f4b2484cf72f4849a9b19" w:colFirst="3" w:colLast="3"/>
            <w:bookmarkStart w:id="658" w:name="XMETag_42398c44aa6a49b29eef5f189654489d" w:colFirst="4" w:colLast="4"/>
            <w:bookmarkStart w:id="659" w:name="XMETag_ab34bb0718d14e31869ea1b961ac0757" w:colFirst="5" w:colLast="5"/>
            <w:bookmarkStart w:id="660" w:name="XMETag_08fdfbf15ed54be3851521ab24ea518a" w:colFirst="6" w:colLast="6"/>
            <w:bookmarkEnd w:id="649"/>
            <w:bookmarkEnd w:id="650"/>
            <w:bookmarkEnd w:id="651"/>
            <w:bookmarkEnd w:id="652"/>
            <w:bookmarkEnd w:id="653"/>
            <w:bookmarkEnd w:id="654"/>
            <w:r w:rsidRPr="00735726">
              <w:rPr>
                <w:rFonts w:ascii="Arial" w:eastAsia="Times New Roman" w:hAnsi="Arial" w:cs="DINOT-Light"/>
                <w:color w:val="000000"/>
                <w:sz w:val="18"/>
                <w:szCs w:val="18"/>
              </w:rPr>
              <w:t>Disposals</w:t>
            </w:r>
          </w:p>
        </w:tc>
        <w:tc>
          <w:tcPr>
            <w:tcW w:w="984" w:type="dxa"/>
            <w:tcMar>
              <w:top w:w="11" w:type="dxa"/>
              <w:left w:w="57" w:type="dxa"/>
              <w:bottom w:w="11" w:type="dxa"/>
              <w:right w:w="57" w:type="dxa"/>
            </w:tcMar>
          </w:tcPr>
          <w:p w14:paraId="2B5345F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07" w:type="dxa"/>
            <w:tcMar>
              <w:top w:w="11" w:type="dxa"/>
              <w:left w:w="57" w:type="dxa"/>
              <w:bottom w:w="11" w:type="dxa"/>
              <w:right w:w="57" w:type="dxa"/>
            </w:tcMar>
          </w:tcPr>
          <w:p w14:paraId="34B085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25" w:type="dxa"/>
            <w:tcMar>
              <w:top w:w="11" w:type="dxa"/>
              <w:left w:w="57" w:type="dxa"/>
              <w:bottom w:w="11" w:type="dxa"/>
              <w:right w:w="57" w:type="dxa"/>
            </w:tcMar>
          </w:tcPr>
          <w:p w14:paraId="72F7A4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(0.4)</w:t>
            </w:r>
          </w:p>
        </w:tc>
        <w:tc>
          <w:tcPr>
            <w:tcW w:w="1125" w:type="dxa"/>
            <w:tcMar>
              <w:top w:w="11" w:type="dxa"/>
              <w:left w:w="57" w:type="dxa"/>
              <w:bottom w:w="11" w:type="dxa"/>
              <w:right w:w="57" w:type="dxa"/>
            </w:tcMar>
          </w:tcPr>
          <w:p w14:paraId="216EE386" w14:textId="214674AC"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w:t>
            </w:r>
            <w:r w:rsidR="00D121BA" w:rsidRPr="00735726">
              <w:rPr>
                <w:rFonts w:ascii="Arial" w:eastAsia="Times New Roman" w:hAnsi="Arial" w:cs="DINOT-Light"/>
                <w:color w:val="000000"/>
                <w:sz w:val="18"/>
                <w:szCs w:val="18"/>
              </w:rPr>
              <w:t>3</w:t>
            </w:r>
            <w:r w:rsidRPr="00735726">
              <w:rPr>
                <w:rFonts w:ascii="Arial" w:eastAsia="Times New Roman" w:hAnsi="Arial" w:cs="DINOT-Light"/>
                <w:color w:val="000000"/>
                <w:sz w:val="18"/>
                <w:szCs w:val="18"/>
              </w:rPr>
              <w:t>)</w:t>
            </w:r>
          </w:p>
        </w:tc>
        <w:tc>
          <w:tcPr>
            <w:tcW w:w="1264" w:type="dxa"/>
            <w:tcMar>
              <w:top w:w="11" w:type="dxa"/>
              <w:left w:w="57" w:type="dxa"/>
              <w:bottom w:w="11" w:type="dxa"/>
              <w:right w:w="57" w:type="dxa"/>
            </w:tcMar>
          </w:tcPr>
          <w:p w14:paraId="361B4C7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85" w:type="dxa"/>
            <w:tcMar>
              <w:top w:w="11" w:type="dxa"/>
              <w:left w:w="57" w:type="dxa"/>
              <w:bottom w:w="11" w:type="dxa"/>
              <w:right w:w="57" w:type="dxa"/>
            </w:tcMar>
          </w:tcPr>
          <w:p w14:paraId="50525C2F" w14:textId="26F6B8F0"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w:t>
            </w:r>
            <w:r w:rsidR="00D121BA" w:rsidRPr="00735726">
              <w:rPr>
                <w:rFonts w:ascii="Arial" w:eastAsia="Times New Roman" w:hAnsi="Arial" w:cs="DINOT-Light"/>
                <w:color w:val="000000"/>
                <w:sz w:val="18"/>
                <w:szCs w:val="18"/>
              </w:rPr>
              <w:t>7</w:t>
            </w:r>
            <w:r w:rsidRPr="00735726">
              <w:rPr>
                <w:rFonts w:ascii="Arial" w:eastAsia="Times New Roman" w:hAnsi="Arial" w:cs="DINOT-Light"/>
                <w:color w:val="000000"/>
                <w:sz w:val="18"/>
                <w:szCs w:val="18"/>
              </w:rPr>
              <w:t>)</w:t>
            </w:r>
          </w:p>
        </w:tc>
      </w:tr>
      <w:tr w:rsidR="006B6522" w:rsidRPr="00735726" w14:paraId="7C9C30EB" w14:textId="77777777" w:rsidTr="00CE19B2">
        <w:trPr>
          <w:trHeight w:val="226"/>
        </w:trPr>
        <w:tc>
          <w:tcPr>
            <w:tcW w:w="3143" w:type="dxa"/>
            <w:tcMar>
              <w:top w:w="11" w:type="dxa"/>
              <w:left w:w="57" w:type="dxa"/>
              <w:bottom w:w="11" w:type="dxa"/>
              <w:right w:w="57" w:type="dxa"/>
            </w:tcMar>
          </w:tcPr>
          <w:p w14:paraId="02F620E1" w14:textId="2D1BAD9D" w:rsidR="006B6522" w:rsidRPr="00735726" w:rsidRDefault="006B6522" w:rsidP="006B652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Transfers/reclassifications</w:t>
            </w:r>
          </w:p>
        </w:tc>
        <w:tc>
          <w:tcPr>
            <w:tcW w:w="984" w:type="dxa"/>
            <w:tcMar>
              <w:top w:w="11" w:type="dxa"/>
              <w:left w:w="57" w:type="dxa"/>
              <w:bottom w:w="11" w:type="dxa"/>
              <w:right w:w="57" w:type="dxa"/>
            </w:tcMar>
          </w:tcPr>
          <w:p w14:paraId="375817CE" w14:textId="19E02CD7" w:rsidR="006B6522" w:rsidRPr="00735726" w:rsidRDefault="006B6522" w:rsidP="006B652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07" w:type="dxa"/>
            <w:tcMar>
              <w:top w:w="11" w:type="dxa"/>
              <w:left w:w="57" w:type="dxa"/>
              <w:bottom w:w="11" w:type="dxa"/>
              <w:right w:w="57" w:type="dxa"/>
            </w:tcMar>
          </w:tcPr>
          <w:p w14:paraId="4995F8ED" w14:textId="4824EE8D" w:rsidR="006B6522" w:rsidRPr="00735726" w:rsidRDefault="006B6522" w:rsidP="006B652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25" w:type="dxa"/>
            <w:tcMar>
              <w:top w:w="11" w:type="dxa"/>
              <w:left w:w="57" w:type="dxa"/>
              <w:bottom w:w="11" w:type="dxa"/>
              <w:right w:w="57" w:type="dxa"/>
            </w:tcMar>
          </w:tcPr>
          <w:p w14:paraId="197B8AB2" w14:textId="5ED373B2" w:rsidR="006B6522" w:rsidRPr="00735726" w:rsidRDefault="006B6522" w:rsidP="006B652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w:t>
            </w:r>
          </w:p>
        </w:tc>
        <w:tc>
          <w:tcPr>
            <w:tcW w:w="1125" w:type="dxa"/>
            <w:tcMar>
              <w:top w:w="11" w:type="dxa"/>
              <w:left w:w="57" w:type="dxa"/>
              <w:bottom w:w="11" w:type="dxa"/>
              <w:right w:w="57" w:type="dxa"/>
            </w:tcMar>
          </w:tcPr>
          <w:p w14:paraId="3384860A" w14:textId="2FCD084D" w:rsidR="006B6522" w:rsidRPr="00735726" w:rsidRDefault="006B6522" w:rsidP="006B652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0.4</w:t>
            </w:r>
          </w:p>
        </w:tc>
        <w:tc>
          <w:tcPr>
            <w:tcW w:w="1264" w:type="dxa"/>
            <w:tcMar>
              <w:top w:w="11" w:type="dxa"/>
              <w:left w:w="57" w:type="dxa"/>
              <w:bottom w:w="11" w:type="dxa"/>
              <w:right w:w="57" w:type="dxa"/>
            </w:tcMar>
          </w:tcPr>
          <w:p w14:paraId="7E16EA06" w14:textId="6EF98F1D" w:rsidR="006B6522" w:rsidRPr="00735726" w:rsidRDefault="006B6522" w:rsidP="006B652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85" w:type="dxa"/>
            <w:tcMar>
              <w:top w:w="11" w:type="dxa"/>
              <w:left w:w="57" w:type="dxa"/>
              <w:bottom w:w="11" w:type="dxa"/>
              <w:right w:w="57" w:type="dxa"/>
            </w:tcMar>
          </w:tcPr>
          <w:p w14:paraId="501CD174" w14:textId="6371DE02" w:rsidR="006B6522" w:rsidRPr="00735726" w:rsidRDefault="006B6522" w:rsidP="006B652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0.7</w:t>
            </w:r>
          </w:p>
        </w:tc>
      </w:tr>
      <w:tr w:rsidR="00646F4F" w:rsidRPr="00735726" w14:paraId="16D9499E" w14:textId="77777777" w:rsidTr="00CE19B2">
        <w:trPr>
          <w:trHeight w:val="226"/>
        </w:trPr>
        <w:tc>
          <w:tcPr>
            <w:tcW w:w="3143" w:type="dxa"/>
            <w:tcMar>
              <w:top w:w="11" w:type="dxa"/>
              <w:left w:w="57" w:type="dxa"/>
              <w:bottom w:w="11" w:type="dxa"/>
              <w:right w:w="57" w:type="dxa"/>
            </w:tcMar>
          </w:tcPr>
          <w:p w14:paraId="67147B7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661" w:name="XMETag_86c978e9ef144206bcbdff3aadfb61d8" w:colFirst="1" w:colLast="1"/>
            <w:bookmarkStart w:id="662" w:name="XMETag_dc01b5139e4f41e59382b4cc6dffac47" w:colFirst="2" w:colLast="2"/>
            <w:bookmarkStart w:id="663" w:name="XMETag_a98f49dbfbbf4da5ae0c21f9a99f1351" w:colFirst="3" w:colLast="3"/>
            <w:bookmarkStart w:id="664" w:name="XMETag_521209116b7c4cb9bc86a0f85b5f61d4" w:colFirst="4" w:colLast="4"/>
            <w:bookmarkStart w:id="665" w:name="XMETag_eeec11c2ab51431b92e24ca67cb6e56d" w:colFirst="5" w:colLast="5"/>
            <w:bookmarkStart w:id="666" w:name="XMETag_372163855477404290a452b3468ba2a3" w:colFirst="6" w:colLast="6"/>
            <w:bookmarkEnd w:id="655"/>
            <w:bookmarkEnd w:id="656"/>
            <w:bookmarkEnd w:id="657"/>
            <w:bookmarkEnd w:id="658"/>
            <w:bookmarkEnd w:id="659"/>
            <w:bookmarkEnd w:id="660"/>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984" w:type="dxa"/>
            <w:tcBorders>
              <w:top w:val="single" w:sz="4" w:space="0" w:color="auto"/>
              <w:bottom w:val="single" w:sz="4" w:space="0" w:color="auto"/>
            </w:tcBorders>
            <w:tcMar>
              <w:top w:w="11" w:type="dxa"/>
              <w:left w:w="57" w:type="dxa"/>
              <w:bottom w:w="11" w:type="dxa"/>
              <w:right w:w="57" w:type="dxa"/>
            </w:tcMar>
          </w:tcPr>
          <w:p w14:paraId="17D1B6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36.0</w:t>
            </w:r>
          </w:p>
        </w:tc>
        <w:tc>
          <w:tcPr>
            <w:tcW w:w="1407" w:type="dxa"/>
            <w:tcBorders>
              <w:top w:val="single" w:sz="4" w:space="0" w:color="auto"/>
              <w:bottom w:val="single" w:sz="4" w:space="0" w:color="auto"/>
            </w:tcBorders>
            <w:tcMar>
              <w:top w:w="11" w:type="dxa"/>
              <w:left w:w="57" w:type="dxa"/>
              <w:bottom w:w="11" w:type="dxa"/>
              <w:right w:w="57" w:type="dxa"/>
            </w:tcMar>
          </w:tcPr>
          <w:p w14:paraId="6341696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488.6</w:t>
            </w:r>
          </w:p>
        </w:tc>
        <w:tc>
          <w:tcPr>
            <w:tcW w:w="1125" w:type="dxa"/>
            <w:tcBorders>
              <w:top w:val="single" w:sz="4" w:space="0" w:color="auto"/>
              <w:bottom w:val="single" w:sz="4" w:space="0" w:color="auto"/>
            </w:tcBorders>
            <w:tcMar>
              <w:top w:w="11" w:type="dxa"/>
              <w:left w:w="57" w:type="dxa"/>
              <w:bottom w:w="11" w:type="dxa"/>
              <w:right w:w="57" w:type="dxa"/>
            </w:tcMar>
          </w:tcPr>
          <w:p w14:paraId="5F74C6F1" w14:textId="0D062876"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384.0</w:t>
            </w:r>
          </w:p>
        </w:tc>
        <w:tc>
          <w:tcPr>
            <w:tcW w:w="1125" w:type="dxa"/>
            <w:tcBorders>
              <w:top w:val="single" w:sz="4" w:space="0" w:color="auto"/>
              <w:bottom w:val="single" w:sz="4" w:space="0" w:color="auto"/>
            </w:tcBorders>
            <w:tcMar>
              <w:top w:w="11" w:type="dxa"/>
              <w:left w:w="57" w:type="dxa"/>
              <w:bottom w:w="11" w:type="dxa"/>
              <w:right w:w="57" w:type="dxa"/>
            </w:tcMar>
          </w:tcPr>
          <w:p w14:paraId="1E00EC6F" w14:textId="6221897B"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1,727.</w:t>
            </w:r>
            <w:r w:rsidR="00D121BA" w:rsidRPr="00735726">
              <w:rPr>
                <w:rFonts w:ascii="Arial" w:eastAsia="Times New Roman" w:hAnsi="Arial" w:cs="DINOT-Light"/>
                <w:b/>
                <w:bCs/>
                <w:color w:val="000000"/>
                <w:sz w:val="18"/>
                <w:szCs w:val="18"/>
              </w:rPr>
              <w:t>6</w:t>
            </w:r>
          </w:p>
        </w:tc>
        <w:tc>
          <w:tcPr>
            <w:tcW w:w="1264" w:type="dxa"/>
            <w:tcBorders>
              <w:top w:val="single" w:sz="4" w:space="0" w:color="auto"/>
              <w:bottom w:val="single" w:sz="4" w:space="0" w:color="auto"/>
            </w:tcBorders>
            <w:tcMar>
              <w:top w:w="11" w:type="dxa"/>
              <w:left w:w="57" w:type="dxa"/>
              <w:bottom w:w="11" w:type="dxa"/>
              <w:right w:w="57" w:type="dxa"/>
            </w:tcMar>
          </w:tcPr>
          <w:p w14:paraId="247B32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1.4</w:t>
            </w:r>
          </w:p>
        </w:tc>
        <w:tc>
          <w:tcPr>
            <w:tcW w:w="985" w:type="dxa"/>
            <w:tcBorders>
              <w:top w:val="single" w:sz="4" w:space="0" w:color="auto"/>
              <w:bottom w:val="single" w:sz="4" w:space="0" w:color="auto"/>
            </w:tcBorders>
            <w:tcMar>
              <w:top w:w="11" w:type="dxa"/>
              <w:left w:w="57" w:type="dxa"/>
              <w:bottom w:w="11" w:type="dxa"/>
              <w:right w:w="57" w:type="dxa"/>
            </w:tcMar>
          </w:tcPr>
          <w:p w14:paraId="255A5E1D" w14:textId="3BA419A9"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2,637.</w:t>
            </w:r>
            <w:r w:rsidR="00D121BA" w:rsidRPr="00735726">
              <w:rPr>
                <w:rFonts w:ascii="Arial" w:eastAsia="Times New Roman" w:hAnsi="Arial" w:cs="DINOT-Light"/>
                <w:b/>
                <w:bCs/>
                <w:color w:val="000000"/>
                <w:sz w:val="18"/>
                <w:szCs w:val="18"/>
              </w:rPr>
              <w:t>6</w:t>
            </w:r>
          </w:p>
        </w:tc>
      </w:tr>
      <w:bookmarkEnd w:id="661"/>
      <w:bookmarkEnd w:id="662"/>
      <w:bookmarkEnd w:id="663"/>
      <w:bookmarkEnd w:id="664"/>
      <w:bookmarkEnd w:id="665"/>
      <w:bookmarkEnd w:id="666"/>
      <w:tr w:rsidR="00646F4F" w:rsidRPr="00735726" w14:paraId="492F82A0" w14:textId="77777777" w:rsidTr="00CE19B2">
        <w:trPr>
          <w:trHeight w:val="226"/>
        </w:trPr>
        <w:tc>
          <w:tcPr>
            <w:tcW w:w="3143" w:type="dxa"/>
            <w:tcMar>
              <w:top w:w="11" w:type="dxa"/>
              <w:left w:w="57" w:type="dxa"/>
              <w:bottom w:w="11" w:type="dxa"/>
              <w:right w:w="57" w:type="dxa"/>
            </w:tcMar>
          </w:tcPr>
          <w:p w14:paraId="28E9E607"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984" w:type="dxa"/>
            <w:tcBorders>
              <w:top w:val="single" w:sz="4" w:space="0" w:color="auto"/>
            </w:tcBorders>
            <w:tcMar>
              <w:top w:w="11" w:type="dxa"/>
              <w:left w:w="57" w:type="dxa"/>
              <w:bottom w:w="11" w:type="dxa"/>
              <w:right w:w="57" w:type="dxa"/>
            </w:tcMar>
          </w:tcPr>
          <w:p w14:paraId="302A53C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07" w:type="dxa"/>
            <w:tcBorders>
              <w:top w:val="single" w:sz="4" w:space="0" w:color="auto"/>
            </w:tcBorders>
            <w:tcMar>
              <w:top w:w="11" w:type="dxa"/>
              <w:left w:w="57" w:type="dxa"/>
              <w:bottom w:w="11" w:type="dxa"/>
              <w:right w:w="57" w:type="dxa"/>
            </w:tcMar>
          </w:tcPr>
          <w:p w14:paraId="62DD3D87"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25" w:type="dxa"/>
            <w:tcBorders>
              <w:top w:val="single" w:sz="4" w:space="0" w:color="auto"/>
            </w:tcBorders>
            <w:tcMar>
              <w:top w:w="11" w:type="dxa"/>
              <w:left w:w="57" w:type="dxa"/>
              <w:bottom w:w="11" w:type="dxa"/>
              <w:right w:w="57" w:type="dxa"/>
            </w:tcMar>
          </w:tcPr>
          <w:p w14:paraId="5C8E596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25" w:type="dxa"/>
            <w:tcBorders>
              <w:top w:val="single" w:sz="4" w:space="0" w:color="auto"/>
            </w:tcBorders>
            <w:tcMar>
              <w:top w:w="11" w:type="dxa"/>
              <w:left w:w="57" w:type="dxa"/>
              <w:bottom w:w="11" w:type="dxa"/>
              <w:right w:w="57" w:type="dxa"/>
            </w:tcMar>
          </w:tcPr>
          <w:p w14:paraId="5C07C94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64" w:type="dxa"/>
            <w:tcBorders>
              <w:top w:val="single" w:sz="4" w:space="0" w:color="auto"/>
            </w:tcBorders>
            <w:tcMar>
              <w:top w:w="11" w:type="dxa"/>
              <w:left w:w="57" w:type="dxa"/>
              <w:bottom w:w="11" w:type="dxa"/>
              <w:right w:w="57" w:type="dxa"/>
            </w:tcMar>
          </w:tcPr>
          <w:p w14:paraId="31C2CB32"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85" w:type="dxa"/>
            <w:tcBorders>
              <w:top w:val="single" w:sz="4" w:space="0" w:color="auto"/>
            </w:tcBorders>
            <w:tcMar>
              <w:top w:w="11" w:type="dxa"/>
              <w:left w:w="57" w:type="dxa"/>
              <w:bottom w:w="11" w:type="dxa"/>
              <w:right w:w="57" w:type="dxa"/>
            </w:tcMar>
          </w:tcPr>
          <w:p w14:paraId="18F9FB6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2BE6E45D" w14:textId="77777777" w:rsidTr="00CE19B2">
        <w:trPr>
          <w:trHeight w:val="226"/>
        </w:trPr>
        <w:tc>
          <w:tcPr>
            <w:tcW w:w="3143" w:type="dxa"/>
            <w:tcMar>
              <w:top w:w="11" w:type="dxa"/>
              <w:left w:w="57" w:type="dxa"/>
              <w:bottom w:w="11" w:type="dxa"/>
              <w:right w:w="57" w:type="dxa"/>
            </w:tcMar>
          </w:tcPr>
          <w:p w14:paraId="3EB321E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Net book value:</w:t>
            </w:r>
          </w:p>
        </w:tc>
        <w:tc>
          <w:tcPr>
            <w:tcW w:w="984" w:type="dxa"/>
            <w:tcMar>
              <w:top w:w="11" w:type="dxa"/>
              <w:left w:w="57" w:type="dxa"/>
              <w:bottom w:w="11" w:type="dxa"/>
              <w:right w:w="57" w:type="dxa"/>
            </w:tcMar>
          </w:tcPr>
          <w:p w14:paraId="79282C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07" w:type="dxa"/>
            <w:tcMar>
              <w:top w:w="11" w:type="dxa"/>
              <w:left w:w="57" w:type="dxa"/>
              <w:bottom w:w="11" w:type="dxa"/>
              <w:right w:w="57" w:type="dxa"/>
            </w:tcMar>
          </w:tcPr>
          <w:p w14:paraId="152CE5B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25" w:type="dxa"/>
            <w:tcMar>
              <w:top w:w="11" w:type="dxa"/>
              <w:left w:w="57" w:type="dxa"/>
              <w:bottom w:w="11" w:type="dxa"/>
              <w:right w:w="57" w:type="dxa"/>
            </w:tcMar>
          </w:tcPr>
          <w:p w14:paraId="7675CF6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25" w:type="dxa"/>
            <w:tcMar>
              <w:top w:w="11" w:type="dxa"/>
              <w:left w:w="57" w:type="dxa"/>
              <w:bottom w:w="11" w:type="dxa"/>
              <w:right w:w="57" w:type="dxa"/>
            </w:tcMar>
          </w:tcPr>
          <w:p w14:paraId="20A3BE6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64" w:type="dxa"/>
            <w:tcMar>
              <w:top w:w="11" w:type="dxa"/>
              <w:left w:w="57" w:type="dxa"/>
              <w:bottom w:w="11" w:type="dxa"/>
              <w:right w:w="57" w:type="dxa"/>
            </w:tcMar>
          </w:tcPr>
          <w:p w14:paraId="44CB35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85" w:type="dxa"/>
            <w:tcMar>
              <w:top w:w="11" w:type="dxa"/>
              <w:left w:w="57" w:type="dxa"/>
              <w:bottom w:w="11" w:type="dxa"/>
              <w:right w:w="57" w:type="dxa"/>
            </w:tcMar>
          </w:tcPr>
          <w:p w14:paraId="42DCCE6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2C114E86" w14:textId="77777777" w:rsidTr="00CE19B2">
        <w:trPr>
          <w:trHeight w:val="226"/>
        </w:trPr>
        <w:tc>
          <w:tcPr>
            <w:tcW w:w="3143" w:type="dxa"/>
            <w:tcMar>
              <w:top w:w="11" w:type="dxa"/>
              <w:left w:w="57" w:type="dxa"/>
              <w:bottom w:w="11" w:type="dxa"/>
              <w:right w:w="57" w:type="dxa"/>
            </w:tcMar>
          </w:tcPr>
          <w:p w14:paraId="53D39E4C" w14:textId="49395A65"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667" w:name="XMETag_b387ebc1402f4d05bfdeb7e625770c85" w:colFirst="1" w:colLast="1"/>
            <w:bookmarkStart w:id="668" w:name="XMETag_7a9bab6ab9be4408bd18638677db4acd" w:colFirst="2" w:colLast="2"/>
            <w:bookmarkStart w:id="669" w:name="XMETag_99d7d1779efe45bf8a3dc8b8bc4d4f5a" w:colFirst="3" w:colLast="3"/>
            <w:bookmarkStart w:id="670" w:name="XMETag_ac623e8ef13648a6933f3a1cf9f2edbf" w:colFirst="4" w:colLast="4"/>
            <w:bookmarkStart w:id="671" w:name="XMETag_c8ec30a00b134e1fb0020c3f616394f5" w:colFirst="5" w:colLast="5"/>
            <w:bookmarkStart w:id="672" w:name="XMETag_81a200a9bea04a03b858f7eb89fd2254" w:colFirst="6" w:colLast="6"/>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984" w:type="dxa"/>
            <w:tcBorders>
              <w:top w:val="single" w:sz="4" w:space="0" w:color="auto"/>
              <w:bottom w:val="single" w:sz="4" w:space="0" w:color="auto"/>
            </w:tcBorders>
            <w:tcMar>
              <w:top w:w="11" w:type="dxa"/>
              <w:left w:w="57" w:type="dxa"/>
              <w:bottom w:w="11" w:type="dxa"/>
              <w:right w:w="57" w:type="dxa"/>
            </w:tcMar>
          </w:tcPr>
          <w:p w14:paraId="786CB3A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93.9</w:t>
            </w:r>
          </w:p>
        </w:tc>
        <w:tc>
          <w:tcPr>
            <w:tcW w:w="1407" w:type="dxa"/>
            <w:tcBorders>
              <w:top w:val="single" w:sz="4" w:space="0" w:color="auto"/>
              <w:bottom w:val="single" w:sz="4" w:space="0" w:color="auto"/>
            </w:tcBorders>
            <w:tcMar>
              <w:top w:w="11" w:type="dxa"/>
              <w:left w:w="57" w:type="dxa"/>
              <w:bottom w:w="11" w:type="dxa"/>
              <w:right w:w="57" w:type="dxa"/>
            </w:tcMar>
          </w:tcPr>
          <w:p w14:paraId="7D3428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2,303.5</w:t>
            </w:r>
          </w:p>
        </w:tc>
        <w:tc>
          <w:tcPr>
            <w:tcW w:w="1125" w:type="dxa"/>
            <w:tcBorders>
              <w:top w:val="single" w:sz="4" w:space="0" w:color="auto"/>
              <w:bottom w:val="single" w:sz="4" w:space="0" w:color="auto"/>
            </w:tcBorders>
            <w:tcMar>
              <w:top w:w="11" w:type="dxa"/>
              <w:left w:w="57" w:type="dxa"/>
              <w:bottom w:w="11" w:type="dxa"/>
              <w:right w:w="57" w:type="dxa"/>
            </w:tcMar>
          </w:tcPr>
          <w:p w14:paraId="550321B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646.1</w:t>
            </w:r>
          </w:p>
        </w:tc>
        <w:tc>
          <w:tcPr>
            <w:tcW w:w="1125" w:type="dxa"/>
            <w:tcBorders>
              <w:top w:val="single" w:sz="4" w:space="0" w:color="auto"/>
              <w:bottom w:val="single" w:sz="4" w:space="0" w:color="auto"/>
            </w:tcBorders>
            <w:tcMar>
              <w:top w:w="11" w:type="dxa"/>
              <w:left w:w="57" w:type="dxa"/>
              <w:bottom w:w="11" w:type="dxa"/>
              <w:right w:w="57" w:type="dxa"/>
            </w:tcMar>
          </w:tcPr>
          <w:p w14:paraId="7430B0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982.9</w:t>
            </w:r>
          </w:p>
        </w:tc>
        <w:tc>
          <w:tcPr>
            <w:tcW w:w="1264" w:type="dxa"/>
            <w:tcBorders>
              <w:top w:val="single" w:sz="4" w:space="0" w:color="auto"/>
              <w:bottom w:val="single" w:sz="4" w:space="0" w:color="auto"/>
            </w:tcBorders>
            <w:tcMar>
              <w:top w:w="11" w:type="dxa"/>
              <w:left w:w="57" w:type="dxa"/>
              <w:bottom w:w="11" w:type="dxa"/>
              <w:right w:w="57" w:type="dxa"/>
            </w:tcMar>
          </w:tcPr>
          <w:p w14:paraId="0AEE6F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544.7</w:t>
            </w:r>
          </w:p>
        </w:tc>
        <w:tc>
          <w:tcPr>
            <w:tcW w:w="985" w:type="dxa"/>
            <w:tcBorders>
              <w:top w:val="single" w:sz="4" w:space="0" w:color="auto"/>
              <w:bottom w:val="single" w:sz="4" w:space="0" w:color="auto"/>
            </w:tcBorders>
            <w:tcMar>
              <w:top w:w="11" w:type="dxa"/>
              <w:left w:w="57" w:type="dxa"/>
              <w:bottom w:w="11" w:type="dxa"/>
              <w:right w:w="57" w:type="dxa"/>
            </w:tcMar>
          </w:tcPr>
          <w:p w14:paraId="784938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4,571.1</w:t>
            </w:r>
          </w:p>
        </w:tc>
      </w:tr>
      <w:tr w:rsidR="00646F4F" w:rsidRPr="00735726" w14:paraId="36DDE127" w14:textId="77777777" w:rsidTr="00CE19B2">
        <w:trPr>
          <w:trHeight w:val="226"/>
        </w:trPr>
        <w:tc>
          <w:tcPr>
            <w:tcW w:w="3143" w:type="dxa"/>
            <w:tcMar>
              <w:top w:w="11" w:type="dxa"/>
              <w:left w:w="57" w:type="dxa"/>
              <w:bottom w:w="11" w:type="dxa"/>
              <w:right w:w="57" w:type="dxa"/>
            </w:tcMar>
          </w:tcPr>
          <w:p w14:paraId="2EFE2B5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673" w:name="XMETag_9854f9af5dc94309b6fdeb52129fc8bb" w:colFirst="1" w:colLast="1"/>
            <w:bookmarkStart w:id="674" w:name="XMETag_07f3ecff0cd648c9a7cf1727a8d6418f" w:colFirst="2" w:colLast="2"/>
            <w:bookmarkStart w:id="675" w:name="XMETag_8c9c6b1430a244a7ae0f7913cb022cef" w:colFirst="3" w:colLast="3"/>
            <w:bookmarkStart w:id="676" w:name="XMETag_1fb4ab6452e44f738c420fbb0a330a72" w:colFirst="4" w:colLast="4"/>
            <w:bookmarkStart w:id="677" w:name="XMETag_a5d087f1d2e44fd68e7c847630e02f30" w:colFirst="5" w:colLast="5"/>
            <w:bookmarkStart w:id="678" w:name="XMETag_0d87d3cc4ee24b4e904bd71ad20a619e" w:colFirst="6" w:colLast="6"/>
            <w:bookmarkEnd w:id="667"/>
            <w:bookmarkEnd w:id="668"/>
            <w:bookmarkEnd w:id="669"/>
            <w:bookmarkEnd w:id="670"/>
            <w:bookmarkEnd w:id="671"/>
            <w:bookmarkEnd w:id="672"/>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984" w:type="dxa"/>
            <w:tcBorders>
              <w:top w:val="single" w:sz="4" w:space="0" w:color="auto"/>
              <w:bottom w:val="single" w:sz="4" w:space="0" w:color="auto"/>
            </w:tcBorders>
            <w:tcMar>
              <w:top w:w="11" w:type="dxa"/>
              <w:left w:w="57" w:type="dxa"/>
              <w:bottom w:w="11" w:type="dxa"/>
              <w:right w:w="57" w:type="dxa"/>
            </w:tcMar>
          </w:tcPr>
          <w:p w14:paraId="67D19F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92.1</w:t>
            </w:r>
          </w:p>
        </w:tc>
        <w:tc>
          <w:tcPr>
            <w:tcW w:w="1407" w:type="dxa"/>
            <w:tcBorders>
              <w:top w:val="single" w:sz="4" w:space="0" w:color="auto"/>
              <w:bottom w:val="single" w:sz="4" w:space="0" w:color="auto"/>
            </w:tcBorders>
            <w:tcMar>
              <w:top w:w="11" w:type="dxa"/>
              <w:left w:w="57" w:type="dxa"/>
              <w:bottom w:w="11" w:type="dxa"/>
              <w:right w:w="57" w:type="dxa"/>
            </w:tcMar>
          </w:tcPr>
          <w:p w14:paraId="6FDE8F0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2,391.3</w:t>
            </w:r>
          </w:p>
        </w:tc>
        <w:tc>
          <w:tcPr>
            <w:tcW w:w="1125" w:type="dxa"/>
            <w:tcBorders>
              <w:top w:val="single" w:sz="4" w:space="0" w:color="auto"/>
              <w:bottom w:val="single" w:sz="4" w:space="0" w:color="auto"/>
            </w:tcBorders>
            <w:tcMar>
              <w:top w:w="11" w:type="dxa"/>
              <w:left w:w="57" w:type="dxa"/>
              <w:bottom w:w="11" w:type="dxa"/>
              <w:right w:w="57" w:type="dxa"/>
            </w:tcMar>
          </w:tcPr>
          <w:p w14:paraId="482236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645.8</w:t>
            </w:r>
          </w:p>
        </w:tc>
        <w:tc>
          <w:tcPr>
            <w:tcW w:w="1125" w:type="dxa"/>
            <w:tcBorders>
              <w:top w:val="single" w:sz="4" w:space="0" w:color="auto"/>
              <w:bottom w:val="single" w:sz="4" w:space="0" w:color="auto"/>
            </w:tcBorders>
            <w:tcMar>
              <w:top w:w="11" w:type="dxa"/>
              <w:left w:w="57" w:type="dxa"/>
              <w:bottom w:w="11" w:type="dxa"/>
              <w:right w:w="57" w:type="dxa"/>
            </w:tcMar>
          </w:tcPr>
          <w:p w14:paraId="638116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1,039.9</w:t>
            </w:r>
          </w:p>
        </w:tc>
        <w:tc>
          <w:tcPr>
            <w:tcW w:w="1264" w:type="dxa"/>
            <w:tcBorders>
              <w:top w:val="single" w:sz="4" w:space="0" w:color="auto"/>
              <w:bottom w:val="single" w:sz="4" w:space="0" w:color="auto"/>
            </w:tcBorders>
            <w:tcMar>
              <w:top w:w="11" w:type="dxa"/>
              <w:left w:w="57" w:type="dxa"/>
              <w:bottom w:w="11" w:type="dxa"/>
              <w:right w:w="57" w:type="dxa"/>
            </w:tcMar>
          </w:tcPr>
          <w:p w14:paraId="6A413F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835.9</w:t>
            </w:r>
          </w:p>
        </w:tc>
        <w:tc>
          <w:tcPr>
            <w:tcW w:w="985" w:type="dxa"/>
            <w:tcBorders>
              <w:top w:val="single" w:sz="4" w:space="0" w:color="auto"/>
              <w:bottom w:val="single" w:sz="4" w:space="0" w:color="auto"/>
            </w:tcBorders>
            <w:tcMar>
              <w:top w:w="11" w:type="dxa"/>
              <w:left w:w="57" w:type="dxa"/>
              <w:bottom w:w="11" w:type="dxa"/>
              <w:right w:w="57" w:type="dxa"/>
            </w:tcMar>
          </w:tcPr>
          <w:p w14:paraId="6430955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5,005.0</w:t>
            </w:r>
          </w:p>
        </w:tc>
      </w:tr>
      <w:tr w:rsidR="00646F4F" w:rsidRPr="00735726" w14:paraId="61905286" w14:textId="77777777" w:rsidTr="00CE19B2">
        <w:trPr>
          <w:trHeight w:val="226"/>
        </w:trPr>
        <w:tc>
          <w:tcPr>
            <w:tcW w:w="3143" w:type="dxa"/>
            <w:tcMar>
              <w:top w:w="11" w:type="dxa"/>
              <w:left w:w="57" w:type="dxa"/>
              <w:bottom w:w="11" w:type="dxa"/>
              <w:right w:w="57" w:type="dxa"/>
            </w:tcMar>
          </w:tcPr>
          <w:p w14:paraId="791377F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679" w:name="XMETag_dbfb693ba3b64b1492bf6c689cf7dfc4" w:colFirst="1" w:colLast="1"/>
            <w:bookmarkStart w:id="680" w:name="XMETag_be15dfb0a7434b4e8df0bede1f0a0855" w:colFirst="2" w:colLast="2"/>
            <w:bookmarkStart w:id="681" w:name="XMETag_9212990cdc854c9484ebbaab0279d578" w:colFirst="3" w:colLast="3"/>
            <w:bookmarkStart w:id="682" w:name="XMETag_81aba6dae1bd4afb8bf84f871d2197ce" w:colFirst="4" w:colLast="4"/>
            <w:bookmarkStart w:id="683" w:name="XMETag_fe7f7960c3bd439e9018fd8d30f86434" w:colFirst="5" w:colLast="5"/>
            <w:bookmarkStart w:id="684" w:name="XMETag_551967597e2d43a4afea8b7c9c186567" w:colFirst="6" w:colLast="6"/>
            <w:bookmarkEnd w:id="673"/>
            <w:bookmarkEnd w:id="674"/>
            <w:bookmarkEnd w:id="675"/>
            <w:bookmarkEnd w:id="676"/>
            <w:bookmarkEnd w:id="677"/>
            <w:bookmarkEnd w:id="678"/>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984" w:type="dxa"/>
            <w:tcBorders>
              <w:top w:val="single" w:sz="4" w:space="0" w:color="auto"/>
              <w:bottom w:val="single" w:sz="4" w:space="0" w:color="auto"/>
            </w:tcBorders>
            <w:tcMar>
              <w:top w:w="11" w:type="dxa"/>
              <w:left w:w="57" w:type="dxa"/>
              <w:bottom w:w="11" w:type="dxa"/>
              <w:right w:w="57" w:type="dxa"/>
            </w:tcMar>
          </w:tcPr>
          <w:p w14:paraId="7AEF61E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89.7</w:t>
            </w:r>
          </w:p>
        </w:tc>
        <w:tc>
          <w:tcPr>
            <w:tcW w:w="1407" w:type="dxa"/>
            <w:tcBorders>
              <w:top w:val="single" w:sz="4" w:space="0" w:color="auto"/>
              <w:bottom w:val="single" w:sz="4" w:space="0" w:color="auto"/>
            </w:tcBorders>
            <w:tcMar>
              <w:top w:w="11" w:type="dxa"/>
              <w:left w:w="57" w:type="dxa"/>
              <w:bottom w:w="11" w:type="dxa"/>
              <w:right w:w="57" w:type="dxa"/>
            </w:tcMar>
          </w:tcPr>
          <w:p w14:paraId="4C8AD279" w14:textId="43ADB403"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2,585.4</w:t>
            </w:r>
          </w:p>
        </w:tc>
        <w:tc>
          <w:tcPr>
            <w:tcW w:w="1125" w:type="dxa"/>
            <w:tcBorders>
              <w:top w:val="single" w:sz="4" w:space="0" w:color="auto"/>
              <w:bottom w:val="single" w:sz="4" w:space="0" w:color="auto"/>
            </w:tcBorders>
            <w:tcMar>
              <w:top w:w="11" w:type="dxa"/>
              <w:left w:w="57" w:type="dxa"/>
              <w:bottom w:w="11" w:type="dxa"/>
              <w:right w:w="57" w:type="dxa"/>
            </w:tcMar>
          </w:tcPr>
          <w:p w14:paraId="04B94ECB" w14:textId="32AA9314"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674.8</w:t>
            </w:r>
          </w:p>
        </w:tc>
        <w:tc>
          <w:tcPr>
            <w:tcW w:w="1125" w:type="dxa"/>
            <w:tcBorders>
              <w:top w:val="single" w:sz="4" w:space="0" w:color="auto"/>
              <w:bottom w:val="single" w:sz="4" w:space="0" w:color="auto"/>
            </w:tcBorders>
            <w:tcMar>
              <w:top w:w="11" w:type="dxa"/>
              <w:left w:w="57" w:type="dxa"/>
              <w:bottom w:w="11" w:type="dxa"/>
              <w:right w:w="57" w:type="dxa"/>
            </w:tcMar>
          </w:tcPr>
          <w:p w14:paraId="54106543" w14:textId="466A9805"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92</w:t>
            </w:r>
            <w:r w:rsidR="00D121BA" w:rsidRPr="00735726">
              <w:rPr>
                <w:rFonts w:ascii="Arial" w:eastAsia="Times New Roman" w:hAnsi="Arial" w:cs="DINOT-Light"/>
                <w:b/>
                <w:bCs/>
                <w:color w:val="000000"/>
                <w:sz w:val="18"/>
                <w:szCs w:val="18"/>
              </w:rPr>
              <w:t>3.9</w:t>
            </w:r>
          </w:p>
        </w:tc>
        <w:tc>
          <w:tcPr>
            <w:tcW w:w="1264" w:type="dxa"/>
            <w:tcBorders>
              <w:top w:val="single" w:sz="4" w:space="0" w:color="auto"/>
              <w:bottom w:val="single" w:sz="4" w:space="0" w:color="auto"/>
            </w:tcBorders>
            <w:tcMar>
              <w:top w:w="11" w:type="dxa"/>
              <w:left w:w="57" w:type="dxa"/>
              <w:bottom w:w="11" w:type="dxa"/>
              <w:right w:w="57" w:type="dxa"/>
            </w:tcMar>
          </w:tcPr>
          <w:p w14:paraId="140998EE" w14:textId="0256D9E7" w:rsidR="00646F4F" w:rsidRPr="00735726" w:rsidRDefault="006B6522"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1,128.</w:t>
            </w:r>
            <w:r w:rsidR="00D121BA" w:rsidRPr="00735726">
              <w:rPr>
                <w:rFonts w:ascii="Arial" w:eastAsia="Times New Roman" w:hAnsi="Arial" w:cs="DINOT-Light"/>
                <w:b/>
                <w:bCs/>
                <w:color w:val="000000"/>
                <w:sz w:val="18"/>
                <w:szCs w:val="18"/>
              </w:rPr>
              <w:t>6</w:t>
            </w:r>
          </w:p>
        </w:tc>
        <w:tc>
          <w:tcPr>
            <w:tcW w:w="985" w:type="dxa"/>
            <w:tcBorders>
              <w:top w:val="single" w:sz="4" w:space="0" w:color="auto"/>
              <w:bottom w:val="single" w:sz="4" w:space="0" w:color="auto"/>
            </w:tcBorders>
            <w:tcMar>
              <w:top w:w="11" w:type="dxa"/>
              <w:left w:w="57" w:type="dxa"/>
              <w:bottom w:w="11" w:type="dxa"/>
              <w:right w:w="57" w:type="dxa"/>
            </w:tcMar>
          </w:tcPr>
          <w:p w14:paraId="4F3C90E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5,402.4</w:t>
            </w:r>
          </w:p>
        </w:tc>
      </w:tr>
      <w:bookmarkEnd w:id="679"/>
      <w:bookmarkEnd w:id="680"/>
      <w:bookmarkEnd w:id="681"/>
      <w:bookmarkEnd w:id="682"/>
      <w:bookmarkEnd w:id="683"/>
      <w:bookmarkEnd w:id="684"/>
    </w:tbl>
    <w:p w14:paraId="402FB0E1" w14:textId="77777777" w:rsidR="002D1FD2" w:rsidRPr="009A2CAE" w:rsidRDefault="002D1FD2"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F56ABB4" w14:textId="77777777" w:rsidR="00646F4F" w:rsidRPr="00735726" w:rsidRDefault="00646F4F" w:rsidP="00277639">
      <w:pPr>
        <w:widowControl w:val="0"/>
        <w:suppressAutoHyphens/>
        <w:autoSpaceDE w:val="0"/>
        <w:autoSpaceDN w:val="0"/>
        <w:adjustRightInd w:val="0"/>
        <w:spacing w:after="0" w:line="240" w:lineRule="auto"/>
        <w:textAlignment w:val="center"/>
        <w:rPr>
          <w:rFonts w:ascii="Arial" w:eastAsia="Times New Roman" w:hAnsi="Arial" w:cs="DINOT-Light"/>
          <w:color w:val="000000"/>
          <w:sz w:val="18"/>
          <w:szCs w:val="18"/>
        </w:rPr>
      </w:pPr>
    </w:p>
    <w:p w14:paraId="2B05E9FD" w14:textId="0DF95BA8"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685" w:name="XMETag_ca5f63dd996c4f35875718a954882ee2"/>
      <w:r w:rsidRPr="00735726">
        <w:rPr>
          <w:rFonts w:ascii="Arial" w:eastAsia="Times New Roman" w:hAnsi="Arial" w:cs="DINOT-Light"/>
          <w:color w:val="000000"/>
          <w:sz w:val="18"/>
          <w:szCs w:val="18"/>
        </w:rPr>
        <w:t>Out of the total depreciation charge for the Company of £173.0 million (2025: £169.8 million), the sum of £nil million (2025: £1.6 million) has been charged to capital projects, £2.3 million (2025: £2.4 million) has been offset by deferred income and £170.</w:t>
      </w:r>
      <w:r w:rsidR="002B6E3A" w:rsidRPr="00735726">
        <w:rPr>
          <w:rFonts w:ascii="Arial" w:eastAsia="Times New Roman" w:hAnsi="Arial" w:cs="DINOT-Light"/>
          <w:color w:val="000000"/>
          <w:sz w:val="18"/>
          <w:szCs w:val="18"/>
        </w:rPr>
        <w:t>7</w:t>
      </w:r>
      <w:r w:rsidRPr="00735726">
        <w:rPr>
          <w:rFonts w:ascii="Arial" w:eastAsia="Times New Roman" w:hAnsi="Arial" w:cs="DINOT-Light"/>
          <w:color w:val="000000"/>
          <w:sz w:val="18"/>
          <w:szCs w:val="18"/>
        </w:rPr>
        <w:t xml:space="preserve"> million (2025: £165.8 million) against profits. During the year borrowing costs of £34.0 million (2025: £23.1 million) have been capitalised on qualifying assets, at an average borrowing rate of 5.5% (2025: 5.7%).</w:t>
      </w:r>
    </w:p>
    <w:p w14:paraId="052754B9" w14:textId="77777777" w:rsidR="002D1FD2" w:rsidRPr="00735726" w:rsidRDefault="002D1FD2"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018CC3B" w14:textId="003B7C9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Groups of assets forming cash generating units are reviewed for indicators of impairment. No indicators of impairment were identified during the year.</w:t>
      </w:r>
      <w:bookmarkEnd w:id="685"/>
      <w:r w:rsidRPr="00735726">
        <w:rPr>
          <w:rFonts w:ascii="Arial" w:eastAsia="Times New Roman" w:hAnsi="Arial" w:cs="DINOT-Light"/>
          <w:color w:val="000000"/>
          <w:sz w:val="18"/>
          <w:szCs w:val="18"/>
        </w:rPr>
        <w:t xml:space="preserve"> </w:t>
      </w:r>
    </w:p>
    <w:p w14:paraId="525F987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38684347"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Asset lives and residual values are reviewed annually. No significant changes were required in 2025/26. </w:t>
      </w:r>
    </w:p>
    <w:p w14:paraId="46FF75E1" w14:textId="77777777" w:rsidR="006B6522" w:rsidRPr="00735726" w:rsidRDefault="006B6522"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9E72C18" w14:textId="057060D4" w:rsidR="006B6522" w:rsidRPr="00735726" w:rsidRDefault="0026561E" w:rsidP="006B6522">
      <w:pPr>
        <w:spacing w:after="160"/>
        <w:rPr>
          <w:rFonts w:ascii="Arial" w:eastAsia="Times New Roman" w:hAnsi="Arial" w:cs="DINOT-Light"/>
          <w:color w:val="000000"/>
          <w:sz w:val="18"/>
          <w:szCs w:val="18"/>
        </w:rPr>
      </w:pPr>
      <w:r w:rsidRPr="00735726">
        <w:rPr>
          <w:rFonts w:ascii="Arial" w:eastAsia="Times New Roman" w:hAnsi="Arial" w:cs="DINOT-Light"/>
          <w:color w:val="000000"/>
          <w:sz w:val="18"/>
          <w:szCs w:val="18"/>
        </w:rPr>
        <w:t>In the year ended 31 March 2025, a</w:t>
      </w:r>
      <w:r w:rsidR="006B6522" w:rsidRPr="00735726">
        <w:rPr>
          <w:rFonts w:ascii="Arial" w:eastAsia="Times New Roman" w:hAnsi="Arial" w:cs="DINOT-Light"/>
          <w:color w:val="000000"/>
          <w:sz w:val="18"/>
          <w:szCs w:val="18"/>
        </w:rPr>
        <w:t xml:space="preserve">n adjustment has been made to reclassify cost and accumulated depreciation in relation to assets transferred from Bristol Water </w:t>
      </w:r>
      <w:r w:rsidR="009F4FAE" w:rsidRPr="00735726">
        <w:rPr>
          <w:rFonts w:ascii="Arial" w:eastAsia="Times New Roman" w:hAnsi="Arial" w:cs="DINOT-Light"/>
          <w:color w:val="000000"/>
          <w:sz w:val="18"/>
          <w:szCs w:val="18"/>
        </w:rPr>
        <w:t>p</w:t>
      </w:r>
      <w:r w:rsidR="006B6522" w:rsidRPr="00735726">
        <w:rPr>
          <w:rFonts w:ascii="Arial" w:eastAsia="Times New Roman" w:hAnsi="Arial" w:cs="DINOT-Light"/>
          <w:color w:val="000000"/>
          <w:sz w:val="18"/>
          <w:szCs w:val="18"/>
        </w:rPr>
        <w:t xml:space="preserve">lc to </w:t>
      </w:r>
      <w:proofErr w:type="gramStart"/>
      <w:r w:rsidR="006B6522" w:rsidRPr="00735726">
        <w:rPr>
          <w:rFonts w:ascii="Arial" w:eastAsia="Times New Roman" w:hAnsi="Arial" w:cs="DINOT-Light"/>
          <w:color w:val="000000"/>
          <w:sz w:val="18"/>
          <w:szCs w:val="18"/>
        </w:rPr>
        <w:t>South West</w:t>
      </w:r>
      <w:proofErr w:type="gramEnd"/>
      <w:r w:rsidR="006B6522" w:rsidRPr="00735726">
        <w:rPr>
          <w:rFonts w:ascii="Arial" w:eastAsia="Times New Roman" w:hAnsi="Arial" w:cs="DINOT-Light"/>
          <w:color w:val="000000"/>
          <w:sz w:val="18"/>
          <w:szCs w:val="18"/>
        </w:rPr>
        <w:t xml:space="preserve"> Water Limited following the transfer of trade and significant majority of assets and liabilities of Bristol Water </w:t>
      </w:r>
      <w:r w:rsidR="009F4FAE" w:rsidRPr="00735726">
        <w:rPr>
          <w:rFonts w:ascii="Arial" w:eastAsia="Times New Roman" w:hAnsi="Arial" w:cs="DINOT-Light"/>
          <w:color w:val="000000"/>
          <w:sz w:val="18"/>
          <w:szCs w:val="18"/>
        </w:rPr>
        <w:t>p</w:t>
      </w:r>
      <w:r w:rsidR="006B6522" w:rsidRPr="00735726">
        <w:rPr>
          <w:rFonts w:ascii="Arial" w:eastAsia="Times New Roman" w:hAnsi="Arial" w:cs="DINOT-Light"/>
          <w:color w:val="000000"/>
          <w:sz w:val="18"/>
          <w:szCs w:val="18"/>
        </w:rPr>
        <w:t>lc in February 2023 totalling £</w:t>
      </w:r>
      <w:r w:rsidRPr="00735726">
        <w:rPr>
          <w:rFonts w:ascii="Arial" w:eastAsia="Times New Roman" w:hAnsi="Arial" w:cs="DINOT-Light"/>
          <w:color w:val="000000"/>
          <w:sz w:val="18"/>
          <w:szCs w:val="18"/>
        </w:rPr>
        <w:t>4.1</w:t>
      </w:r>
      <w:r w:rsidR="006B6522" w:rsidRPr="00735726">
        <w:rPr>
          <w:rFonts w:ascii="Arial" w:eastAsia="Times New Roman" w:hAnsi="Arial" w:cs="DINOT-Light"/>
          <w:color w:val="000000"/>
          <w:sz w:val="18"/>
          <w:szCs w:val="18"/>
        </w:rPr>
        <w:t xml:space="preserve"> million</w:t>
      </w:r>
      <w:r w:rsidRPr="00735726">
        <w:rPr>
          <w:rFonts w:ascii="Arial" w:eastAsia="Times New Roman" w:hAnsi="Arial" w:cs="DINOT-Light"/>
          <w:color w:val="000000"/>
          <w:sz w:val="18"/>
          <w:szCs w:val="18"/>
        </w:rPr>
        <w:t>.</w:t>
      </w:r>
    </w:p>
    <w:p w14:paraId="12E9D78F" w14:textId="523E4719" w:rsidR="002D1FD2" w:rsidRPr="009A2CAE" w:rsidRDefault="002D1FD2">
      <w:pPr>
        <w:spacing w:after="160" w:line="259" w:lineRule="auto"/>
        <w:rPr>
          <w:rFonts w:ascii="Arial" w:eastAsia="Times New Roman" w:hAnsi="Arial" w:cs="Arial"/>
          <w:b/>
          <w:bCs/>
          <w:caps/>
          <w:color w:val="000000"/>
          <w:sz w:val="18"/>
          <w:szCs w:val="18"/>
        </w:rPr>
      </w:pPr>
      <w:r w:rsidRPr="009A2CAE">
        <w:rPr>
          <w:rFonts w:ascii="Arial" w:eastAsia="Times New Roman" w:hAnsi="Arial" w:cs="Arial"/>
          <w:b/>
          <w:bCs/>
          <w:caps/>
          <w:color w:val="000000"/>
          <w:sz w:val="18"/>
          <w:szCs w:val="18"/>
        </w:rPr>
        <w:br w:type="page"/>
      </w:r>
    </w:p>
    <w:p w14:paraId="0892B4CE" w14:textId="5D94A45A" w:rsidR="002D1FD2" w:rsidRPr="009A2CAE" w:rsidRDefault="002D1FD2" w:rsidP="00646F4F">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15.   Property, plant and equipment (CONTINUED)</w:t>
      </w:r>
    </w:p>
    <w:p w14:paraId="3D032AAC" w14:textId="54832E3F" w:rsidR="00646F4F" w:rsidRPr="00735726" w:rsidRDefault="00646F4F" w:rsidP="00277639">
      <w:pPr>
        <w:spacing w:after="160" w:line="259" w:lineRule="auto"/>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Assets subject to secured financing arrangements</w:t>
      </w:r>
      <w:r w:rsidRPr="00735726">
        <w:rPr>
          <w:rFonts w:ascii="Arial" w:eastAsia="Times New Roman" w:hAnsi="Arial" w:cs="DINOT-Light"/>
          <w:color w:val="000000"/>
          <w:sz w:val="18"/>
          <w:szCs w:val="18"/>
        </w:rPr>
        <w:br/>
        <w:t xml:space="preserve">When the Company </w:t>
      </w:r>
      <w:proofErr w:type="gramStart"/>
      <w:r w:rsidRPr="00735726">
        <w:rPr>
          <w:rFonts w:ascii="Arial" w:eastAsia="Times New Roman" w:hAnsi="Arial" w:cs="DINOT-Light"/>
          <w:color w:val="000000"/>
          <w:sz w:val="18"/>
          <w:szCs w:val="18"/>
        </w:rPr>
        <w:t>enters into</w:t>
      </w:r>
      <w:proofErr w:type="gramEnd"/>
      <w:r w:rsidRPr="00735726">
        <w:rPr>
          <w:rFonts w:ascii="Arial" w:eastAsia="Times New Roman" w:hAnsi="Arial" w:cs="DINOT-Light"/>
          <w:color w:val="000000"/>
          <w:sz w:val="18"/>
          <w:szCs w:val="18"/>
        </w:rPr>
        <w:t xml:space="preserve"> sale and leaseback arrangements, the accounting for the arrangement depends on whether the transaction meets the criteria within IFRS 15 for a sale to have occurred. If the sale criteria are met, the associated property, plant and equipment asset is derecognised, and a right-of-use asset is recognised at the proportion of the carrying value relating to the right retained. If the criteria for a sale under IFRS 15 have not been met</w:t>
      </w:r>
      <w:r w:rsidR="00B722C5" w:rsidRPr="00735726">
        <w:rPr>
          <w:rFonts w:ascii="Arial" w:eastAsia="Times New Roman" w:hAnsi="Arial" w:cs="DINOT-Light"/>
          <w:color w:val="000000"/>
          <w:sz w:val="18"/>
          <w:szCs w:val="18"/>
        </w:rPr>
        <w:t>,</w:t>
      </w:r>
      <w:r w:rsidRPr="00735726">
        <w:rPr>
          <w:rFonts w:ascii="Arial" w:eastAsia="Times New Roman" w:hAnsi="Arial" w:cs="DINOT-Light"/>
          <w:color w:val="000000"/>
          <w:sz w:val="18"/>
          <w:szCs w:val="18"/>
        </w:rPr>
        <w:t xml:space="preserve"> the asset is not derecognised and a liability to make ongoing payments is recognised as part of the lease liability included within borrowings. The table below shows amounts held within property, plant and equipment for assets subject to these arrangements:</w:t>
      </w:r>
    </w:p>
    <w:tbl>
      <w:tblPr>
        <w:tblW w:w="9915" w:type="dxa"/>
        <w:tblInd w:w="8" w:type="dxa"/>
        <w:tblLayout w:type="fixed"/>
        <w:tblCellMar>
          <w:left w:w="0" w:type="dxa"/>
          <w:right w:w="0" w:type="dxa"/>
        </w:tblCellMar>
        <w:tblLook w:val="0000" w:firstRow="0" w:lastRow="0" w:firstColumn="0" w:lastColumn="0" w:noHBand="0" w:noVBand="0"/>
      </w:tblPr>
      <w:tblGrid>
        <w:gridCol w:w="2411"/>
        <w:gridCol w:w="1267"/>
        <w:gridCol w:w="1417"/>
        <w:gridCol w:w="1276"/>
        <w:gridCol w:w="1418"/>
        <w:gridCol w:w="1134"/>
        <w:gridCol w:w="992"/>
      </w:tblGrid>
      <w:tr w:rsidR="00646F4F" w:rsidRPr="00735726" w14:paraId="1D03F41A" w14:textId="77777777" w:rsidTr="00CE19B2">
        <w:trPr>
          <w:trHeight w:val="274"/>
          <w:tblHeader/>
        </w:trPr>
        <w:tc>
          <w:tcPr>
            <w:tcW w:w="2411" w:type="dxa"/>
            <w:tcMar>
              <w:top w:w="11" w:type="dxa"/>
              <w:left w:w="57" w:type="dxa"/>
              <w:bottom w:w="11" w:type="dxa"/>
              <w:right w:w="57" w:type="dxa"/>
            </w:tcMar>
          </w:tcPr>
          <w:p w14:paraId="3D88E46C"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267" w:type="dxa"/>
            <w:tcMar>
              <w:top w:w="11" w:type="dxa"/>
              <w:left w:w="57" w:type="dxa"/>
              <w:bottom w:w="11" w:type="dxa"/>
              <w:right w:w="57" w:type="dxa"/>
            </w:tcMar>
            <w:vAlign w:val="bottom"/>
          </w:tcPr>
          <w:p w14:paraId="47AFD8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0061BF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Land and buildings </w:t>
            </w:r>
            <w:r w:rsidRPr="00735726">
              <w:rPr>
                <w:rFonts w:ascii="Arial" w:eastAsia="Times New Roman" w:hAnsi="Arial" w:cs="DINOT-Light"/>
                <w:b/>
                <w:color w:val="000000"/>
                <w:sz w:val="18"/>
                <w:szCs w:val="18"/>
              </w:rPr>
              <w:br/>
              <w:t>£m</w:t>
            </w:r>
          </w:p>
        </w:tc>
        <w:tc>
          <w:tcPr>
            <w:tcW w:w="1417" w:type="dxa"/>
            <w:tcMar>
              <w:top w:w="11" w:type="dxa"/>
              <w:left w:w="57" w:type="dxa"/>
              <w:bottom w:w="11" w:type="dxa"/>
              <w:right w:w="57" w:type="dxa"/>
            </w:tcMar>
            <w:vAlign w:val="bottom"/>
          </w:tcPr>
          <w:p w14:paraId="456C44E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659C07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2DE3C13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Infrastructure assets </w:t>
            </w:r>
          </w:p>
          <w:p w14:paraId="157896A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76" w:type="dxa"/>
            <w:tcMar>
              <w:top w:w="11" w:type="dxa"/>
              <w:left w:w="57" w:type="dxa"/>
              <w:bottom w:w="11" w:type="dxa"/>
              <w:right w:w="57" w:type="dxa"/>
            </w:tcMar>
            <w:vAlign w:val="bottom"/>
          </w:tcPr>
          <w:p w14:paraId="4E39451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061B44F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5F317C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Operational properties </w:t>
            </w:r>
          </w:p>
          <w:p w14:paraId="0882A40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418" w:type="dxa"/>
            <w:tcMar>
              <w:top w:w="11" w:type="dxa"/>
              <w:left w:w="57" w:type="dxa"/>
              <w:bottom w:w="11" w:type="dxa"/>
              <w:right w:w="57" w:type="dxa"/>
            </w:tcMar>
            <w:vAlign w:val="bottom"/>
          </w:tcPr>
          <w:p w14:paraId="16DC673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Fixed and mobile plant, vehicles and computers </w:t>
            </w:r>
          </w:p>
          <w:p w14:paraId="20711A7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vAlign w:val="bottom"/>
          </w:tcPr>
          <w:p w14:paraId="2E117E3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Construction in progress £m</w:t>
            </w:r>
          </w:p>
        </w:tc>
        <w:tc>
          <w:tcPr>
            <w:tcW w:w="992" w:type="dxa"/>
            <w:tcMar>
              <w:top w:w="11" w:type="dxa"/>
              <w:left w:w="57" w:type="dxa"/>
              <w:bottom w:w="11" w:type="dxa"/>
              <w:right w:w="57" w:type="dxa"/>
            </w:tcMar>
            <w:vAlign w:val="bottom"/>
          </w:tcPr>
          <w:p w14:paraId="702380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br/>
              <w:t>Total</w:t>
            </w:r>
            <w:r w:rsidRPr="00735726">
              <w:rPr>
                <w:rFonts w:ascii="Arial" w:eastAsia="Times New Roman" w:hAnsi="Arial" w:cs="DINOT-Light"/>
                <w:b/>
                <w:color w:val="000000"/>
                <w:sz w:val="18"/>
                <w:szCs w:val="18"/>
              </w:rPr>
              <w:br/>
              <w:t>£m</w:t>
            </w:r>
          </w:p>
        </w:tc>
      </w:tr>
      <w:tr w:rsidR="00646F4F" w:rsidRPr="00735726" w14:paraId="5B0F1BDA" w14:textId="77777777" w:rsidTr="00CE19B2">
        <w:trPr>
          <w:trHeight w:val="233"/>
        </w:trPr>
        <w:tc>
          <w:tcPr>
            <w:tcW w:w="2411" w:type="dxa"/>
            <w:tcMar>
              <w:top w:w="11" w:type="dxa"/>
              <w:left w:w="57" w:type="dxa"/>
              <w:bottom w:w="11" w:type="dxa"/>
              <w:right w:w="57" w:type="dxa"/>
            </w:tcMar>
          </w:tcPr>
          <w:p w14:paraId="3BB85CF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Cost: </w:t>
            </w:r>
          </w:p>
        </w:tc>
        <w:tc>
          <w:tcPr>
            <w:tcW w:w="1267" w:type="dxa"/>
            <w:tcMar>
              <w:top w:w="11" w:type="dxa"/>
              <w:left w:w="57" w:type="dxa"/>
              <w:bottom w:w="11" w:type="dxa"/>
              <w:right w:w="57" w:type="dxa"/>
            </w:tcMar>
          </w:tcPr>
          <w:p w14:paraId="2AD4440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7" w:type="dxa"/>
            <w:tcMar>
              <w:top w:w="11" w:type="dxa"/>
              <w:left w:w="57" w:type="dxa"/>
              <w:bottom w:w="11" w:type="dxa"/>
              <w:right w:w="57" w:type="dxa"/>
            </w:tcMar>
          </w:tcPr>
          <w:p w14:paraId="2C43A76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76" w:type="dxa"/>
            <w:tcMar>
              <w:top w:w="11" w:type="dxa"/>
              <w:left w:w="57" w:type="dxa"/>
              <w:bottom w:w="11" w:type="dxa"/>
              <w:right w:w="57" w:type="dxa"/>
            </w:tcMar>
          </w:tcPr>
          <w:p w14:paraId="3A78E2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8" w:type="dxa"/>
            <w:tcMar>
              <w:top w:w="11" w:type="dxa"/>
              <w:left w:w="57" w:type="dxa"/>
              <w:bottom w:w="11" w:type="dxa"/>
              <w:right w:w="57" w:type="dxa"/>
            </w:tcMar>
          </w:tcPr>
          <w:p w14:paraId="4AA911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Pr>
          <w:p w14:paraId="530987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Mar>
              <w:top w:w="11" w:type="dxa"/>
              <w:left w:w="57" w:type="dxa"/>
              <w:bottom w:w="11" w:type="dxa"/>
              <w:right w:w="57" w:type="dxa"/>
            </w:tcMar>
          </w:tcPr>
          <w:p w14:paraId="2F9DFD6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D121BA" w:rsidRPr="00735726" w14:paraId="037FD014" w14:textId="77777777" w:rsidTr="00CE19B2">
        <w:trPr>
          <w:trHeight w:val="233"/>
        </w:trPr>
        <w:tc>
          <w:tcPr>
            <w:tcW w:w="2411" w:type="dxa"/>
            <w:tcMar>
              <w:top w:w="11" w:type="dxa"/>
              <w:left w:w="57" w:type="dxa"/>
              <w:bottom w:w="11" w:type="dxa"/>
              <w:right w:w="57" w:type="dxa"/>
            </w:tcMar>
          </w:tcPr>
          <w:p w14:paraId="1B349D88" w14:textId="211F1F15"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1267" w:type="dxa"/>
            <w:tcMar>
              <w:top w:w="11" w:type="dxa"/>
              <w:left w:w="57" w:type="dxa"/>
              <w:bottom w:w="11" w:type="dxa"/>
              <w:right w:w="57" w:type="dxa"/>
            </w:tcMar>
          </w:tcPr>
          <w:p w14:paraId="4C8C1C4F" w14:textId="194FBB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5.3</w:t>
            </w:r>
          </w:p>
        </w:tc>
        <w:tc>
          <w:tcPr>
            <w:tcW w:w="1417" w:type="dxa"/>
            <w:tcMar>
              <w:top w:w="11" w:type="dxa"/>
              <w:left w:w="57" w:type="dxa"/>
              <w:bottom w:w="11" w:type="dxa"/>
              <w:right w:w="57" w:type="dxa"/>
            </w:tcMar>
          </w:tcPr>
          <w:p w14:paraId="3626DB7D" w14:textId="0BF5FBAC"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404.0</w:t>
            </w:r>
          </w:p>
        </w:tc>
        <w:tc>
          <w:tcPr>
            <w:tcW w:w="1276" w:type="dxa"/>
            <w:tcMar>
              <w:top w:w="11" w:type="dxa"/>
              <w:left w:w="57" w:type="dxa"/>
              <w:bottom w:w="11" w:type="dxa"/>
              <w:right w:w="57" w:type="dxa"/>
            </w:tcMar>
          </w:tcPr>
          <w:p w14:paraId="0BBF2D9E" w14:textId="25BC6D5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336.9</w:t>
            </w:r>
          </w:p>
        </w:tc>
        <w:tc>
          <w:tcPr>
            <w:tcW w:w="1418" w:type="dxa"/>
            <w:tcMar>
              <w:top w:w="11" w:type="dxa"/>
              <w:left w:w="57" w:type="dxa"/>
              <w:bottom w:w="11" w:type="dxa"/>
              <w:right w:w="57" w:type="dxa"/>
            </w:tcMar>
          </w:tcPr>
          <w:p w14:paraId="4045CCC2" w14:textId="679FD6DE"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425.7</w:t>
            </w:r>
          </w:p>
        </w:tc>
        <w:tc>
          <w:tcPr>
            <w:tcW w:w="1134" w:type="dxa"/>
          </w:tcPr>
          <w:p w14:paraId="50CCF775" w14:textId="14C978A4"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Mar>
              <w:top w:w="11" w:type="dxa"/>
              <w:left w:w="57" w:type="dxa"/>
              <w:bottom w:w="11" w:type="dxa"/>
              <w:right w:w="57" w:type="dxa"/>
            </w:tcMar>
          </w:tcPr>
          <w:p w14:paraId="623E1A32" w14:textId="2747D13A"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1,171.9</w:t>
            </w:r>
          </w:p>
        </w:tc>
      </w:tr>
      <w:tr w:rsidR="00D121BA" w:rsidRPr="00735726" w14:paraId="0CD81987" w14:textId="77777777" w:rsidTr="00277639">
        <w:trPr>
          <w:trHeight w:val="233"/>
        </w:trPr>
        <w:tc>
          <w:tcPr>
            <w:tcW w:w="2411" w:type="dxa"/>
            <w:tcMar>
              <w:top w:w="11" w:type="dxa"/>
              <w:left w:w="57" w:type="dxa"/>
              <w:bottom w:w="11" w:type="dxa"/>
              <w:right w:w="57" w:type="dxa"/>
            </w:tcMar>
          </w:tcPr>
          <w:p w14:paraId="0F9D595B" w14:textId="4FA21878"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Additions</w:t>
            </w:r>
          </w:p>
        </w:tc>
        <w:tc>
          <w:tcPr>
            <w:tcW w:w="1267" w:type="dxa"/>
            <w:tcBorders>
              <w:bottom w:val="single" w:sz="4" w:space="0" w:color="auto"/>
            </w:tcBorders>
            <w:tcMar>
              <w:top w:w="11" w:type="dxa"/>
              <w:left w:w="57" w:type="dxa"/>
              <w:bottom w:w="11" w:type="dxa"/>
              <w:right w:w="57" w:type="dxa"/>
            </w:tcMar>
          </w:tcPr>
          <w:p w14:paraId="2279AC10" w14:textId="3C903CBF"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417" w:type="dxa"/>
            <w:tcBorders>
              <w:bottom w:val="single" w:sz="4" w:space="0" w:color="auto"/>
            </w:tcBorders>
            <w:tcMar>
              <w:top w:w="11" w:type="dxa"/>
              <w:left w:w="57" w:type="dxa"/>
              <w:bottom w:w="11" w:type="dxa"/>
              <w:right w:w="57" w:type="dxa"/>
            </w:tcMar>
          </w:tcPr>
          <w:p w14:paraId="30CA978A" w14:textId="50687696"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22.0</w:t>
            </w:r>
          </w:p>
        </w:tc>
        <w:tc>
          <w:tcPr>
            <w:tcW w:w="1276" w:type="dxa"/>
            <w:tcBorders>
              <w:bottom w:val="single" w:sz="4" w:space="0" w:color="auto"/>
            </w:tcBorders>
            <w:tcMar>
              <w:top w:w="11" w:type="dxa"/>
              <w:left w:w="57" w:type="dxa"/>
              <w:bottom w:w="11" w:type="dxa"/>
              <w:right w:w="57" w:type="dxa"/>
            </w:tcMar>
          </w:tcPr>
          <w:p w14:paraId="672445AC" w14:textId="0BFA857D"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0.8</w:t>
            </w:r>
          </w:p>
        </w:tc>
        <w:tc>
          <w:tcPr>
            <w:tcW w:w="1418" w:type="dxa"/>
            <w:tcBorders>
              <w:bottom w:val="single" w:sz="4" w:space="0" w:color="auto"/>
            </w:tcBorders>
            <w:tcMar>
              <w:top w:w="11" w:type="dxa"/>
              <w:left w:w="57" w:type="dxa"/>
              <w:bottom w:w="11" w:type="dxa"/>
              <w:right w:w="57" w:type="dxa"/>
            </w:tcMar>
          </w:tcPr>
          <w:p w14:paraId="7591CEB1" w14:textId="3E7F0681"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2.1</w:t>
            </w:r>
          </w:p>
        </w:tc>
        <w:tc>
          <w:tcPr>
            <w:tcW w:w="1134" w:type="dxa"/>
            <w:tcBorders>
              <w:bottom w:val="single" w:sz="4" w:space="0" w:color="auto"/>
            </w:tcBorders>
          </w:tcPr>
          <w:p w14:paraId="75B35C20" w14:textId="190317D4"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992" w:type="dxa"/>
            <w:tcBorders>
              <w:bottom w:val="single" w:sz="4" w:space="0" w:color="auto"/>
            </w:tcBorders>
            <w:tcMar>
              <w:top w:w="11" w:type="dxa"/>
              <w:left w:w="57" w:type="dxa"/>
              <w:bottom w:w="11" w:type="dxa"/>
              <w:right w:w="57" w:type="dxa"/>
            </w:tcMar>
          </w:tcPr>
          <w:p w14:paraId="7CE23354" w14:textId="5D160FC9"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24.9</w:t>
            </w:r>
          </w:p>
        </w:tc>
      </w:tr>
      <w:tr w:rsidR="00D121BA" w:rsidRPr="00735726" w14:paraId="06859A17" w14:textId="77777777" w:rsidTr="00277639">
        <w:trPr>
          <w:trHeight w:val="233"/>
        </w:trPr>
        <w:tc>
          <w:tcPr>
            <w:tcW w:w="2411" w:type="dxa"/>
            <w:tcMar>
              <w:top w:w="11" w:type="dxa"/>
              <w:left w:w="57" w:type="dxa"/>
              <w:bottom w:w="11" w:type="dxa"/>
              <w:right w:w="57" w:type="dxa"/>
            </w:tcMar>
          </w:tcPr>
          <w:p w14:paraId="6DAC6650" w14:textId="67C6B151"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1267" w:type="dxa"/>
            <w:tcBorders>
              <w:top w:val="single" w:sz="4" w:space="0" w:color="auto"/>
              <w:bottom w:val="single" w:sz="4" w:space="0" w:color="auto"/>
            </w:tcBorders>
            <w:tcMar>
              <w:top w:w="11" w:type="dxa"/>
              <w:left w:w="57" w:type="dxa"/>
              <w:bottom w:w="11" w:type="dxa"/>
              <w:right w:w="57" w:type="dxa"/>
            </w:tcMar>
          </w:tcPr>
          <w:p w14:paraId="09DE0F64"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5.3</w:t>
            </w:r>
          </w:p>
        </w:tc>
        <w:tc>
          <w:tcPr>
            <w:tcW w:w="1417" w:type="dxa"/>
            <w:tcBorders>
              <w:top w:val="single" w:sz="4" w:space="0" w:color="auto"/>
              <w:bottom w:val="single" w:sz="4" w:space="0" w:color="auto"/>
            </w:tcBorders>
            <w:tcMar>
              <w:top w:w="11" w:type="dxa"/>
              <w:left w:w="57" w:type="dxa"/>
              <w:bottom w:w="11" w:type="dxa"/>
              <w:right w:w="57" w:type="dxa"/>
            </w:tcMar>
          </w:tcPr>
          <w:p w14:paraId="27011A6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426.0</w:t>
            </w:r>
          </w:p>
        </w:tc>
        <w:tc>
          <w:tcPr>
            <w:tcW w:w="1276" w:type="dxa"/>
            <w:tcBorders>
              <w:top w:val="single" w:sz="4" w:space="0" w:color="auto"/>
              <w:bottom w:val="single" w:sz="4" w:space="0" w:color="auto"/>
            </w:tcBorders>
            <w:tcMar>
              <w:top w:w="11" w:type="dxa"/>
              <w:left w:w="57" w:type="dxa"/>
              <w:bottom w:w="11" w:type="dxa"/>
              <w:right w:w="57" w:type="dxa"/>
            </w:tcMar>
          </w:tcPr>
          <w:p w14:paraId="705F18FD"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337.7</w:t>
            </w:r>
          </w:p>
        </w:tc>
        <w:tc>
          <w:tcPr>
            <w:tcW w:w="1418" w:type="dxa"/>
            <w:tcBorders>
              <w:top w:val="single" w:sz="4" w:space="0" w:color="auto"/>
              <w:bottom w:val="single" w:sz="4" w:space="0" w:color="auto"/>
            </w:tcBorders>
            <w:tcMar>
              <w:top w:w="11" w:type="dxa"/>
              <w:left w:w="57" w:type="dxa"/>
              <w:bottom w:w="11" w:type="dxa"/>
              <w:right w:w="57" w:type="dxa"/>
            </w:tcMar>
          </w:tcPr>
          <w:p w14:paraId="0B4EA2DE"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427.8</w:t>
            </w:r>
          </w:p>
        </w:tc>
        <w:tc>
          <w:tcPr>
            <w:tcW w:w="1134" w:type="dxa"/>
            <w:tcBorders>
              <w:top w:val="single" w:sz="4" w:space="0" w:color="auto"/>
              <w:bottom w:val="single" w:sz="4" w:space="0" w:color="auto"/>
            </w:tcBorders>
          </w:tcPr>
          <w:p w14:paraId="62CAC2FD"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17A7416C"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1,196.8</w:t>
            </w:r>
          </w:p>
        </w:tc>
      </w:tr>
      <w:tr w:rsidR="00D121BA" w:rsidRPr="00735726" w14:paraId="1BC3AA30" w14:textId="77777777" w:rsidTr="00277639">
        <w:trPr>
          <w:trHeight w:val="233"/>
        </w:trPr>
        <w:tc>
          <w:tcPr>
            <w:tcW w:w="2411" w:type="dxa"/>
            <w:tcMar>
              <w:top w:w="11" w:type="dxa"/>
              <w:left w:w="57" w:type="dxa"/>
              <w:bottom w:w="11" w:type="dxa"/>
              <w:right w:w="57" w:type="dxa"/>
            </w:tcMar>
          </w:tcPr>
          <w:p w14:paraId="4E750D44"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Additions</w:t>
            </w:r>
          </w:p>
        </w:tc>
        <w:tc>
          <w:tcPr>
            <w:tcW w:w="1267" w:type="dxa"/>
            <w:tcBorders>
              <w:top w:val="single" w:sz="4" w:space="0" w:color="auto"/>
            </w:tcBorders>
            <w:tcMar>
              <w:top w:w="11" w:type="dxa"/>
              <w:left w:w="57" w:type="dxa"/>
              <w:bottom w:w="11" w:type="dxa"/>
              <w:right w:w="57" w:type="dxa"/>
            </w:tcMar>
          </w:tcPr>
          <w:p w14:paraId="7B8ACA48" w14:textId="518F157D"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417" w:type="dxa"/>
            <w:tcBorders>
              <w:top w:val="single" w:sz="4" w:space="0" w:color="auto"/>
            </w:tcBorders>
            <w:tcMar>
              <w:top w:w="11" w:type="dxa"/>
              <w:left w:w="57" w:type="dxa"/>
              <w:bottom w:w="11" w:type="dxa"/>
              <w:right w:w="57" w:type="dxa"/>
            </w:tcMar>
          </w:tcPr>
          <w:p w14:paraId="167F3188"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276" w:type="dxa"/>
            <w:tcBorders>
              <w:top w:val="single" w:sz="4" w:space="0" w:color="auto"/>
            </w:tcBorders>
            <w:tcMar>
              <w:top w:w="11" w:type="dxa"/>
              <w:left w:w="57" w:type="dxa"/>
              <w:bottom w:w="11" w:type="dxa"/>
              <w:right w:w="57" w:type="dxa"/>
            </w:tcMar>
          </w:tcPr>
          <w:p w14:paraId="289BEE2C"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w:t>
            </w:r>
          </w:p>
        </w:tc>
        <w:tc>
          <w:tcPr>
            <w:tcW w:w="1418" w:type="dxa"/>
            <w:tcBorders>
              <w:top w:val="single" w:sz="4" w:space="0" w:color="auto"/>
            </w:tcBorders>
            <w:tcMar>
              <w:top w:w="11" w:type="dxa"/>
              <w:left w:w="57" w:type="dxa"/>
              <w:bottom w:w="11" w:type="dxa"/>
              <w:right w:w="57" w:type="dxa"/>
            </w:tcMar>
          </w:tcPr>
          <w:p w14:paraId="010CD791" w14:textId="18EF30D8"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32.0</w:t>
            </w:r>
          </w:p>
        </w:tc>
        <w:tc>
          <w:tcPr>
            <w:tcW w:w="1134" w:type="dxa"/>
            <w:tcBorders>
              <w:top w:val="single" w:sz="4" w:space="0" w:color="auto"/>
            </w:tcBorders>
          </w:tcPr>
          <w:p w14:paraId="64B69763" w14:textId="3F736C1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52.9</w:t>
            </w:r>
          </w:p>
        </w:tc>
        <w:tc>
          <w:tcPr>
            <w:tcW w:w="992" w:type="dxa"/>
            <w:tcBorders>
              <w:top w:val="single" w:sz="4" w:space="0" w:color="auto"/>
            </w:tcBorders>
            <w:tcMar>
              <w:top w:w="11" w:type="dxa"/>
              <w:left w:w="57" w:type="dxa"/>
              <w:bottom w:w="11" w:type="dxa"/>
              <w:right w:w="57" w:type="dxa"/>
            </w:tcMar>
          </w:tcPr>
          <w:p w14:paraId="4BDA9645" w14:textId="13E7D9E2"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90.0</w:t>
            </w:r>
          </w:p>
        </w:tc>
      </w:tr>
      <w:tr w:rsidR="00D121BA" w:rsidRPr="00735726" w14:paraId="5FAE8887" w14:textId="77777777" w:rsidTr="00277639">
        <w:trPr>
          <w:trHeight w:val="233"/>
        </w:trPr>
        <w:tc>
          <w:tcPr>
            <w:tcW w:w="2411" w:type="dxa"/>
            <w:tcMar>
              <w:top w:w="11" w:type="dxa"/>
              <w:left w:w="57" w:type="dxa"/>
              <w:bottom w:w="11" w:type="dxa"/>
              <w:right w:w="57" w:type="dxa"/>
            </w:tcMar>
          </w:tcPr>
          <w:p w14:paraId="3C64B41A"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Disposals</w:t>
            </w:r>
          </w:p>
        </w:tc>
        <w:tc>
          <w:tcPr>
            <w:tcW w:w="1267" w:type="dxa"/>
            <w:tcBorders>
              <w:bottom w:val="single" w:sz="4" w:space="0" w:color="auto"/>
            </w:tcBorders>
            <w:tcMar>
              <w:top w:w="11" w:type="dxa"/>
              <w:left w:w="57" w:type="dxa"/>
              <w:bottom w:w="11" w:type="dxa"/>
              <w:right w:w="57" w:type="dxa"/>
            </w:tcMar>
          </w:tcPr>
          <w:p w14:paraId="7E5E19E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417" w:type="dxa"/>
            <w:tcBorders>
              <w:bottom w:val="single" w:sz="4" w:space="0" w:color="auto"/>
            </w:tcBorders>
            <w:tcMar>
              <w:top w:w="11" w:type="dxa"/>
              <w:left w:w="57" w:type="dxa"/>
              <w:bottom w:w="11" w:type="dxa"/>
              <w:right w:w="57" w:type="dxa"/>
            </w:tcMar>
          </w:tcPr>
          <w:p w14:paraId="7B15295B"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(6.4)</w:t>
            </w:r>
          </w:p>
        </w:tc>
        <w:tc>
          <w:tcPr>
            <w:tcW w:w="1276" w:type="dxa"/>
            <w:tcBorders>
              <w:bottom w:val="single" w:sz="4" w:space="0" w:color="auto"/>
            </w:tcBorders>
            <w:tcMar>
              <w:top w:w="11" w:type="dxa"/>
              <w:left w:w="57" w:type="dxa"/>
              <w:bottom w:w="11" w:type="dxa"/>
              <w:right w:w="57" w:type="dxa"/>
            </w:tcMar>
          </w:tcPr>
          <w:p w14:paraId="75E071EE"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(10.5)</w:t>
            </w:r>
          </w:p>
        </w:tc>
        <w:tc>
          <w:tcPr>
            <w:tcW w:w="1418" w:type="dxa"/>
            <w:tcBorders>
              <w:bottom w:val="single" w:sz="4" w:space="0" w:color="auto"/>
            </w:tcBorders>
            <w:tcMar>
              <w:top w:w="11" w:type="dxa"/>
              <w:left w:w="57" w:type="dxa"/>
              <w:bottom w:w="11" w:type="dxa"/>
              <w:right w:w="57" w:type="dxa"/>
            </w:tcMar>
          </w:tcPr>
          <w:p w14:paraId="3E7FAAA0"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(36.9)</w:t>
            </w:r>
          </w:p>
        </w:tc>
        <w:tc>
          <w:tcPr>
            <w:tcW w:w="1134" w:type="dxa"/>
            <w:tcBorders>
              <w:bottom w:val="single" w:sz="4" w:space="0" w:color="auto"/>
            </w:tcBorders>
          </w:tcPr>
          <w:p w14:paraId="42C19D02"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92" w:type="dxa"/>
            <w:tcBorders>
              <w:bottom w:val="single" w:sz="4" w:space="0" w:color="auto"/>
            </w:tcBorders>
            <w:tcMar>
              <w:top w:w="11" w:type="dxa"/>
              <w:left w:w="57" w:type="dxa"/>
              <w:bottom w:w="11" w:type="dxa"/>
              <w:right w:w="57" w:type="dxa"/>
            </w:tcMar>
          </w:tcPr>
          <w:p w14:paraId="18B12A40"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(54.0)</w:t>
            </w:r>
          </w:p>
        </w:tc>
      </w:tr>
      <w:tr w:rsidR="00D121BA" w:rsidRPr="00735726" w14:paraId="7FE5F0B8" w14:textId="77777777" w:rsidTr="00277639">
        <w:trPr>
          <w:trHeight w:val="233"/>
        </w:trPr>
        <w:tc>
          <w:tcPr>
            <w:tcW w:w="2411" w:type="dxa"/>
            <w:tcMar>
              <w:top w:w="11" w:type="dxa"/>
              <w:left w:w="57" w:type="dxa"/>
              <w:bottom w:w="11" w:type="dxa"/>
              <w:right w:w="57" w:type="dxa"/>
            </w:tcMar>
          </w:tcPr>
          <w:p w14:paraId="45B8947C"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1267" w:type="dxa"/>
            <w:tcBorders>
              <w:top w:val="single" w:sz="4" w:space="0" w:color="auto"/>
              <w:bottom w:val="single" w:sz="4" w:space="0" w:color="auto"/>
            </w:tcBorders>
            <w:tcMar>
              <w:top w:w="11" w:type="dxa"/>
              <w:left w:w="57" w:type="dxa"/>
              <w:bottom w:w="11" w:type="dxa"/>
              <w:right w:w="57" w:type="dxa"/>
            </w:tcMar>
          </w:tcPr>
          <w:p w14:paraId="55253309" w14:textId="14DA40EB"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5.9</w:t>
            </w:r>
          </w:p>
        </w:tc>
        <w:tc>
          <w:tcPr>
            <w:tcW w:w="1417" w:type="dxa"/>
            <w:tcBorders>
              <w:top w:val="single" w:sz="4" w:space="0" w:color="auto"/>
              <w:bottom w:val="single" w:sz="4" w:space="0" w:color="auto"/>
            </w:tcBorders>
            <w:tcMar>
              <w:top w:w="11" w:type="dxa"/>
              <w:left w:w="57" w:type="dxa"/>
              <w:bottom w:w="11" w:type="dxa"/>
              <w:right w:w="57" w:type="dxa"/>
            </w:tcMar>
          </w:tcPr>
          <w:p w14:paraId="0F23BFE2"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419.8</w:t>
            </w:r>
          </w:p>
        </w:tc>
        <w:tc>
          <w:tcPr>
            <w:tcW w:w="1276" w:type="dxa"/>
            <w:tcBorders>
              <w:top w:val="single" w:sz="4" w:space="0" w:color="auto"/>
              <w:bottom w:val="single" w:sz="4" w:space="0" w:color="auto"/>
            </w:tcBorders>
            <w:tcMar>
              <w:top w:w="11" w:type="dxa"/>
              <w:left w:w="57" w:type="dxa"/>
              <w:bottom w:w="11" w:type="dxa"/>
              <w:right w:w="57" w:type="dxa"/>
            </w:tcMar>
          </w:tcPr>
          <w:p w14:paraId="6984EBE2"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331.3</w:t>
            </w:r>
          </w:p>
        </w:tc>
        <w:tc>
          <w:tcPr>
            <w:tcW w:w="1418" w:type="dxa"/>
            <w:tcBorders>
              <w:top w:val="single" w:sz="4" w:space="0" w:color="auto"/>
              <w:bottom w:val="single" w:sz="4" w:space="0" w:color="auto"/>
            </w:tcBorders>
            <w:tcMar>
              <w:top w:w="11" w:type="dxa"/>
              <w:left w:w="57" w:type="dxa"/>
              <w:bottom w:w="11" w:type="dxa"/>
              <w:right w:w="57" w:type="dxa"/>
            </w:tcMar>
          </w:tcPr>
          <w:p w14:paraId="2B5A3271" w14:textId="06F5AA4A"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422.9</w:t>
            </w:r>
          </w:p>
        </w:tc>
        <w:tc>
          <w:tcPr>
            <w:tcW w:w="1134" w:type="dxa"/>
            <w:tcBorders>
              <w:top w:val="single" w:sz="4" w:space="0" w:color="auto"/>
              <w:bottom w:val="single" w:sz="4" w:space="0" w:color="auto"/>
            </w:tcBorders>
          </w:tcPr>
          <w:p w14:paraId="3E4DDDC3" w14:textId="5162B535"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52.9</w:t>
            </w:r>
          </w:p>
        </w:tc>
        <w:tc>
          <w:tcPr>
            <w:tcW w:w="992" w:type="dxa"/>
            <w:tcBorders>
              <w:top w:val="single" w:sz="4" w:space="0" w:color="auto"/>
              <w:bottom w:val="single" w:sz="4" w:space="0" w:color="auto"/>
            </w:tcBorders>
            <w:tcMar>
              <w:top w:w="11" w:type="dxa"/>
              <w:left w:w="57" w:type="dxa"/>
              <w:bottom w:w="11" w:type="dxa"/>
              <w:right w:w="57" w:type="dxa"/>
            </w:tcMar>
          </w:tcPr>
          <w:p w14:paraId="4C414AF8" w14:textId="485C4561"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1,232.8</w:t>
            </w:r>
          </w:p>
        </w:tc>
      </w:tr>
      <w:tr w:rsidR="00D121BA" w:rsidRPr="00735726" w14:paraId="6323CAED" w14:textId="77777777" w:rsidTr="00277639">
        <w:trPr>
          <w:trHeight w:val="233"/>
        </w:trPr>
        <w:tc>
          <w:tcPr>
            <w:tcW w:w="2411" w:type="dxa"/>
            <w:tcMar>
              <w:top w:w="11" w:type="dxa"/>
              <w:left w:w="57" w:type="dxa"/>
              <w:bottom w:w="11" w:type="dxa"/>
              <w:right w:w="57" w:type="dxa"/>
            </w:tcMar>
          </w:tcPr>
          <w:p w14:paraId="3350C0E0"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267" w:type="dxa"/>
            <w:tcBorders>
              <w:top w:val="single" w:sz="4" w:space="0" w:color="auto"/>
            </w:tcBorders>
            <w:tcMar>
              <w:top w:w="11" w:type="dxa"/>
              <w:left w:w="57" w:type="dxa"/>
              <w:bottom w:w="11" w:type="dxa"/>
              <w:right w:w="57" w:type="dxa"/>
            </w:tcMar>
          </w:tcPr>
          <w:p w14:paraId="3C0418EF"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17" w:type="dxa"/>
            <w:tcBorders>
              <w:top w:val="single" w:sz="4" w:space="0" w:color="auto"/>
            </w:tcBorders>
            <w:tcMar>
              <w:top w:w="11" w:type="dxa"/>
              <w:left w:w="57" w:type="dxa"/>
              <w:bottom w:w="11" w:type="dxa"/>
              <w:right w:w="57" w:type="dxa"/>
            </w:tcMar>
          </w:tcPr>
          <w:p w14:paraId="043D4E36"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76" w:type="dxa"/>
            <w:tcBorders>
              <w:top w:val="single" w:sz="4" w:space="0" w:color="auto"/>
            </w:tcBorders>
            <w:tcMar>
              <w:top w:w="11" w:type="dxa"/>
              <w:left w:w="57" w:type="dxa"/>
              <w:bottom w:w="11" w:type="dxa"/>
              <w:right w:w="57" w:type="dxa"/>
            </w:tcMar>
          </w:tcPr>
          <w:p w14:paraId="3EEE28BC"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18" w:type="dxa"/>
            <w:tcBorders>
              <w:top w:val="single" w:sz="4" w:space="0" w:color="auto"/>
            </w:tcBorders>
            <w:tcMar>
              <w:top w:w="11" w:type="dxa"/>
              <w:left w:w="57" w:type="dxa"/>
              <w:bottom w:w="11" w:type="dxa"/>
              <w:right w:w="57" w:type="dxa"/>
            </w:tcMar>
          </w:tcPr>
          <w:p w14:paraId="519D9A33"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Pr>
          <w:p w14:paraId="26317191"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51DE95C0"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D121BA" w:rsidRPr="00735726" w14:paraId="19FF6E66" w14:textId="77777777" w:rsidTr="00CE19B2">
        <w:trPr>
          <w:trHeight w:val="233"/>
        </w:trPr>
        <w:tc>
          <w:tcPr>
            <w:tcW w:w="2411" w:type="dxa"/>
            <w:tcMar>
              <w:top w:w="11" w:type="dxa"/>
              <w:left w:w="57" w:type="dxa"/>
              <w:bottom w:w="11" w:type="dxa"/>
              <w:right w:w="57" w:type="dxa"/>
            </w:tcMar>
          </w:tcPr>
          <w:p w14:paraId="6F2CE0AE"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Accumulated depreciation:</w:t>
            </w:r>
          </w:p>
        </w:tc>
        <w:tc>
          <w:tcPr>
            <w:tcW w:w="1267" w:type="dxa"/>
            <w:tcMar>
              <w:top w:w="11" w:type="dxa"/>
              <w:left w:w="57" w:type="dxa"/>
              <w:bottom w:w="11" w:type="dxa"/>
              <w:right w:w="57" w:type="dxa"/>
            </w:tcMar>
          </w:tcPr>
          <w:p w14:paraId="27B45359"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7" w:type="dxa"/>
            <w:tcMar>
              <w:top w:w="11" w:type="dxa"/>
              <w:left w:w="57" w:type="dxa"/>
              <w:bottom w:w="11" w:type="dxa"/>
              <w:right w:w="57" w:type="dxa"/>
            </w:tcMar>
          </w:tcPr>
          <w:p w14:paraId="4BEE329B"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76" w:type="dxa"/>
            <w:tcMar>
              <w:top w:w="11" w:type="dxa"/>
              <w:left w:w="57" w:type="dxa"/>
              <w:bottom w:w="11" w:type="dxa"/>
              <w:right w:w="57" w:type="dxa"/>
            </w:tcMar>
          </w:tcPr>
          <w:p w14:paraId="0C1843C5"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8" w:type="dxa"/>
            <w:tcMar>
              <w:top w:w="11" w:type="dxa"/>
              <w:left w:w="57" w:type="dxa"/>
              <w:bottom w:w="11" w:type="dxa"/>
              <w:right w:w="57" w:type="dxa"/>
            </w:tcMar>
          </w:tcPr>
          <w:p w14:paraId="19EC9FC8"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Pr>
          <w:p w14:paraId="25BA6C83"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Mar>
              <w:top w:w="11" w:type="dxa"/>
              <w:left w:w="57" w:type="dxa"/>
              <w:bottom w:w="11" w:type="dxa"/>
              <w:right w:w="57" w:type="dxa"/>
            </w:tcMar>
          </w:tcPr>
          <w:p w14:paraId="7BE1A18C"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D121BA" w:rsidRPr="00735726" w14:paraId="473F18E0" w14:textId="77777777" w:rsidTr="00CE19B2">
        <w:trPr>
          <w:trHeight w:val="233"/>
        </w:trPr>
        <w:tc>
          <w:tcPr>
            <w:tcW w:w="2411" w:type="dxa"/>
            <w:tcMar>
              <w:top w:w="11" w:type="dxa"/>
              <w:left w:w="57" w:type="dxa"/>
              <w:bottom w:w="11" w:type="dxa"/>
              <w:right w:w="57" w:type="dxa"/>
            </w:tcMar>
          </w:tcPr>
          <w:p w14:paraId="35217827" w14:textId="41F82FF6"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1267" w:type="dxa"/>
            <w:tcMar>
              <w:top w:w="11" w:type="dxa"/>
              <w:left w:w="57" w:type="dxa"/>
              <w:bottom w:w="11" w:type="dxa"/>
              <w:right w:w="57" w:type="dxa"/>
            </w:tcMar>
          </w:tcPr>
          <w:p w14:paraId="600B3BC5" w14:textId="753D2772"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0.6</w:t>
            </w:r>
          </w:p>
        </w:tc>
        <w:tc>
          <w:tcPr>
            <w:tcW w:w="1417" w:type="dxa"/>
            <w:tcMar>
              <w:top w:w="11" w:type="dxa"/>
              <w:left w:w="57" w:type="dxa"/>
              <w:bottom w:w="11" w:type="dxa"/>
              <w:right w:w="57" w:type="dxa"/>
            </w:tcMar>
          </w:tcPr>
          <w:p w14:paraId="2A00D8F9" w14:textId="4AF623D4"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75.1</w:t>
            </w:r>
          </w:p>
        </w:tc>
        <w:tc>
          <w:tcPr>
            <w:tcW w:w="1276" w:type="dxa"/>
            <w:tcMar>
              <w:top w:w="11" w:type="dxa"/>
              <w:left w:w="57" w:type="dxa"/>
              <w:bottom w:w="11" w:type="dxa"/>
              <w:right w:w="57" w:type="dxa"/>
            </w:tcMar>
          </w:tcPr>
          <w:p w14:paraId="7D908B37" w14:textId="6B8AA7B1"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96.4</w:t>
            </w:r>
          </w:p>
        </w:tc>
        <w:tc>
          <w:tcPr>
            <w:tcW w:w="1418" w:type="dxa"/>
            <w:tcMar>
              <w:top w:w="11" w:type="dxa"/>
              <w:left w:w="57" w:type="dxa"/>
              <w:bottom w:w="11" w:type="dxa"/>
              <w:right w:w="57" w:type="dxa"/>
            </w:tcMar>
          </w:tcPr>
          <w:p w14:paraId="2D39B71D" w14:textId="091E8DA2"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209.9</w:t>
            </w:r>
          </w:p>
        </w:tc>
        <w:tc>
          <w:tcPr>
            <w:tcW w:w="1134" w:type="dxa"/>
          </w:tcPr>
          <w:p w14:paraId="1A32B060" w14:textId="536E2663"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Mar>
              <w:top w:w="11" w:type="dxa"/>
              <w:left w:w="57" w:type="dxa"/>
              <w:bottom w:w="11" w:type="dxa"/>
              <w:right w:w="57" w:type="dxa"/>
            </w:tcMar>
          </w:tcPr>
          <w:p w14:paraId="25A50860" w14:textId="1C5DA408"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382.0</w:t>
            </w:r>
          </w:p>
        </w:tc>
      </w:tr>
      <w:tr w:rsidR="00D121BA" w:rsidRPr="00735726" w14:paraId="709739A3" w14:textId="77777777" w:rsidTr="00277639">
        <w:trPr>
          <w:trHeight w:val="233"/>
        </w:trPr>
        <w:tc>
          <w:tcPr>
            <w:tcW w:w="2411" w:type="dxa"/>
            <w:tcMar>
              <w:top w:w="11" w:type="dxa"/>
              <w:left w:w="57" w:type="dxa"/>
              <w:bottom w:w="11" w:type="dxa"/>
              <w:right w:w="57" w:type="dxa"/>
            </w:tcMar>
          </w:tcPr>
          <w:p w14:paraId="208C02B4" w14:textId="05CC4032"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Additions</w:t>
            </w:r>
          </w:p>
        </w:tc>
        <w:tc>
          <w:tcPr>
            <w:tcW w:w="1267" w:type="dxa"/>
            <w:tcBorders>
              <w:bottom w:val="single" w:sz="4" w:space="0" w:color="auto"/>
            </w:tcBorders>
            <w:tcMar>
              <w:top w:w="11" w:type="dxa"/>
              <w:left w:w="57" w:type="dxa"/>
              <w:bottom w:w="11" w:type="dxa"/>
              <w:right w:w="57" w:type="dxa"/>
            </w:tcMar>
          </w:tcPr>
          <w:p w14:paraId="365069A4" w14:textId="691436C6"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0.1</w:t>
            </w:r>
          </w:p>
        </w:tc>
        <w:tc>
          <w:tcPr>
            <w:tcW w:w="1417" w:type="dxa"/>
            <w:tcBorders>
              <w:bottom w:val="single" w:sz="4" w:space="0" w:color="auto"/>
            </w:tcBorders>
            <w:tcMar>
              <w:top w:w="11" w:type="dxa"/>
              <w:left w:w="57" w:type="dxa"/>
              <w:bottom w:w="11" w:type="dxa"/>
              <w:right w:w="57" w:type="dxa"/>
            </w:tcMar>
          </w:tcPr>
          <w:p w14:paraId="45F17F89" w14:textId="41361E0D"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6.2</w:t>
            </w:r>
          </w:p>
        </w:tc>
        <w:tc>
          <w:tcPr>
            <w:tcW w:w="1276" w:type="dxa"/>
            <w:tcBorders>
              <w:bottom w:val="single" w:sz="4" w:space="0" w:color="auto"/>
            </w:tcBorders>
            <w:tcMar>
              <w:top w:w="11" w:type="dxa"/>
              <w:left w:w="57" w:type="dxa"/>
              <w:bottom w:w="11" w:type="dxa"/>
              <w:right w:w="57" w:type="dxa"/>
            </w:tcMar>
          </w:tcPr>
          <w:p w14:paraId="5CB68522" w14:textId="017DA8BE"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5.8</w:t>
            </w:r>
          </w:p>
        </w:tc>
        <w:tc>
          <w:tcPr>
            <w:tcW w:w="1418" w:type="dxa"/>
            <w:tcBorders>
              <w:bottom w:val="single" w:sz="4" w:space="0" w:color="auto"/>
            </w:tcBorders>
            <w:tcMar>
              <w:top w:w="11" w:type="dxa"/>
              <w:left w:w="57" w:type="dxa"/>
              <w:bottom w:w="11" w:type="dxa"/>
              <w:right w:w="57" w:type="dxa"/>
            </w:tcMar>
          </w:tcPr>
          <w:p w14:paraId="611E4570" w14:textId="4F52D9E8"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21.5</w:t>
            </w:r>
          </w:p>
        </w:tc>
        <w:tc>
          <w:tcPr>
            <w:tcW w:w="1134" w:type="dxa"/>
            <w:tcBorders>
              <w:bottom w:val="single" w:sz="4" w:space="0" w:color="auto"/>
            </w:tcBorders>
          </w:tcPr>
          <w:p w14:paraId="615ABC97" w14:textId="251BD8C9"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992" w:type="dxa"/>
            <w:tcBorders>
              <w:bottom w:val="single" w:sz="4" w:space="0" w:color="auto"/>
            </w:tcBorders>
            <w:tcMar>
              <w:top w:w="11" w:type="dxa"/>
              <w:left w:w="57" w:type="dxa"/>
              <w:bottom w:w="11" w:type="dxa"/>
              <w:right w:w="57" w:type="dxa"/>
            </w:tcMar>
          </w:tcPr>
          <w:p w14:paraId="7101E410" w14:textId="01F595CD"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33.6</w:t>
            </w:r>
          </w:p>
        </w:tc>
      </w:tr>
      <w:tr w:rsidR="00D121BA" w:rsidRPr="00735726" w14:paraId="62AEDA4D" w14:textId="77777777" w:rsidTr="00277639">
        <w:trPr>
          <w:trHeight w:val="233"/>
        </w:trPr>
        <w:tc>
          <w:tcPr>
            <w:tcW w:w="2411" w:type="dxa"/>
            <w:tcMar>
              <w:top w:w="11" w:type="dxa"/>
              <w:left w:w="57" w:type="dxa"/>
              <w:bottom w:w="11" w:type="dxa"/>
              <w:right w:w="57" w:type="dxa"/>
            </w:tcMar>
          </w:tcPr>
          <w:p w14:paraId="773B0050" w14:textId="4C8D5341"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1267" w:type="dxa"/>
            <w:tcBorders>
              <w:top w:val="single" w:sz="4" w:space="0" w:color="auto"/>
              <w:bottom w:val="single" w:sz="4" w:space="0" w:color="auto"/>
            </w:tcBorders>
            <w:tcMar>
              <w:top w:w="11" w:type="dxa"/>
              <w:left w:w="57" w:type="dxa"/>
              <w:bottom w:w="11" w:type="dxa"/>
              <w:right w:w="57" w:type="dxa"/>
            </w:tcMar>
          </w:tcPr>
          <w:p w14:paraId="2D880549"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0.7</w:t>
            </w:r>
          </w:p>
        </w:tc>
        <w:tc>
          <w:tcPr>
            <w:tcW w:w="1417" w:type="dxa"/>
            <w:tcBorders>
              <w:top w:val="single" w:sz="4" w:space="0" w:color="auto"/>
              <w:bottom w:val="single" w:sz="4" w:space="0" w:color="auto"/>
            </w:tcBorders>
            <w:tcMar>
              <w:top w:w="11" w:type="dxa"/>
              <w:left w:w="57" w:type="dxa"/>
              <w:bottom w:w="11" w:type="dxa"/>
              <w:right w:w="57" w:type="dxa"/>
            </w:tcMar>
          </w:tcPr>
          <w:p w14:paraId="563F7DB0"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81.3</w:t>
            </w:r>
          </w:p>
        </w:tc>
        <w:tc>
          <w:tcPr>
            <w:tcW w:w="1276" w:type="dxa"/>
            <w:tcBorders>
              <w:top w:val="single" w:sz="4" w:space="0" w:color="auto"/>
              <w:bottom w:val="single" w:sz="4" w:space="0" w:color="auto"/>
            </w:tcBorders>
            <w:tcMar>
              <w:top w:w="11" w:type="dxa"/>
              <w:left w:w="57" w:type="dxa"/>
              <w:bottom w:w="11" w:type="dxa"/>
              <w:right w:w="57" w:type="dxa"/>
            </w:tcMar>
          </w:tcPr>
          <w:p w14:paraId="5CC59D4E"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102.2</w:t>
            </w:r>
          </w:p>
        </w:tc>
        <w:tc>
          <w:tcPr>
            <w:tcW w:w="1418" w:type="dxa"/>
            <w:tcBorders>
              <w:top w:val="single" w:sz="4" w:space="0" w:color="auto"/>
              <w:bottom w:val="single" w:sz="4" w:space="0" w:color="auto"/>
            </w:tcBorders>
            <w:tcMar>
              <w:top w:w="11" w:type="dxa"/>
              <w:left w:w="57" w:type="dxa"/>
              <w:bottom w:w="11" w:type="dxa"/>
              <w:right w:w="57" w:type="dxa"/>
            </w:tcMar>
          </w:tcPr>
          <w:p w14:paraId="2430A768"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231.4</w:t>
            </w:r>
          </w:p>
        </w:tc>
        <w:tc>
          <w:tcPr>
            <w:tcW w:w="1134" w:type="dxa"/>
            <w:tcBorders>
              <w:top w:val="single" w:sz="4" w:space="0" w:color="auto"/>
              <w:bottom w:val="single" w:sz="4" w:space="0" w:color="auto"/>
            </w:tcBorders>
          </w:tcPr>
          <w:p w14:paraId="79931419"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1A7702B0"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415.6</w:t>
            </w:r>
          </w:p>
        </w:tc>
      </w:tr>
      <w:tr w:rsidR="00D121BA" w:rsidRPr="00735726" w14:paraId="198FC951" w14:textId="77777777" w:rsidTr="00277639">
        <w:trPr>
          <w:trHeight w:val="233"/>
        </w:trPr>
        <w:tc>
          <w:tcPr>
            <w:tcW w:w="2411" w:type="dxa"/>
            <w:tcMar>
              <w:top w:w="11" w:type="dxa"/>
              <w:left w:w="57" w:type="dxa"/>
              <w:bottom w:w="11" w:type="dxa"/>
              <w:right w:w="57" w:type="dxa"/>
            </w:tcMar>
          </w:tcPr>
          <w:p w14:paraId="68F996EF"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Charge for year</w:t>
            </w:r>
          </w:p>
        </w:tc>
        <w:tc>
          <w:tcPr>
            <w:tcW w:w="1267" w:type="dxa"/>
            <w:tcBorders>
              <w:top w:val="single" w:sz="4" w:space="0" w:color="auto"/>
            </w:tcBorders>
            <w:tcMar>
              <w:top w:w="11" w:type="dxa"/>
              <w:left w:w="57" w:type="dxa"/>
              <w:bottom w:w="11" w:type="dxa"/>
              <w:right w:w="57" w:type="dxa"/>
            </w:tcMar>
          </w:tcPr>
          <w:p w14:paraId="4A203C4B" w14:textId="762E83E6"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w:t>
            </w:r>
          </w:p>
        </w:tc>
        <w:tc>
          <w:tcPr>
            <w:tcW w:w="1417" w:type="dxa"/>
            <w:tcBorders>
              <w:top w:val="single" w:sz="4" w:space="0" w:color="auto"/>
            </w:tcBorders>
            <w:tcMar>
              <w:top w:w="11" w:type="dxa"/>
              <w:left w:w="57" w:type="dxa"/>
              <w:bottom w:w="11" w:type="dxa"/>
              <w:right w:w="57" w:type="dxa"/>
            </w:tcMar>
          </w:tcPr>
          <w:p w14:paraId="51B5F18C" w14:textId="3B1E6221"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6.7</w:t>
            </w:r>
          </w:p>
        </w:tc>
        <w:tc>
          <w:tcPr>
            <w:tcW w:w="1276" w:type="dxa"/>
            <w:tcBorders>
              <w:top w:val="single" w:sz="4" w:space="0" w:color="auto"/>
            </w:tcBorders>
            <w:tcMar>
              <w:top w:w="11" w:type="dxa"/>
              <w:left w:w="57" w:type="dxa"/>
              <w:bottom w:w="11" w:type="dxa"/>
              <w:right w:w="57" w:type="dxa"/>
            </w:tcMar>
          </w:tcPr>
          <w:p w14:paraId="4C005BB4" w14:textId="6736B039"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5.9</w:t>
            </w:r>
          </w:p>
        </w:tc>
        <w:tc>
          <w:tcPr>
            <w:tcW w:w="1418" w:type="dxa"/>
            <w:tcBorders>
              <w:top w:val="single" w:sz="4" w:space="0" w:color="auto"/>
            </w:tcBorders>
            <w:tcMar>
              <w:top w:w="11" w:type="dxa"/>
              <w:left w:w="57" w:type="dxa"/>
              <w:bottom w:w="11" w:type="dxa"/>
              <w:right w:w="57" w:type="dxa"/>
            </w:tcMar>
          </w:tcPr>
          <w:p w14:paraId="44CAEC0C" w14:textId="1FB2FB3F"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20.7</w:t>
            </w:r>
          </w:p>
        </w:tc>
        <w:tc>
          <w:tcPr>
            <w:tcW w:w="1134" w:type="dxa"/>
            <w:tcBorders>
              <w:top w:val="single" w:sz="4" w:space="0" w:color="auto"/>
            </w:tcBorders>
          </w:tcPr>
          <w:p w14:paraId="37CE522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92" w:type="dxa"/>
            <w:tcBorders>
              <w:top w:val="single" w:sz="4" w:space="0" w:color="auto"/>
            </w:tcBorders>
            <w:tcMar>
              <w:top w:w="11" w:type="dxa"/>
              <w:left w:w="57" w:type="dxa"/>
              <w:bottom w:w="11" w:type="dxa"/>
              <w:right w:w="57" w:type="dxa"/>
            </w:tcMar>
          </w:tcPr>
          <w:p w14:paraId="0132EBE1" w14:textId="2F251FB5"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33.6</w:t>
            </w:r>
          </w:p>
        </w:tc>
      </w:tr>
      <w:tr w:rsidR="00D121BA" w:rsidRPr="00735726" w14:paraId="16FFEC9B" w14:textId="77777777" w:rsidTr="00277639">
        <w:trPr>
          <w:trHeight w:val="233"/>
        </w:trPr>
        <w:tc>
          <w:tcPr>
            <w:tcW w:w="2411" w:type="dxa"/>
            <w:tcMar>
              <w:top w:w="11" w:type="dxa"/>
              <w:left w:w="57" w:type="dxa"/>
              <w:bottom w:w="11" w:type="dxa"/>
              <w:right w:w="57" w:type="dxa"/>
            </w:tcMar>
          </w:tcPr>
          <w:p w14:paraId="3C2AF335"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Disposals</w:t>
            </w:r>
          </w:p>
        </w:tc>
        <w:tc>
          <w:tcPr>
            <w:tcW w:w="1267" w:type="dxa"/>
            <w:tcBorders>
              <w:bottom w:val="single" w:sz="4" w:space="0" w:color="auto"/>
            </w:tcBorders>
            <w:tcMar>
              <w:top w:w="11" w:type="dxa"/>
              <w:left w:w="57" w:type="dxa"/>
              <w:bottom w:w="11" w:type="dxa"/>
              <w:right w:w="57" w:type="dxa"/>
            </w:tcMar>
          </w:tcPr>
          <w:p w14:paraId="56C101DF" w14:textId="29FF534F"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417" w:type="dxa"/>
            <w:tcBorders>
              <w:bottom w:val="single" w:sz="4" w:space="0" w:color="auto"/>
            </w:tcBorders>
            <w:tcMar>
              <w:top w:w="11" w:type="dxa"/>
              <w:left w:w="57" w:type="dxa"/>
              <w:bottom w:w="11" w:type="dxa"/>
              <w:right w:w="57" w:type="dxa"/>
            </w:tcMar>
          </w:tcPr>
          <w:p w14:paraId="4571A06D" w14:textId="78CDF729"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w:t>
            </w:r>
          </w:p>
        </w:tc>
        <w:tc>
          <w:tcPr>
            <w:tcW w:w="1276" w:type="dxa"/>
            <w:tcBorders>
              <w:bottom w:val="single" w:sz="4" w:space="0" w:color="auto"/>
            </w:tcBorders>
            <w:tcMar>
              <w:top w:w="11" w:type="dxa"/>
              <w:left w:w="57" w:type="dxa"/>
              <w:bottom w:w="11" w:type="dxa"/>
              <w:right w:w="57" w:type="dxa"/>
            </w:tcMar>
          </w:tcPr>
          <w:p w14:paraId="33245C53" w14:textId="7EB62B92"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w:t>
            </w:r>
          </w:p>
        </w:tc>
        <w:tc>
          <w:tcPr>
            <w:tcW w:w="1418" w:type="dxa"/>
            <w:tcBorders>
              <w:bottom w:val="single" w:sz="4" w:space="0" w:color="auto"/>
            </w:tcBorders>
            <w:tcMar>
              <w:top w:w="11" w:type="dxa"/>
              <w:left w:w="57" w:type="dxa"/>
              <w:bottom w:w="11" w:type="dxa"/>
              <w:right w:w="57" w:type="dxa"/>
            </w:tcMar>
          </w:tcPr>
          <w:p w14:paraId="14F6B71E" w14:textId="5405850F"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(26.0)</w:t>
            </w:r>
          </w:p>
        </w:tc>
        <w:tc>
          <w:tcPr>
            <w:tcW w:w="1134" w:type="dxa"/>
            <w:tcBorders>
              <w:bottom w:val="single" w:sz="4" w:space="0" w:color="auto"/>
            </w:tcBorders>
          </w:tcPr>
          <w:p w14:paraId="57DBC101"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92" w:type="dxa"/>
            <w:tcBorders>
              <w:bottom w:val="single" w:sz="4" w:space="0" w:color="auto"/>
            </w:tcBorders>
            <w:tcMar>
              <w:top w:w="11" w:type="dxa"/>
              <w:left w:w="57" w:type="dxa"/>
              <w:bottom w:w="11" w:type="dxa"/>
              <w:right w:w="57" w:type="dxa"/>
            </w:tcMar>
          </w:tcPr>
          <w:p w14:paraId="24882BAA" w14:textId="431B7A1C"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(30.6)</w:t>
            </w:r>
          </w:p>
        </w:tc>
      </w:tr>
      <w:tr w:rsidR="00D121BA" w:rsidRPr="00735726" w14:paraId="6342E1BA" w14:textId="77777777" w:rsidTr="00277639">
        <w:trPr>
          <w:trHeight w:val="233"/>
        </w:trPr>
        <w:tc>
          <w:tcPr>
            <w:tcW w:w="2411" w:type="dxa"/>
            <w:tcMar>
              <w:top w:w="11" w:type="dxa"/>
              <w:left w:w="57" w:type="dxa"/>
              <w:bottom w:w="11" w:type="dxa"/>
              <w:right w:w="57" w:type="dxa"/>
            </w:tcMar>
          </w:tcPr>
          <w:p w14:paraId="7324B399"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1267" w:type="dxa"/>
            <w:tcBorders>
              <w:top w:val="single" w:sz="4" w:space="0" w:color="auto"/>
              <w:bottom w:val="single" w:sz="4" w:space="0" w:color="auto"/>
            </w:tcBorders>
            <w:tcMar>
              <w:top w:w="11" w:type="dxa"/>
              <w:left w:w="57" w:type="dxa"/>
              <w:bottom w:w="11" w:type="dxa"/>
              <w:right w:w="57" w:type="dxa"/>
            </w:tcMar>
          </w:tcPr>
          <w:p w14:paraId="620AE4BF"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0.8</w:t>
            </w:r>
          </w:p>
        </w:tc>
        <w:tc>
          <w:tcPr>
            <w:tcW w:w="1417" w:type="dxa"/>
            <w:tcBorders>
              <w:top w:val="single" w:sz="4" w:space="0" w:color="auto"/>
              <w:bottom w:val="single" w:sz="4" w:space="0" w:color="auto"/>
            </w:tcBorders>
            <w:tcMar>
              <w:top w:w="11" w:type="dxa"/>
              <w:left w:w="57" w:type="dxa"/>
              <w:bottom w:w="11" w:type="dxa"/>
              <w:right w:w="57" w:type="dxa"/>
            </w:tcMar>
          </w:tcPr>
          <w:p w14:paraId="56F67071" w14:textId="2C24086B"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86.3</w:t>
            </w:r>
          </w:p>
        </w:tc>
        <w:tc>
          <w:tcPr>
            <w:tcW w:w="1276" w:type="dxa"/>
            <w:tcBorders>
              <w:top w:val="single" w:sz="4" w:space="0" w:color="auto"/>
              <w:bottom w:val="single" w:sz="4" w:space="0" w:color="auto"/>
            </w:tcBorders>
            <w:tcMar>
              <w:top w:w="11" w:type="dxa"/>
              <w:left w:w="57" w:type="dxa"/>
              <w:bottom w:w="11" w:type="dxa"/>
              <w:right w:w="57" w:type="dxa"/>
            </w:tcMar>
          </w:tcPr>
          <w:p w14:paraId="47447EF5" w14:textId="003DFF72"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105.4</w:t>
            </w:r>
          </w:p>
        </w:tc>
        <w:tc>
          <w:tcPr>
            <w:tcW w:w="1418" w:type="dxa"/>
            <w:tcBorders>
              <w:top w:val="single" w:sz="4" w:space="0" w:color="auto"/>
              <w:bottom w:val="single" w:sz="4" w:space="0" w:color="auto"/>
            </w:tcBorders>
            <w:tcMar>
              <w:top w:w="11" w:type="dxa"/>
              <w:left w:w="57" w:type="dxa"/>
              <w:bottom w:w="11" w:type="dxa"/>
              <w:right w:w="57" w:type="dxa"/>
            </w:tcMar>
          </w:tcPr>
          <w:p w14:paraId="29C76A07" w14:textId="59E510AD"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226.1</w:t>
            </w:r>
          </w:p>
        </w:tc>
        <w:tc>
          <w:tcPr>
            <w:tcW w:w="1134" w:type="dxa"/>
            <w:tcBorders>
              <w:top w:val="single" w:sz="4" w:space="0" w:color="auto"/>
              <w:bottom w:val="single" w:sz="4" w:space="0" w:color="auto"/>
            </w:tcBorders>
          </w:tcPr>
          <w:p w14:paraId="623B4D08" w14:textId="2A6E934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1807187B" w14:textId="7ECE8DF5"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418.6</w:t>
            </w:r>
          </w:p>
        </w:tc>
      </w:tr>
      <w:tr w:rsidR="00D121BA" w:rsidRPr="00735726" w14:paraId="2F1039CB" w14:textId="77777777" w:rsidTr="00277639">
        <w:trPr>
          <w:trHeight w:val="233"/>
        </w:trPr>
        <w:tc>
          <w:tcPr>
            <w:tcW w:w="2411" w:type="dxa"/>
            <w:tcMar>
              <w:top w:w="11" w:type="dxa"/>
              <w:left w:w="57" w:type="dxa"/>
              <w:bottom w:w="11" w:type="dxa"/>
              <w:right w:w="57" w:type="dxa"/>
            </w:tcMar>
          </w:tcPr>
          <w:p w14:paraId="17DA7B82"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267" w:type="dxa"/>
            <w:tcBorders>
              <w:top w:val="single" w:sz="4" w:space="0" w:color="auto"/>
            </w:tcBorders>
            <w:tcMar>
              <w:top w:w="11" w:type="dxa"/>
              <w:left w:w="57" w:type="dxa"/>
              <w:bottom w:w="11" w:type="dxa"/>
              <w:right w:w="57" w:type="dxa"/>
            </w:tcMar>
          </w:tcPr>
          <w:p w14:paraId="33C0E306"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17" w:type="dxa"/>
            <w:tcBorders>
              <w:top w:val="single" w:sz="4" w:space="0" w:color="auto"/>
            </w:tcBorders>
            <w:tcMar>
              <w:top w:w="11" w:type="dxa"/>
              <w:left w:w="57" w:type="dxa"/>
              <w:bottom w:w="11" w:type="dxa"/>
              <w:right w:w="57" w:type="dxa"/>
            </w:tcMar>
          </w:tcPr>
          <w:p w14:paraId="09D22AE2"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76" w:type="dxa"/>
            <w:tcBorders>
              <w:top w:val="single" w:sz="4" w:space="0" w:color="auto"/>
            </w:tcBorders>
            <w:tcMar>
              <w:top w:w="11" w:type="dxa"/>
              <w:left w:w="57" w:type="dxa"/>
              <w:bottom w:w="11" w:type="dxa"/>
              <w:right w:w="57" w:type="dxa"/>
            </w:tcMar>
          </w:tcPr>
          <w:p w14:paraId="5EC3E170"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18" w:type="dxa"/>
            <w:tcBorders>
              <w:top w:val="single" w:sz="4" w:space="0" w:color="auto"/>
            </w:tcBorders>
            <w:tcMar>
              <w:top w:w="11" w:type="dxa"/>
              <w:left w:w="57" w:type="dxa"/>
              <w:bottom w:w="11" w:type="dxa"/>
              <w:right w:w="57" w:type="dxa"/>
            </w:tcMar>
          </w:tcPr>
          <w:p w14:paraId="1BAC6E84"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Pr>
          <w:p w14:paraId="411875D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626DF300"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D121BA" w:rsidRPr="00735726" w14:paraId="477ABE51" w14:textId="77777777" w:rsidTr="00277639">
        <w:trPr>
          <w:trHeight w:val="233"/>
        </w:trPr>
        <w:tc>
          <w:tcPr>
            <w:tcW w:w="2411" w:type="dxa"/>
            <w:tcMar>
              <w:top w:w="11" w:type="dxa"/>
              <w:left w:w="57" w:type="dxa"/>
              <w:bottom w:w="11" w:type="dxa"/>
              <w:right w:w="57" w:type="dxa"/>
            </w:tcMar>
          </w:tcPr>
          <w:p w14:paraId="1C85DEB7"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Net book value:</w:t>
            </w:r>
          </w:p>
        </w:tc>
        <w:tc>
          <w:tcPr>
            <w:tcW w:w="1267" w:type="dxa"/>
            <w:tcBorders>
              <w:bottom w:val="single" w:sz="4" w:space="0" w:color="auto"/>
            </w:tcBorders>
            <w:tcMar>
              <w:top w:w="11" w:type="dxa"/>
              <w:left w:w="57" w:type="dxa"/>
              <w:bottom w:w="11" w:type="dxa"/>
              <w:right w:w="57" w:type="dxa"/>
            </w:tcMar>
          </w:tcPr>
          <w:p w14:paraId="56BDCE46"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7" w:type="dxa"/>
            <w:tcBorders>
              <w:bottom w:val="single" w:sz="4" w:space="0" w:color="auto"/>
            </w:tcBorders>
            <w:tcMar>
              <w:top w:w="11" w:type="dxa"/>
              <w:left w:w="57" w:type="dxa"/>
              <w:bottom w:w="11" w:type="dxa"/>
              <w:right w:w="57" w:type="dxa"/>
            </w:tcMar>
          </w:tcPr>
          <w:p w14:paraId="4A9F2B52"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76" w:type="dxa"/>
            <w:tcBorders>
              <w:bottom w:val="single" w:sz="4" w:space="0" w:color="auto"/>
            </w:tcBorders>
            <w:tcMar>
              <w:top w:w="11" w:type="dxa"/>
              <w:left w:w="57" w:type="dxa"/>
              <w:bottom w:w="11" w:type="dxa"/>
              <w:right w:w="57" w:type="dxa"/>
            </w:tcMar>
          </w:tcPr>
          <w:p w14:paraId="574DC51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8" w:type="dxa"/>
            <w:tcBorders>
              <w:bottom w:val="single" w:sz="4" w:space="0" w:color="auto"/>
            </w:tcBorders>
            <w:tcMar>
              <w:top w:w="11" w:type="dxa"/>
              <w:left w:w="57" w:type="dxa"/>
              <w:bottom w:w="11" w:type="dxa"/>
              <w:right w:w="57" w:type="dxa"/>
            </w:tcMar>
          </w:tcPr>
          <w:p w14:paraId="5D8F47E4"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bottom w:val="single" w:sz="4" w:space="0" w:color="auto"/>
            </w:tcBorders>
          </w:tcPr>
          <w:p w14:paraId="5CC5E0AD"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bottom w:val="single" w:sz="4" w:space="0" w:color="auto"/>
            </w:tcBorders>
            <w:tcMar>
              <w:top w:w="11" w:type="dxa"/>
              <w:left w:w="57" w:type="dxa"/>
              <w:bottom w:w="11" w:type="dxa"/>
              <w:right w:w="57" w:type="dxa"/>
            </w:tcMar>
          </w:tcPr>
          <w:p w14:paraId="2E492770"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D121BA" w:rsidRPr="00735726" w14:paraId="49347C4A" w14:textId="77777777" w:rsidTr="00277639">
        <w:trPr>
          <w:trHeight w:val="233"/>
        </w:trPr>
        <w:tc>
          <w:tcPr>
            <w:tcW w:w="2411" w:type="dxa"/>
            <w:tcMar>
              <w:top w:w="11" w:type="dxa"/>
              <w:left w:w="57" w:type="dxa"/>
              <w:bottom w:w="11" w:type="dxa"/>
              <w:right w:w="57" w:type="dxa"/>
            </w:tcMar>
          </w:tcPr>
          <w:p w14:paraId="083CE50F" w14:textId="6954C735"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bCs/>
                <w:color w:val="000000"/>
                <w:sz w:val="18"/>
                <w:szCs w:val="18"/>
              </w:rPr>
              <w:t>At</w:t>
            </w:r>
            <w:proofErr w:type="gramEnd"/>
            <w:r w:rsidRPr="00735726">
              <w:rPr>
                <w:rFonts w:ascii="Arial" w:eastAsia="Times New Roman" w:hAnsi="Arial" w:cs="DINOT-Light"/>
                <w:b/>
                <w:bCs/>
                <w:color w:val="000000"/>
                <w:sz w:val="18"/>
                <w:szCs w:val="18"/>
              </w:rPr>
              <w:t xml:space="preserve"> 1 April 2024</w:t>
            </w:r>
          </w:p>
        </w:tc>
        <w:tc>
          <w:tcPr>
            <w:tcW w:w="1267" w:type="dxa"/>
            <w:tcBorders>
              <w:top w:val="single" w:sz="4" w:space="0" w:color="auto"/>
              <w:bottom w:val="single" w:sz="4" w:space="0" w:color="auto"/>
            </w:tcBorders>
            <w:tcMar>
              <w:top w:w="11" w:type="dxa"/>
              <w:left w:w="57" w:type="dxa"/>
              <w:bottom w:w="11" w:type="dxa"/>
              <w:right w:w="57" w:type="dxa"/>
            </w:tcMar>
          </w:tcPr>
          <w:p w14:paraId="232C3456" w14:textId="6AD6894B"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4.7</w:t>
            </w:r>
          </w:p>
        </w:tc>
        <w:tc>
          <w:tcPr>
            <w:tcW w:w="1417" w:type="dxa"/>
            <w:tcBorders>
              <w:top w:val="single" w:sz="4" w:space="0" w:color="auto"/>
              <w:bottom w:val="single" w:sz="4" w:space="0" w:color="auto"/>
            </w:tcBorders>
            <w:tcMar>
              <w:top w:w="11" w:type="dxa"/>
              <w:left w:w="57" w:type="dxa"/>
              <w:bottom w:w="11" w:type="dxa"/>
              <w:right w:w="57" w:type="dxa"/>
            </w:tcMar>
          </w:tcPr>
          <w:p w14:paraId="71E09072" w14:textId="256F4274"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328.9</w:t>
            </w:r>
          </w:p>
        </w:tc>
        <w:tc>
          <w:tcPr>
            <w:tcW w:w="1276" w:type="dxa"/>
            <w:tcBorders>
              <w:top w:val="single" w:sz="4" w:space="0" w:color="auto"/>
              <w:bottom w:val="single" w:sz="4" w:space="0" w:color="auto"/>
            </w:tcBorders>
            <w:tcMar>
              <w:top w:w="11" w:type="dxa"/>
              <w:left w:w="57" w:type="dxa"/>
              <w:bottom w:w="11" w:type="dxa"/>
              <w:right w:w="57" w:type="dxa"/>
            </w:tcMar>
          </w:tcPr>
          <w:p w14:paraId="4F125103" w14:textId="154276E5"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240.5</w:t>
            </w:r>
          </w:p>
        </w:tc>
        <w:tc>
          <w:tcPr>
            <w:tcW w:w="1418" w:type="dxa"/>
            <w:tcBorders>
              <w:top w:val="single" w:sz="4" w:space="0" w:color="auto"/>
              <w:bottom w:val="single" w:sz="4" w:space="0" w:color="auto"/>
            </w:tcBorders>
            <w:tcMar>
              <w:top w:w="11" w:type="dxa"/>
              <w:left w:w="57" w:type="dxa"/>
              <w:bottom w:w="11" w:type="dxa"/>
              <w:right w:w="57" w:type="dxa"/>
            </w:tcMar>
          </w:tcPr>
          <w:p w14:paraId="0CBAB3A3" w14:textId="29716AF9"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215.8</w:t>
            </w:r>
          </w:p>
        </w:tc>
        <w:tc>
          <w:tcPr>
            <w:tcW w:w="1134" w:type="dxa"/>
            <w:tcBorders>
              <w:top w:val="single" w:sz="4" w:space="0" w:color="auto"/>
              <w:bottom w:val="single" w:sz="4" w:space="0" w:color="auto"/>
            </w:tcBorders>
          </w:tcPr>
          <w:p w14:paraId="718A3BFE" w14:textId="16C719A6"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5F2C7FEC" w14:textId="03F2202D"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789.9</w:t>
            </w:r>
          </w:p>
        </w:tc>
      </w:tr>
      <w:tr w:rsidR="00D121BA" w:rsidRPr="00735726" w14:paraId="7AF4B55D" w14:textId="77777777" w:rsidTr="00277639">
        <w:trPr>
          <w:trHeight w:val="233"/>
        </w:trPr>
        <w:tc>
          <w:tcPr>
            <w:tcW w:w="2411" w:type="dxa"/>
            <w:tcMar>
              <w:top w:w="11" w:type="dxa"/>
              <w:left w:w="57" w:type="dxa"/>
              <w:bottom w:w="11" w:type="dxa"/>
              <w:right w:w="57" w:type="dxa"/>
            </w:tcMar>
          </w:tcPr>
          <w:p w14:paraId="4AE3FFF8" w14:textId="64BFD4DB"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bCs/>
                <w:color w:val="000000"/>
                <w:sz w:val="18"/>
                <w:szCs w:val="18"/>
              </w:rPr>
            </w:pPr>
            <w:proofErr w:type="gramStart"/>
            <w:r w:rsidRPr="00735726">
              <w:rPr>
                <w:rFonts w:ascii="Arial" w:eastAsia="Times New Roman" w:hAnsi="Arial" w:cs="DINOT-Light"/>
                <w:b/>
                <w:bCs/>
                <w:color w:val="000000"/>
                <w:sz w:val="18"/>
                <w:szCs w:val="18"/>
              </w:rPr>
              <w:t>At</w:t>
            </w:r>
            <w:proofErr w:type="gramEnd"/>
            <w:r w:rsidRPr="00735726">
              <w:rPr>
                <w:rFonts w:ascii="Arial" w:eastAsia="Times New Roman" w:hAnsi="Arial" w:cs="DINOT-Light"/>
                <w:b/>
                <w:bCs/>
                <w:color w:val="000000"/>
                <w:sz w:val="18"/>
                <w:szCs w:val="18"/>
              </w:rPr>
              <w:t xml:space="preserve"> </w:t>
            </w:r>
            <w:r w:rsidRPr="00735726">
              <w:rPr>
                <w:rFonts w:ascii="Arial" w:eastAsia="Times New Roman" w:hAnsi="Arial" w:cs="DINOT-Light"/>
                <w:b/>
                <w:color w:val="000000"/>
                <w:sz w:val="18"/>
                <w:szCs w:val="18"/>
              </w:rPr>
              <w:t xml:space="preserve">31 March </w:t>
            </w:r>
            <w:r w:rsidRPr="00735726">
              <w:rPr>
                <w:rFonts w:ascii="Arial" w:eastAsia="Times New Roman" w:hAnsi="Arial" w:cs="DINOT-Light"/>
                <w:b/>
                <w:bCs/>
                <w:color w:val="000000"/>
                <w:sz w:val="18"/>
                <w:szCs w:val="18"/>
              </w:rPr>
              <w:t>2025</w:t>
            </w:r>
          </w:p>
        </w:tc>
        <w:tc>
          <w:tcPr>
            <w:tcW w:w="1267" w:type="dxa"/>
            <w:tcBorders>
              <w:top w:val="single" w:sz="4" w:space="0" w:color="auto"/>
              <w:bottom w:val="single" w:sz="4" w:space="0" w:color="auto"/>
            </w:tcBorders>
            <w:tcMar>
              <w:top w:w="11" w:type="dxa"/>
              <w:left w:w="57" w:type="dxa"/>
              <w:bottom w:w="11" w:type="dxa"/>
              <w:right w:w="57" w:type="dxa"/>
            </w:tcMar>
          </w:tcPr>
          <w:p w14:paraId="27DF9F11"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4.6</w:t>
            </w:r>
          </w:p>
        </w:tc>
        <w:tc>
          <w:tcPr>
            <w:tcW w:w="1417" w:type="dxa"/>
            <w:tcBorders>
              <w:top w:val="single" w:sz="4" w:space="0" w:color="auto"/>
              <w:bottom w:val="single" w:sz="4" w:space="0" w:color="auto"/>
            </w:tcBorders>
            <w:tcMar>
              <w:top w:w="11" w:type="dxa"/>
              <w:left w:w="57" w:type="dxa"/>
              <w:bottom w:w="11" w:type="dxa"/>
              <w:right w:w="57" w:type="dxa"/>
            </w:tcMar>
          </w:tcPr>
          <w:p w14:paraId="48E61E13"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344.7</w:t>
            </w:r>
          </w:p>
        </w:tc>
        <w:tc>
          <w:tcPr>
            <w:tcW w:w="1276" w:type="dxa"/>
            <w:tcBorders>
              <w:top w:val="single" w:sz="4" w:space="0" w:color="auto"/>
              <w:bottom w:val="single" w:sz="4" w:space="0" w:color="auto"/>
            </w:tcBorders>
            <w:tcMar>
              <w:top w:w="11" w:type="dxa"/>
              <w:left w:w="57" w:type="dxa"/>
              <w:bottom w:w="11" w:type="dxa"/>
              <w:right w:w="57" w:type="dxa"/>
            </w:tcMar>
          </w:tcPr>
          <w:p w14:paraId="3F1CA302"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235.5</w:t>
            </w:r>
          </w:p>
        </w:tc>
        <w:tc>
          <w:tcPr>
            <w:tcW w:w="1418" w:type="dxa"/>
            <w:tcBorders>
              <w:top w:val="single" w:sz="4" w:space="0" w:color="auto"/>
              <w:bottom w:val="single" w:sz="4" w:space="0" w:color="auto"/>
            </w:tcBorders>
            <w:tcMar>
              <w:top w:w="11" w:type="dxa"/>
              <w:left w:w="57" w:type="dxa"/>
              <w:bottom w:w="11" w:type="dxa"/>
              <w:right w:w="57" w:type="dxa"/>
            </w:tcMar>
          </w:tcPr>
          <w:p w14:paraId="48A650F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196.4</w:t>
            </w:r>
          </w:p>
        </w:tc>
        <w:tc>
          <w:tcPr>
            <w:tcW w:w="1134" w:type="dxa"/>
            <w:tcBorders>
              <w:top w:val="single" w:sz="4" w:space="0" w:color="auto"/>
              <w:bottom w:val="single" w:sz="4" w:space="0" w:color="auto"/>
            </w:tcBorders>
          </w:tcPr>
          <w:p w14:paraId="2F7D6B13"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79819316"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781.2</w:t>
            </w:r>
          </w:p>
        </w:tc>
      </w:tr>
      <w:tr w:rsidR="00D121BA" w:rsidRPr="00735726" w14:paraId="511E6F29" w14:textId="77777777" w:rsidTr="00CE19B2">
        <w:trPr>
          <w:trHeight w:val="233"/>
        </w:trPr>
        <w:tc>
          <w:tcPr>
            <w:tcW w:w="2411" w:type="dxa"/>
            <w:tcMar>
              <w:top w:w="11" w:type="dxa"/>
              <w:left w:w="57" w:type="dxa"/>
              <w:bottom w:w="11" w:type="dxa"/>
              <w:right w:w="57" w:type="dxa"/>
            </w:tcMar>
          </w:tcPr>
          <w:p w14:paraId="18DEB317"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1267" w:type="dxa"/>
            <w:tcBorders>
              <w:top w:val="single" w:sz="4" w:space="0" w:color="auto"/>
              <w:bottom w:val="single" w:sz="4" w:space="0" w:color="auto"/>
            </w:tcBorders>
            <w:tcMar>
              <w:top w:w="11" w:type="dxa"/>
              <w:left w:w="57" w:type="dxa"/>
              <w:bottom w:w="11" w:type="dxa"/>
              <w:right w:w="57" w:type="dxa"/>
            </w:tcMar>
          </w:tcPr>
          <w:p w14:paraId="32892809"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5.1</w:t>
            </w:r>
          </w:p>
        </w:tc>
        <w:tc>
          <w:tcPr>
            <w:tcW w:w="1417" w:type="dxa"/>
            <w:tcBorders>
              <w:top w:val="single" w:sz="4" w:space="0" w:color="auto"/>
              <w:bottom w:val="single" w:sz="4" w:space="0" w:color="auto"/>
            </w:tcBorders>
            <w:tcMar>
              <w:top w:w="11" w:type="dxa"/>
              <w:left w:w="57" w:type="dxa"/>
              <w:bottom w:w="11" w:type="dxa"/>
              <w:right w:w="57" w:type="dxa"/>
            </w:tcMar>
          </w:tcPr>
          <w:p w14:paraId="52D1C154" w14:textId="06DC7D14"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333.5</w:t>
            </w:r>
          </w:p>
        </w:tc>
        <w:tc>
          <w:tcPr>
            <w:tcW w:w="1276" w:type="dxa"/>
            <w:tcBorders>
              <w:top w:val="single" w:sz="4" w:space="0" w:color="auto"/>
              <w:bottom w:val="single" w:sz="4" w:space="0" w:color="auto"/>
            </w:tcBorders>
            <w:tcMar>
              <w:top w:w="11" w:type="dxa"/>
              <w:left w:w="57" w:type="dxa"/>
              <w:bottom w:w="11" w:type="dxa"/>
              <w:right w:w="57" w:type="dxa"/>
            </w:tcMar>
          </w:tcPr>
          <w:p w14:paraId="53F2881C" w14:textId="2E1DFA16"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225.9</w:t>
            </w:r>
          </w:p>
        </w:tc>
        <w:tc>
          <w:tcPr>
            <w:tcW w:w="1418" w:type="dxa"/>
            <w:tcBorders>
              <w:top w:val="single" w:sz="4" w:space="0" w:color="auto"/>
              <w:bottom w:val="single" w:sz="4" w:space="0" w:color="auto"/>
            </w:tcBorders>
            <w:tcMar>
              <w:top w:w="11" w:type="dxa"/>
              <w:left w:w="57" w:type="dxa"/>
              <w:bottom w:w="11" w:type="dxa"/>
              <w:right w:w="57" w:type="dxa"/>
            </w:tcMar>
          </w:tcPr>
          <w:p w14:paraId="1A5C76C9" w14:textId="6EF3D446"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196.8</w:t>
            </w:r>
          </w:p>
        </w:tc>
        <w:tc>
          <w:tcPr>
            <w:tcW w:w="1134" w:type="dxa"/>
            <w:tcBorders>
              <w:top w:val="single" w:sz="4" w:space="0" w:color="auto"/>
              <w:bottom w:val="single" w:sz="4" w:space="0" w:color="auto"/>
            </w:tcBorders>
          </w:tcPr>
          <w:p w14:paraId="6845C3F9" w14:textId="1DE2784C"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52.9</w:t>
            </w:r>
          </w:p>
        </w:tc>
        <w:tc>
          <w:tcPr>
            <w:tcW w:w="992" w:type="dxa"/>
            <w:tcBorders>
              <w:top w:val="single" w:sz="4" w:space="0" w:color="auto"/>
              <w:bottom w:val="single" w:sz="4" w:space="0" w:color="auto"/>
            </w:tcBorders>
            <w:tcMar>
              <w:top w:w="11" w:type="dxa"/>
              <w:left w:w="57" w:type="dxa"/>
              <w:bottom w:w="11" w:type="dxa"/>
              <w:right w:w="57" w:type="dxa"/>
            </w:tcMar>
          </w:tcPr>
          <w:p w14:paraId="577C282F" w14:textId="3A271054"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814.2</w:t>
            </w:r>
          </w:p>
        </w:tc>
      </w:tr>
    </w:tbl>
    <w:p w14:paraId="3BE7278E" w14:textId="77777777" w:rsidR="00B9553C" w:rsidRPr="00735726" w:rsidRDefault="00646F4F" w:rsidP="00646F4F">
      <w:pPr>
        <w:spacing w:after="160"/>
        <w:rPr>
          <w:rFonts w:ascii="Arial" w:eastAsia="Times New Roman" w:hAnsi="Arial" w:cs="DINOT-Light"/>
          <w:b/>
          <w:bCs/>
          <w:color w:val="000000"/>
          <w:sz w:val="18"/>
          <w:szCs w:val="18"/>
        </w:rPr>
      </w:pPr>
      <w:r w:rsidRPr="009A2CAE">
        <w:rPr>
          <w:rFonts w:ascii="Arial" w:eastAsia="Times New Roman" w:hAnsi="Arial" w:cs="DINOT-Light"/>
          <w:color w:val="000000"/>
          <w:sz w:val="18"/>
          <w:szCs w:val="18"/>
        </w:rPr>
        <w:br/>
      </w:r>
    </w:p>
    <w:p w14:paraId="51A05889" w14:textId="77777777" w:rsidR="00B9553C" w:rsidRPr="00735726" w:rsidRDefault="00B9553C">
      <w:pPr>
        <w:spacing w:after="160" w:line="259" w:lineRule="auto"/>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br w:type="page"/>
      </w:r>
    </w:p>
    <w:p w14:paraId="71B0402B" w14:textId="77777777" w:rsidR="00B9553C" w:rsidRPr="009A2CAE" w:rsidRDefault="00B9553C" w:rsidP="00B9553C">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15.   Property, plant and equipment (CONTINUED)</w:t>
      </w:r>
    </w:p>
    <w:p w14:paraId="179B5ACD" w14:textId="433F5E30" w:rsidR="00646F4F" w:rsidRPr="009A2CAE" w:rsidRDefault="00646F4F" w:rsidP="00646F4F">
      <w:pPr>
        <w:spacing w:after="160"/>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 xml:space="preserve">IFRS 16 </w:t>
      </w:r>
      <w:r w:rsidR="006C1BA9" w:rsidRPr="00735726">
        <w:rPr>
          <w:rFonts w:ascii="Arial" w:eastAsia="Times New Roman" w:hAnsi="Arial" w:cs="DINOT-Light"/>
          <w:b/>
          <w:bCs/>
          <w:color w:val="000000"/>
          <w:sz w:val="18"/>
          <w:szCs w:val="18"/>
        </w:rPr>
        <w:t xml:space="preserve">- </w:t>
      </w:r>
      <w:r w:rsidRPr="00735726">
        <w:rPr>
          <w:rFonts w:ascii="Arial" w:eastAsia="Times New Roman" w:hAnsi="Arial" w:cs="DINOT-Light"/>
          <w:b/>
          <w:bCs/>
          <w:color w:val="000000"/>
          <w:sz w:val="18"/>
          <w:szCs w:val="18"/>
        </w:rPr>
        <w:t>Right of Use Assets</w:t>
      </w:r>
      <w:r w:rsidRPr="00735726">
        <w:rPr>
          <w:rFonts w:ascii="Arial" w:eastAsia="Times New Roman" w:hAnsi="Arial" w:cs="DINOT-Light"/>
          <w:color w:val="000000"/>
          <w:sz w:val="18"/>
          <w:szCs w:val="18"/>
        </w:rPr>
        <w:br/>
        <w:t>Right-of-use assets classifying as leases under IFRS included in property, plant and equipment above were:</w:t>
      </w:r>
    </w:p>
    <w:p w14:paraId="3DF73B5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9915" w:type="dxa"/>
        <w:tblInd w:w="8" w:type="dxa"/>
        <w:tblLayout w:type="fixed"/>
        <w:tblCellMar>
          <w:left w:w="0" w:type="dxa"/>
          <w:right w:w="0" w:type="dxa"/>
        </w:tblCellMar>
        <w:tblLook w:val="0000" w:firstRow="0" w:lastRow="0" w:firstColumn="0" w:lastColumn="0" w:noHBand="0" w:noVBand="0"/>
      </w:tblPr>
      <w:tblGrid>
        <w:gridCol w:w="2411"/>
        <w:gridCol w:w="1267"/>
        <w:gridCol w:w="1417"/>
        <w:gridCol w:w="1276"/>
        <w:gridCol w:w="1418"/>
        <w:gridCol w:w="1134"/>
        <w:gridCol w:w="992"/>
      </w:tblGrid>
      <w:tr w:rsidR="00646F4F" w:rsidRPr="00735726" w14:paraId="74D3B6AC" w14:textId="77777777" w:rsidTr="00CE19B2">
        <w:trPr>
          <w:trHeight w:val="274"/>
          <w:tblHeader/>
        </w:trPr>
        <w:tc>
          <w:tcPr>
            <w:tcW w:w="2411" w:type="dxa"/>
            <w:tcMar>
              <w:top w:w="11" w:type="dxa"/>
              <w:left w:w="57" w:type="dxa"/>
              <w:bottom w:w="11" w:type="dxa"/>
              <w:right w:w="57" w:type="dxa"/>
            </w:tcMar>
          </w:tcPr>
          <w:p w14:paraId="50AB9241"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267" w:type="dxa"/>
            <w:tcMar>
              <w:top w:w="11" w:type="dxa"/>
              <w:left w:w="57" w:type="dxa"/>
              <w:bottom w:w="11" w:type="dxa"/>
              <w:right w:w="57" w:type="dxa"/>
            </w:tcMar>
            <w:vAlign w:val="bottom"/>
          </w:tcPr>
          <w:p w14:paraId="61169C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3B8A78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Land and buildings </w:t>
            </w:r>
            <w:r w:rsidRPr="00735726">
              <w:rPr>
                <w:rFonts w:ascii="Arial" w:eastAsia="Times New Roman" w:hAnsi="Arial" w:cs="DINOT-Light"/>
                <w:b/>
                <w:color w:val="000000"/>
                <w:sz w:val="18"/>
                <w:szCs w:val="18"/>
              </w:rPr>
              <w:br/>
              <w:t>£m</w:t>
            </w:r>
          </w:p>
        </w:tc>
        <w:tc>
          <w:tcPr>
            <w:tcW w:w="1417" w:type="dxa"/>
            <w:tcMar>
              <w:top w:w="11" w:type="dxa"/>
              <w:left w:w="57" w:type="dxa"/>
              <w:bottom w:w="11" w:type="dxa"/>
              <w:right w:w="57" w:type="dxa"/>
            </w:tcMar>
            <w:vAlign w:val="bottom"/>
          </w:tcPr>
          <w:p w14:paraId="4A4A4FB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1FE196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2C4FA18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Infrastructure assets </w:t>
            </w:r>
          </w:p>
          <w:p w14:paraId="05F469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76" w:type="dxa"/>
            <w:tcMar>
              <w:top w:w="11" w:type="dxa"/>
              <w:left w:w="57" w:type="dxa"/>
              <w:bottom w:w="11" w:type="dxa"/>
              <w:right w:w="57" w:type="dxa"/>
            </w:tcMar>
            <w:vAlign w:val="bottom"/>
          </w:tcPr>
          <w:p w14:paraId="0C7483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6CD256B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5C5486E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Operational properties </w:t>
            </w:r>
          </w:p>
          <w:p w14:paraId="31C884E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418" w:type="dxa"/>
            <w:tcMar>
              <w:top w:w="11" w:type="dxa"/>
              <w:left w:w="57" w:type="dxa"/>
              <w:bottom w:w="11" w:type="dxa"/>
              <w:right w:w="57" w:type="dxa"/>
            </w:tcMar>
            <w:vAlign w:val="bottom"/>
          </w:tcPr>
          <w:p w14:paraId="749FF0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Fixed and mobile plant, vehicles and computers </w:t>
            </w:r>
          </w:p>
          <w:p w14:paraId="36E9BD5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vAlign w:val="bottom"/>
          </w:tcPr>
          <w:p w14:paraId="401169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Construction in progress £m</w:t>
            </w:r>
          </w:p>
        </w:tc>
        <w:tc>
          <w:tcPr>
            <w:tcW w:w="992" w:type="dxa"/>
            <w:tcMar>
              <w:top w:w="11" w:type="dxa"/>
              <w:left w:w="57" w:type="dxa"/>
              <w:bottom w:w="11" w:type="dxa"/>
              <w:right w:w="57" w:type="dxa"/>
            </w:tcMar>
            <w:vAlign w:val="bottom"/>
          </w:tcPr>
          <w:p w14:paraId="771B7E9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br/>
              <w:t>Total</w:t>
            </w:r>
            <w:r w:rsidRPr="00735726">
              <w:rPr>
                <w:rFonts w:ascii="Arial" w:eastAsia="Times New Roman" w:hAnsi="Arial" w:cs="DINOT-Light"/>
                <w:b/>
                <w:color w:val="000000"/>
                <w:sz w:val="18"/>
                <w:szCs w:val="18"/>
              </w:rPr>
              <w:br/>
              <w:t>£m</w:t>
            </w:r>
          </w:p>
        </w:tc>
      </w:tr>
      <w:tr w:rsidR="00646F4F" w:rsidRPr="00735726" w14:paraId="4C1CDCC1" w14:textId="77777777" w:rsidTr="00CE19B2">
        <w:trPr>
          <w:trHeight w:val="233"/>
        </w:trPr>
        <w:tc>
          <w:tcPr>
            <w:tcW w:w="2411" w:type="dxa"/>
            <w:tcMar>
              <w:top w:w="11" w:type="dxa"/>
              <w:left w:w="57" w:type="dxa"/>
              <w:bottom w:w="11" w:type="dxa"/>
              <w:right w:w="57" w:type="dxa"/>
            </w:tcMar>
          </w:tcPr>
          <w:p w14:paraId="7913ECA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Cost: </w:t>
            </w:r>
          </w:p>
        </w:tc>
        <w:tc>
          <w:tcPr>
            <w:tcW w:w="1267" w:type="dxa"/>
            <w:tcMar>
              <w:top w:w="11" w:type="dxa"/>
              <w:left w:w="57" w:type="dxa"/>
              <w:bottom w:w="11" w:type="dxa"/>
              <w:right w:w="57" w:type="dxa"/>
            </w:tcMar>
          </w:tcPr>
          <w:p w14:paraId="0C69B7F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7" w:type="dxa"/>
            <w:tcMar>
              <w:top w:w="11" w:type="dxa"/>
              <w:left w:w="57" w:type="dxa"/>
              <w:bottom w:w="11" w:type="dxa"/>
              <w:right w:w="57" w:type="dxa"/>
            </w:tcMar>
          </w:tcPr>
          <w:p w14:paraId="4EC3C36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76" w:type="dxa"/>
            <w:tcMar>
              <w:top w:w="11" w:type="dxa"/>
              <w:left w:w="57" w:type="dxa"/>
              <w:bottom w:w="11" w:type="dxa"/>
              <w:right w:w="57" w:type="dxa"/>
            </w:tcMar>
          </w:tcPr>
          <w:p w14:paraId="472CB2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8" w:type="dxa"/>
            <w:tcMar>
              <w:top w:w="11" w:type="dxa"/>
              <w:left w:w="57" w:type="dxa"/>
              <w:bottom w:w="11" w:type="dxa"/>
              <w:right w:w="57" w:type="dxa"/>
            </w:tcMar>
          </w:tcPr>
          <w:p w14:paraId="18C0B9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Pr>
          <w:p w14:paraId="349CC79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Mar>
              <w:top w:w="11" w:type="dxa"/>
              <w:left w:w="57" w:type="dxa"/>
              <w:bottom w:w="11" w:type="dxa"/>
              <w:right w:w="57" w:type="dxa"/>
            </w:tcMar>
          </w:tcPr>
          <w:p w14:paraId="7DA2081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D121BA" w:rsidRPr="00735726" w14:paraId="226DCD67" w14:textId="77777777" w:rsidTr="00CE19B2">
        <w:trPr>
          <w:trHeight w:val="233"/>
        </w:trPr>
        <w:tc>
          <w:tcPr>
            <w:tcW w:w="2411" w:type="dxa"/>
            <w:tcMar>
              <w:top w:w="11" w:type="dxa"/>
              <w:left w:w="57" w:type="dxa"/>
              <w:bottom w:w="11" w:type="dxa"/>
              <w:right w:w="57" w:type="dxa"/>
            </w:tcMar>
          </w:tcPr>
          <w:p w14:paraId="12FC636C" w14:textId="746B2A19"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1267" w:type="dxa"/>
            <w:tcMar>
              <w:top w:w="11" w:type="dxa"/>
              <w:left w:w="57" w:type="dxa"/>
              <w:bottom w:w="11" w:type="dxa"/>
              <w:right w:w="57" w:type="dxa"/>
            </w:tcMar>
          </w:tcPr>
          <w:p w14:paraId="777ED3B6" w14:textId="258220CB"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31.9</w:t>
            </w:r>
          </w:p>
        </w:tc>
        <w:tc>
          <w:tcPr>
            <w:tcW w:w="1417" w:type="dxa"/>
            <w:tcMar>
              <w:top w:w="11" w:type="dxa"/>
              <w:left w:w="57" w:type="dxa"/>
              <w:bottom w:w="11" w:type="dxa"/>
              <w:right w:w="57" w:type="dxa"/>
            </w:tcMar>
          </w:tcPr>
          <w:p w14:paraId="578CF722" w14:textId="6472269A"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276" w:type="dxa"/>
            <w:tcMar>
              <w:top w:w="11" w:type="dxa"/>
              <w:left w:w="57" w:type="dxa"/>
              <w:bottom w:w="11" w:type="dxa"/>
              <w:right w:w="57" w:type="dxa"/>
            </w:tcMar>
          </w:tcPr>
          <w:p w14:paraId="55F1C3AB" w14:textId="34BA15FA"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418" w:type="dxa"/>
            <w:tcMar>
              <w:top w:w="11" w:type="dxa"/>
              <w:left w:w="57" w:type="dxa"/>
              <w:bottom w:w="11" w:type="dxa"/>
              <w:right w:w="57" w:type="dxa"/>
            </w:tcMar>
          </w:tcPr>
          <w:p w14:paraId="36EC5BAD" w14:textId="14391C92"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5.1</w:t>
            </w:r>
          </w:p>
        </w:tc>
        <w:tc>
          <w:tcPr>
            <w:tcW w:w="1134" w:type="dxa"/>
          </w:tcPr>
          <w:p w14:paraId="2485CC8C" w14:textId="47DF417E"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Mar>
              <w:top w:w="11" w:type="dxa"/>
              <w:left w:w="57" w:type="dxa"/>
              <w:bottom w:w="11" w:type="dxa"/>
              <w:right w:w="57" w:type="dxa"/>
            </w:tcMar>
          </w:tcPr>
          <w:p w14:paraId="3C04E263" w14:textId="12BB4566"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37.0</w:t>
            </w:r>
          </w:p>
        </w:tc>
      </w:tr>
      <w:tr w:rsidR="00D121BA" w:rsidRPr="00735726" w14:paraId="3CBF0962" w14:textId="77777777" w:rsidTr="00277639">
        <w:trPr>
          <w:trHeight w:val="233"/>
        </w:trPr>
        <w:tc>
          <w:tcPr>
            <w:tcW w:w="2411" w:type="dxa"/>
            <w:tcMar>
              <w:top w:w="11" w:type="dxa"/>
              <w:left w:w="57" w:type="dxa"/>
              <w:bottom w:w="11" w:type="dxa"/>
              <w:right w:w="57" w:type="dxa"/>
            </w:tcMar>
          </w:tcPr>
          <w:p w14:paraId="6367120E" w14:textId="20F5FC1B"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Additions</w:t>
            </w:r>
          </w:p>
        </w:tc>
        <w:tc>
          <w:tcPr>
            <w:tcW w:w="1267" w:type="dxa"/>
            <w:tcMar>
              <w:top w:w="11" w:type="dxa"/>
              <w:left w:w="57" w:type="dxa"/>
              <w:bottom w:w="11" w:type="dxa"/>
              <w:right w:w="57" w:type="dxa"/>
            </w:tcMar>
          </w:tcPr>
          <w:p w14:paraId="042C7BF4" w14:textId="37CBA0A8"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0.8</w:t>
            </w:r>
          </w:p>
        </w:tc>
        <w:tc>
          <w:tcPr>
            <w:tcW w:w="1417" w:type="dxa"/>
            <w:tcMar>
              <w:top w:w="11" w:type="dxa"/>
              <w:left w:w="57" w:type="dxa"/>
              <w:bottom w:w="11" w:type="dxa"/>
              <w:right w:w="57" w:type="dxa"/>
            </w:tcMar>
          </w:tcPr>
          <w:p w14:paraId="399C0374" w14:textId="5D64C6AA"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276" w:type="dxa"/>
            <w:tcMar>
              <w:top w:w="11" w:type="dxa"/>
              <w:left w:w="57" w:type="dxa"/>
              <w:bottom w:w="11" w:type="dxa"/>
              <w:right w:w="57" w:type="dxa"/>
            </w:tcMar>
          </w:tcPr>
          <w:p w14:paraId="313D3B61" w14:textId="1C835F4A"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418" w:type="dxa"/>
            <w:tcMar>
              <w:top w:w="11" w:type="dxa"/>
              <w:left w:w="57" w:type="dxa"/>
              <w:bottom w:w="11" w:type="dxa"/>
              <w:right w:w="57" w:type="dxa"/>
            </w:tcMar>
          </w:tcPr>
          <w:p w14:paraId="151BC199" w14:textId="796FF25C"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2.2</w:t>
            </w:r>
          </w:p>
        </w:tc>
        <w:tc>
          <w:tcPr>
            <w:tcW w:w="1134" w:type="dxa"/>
          </w:tcPr>
          <w:p w14:paraId="64DEB763" w14:textId="4FB13FFE"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992" w:type="dxa"/>
            <w:tcMar>
              <w:top w:w="11" w:type="dxa"/>
              <w:left w:w="57" w:type="dxa"/>
              <w:bottom w:w="11" w:type="dxa"/>
              <w:right w:w="57" w:type="dxa"/>
            </w:tcMar>
          </w:tcPr>
          <w:p w14:paraId="4F2E42A1" w14:textId="0F4C6858"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3.0</w:t>
            </w:r>
          </w:p>
        </w:tc>
      </w:tr>
      <w:tr w:rsidR="00D121BA" w:rsidRPr="00735726" w14:paraId="530FF579" w14:textId="77777777" w:rsidTr="00277639">
        <w:trPr>
          <w:trHeight w:val="233"/>
        </w:trPr>
        <w:tc>
          <w:tcPr>
            <w:tcW w:w="2411" w:type="dxa"/>
            <w:tcMar>
              <w:top w:w="11" w:type="dxa"/>
              <w:left w:w="57" w:type="dxa"/>
              <w:bottom w:w="11" w:type="dxa"/>
              <w:right w:w="57" w:type="dxa"/>
            </w:tcMar>
          </w:tcPr>
          <w:p w14:paraId="063F5D11" w14:textId="55E1485E"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Disposals</w:t>
            </w:r>
          </w:p>
        </w:tc>
        <w:tc>
          <w:tcPr>
            <w:tcW w:w="1267" w:type="dxa"/>
            <w:tcBorders>
              <w:bottom w:val="single" w:sz="4" w:space="0" w:color="auto"/>
            </w:tcBorders>
            <w:tcMar>
              <w:top w:w="11" w:type="dxa"/>
              <w:left w:w="57" w:type="dxa"/>
              <w:bottom w:w="11" w:type="dxa"/>
              <w:right w:w="57" w:type="dxa"/>
            </w:tcMar>
          </w:tcPr>
          <w:p w14:paraId="47E21A8F" w14:textId="2110F0BE"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417" w:type="dxa"/>
            <w:tcBorders>
              <w:bottom w:val="single" w:sz="4" w:space="0" w:color="auto"/>
            </w:tcBorders>
            <w:tcMar>
              <w:top w:w="11" w:type="dxa"/>
              <w:left w:w="57" w:type="dxa"/>
              <w:bottom w:w="11" w:type="dxa"/>
              <w:right w:w="57" w:type="dxa"/>
            </w:tcMar>
          </w:tcPr>
          <w:p w14:paraId="4821C16E" w14:textId="7188E574"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276" w:type="dxa"/>
            <w:tcBorders>
              <w:bottom w:val="single" w:sz="4" w:space="0" w:color="auto"/>
            </w:tcBorders>
            <w:tcMar>
              <w:top w:w="11" w:type="dxa"/>
              <w:left w:w="57" w:type="dxa"/>
              <w:bottom w:w="11" w:type="dxa"/>
              <w:right w:w="57" w:type="dxa"/>
            </w:tcMar>
          </w:tcPr>
          <w:p w14:paraId="52067EDD" w14:textId="17E4DC9D"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418" w:type="dxa"/>
            <w:tcBorders>
              <w:bottom w:val="single" w:sz="4" w:space="0" w:color="auto"/>
            </w:tcBorders>
            <w:tcMar>
              <w:top w:w="11" w:type="dxa"/>
              <w:left w:w="57" w:type="dxa"/>
              <w:bottom w:w="11" w:type="dxa"/>
              <w:right w:w="57" w:type="dxa"/>
            </w:tcMar>
          </w:tcPr>
          <w:p w14:paraId="5E3DBF52" w14:textId="72831DDD"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(0.1)</w:t>
            </w:r>
          </w:p>
        </w:tc>
        <w:tc>
          <w:tcPr>
            <w:tcW w:w="1134" w:type="dxa"/>
            <w:tcBorders>
              <w:bottom w:val="single" w:sz="4" w:space="0" w:color="auto"/>
            </w:tcBorders>
          </w:tcPr>
          <w:p w14:paraId="01E1A13B" w14:textId="340F968B"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992" w:type="dxa"/>
            <w:tcBorders>
              <w:bottom w:val="single" w:sz="4" w:space="0" w:color="auto"/>
            </w:tcBorders>
            <w:tcMar>
              <w:top w:w="11" w:type="dxa"/>
              <w:left w:w="57" w:type="dxa"/>
              <w:bottom w:w="11" w:type="dxa"/>
              <w:right w:w="57" w:type="dxa"/>
            </w:tcMar>
          </w:tcPr>
          <w:p w14:paraId="47F31240" w14:textId="7A42AF2A"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(0.1)</w:t>
            </w:r>
          </w:p>
        </w:tc>
      </w:tr>
      <w:tr w:rsidR="00D121BA" w:rsidRPr="00735726" w14:paraId="145939CE" w14:textId="77777777" w:rsidTr="00277639">
        <w:trPr>
          <w:trHeight w:val="233"/>
        </w:trPr>
        <w:tc>
          <w:tcPr>
            <w:tcW w:w="2411" w:type="dxa"/>
            <w:tcMar>
              <w:top w:w="11" w:type="dxa"/>
              <w:left w:w="57" w:type="dxa"/>
              <w:bottom w:w="11" w:type="dxa"/>
              <w:right w:w="57" w:type="dxa"/>
            </w:tcMar>
          </w:tcPr>
          <w:p w14:paraId="0A4DAAC3" w14:textId="2E55B325"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686" w:name="XMETag_859f1873a50c4ecdb3f48f584f751488" w:colFirst="1" w:colLast="1"/>
            <w:bookmarkStart w:id="687" w:name="XMETag_4e67fe51541f46658af9bd15407b5dfd" w:colFirst="2" w:colLast="2"/>
            <w:bookmarkStart w:id="688" w:name="XMETag_850a3477610b40a9a97900c402f9860b" w:colFirst="3" w:colLast="3"/>
            <w:bookmarkStart w:id="689" w:name="XMETag_83099a7a17cf4d9198c75df89ceec023" w:colFirst="4" w:colLast="4"/>
            <w:bookmarkStart w:id="690" w:name="XMETag_290c9b6535d7438fb134f1daf2d157d9" w:colFirst="5" w:colLast="5"/>
            <w:bookmarkStart w:id="691" w:name="XMETag_cb2baf5e227b4ac792b54cde76f14841" w:colFirst="6" w:colLast="6"/>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w:t>
            </w:r>
            <w:r w:rsidR="0023294C" w:rsidRPr="00735726">
              <w:rPr>
                <w:rFonts w:ascii="Arial" w:eastAsia="Times New Roman" w:hAnsi="Arial" w:cs="DINOT-Light"/>
                <w:b/>
                <w:color w:val="000000"/>
                <w:sz w:val="18"/>
                <w:szCs w:val="18"/>
              </w:rPr>
              <w:t xml:space="preserve">31 March </w:t>
            </w:r>
            <w:r w:rsidRPr="00735726">
              <w:rPr>
                <w:rFonts w:ascii="Arial" w:eastAsia="Times New Roman" w:hAnsi="Arial" w:cs="DINOT-Light"/>
                <w:b/>
                <w:color w:val="000000"/>
                <w:sz w:val="18"/>
                <w:szCs w:val="18"/>
              </w:rPr>
              <w:t>2025</w:t>
            </w:r>
          </w:p>
        </w:tc>
        <w:tc>
          <w:tcPr>
            <w:tcW w:w="1267" w:type="dxa"/>
            <w:tcBorders>
              <w:top w:val="single" w:sz="4" w:space="0" w:color="auto"/>
              <w:bottom w:val="single" w:sz="4" w:space="0" w:color="auto"/>
            </w:tcBorders>
            <w:tcMar>
              <w:top w:w="11" w:type="dxa"/>
              <w:left w:w="57" w:type="dxa"/>
              <w:bottom w:w="11" w:type="dxa"/>
              <w:right w:w="57" w:type="dxa"/>
            </w:tcMar>
          </w:tcPr>
          <w:p w14:paraId="609CBBB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32.7</w:t>
            </w:r>
          </w:p>
        </w:tc>
        <w:tc>
          <w:tcPr>
            <w:tcW w:w="1417" w:type="dxa"/>
            <w:tcBorders>
              <w:top w:val="single" w:sz="4" w:space="0" w:color="auto"/>
              <w:bottom w:val="single" w:sz="4" w:space="0" w:color="auto"/>
            </w:tcBorders>
            <w:tcMar>
              <w:top w:w="11" w:type="dxa"/>
              <w:left w:w="57" w:type="dxa"/>
              <w:bottom w:w="11" w:type="dxa"/>
              <w:right w:w="57" w:type="dxa"/>
            </w:tcMar>
          </w:tcPr>
          <w:p w14:paraId="77DAB3F2"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276" w:type="dxa"/>
            <w:tcBorders>
              <w:top w:val="single" w:sz="4" w:space="0" w:color="auto"/>
              <w:bottom w:val="single" w:sz="4" w:space="0" w:color="auto"/>
            </w:tcBorders>
            <w:tcMar>
              <w:top w:w="11" w:type="dxa"/>
              <w:left w:w="57" w:type="dxa"/>
              <w:bottom w:w="11" w:type="dxa"/>
              <w:right w:w="57" w:type="dxa"/>
            </w:tcMar>
          </w:tcPr>
          <w:p w14:paraId="1C3641E7"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418" w:type="dxa"/>
            <w:tcBorders>
              <w:top w:val="single" w:sz="4" w:space="0" w:color="auto"/>
              <w:bottom w:val="single" w:sz="4" w:space="0" w:color="auto"/>
            </w:tcBorders>
            <w:tcMar>
              <w:top w:w="11" w:type="dxa"/>
              <w:left w:w="57" w:type="dxa"/>
              <w:bottom w:w="11" w:type="dxa"/>
              <w:right w:w="57" w:type="dxa"/>
            </w:tcMar>
          </w:tcPr>
          <w:p w14:paraId="688AFF7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7.2</w:t>
            </w:r>
          </w:p>
        </w:tc>
        <w:tc>
          <w:tcPr>
            <w:tcW w:w="1134" w:type="dxa"/>
            <w:tcBorders>
              <w:top w:val="single" w:sz="4" w:space="0" w:color="auto"/>
              <w:bottom w:val="single" w:sz="4" w:space="0" w:color="auto"/>
            </w:tcBorders>
          </w:tcPr>
          <w:p w14:paraId="3777CCE1"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09FB9A40"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39.9</w:t>
            </w:r>
          </w:p>
        </w:tc>
      </w:tr>
      <w:tr w:rsidR="00D121BA" w:rsidRPr="00735726" w14:paraId="71E9E348" w14:textId="77777777" w:rsidTr="00277639">
        <w:trPr>
          <w:trHeight w:val="233"/>
        </w:trPr>
        <w:tc>
          <w:tcPr>
            <w:tcW w:w="2411" w:type="dxa"/>
            <w:tcMar>
              <w:top w:w="11" w:type="dxa"/>
              <w:left w:w="57" w:type="dxa"/>
              <w:bottom w:w="11" w:type="dxa"/>
              <w:right w:w="57" w:type="dxa"/>
            </w:tcMar>
          </w:tcPr>
          <w:p w14:paraId="3E0B6249"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692" w:name="XMETag_b63db95d471e4d71a9d4ce879d75fbf1" w:colFirst="1" w:colLast="1"/>
            <w:bookmarkStart w:id="693" w:name="XMETag_c6c6a9aea0d746cc986dbe6e4142046b" w:colFirst="2" w:colLast="2"/>
            <w:bookmarkStart w:id="694" w:name="XMETag_d55647010b3d442c846306f52c7099a0" w:colFirst="3" w:colLast="3"/>
            <w:bookmarkStart w:id="695" w:name="XMETag_27d902a7eabf4bcbba13a3f93bf10979" w:colFirst="4" w:colLast="4"/>
            <w:bookmarkStart w:id="696" w:name="XMETag_439320ba271641709012b068d6f2a9d1" w:colFirst="5" w:colLast="5"/>
            <w:bookmarkStart w:id="697" w:name="XMETag_4cb433fb08d440b78fdd8b5252fc3f21" w:colFirst="6" w:colLast="6"/>
            <w:bookmarkEnd w:id="686"/>
            <w:bookmarkEnd w:id="687"/>
            <w:bookmarkEnd w:id="688"/>
            <w:bookmarkEnd w:id="689"/>
            <w:bookmarkEnd w:id="690"/>
            <w:bookmarkEnd w:id="691"/>
            <w:r w:rsidRPr="00735726">
              <w:rPr>
                <w:rFonts w:ascii="Arial" w:eastAsia="Times New Roman" w:hAnsi="Arial" w:cs="DINOT-Light"/>
                <w:color w:val="000000"/>
                <w:sz w:val="18"/>
                <w:szCs w:val="18"/>
              </w:rPr>
              <w:t>Additions</w:t>
            </w:r>
          </w:p>
        </w:tc>
        <w:tc>
          <w:tcPr>
            <w:tcW w:w="1267" w:type="dxa"/>
            <w:tcBorders>
              <w:top w:val="single" w:sz="4" w:space="0" w:color="auto"/>
              <w:bottom w:val="single" w:sz="4" w:space="0" w:color="auto"/>
            </w:tcBorders>
            <w:tcMar>
              <w:top w:w="11" w:type="dxa"/>
              <w:left w:w="57" w:type="dxa"/>
              <w:bottom w:w="11" w:type="dxa"/>
              <w:right w:w="57" w:type="dxa"/>
            </w:tcMar>
          </w:tcPr>
          <w:p w14:paraId="55C66B2D"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17" w:type="dxa"/>
            <w:tcBorders>
              <w:top w:val="single" w:sz="4" w:space="0" w:color="auto"/>
              <w:bottom w:val="single" w:sz="4" w:space="0" w:color="auto"/>
            </w:tcBorders>
            <w:tcMar>
              <w:top w:w="11" w:type="dxa"/>
              <w:left w:w="57" w:type="dxa"/>
              <w:bottom w:w="11" w:type="dxa"/>
              <w:right w:w="57" w:type="dxa"/>
            </w:tcMar>
          </w:tcPr>
          <w:p w14:paraId="380A8353"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276" w:type="dxa"/>
            <w:tcBorders>
              <w:top w:val="single" w:sz="4" w:space="0" w:color="auto"/>
              <w:bottom w:val="single" w:sz="4" w:space="0" w:color="auto"/>
            </w:tcBorders>
            <w:tcMar>
              <w:top w:w="11" w:type="dxa"/>
              <w:left w:w="57" w:type="dxa"/>
              <w:bottom w:w="11" w:type="dxa"/>
              <w:right w:w="57" w:type="dxa"/>
            </w:tcMar>
          </w:tcPr>
          <w:p w14:paraId="065CE92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18" w:type="dxa"/>
            <w:tcBorders>
              <w:top w:val="single" w:sz="4" w:space="0" w:color="auto"/>
              <w:bottom w:val="single" w:sz="4" w:space="0" w:color="auto"/>
            </w:tcBorders>
            <w:tcMar>
              <w:top w:w="11" w:type="dxa"/>
              <w:left w:w="57" w:type="dxa"/>
              <w:bottom w:w="11" w:type="dxa"/>
              <w:right w:w="57" w:type="dxa"/>
            </w:tcMar>
          </w:tcPr>
          <w:p w14:paraId="356993D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0.9</w:t>
            </w:r>
          </w:p>
        </w:tc>
        <w:tc>
          <w:tcPr>
            <w:tcW w:w="1134" w:type="dxa"/>
            <w:tcBorders>
              <w:top w:val="single" w:sz="4" w:space="0" w:color="auto"/>
              <w:bottom w:val="single" w:sz="4" w:space="0" w:color="auto"/>
            </w:tcBorders>
          </w:tcPr>
          <w:p w14:paraId="2E59D063"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469C36AA"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0.9</w:t>
            </w:r>
          </w:p>
        </w:tc>
      </w:tr>
      <w:tr w:rsidR="00D121BA" w:rsidRPr="00735726" w14:paraId="563CC927" w14:textId="77777777" w:rsidTr="00277639">
        <w:trPr>
          <w:trHeight w:val="233"/>
        </w:trPr>
        <w:tc>
          <w:tcPr>
            <w:tcW w:w="2411" w:type="dxa"/>
            <w:tcMar>
              <w:top w:w="11" w:type="dxa"/>
              <w:left w:w="57" w:type="dxa"/>
              <w:bottom w:w="11" w:type="dxa"/>
              <w:right w:w="57" w:type="dxa"/>
            </w:tcMar>
          </w:tcPr>
          <w:p w14:paraId="34C144F5"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698" w:name="XMETag_25d2ad7549e5415ab55bf0ba92d4d449" w:colFirst="1" w:colLast="1"/>
            <w:bookmarkStart w:id="699" w:name="XMETag_74253f9c44d64b42a2e8218e0ad699d1" w:colFirst="2" w:colLast="2"/>
            <w:bookmarkStart w:id="700" w:name="XMETag_66a5c5121c604fa98ffe008fc87eca90" w:colFirst="3" w:colLast="3"/>
            <w:bookmarkStart w:id="701" w:name="XMETag_d64fe9af14a047f280ed09da2a5c3975" w:colFirst="4" w:colLast="4"/>
            <w:bookmarkStart w:id="702" w:name="XMETag_be970cd0ab3041858641a87706177e27" w:colFirst="5" w:colLast="5"/>
            <w:bookmarkStart w:id="703" w:name="XMETag_1286e5536c774777b58d0fbbd359c1ab" w:colFirst="6" w:colLast="6"/>
            <w:bookmarkEnd w:id="692"/>
            <w:bookmarkEnd w:id="693"/>
            <w:bookmarkEnd w:id="694"/>
            <w:bookmarkEnd w:id="695"/>
            <w:bookmarkEnd w:id="696"/>
            <w:bookmarkEnd w:id="697"/>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1267" w:type="dxa"/>
            <w:tcBorders>
              <w:top w:val="single" w:sz="4" w:space="0" w:color="auto"/>
              <w:bottom w:val="single" w:sz="4" w:space="0" w:color="auto"/>
            </w:tcBorders>
            <w:tcMar>
              <w:top w:w="11" w:type="dxa"/>
              <w:left w:w="57" w:type="dxa"/>
              <w:bottom w:w="11" w:type="dxa"/>
              <w:right w:w="57" w:type="dxa"/>
            </w:tcMar>
          </w:tcPr>
          <w:p w14:paraId="757F31F5"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32.7</w:t>
            </w:r>
          </w:p>
        </w:tc>
        <w:tc>
          <w:tcPr>
            <w:tcW w:w="1417" w:type="dxa"/>
            <w:tcBorders>
              <w:top w:val="single" w:sz="4" w:space="0" w:color="auto"/>
              <w:bottom w:val="single" w:sz="4" w:space="0" w:color="auto"/>
            </w:tcBorders>
            <w:tcMar>
              <w:top w:w="11" w:type="dxa"/>
              <w:left w:w="57" w:type="dxa"/>
              <w:bottom w:w="11" w:type="dxa"/>
              <w:right w:w="57" w:type="dxa"/>
            </w:tcMar>
          </w:tcPr>
          <w:p w14:paraId="2BAC84BB"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1276" w:type="dxa"/>
            <w:tcBorders>
              <w:top w:val="single" w:sz="4" w:space="0" w:color="auto"/>
              <w:bottom w:val="single" w:sz="4" w:space="0" w:color="auto"/>
            </w:tcBorders>
            <w:tcMar>
              <w:top w:w="11" w:type="dxa"/>
              <w:left w:w="57" w:type="dxa"/>
              <w:bottom w:w="11" w:type="dxa"/>
              <w:right w:w="57" w:type="dxa"/>
            </w:tcMar>
          </w:tcPr>
          <w:p w14:paraId="146CD62C"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1418" w:type="dxa"/>
            <w:tcBorders>
              <w:top w:val="single" w:sz="4" w:space="0" w:color="auto"/>
              <w:bottom w:val="single" w:sz="4" w:space="0" w:color="auto"/>
            </w:tcBorders>
            <w:tcMar>
              <w:top w:w="11" w:type="dxa"/>
              <w:left w:w="57" w:type="dxa"/>
              <w:bottom w:w="11" w:type="dxa"/>
              <w:right w:w="57" w:type="dxa"/>
            </w:tcMar>
          </w:tcPr>
          <w:p w14:paraId="2E612077"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8.1</w:t>
            </w:r>
          </w:p>
        </w:tc>
        <w:tc>
          <w:tcPr>
            <w:tcW w:w="1134" w:type="dxa"/>
            <w:tcBorders>
              <w:top w:val="single" w:sz="4" w:space="0" w:color="auto"/>
              <w:bottom w:val="single" w:sz="4" w:space="0" w:color="auto"/>
            </w:tcBorders>
          </w:tcPr>
          <w:p w14:paraId="5F273DD6"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7F7C14F4"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40.8</w:t>
            </w:r>
          </w:p>
        </w:tc>
      </w:tr>
      <w:bookmarkEnd w:id="698"/>
      <w:bookmarkEnd w:id="699"/>
      <w:bookmarkEnd w:id="700"/>
      <w:bookmarkEnd w:id="701"/>
      <w:bookmarkEnd w:id="702"/>
      <w:bookmarkEnd w:id="703"/>
      <w:tr w:rsidR="00D121BA" w:rsidRPr="00735726" w14:paraId="283B0A8B" w14:textId="77777777" w:rsidTr="00277639">
        <w:trPr>
          <w:trHeight w:val="233"/>
        </w:trPr>
        <w:tc>
          <w:tcPr>
            <w:tcW w:w="2411" w:type="dxa"/>
            <w:tcMar>
              <w:top w:w="11" w:type="dxa"/>
              <w:left w:w="57" w:type="dxa"/>
              <w:bottom w:w="11" w:type="dxa"/>
              <w:right w:w="57" w:type="dxa"/>
            </w:tcMar>
          </w:tcPr>
          <w:p w14:paraId="74FDC863"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267" w:type="dxa"/>
            <w:tcBorders>
              <w:top w:val="single" w:sz="4" w:space="0" w:color="auto"/>
            </w:tcBorders>
            <w:tcMar>
              <w:top w:w="11" w:type="dxa"/>
              <w:left w:w="57" w:type="dxa"/>
              <w:bottom w:w="11" w:type="dxa"/>
              <w:right w:w="57" w:type="dxa"/>
            </w:tcMar>
          </w:tcPr>
          <w:p w14:paraId="46FD7B65"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17" w:type="dxa"/>
            <w:tcBorders>
              <w:top w:val="single" w:sz="4" w:space="0" w:color="auto"/>
            </w:tcBorders>
            <w:tcMar>
              <w:top w:w="11" w:type="dxa"/>
              <w:left w:w="57" w:type="dxa"/>
              <w:bottom w:w="11" w:type="dxa"/>
              <w:right w:w="57" w:type="dxa"/>
            </w:tcMar>
          </w:tcPr>
          <w:p w14:paraId="0573AE3B"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76" w:type="dxa"/>
            <w:tcBorders>
              <w:top w:val="single" w:sz="4" w:space="0" w:color="auto"/>
            </w:tcBorders>
            <w:tcMar>
              <w:top w:w="11" w:type="dxa"/>
              <w:left w:w="57" w:type="dxa"/>
              <w:bottom w:w="11" w:type="dxa"/>
              <w:right w:w="57" w:type="dxa"/>
            </w:tcMar>
          </w:tcPr>
          <w:p w14:paraId="41EFCD6C"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18" w:type="dxa"/>
            <w:tcBorders>
              <w:top w:val="single" w:sz="4" w:space="0" w:color="auto"/>
            </w:tcBorders>
            <w:tcMar>
              <w:top w:w="11" w:type="dxa"/>
              <w:left w:w="57" w:type="dxa"/>
              <w:bottom w:w="11" w:type="dxa"/>
              <w:right w:w="57" w:type="dxa"/>
            </w:tcMar>
          </w:tcPr>
          <w:p w14:paraId="27A886B9"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Pr>
          <w:p w14:paraId="07451C8F"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01655A04"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D121BA" w:rsidRPr="00735726" w14:paraId="1B3E6E3B" w14:textId="77777777" w:rsidTr="00CE19B2">
        <w:trPr>
          <w:trHeight w:val="233"/>
        </w:trPr>
        <w:tc>
          <w:tcPr>
            <w:tcW w:w="2411" w:type="dxa"/>
            <w:tcMar>
              <w:top w:w="11" w:type="dxa"/>
              <w:left w:w="57" w:type="dxa"/>
              <w:bottom w:w="11" w:type="dxa"/>
              <w:right w:w="57" w:type="dxa"/>
            </w:tcMar>
          </w:tcPr>
          <w:p w14:paraId="7C104E16" w14:textId="77777777" w:rsidR="00D121BA" w:rsidRPr="00735726" w:rsidRDefault="00D121BA" w:rsidP="00D121BA">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Accumulated depreciation:</w:t>
            </w:r>
          </w:p>
        </w:tc>
        <w:tc>
          <w:tcPr>
            <w:tcW w:w="1267" w:type="dxa"/>
            <w:tcMar>
              <w:top w:w="11" w:type="dxa"/>
              <w:left w:w="57" w:type="dxa"/>
              <w:bottom w:w="11" w:type="dxa"/>
              <w:right w:w="57" w:type="dxa"/>
            </w:tcMar>
          </w:tcPr>
          <w:p w14:paraId="1890944C"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7" w:type="dxa"/>
            <w:tcMar>
              <w:top w:w="11" w:type="dxa"/>
              <w:left w:w="57" w:type="dxa"/>
              <w:bottom w:w="11" w:type="dxa"/>
              <w:right w:w="57" w:type="dxa"/>
            </w:tcMar>
          </w:tcPr>
          <w:p w14:paraId="7D95F1DC"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76" w:type="dxa"/>
            <w:tcMar>
              <w:top w:w="11" w:type="dxa"/>
              <w:left w:w="57" w:type="dxa"/>
              <w:bottom w:w="11" w:type="dxa"/>
              <w:right w:w="57" w:type="dxa"/>
            </w:tcMar>
          </w:tcPr>
          <w:p w14:paraId="7C6C8558"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8" w:type="dxa"/>
            <w:tcMar>
              <w:top w:w="11" w:type="dxa"/>
              <w:left w:w="57" w:type="dxa"/>
              <w:bottom w:w="11" w:type="dxa"/>
              <w:right w:w="57" w:type="dxa"/>
            </w:tcMar>
          </w:tcPr>
          <w:p w14:paraId="6A448E0E"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Pr>
          <w:p w14:paraId="630AB07C"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Mar>
              <w:top w:w="11" w:type="dxa"/>
              <w:left w:w="57" w:type="dxa"/>
              <w:bottom w:w="11" w:type="dxa"/>
              <w:right w:w="57" w:type="dxa"/>
            </w:tcMar>
          </w:tcPr>
          <w:p w14:paraId="2C21797D" w14:textId="77777777" w:rsidR="00D121BA" w:rsidRPr="00735726" w:rsidRDefault="00D121BA" w:rsidP="00D121BA">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23294C" w:rsidRPr="00735726" w14:paraId="3B7BFA7E" w14:textId="77777777" w:rsidTr="00CE19B2">
        <w:trPr>
          <w:trHeight w:val="233"/>
        </w:trPr>
        <w:tc>
          <w:tcPr>
            <w:tcW w:w="2411" w:type="dxa"/>
            <w:tcMar>
              <w:top w:w="11" w:type="dxa"/>
              <w:left w:w="57" w:type="dxa"/>
              <w:bottom w:w="11" w:type="dxa"/>
              <w:right w:w="57" w:type="dxa"/>
            </w:tcMar>
          </w:tcPr>
          <w:p w14:paraId="3369EEE8" w14:textId="4E3AE5DC"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1267" w:type="dxa"/>
            <w:tcMar>
              <w:top w:w="11" w:type="dxa"/>
              <w:left w:w="57" w:type="dxa"/>
              <w:bottom w:w="11" w:type="dxa"/>
              <w:right w:w="57" w:type="dxa"/>
            </w:tcMar>
          </w:tcPr>
          <w:p w14:paraId="01FEFE65" w14:textId="4197778E"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5.7</w:t>
            </w:r>
          </w:p>
        </w:tc>
        <w:tc>
          <w:tcPr>
            <w:tcW w:w="1417" w:type="dxa"/>
            <w:tcMar>
              <w:top w:w="11" w:type="dxa"/>
              <w:left w:w="57" w:type="dxa"/>
              <w:bottom w:w="11" w:type="dxa"/>
              <w:right w:w="57" w:type="dxa"/>
            </w:tcMar>
          </w:tcPr>
          <w:p w14:paraId="2E722071" w14:textId="0A95B30B"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276" w:type="dxa"/>
            <w:tcMar>
              <w:top w:w="11" w:type="dxa"/>
              <w:left w:w="57" w:type="dxa"/>
              <w:bottom w:w="11" w:type="dxa"/>
              <w:right w:w="57" w:type="dxa"/>
            </w:tcMar>
          </w:tcPr>
          <w:p w14:paraId="6B5347EC" w14:textId="4A92C929"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418" w:type="dxa"/>
            <w:tcMar>
              <w:top w:w="11" w:type="dxa"/>
              <w:left w:w="57" w:type="dxa"/>
              <w:bottom w:w="11" w:type="dxa"/>
              <w:right w:w="57" w:type="dxa"/>
            </w:tcMar>
          </w:tcPr>
          <w:p w14:paraId="74FB1467" w14:textId="03F74E16"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w:t>
            </w:r>
          </w:p>
        </w:tc>
        <w:tc>
          <w:tcPr>
            <w:tcW w:w="1134" w:type="dxa"/>
          </w:tcPr>
          <w:p w14:paraId="5F4AB45E" w14:textId="722F09C4"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Mar>
              <w:top w:w="11" w:type="dxa"/>
              <w:left w:w="57" w:type="dxa"/>
              <w:bottom w:w="11" w:type="dxa"/>
              <w:right w:w="57" w:type="dxa"/>
            </w:tcMar>
          </w:tcPr>
          <w:p w14:paraId="4FF66B37" w14:textId="05A5FC41"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7.4</w:t>
            </w:r>
          </w:p>
        </w:tc>
      </w:tr>
      <w:tr w:rsidR="0023294C" w:rsidRPr="00735726" w14:paraId="1E46FB08" w14:textId="77777777" w:rsidTr="00277639">
        <w:trPr>
          <w:trHeight w:val="233"/>
        </w:trPr>
        <w:tc>
          <w:tcPr>
            <w:tcW w:w="2411" w:type="dxa"/>
            <w:tcMar>
              <w:top w:w="11" w:type="dxa"/>
              <w:left w:w="57" w:type="dxa"/>
              <w:bottom w:w="11" w:type="dxa"/>
              <w:right w:w="57" w:type="dxa"/>
            </w:tcMar>
          </w:tcPr>
          <w:p w14:paraId="215F2331" w14:textId="49434B40"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Additions</w:t>
            </w:r>
          </w:p>
        </w:tc>
        <w:tc>
          <w:tcPr>
            <w:tcW w:w="1267" w:type="dxa"/>
            <w:tcMar>
              <w:top w:w="11" w:type="dxa"/>
              <w:left w:w="57" w:type="dxa"/>
              <w:bottom w:w="11" w:type="dxa"/>
              <w:right w:w="57" w:type="dxa"/>
            </w:tcMar>
          </w:tcPr>
          <w:p w14:paraId="59D5C9EB" w14:textId="5DEF5CBA"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1.3</w:t>
            </w:r>
          </w:p>
        </w:tc>
        <w:tc>
          <w:tcPr>
            <w:tcW w:w="1417" w:type="dxa"/>
            <w:tcMar>
              <w:top w:w="11" w:type="dxa"/>
              <w:left w:w="57" w:type="dxa"/>
              <w:bottom w:w="11" w:type="dxa"/>
              <w:right w:w="57" w:type="dxa"/>
            </w:tcMar>
          </w:tcPr>
          <w:p w14:paraId="79B02245" w14:textId="2570BA1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276" w:type="dxa"/>
            <w:tcMar>
              <w:top w:w="11" w:type="dxa"/>
              <w:left w:w="57" w:type="dxa"/>
              <w:bottom w:w="11" w:type="dxa"/>
              <w:right w:w="57" w:type="dxa"/>
            </w:tcMar>
          </w:tcPr>
          <w:p w14:paraId="751FB277" w14:textId="30FE36F1"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418" w:type="dxa"/>
            <w:tcMar>
              <w:top w:w="11" w:type="dxa"/>
              <w:left w:w="57" w:type="dxa"/>
              <w:bottom w:w="11" w:type="dxa"/>
              <w:right w:w="57" w:type="dxa"/>
            </w:tcMar>
          </w:tcPr>
          <w:p w14:paraId="5C0E73BE" w14:textId="67195EDD"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1.5</w:t>
            </w:r>
          </w:p>
        </w:tc>
        <w:tc>
          <w:tcPr>
            <w:tcW w:w="1134" w:type="dxa"/>
          </w:tcPr>
          <w:p w14:paraId="317B2B3F" w14:textId="6EBF0899"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992" w:type="dxa"/>
            <w:tcMar>
              <w:top w:w="11" w:type="dxa"/>
              <w:left w:w="57" w:type="dxa"/>
              <w:bottom w:w="11" w:type="dxa"/>
              <w:right w:w="57" w:type="dxa"/>
            </w:tcMar>
          </w:tcPr>
          <w:p w14:paraId="5D36E6F4" w14:textId="531877BF"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2.8</w:t>
            </w:r>
          </w:p>
        </w:tc>
      </w:tr>
      <w:tr w:rsidR="0023294C" w:rsidRPr="00735726" w14:paraId="488DB0B4" w14:textId="77777777" w:rsidTr="00277639">
        <w:trPr>
          <w:trHeight w:val="233"/>
        </w:trPr>
        <w:tc>
          <w:tcPr>
            <w:tcW w:w="2411" w:type="dxa"/>
            <w:tcMar>
              <w:top w:w="11" w:type="dxa"/>
              <w:left w:w="57" w:type="dxa"/>
              <w:bottom w:w="11" w:type="dxa"/>
              <w:right w:w="57" w:type="dxa"/>
            </w:tcMar>
          </w:tcPr>
          <w:p w14:paraId="7F26E84E" w14:textId="35AABC74"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Cs/>
                <w:color w:val="000000"/>
                <w:sz w:val="18"/>
                <w:szCs w:val="18"/>
              </w:rPr>
              <w:t>Disposals</w:t>
            </w:r>
          </w:p>
        </w:tc>
        <w:tc>
          <w:tcPr>
            <w:tcW w:w="1267" w:type="dxa"/>
            <w:tcBorders>
              <w:bottom w:val="single" w:sz="4" w:space="0" w:color="auto"/>
            </w:tcBorders>
            <w:tcMar>
              <w:top w:w="11" w:type="dxa"/>
              <w:left w:w="57" w:type="dxa"/>
              <w:bottom w:w="11" w:type="dxa"/>
              <w:right w:w="57" w:type="dxa"/>
            </w:tcMar>
          </w:tcPr>
          <w:p w14:paraId="12AAF88B" w14:textId="0FB4FC99"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417" w:type="dxa"/>
            <w:tcBorders>
              <w:bottom w:val="single" w:sz="4" w:space="0" w:color="auto"/>
            </w:tcBorders>
            <w:tcMar>
              <w:top w:w="11" w:type="dxa"/>
              <w:left w:w="57" w:type="dxa"/>
              <w:bottom w:w="11" w:type="dxa"/>
              <w:right w:w="57" w:type="dxa"/>
            </w:tcMar>
          </w:tcPr>
          <w:p w14:paraId="440D97E1" w14:textId="249093F5"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276" w:type="dxa"/>
            <w:tcBorders>
              <w:bottom w:val="single" w:sz="4" w:space="0" w:color="auto"/>
            </w:tcBorders>
            <w:tcMar>
              <w:top w:w="11" w:type="dxa"/>
              <w:left w:w="57" w:type="dxa"/>
              <w:bottom w:w="11" w:type="dxa"/>
              <w:right w:w="57" w:type="dxa"/>
            </w:tcMar>
          </w:tcPr>
          <w:p w14:paraId="58887318" w14:textId="4CCFD4D3"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418" w:type="dxa"/>
            <w:tcBorders>
              <w:bottom w:val="single" w:sz="4" w:space="0" w:color="auto"/>
            </w:tcBorders>
            <w:tcMar>
              <w:top w:w="11" w:type="dxa"/>
              <w:left w:w="57" w:type="dxa"/>
              <w:bottom w:w="11" w:type="dxa"/>
              <w:right w:w="57" w:type="dxa"/>
            </w:tcMar>
          </w:tcPr>
          <w:p w14:paraId="05B45031" w14:textId="5FFBFCBC"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(0.1)</w:t>
            </w:r>
          </w:p>
        </w:tc>
        <w:tc>
          <w:tcPr>
            <w:tcW w:w="1134" w:type="dxa"/>
            <w:tcBorders>
              <w:bottom w:val="single" w:sz="4" w:space="0" w:color="auto"/>
            </w:tcBorders>
          </w:tcPr>
          <w:p w14:paraId="71750D90" w14:textId="61004AE4"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992" w:type="dxa"/>
            <w:tcBorders>
              <w:bottom w:val="single" w:sz="4" w:space="0" w:color="auto"/>
            </w:tcBorders>
            <w:tcMar>
              <w:top w:w="11" w:type="dxa"/>
              <w:left w:w="57" w:type="dxa"/>
              <w:bottom w:w="11" w:type="dxa"/>
              <w:right w:w="57" w:type="dxa"/>
            </w:tcMar>
          </w:tcPr>
          <w:p w14:paraId="32963C22" w14:textId="1716BF29"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(0.1)</w:t>
            </w:r>
          </w:p>
        </w:tc>
      </w:tr>
      <w:tr w:rsidR="0023294C" w:rsidRPr="00735726" w14:paraId="0D90DE29" w14:textId="77777777" w:rsidTr="00277639">
        <w:trPr>
          <w:trHeight w:val="233"/>
        </w:trPr>
        <w:tc>
          <w:tcPr>
            <w:tcW w:w="2411" w:type="dxa"/>
            <w:tcMar>
              <w:top w:w="11" w:type="dxa"/>
              <w:left w:w="57" w:type="dxa"/>
              <w:bottom w:w="11" w:type="dxa"/>
              <w:right w:w="57" w:type="dxa"/>
            </w:tcMar>
          </w:tcPr>
          <w:p w14:paraId="45177B4A" w14:textId="059007E2"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704" w:name="XMETag_7c3d5ed887944c77abef1f541a065b14" w:colFirst="1" w:colLast="1"/>
            <w:bookmarkStart w:id="705" w:name="XMETag_7ee463e381d14244be7c787bd8bdca54" w:colFirst="2" w:colLast="2"/>
            <w:bookmarkStart w:id="706" w:name="XMETag_fac9292e7232441bab01f988a52c3d62" w:colFirst="3" w:colLast="3"/>
            <w:bookmarkStart w:id="707" w:name="XMETag_8319662a62d54fe0910d2bc4f3d029fe" w:colFirst="4" w:colLast="4"/>
            <w:bookmarkStart w:id="708" w:name="XMETag_669ec42f48b543ec94daac6ac18d7d48" w:colFirst="5" w:colLast="5"/>
            <w:bookmarkStart w:id="709" w:name="XMETag_baffc7329d8e4434bf7bf7b8c77e65e7" w:colFirst="6" w:colLast="6"/>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1267" w:type="dxa"/>
            <w:tcBorders>
              <w:top w:val="single" w:sz="4" w:space="0" w:color="auto"/>
              <w:bottom w:val="single" w:sz="4" w:space="0" w:color="auto"/>
            </w:tcBorders>
            <w:tcMar>
              <w:top w:w="11" w:type="dxa"/>
              <w:left w:w="57" w:type="dxa"/>
              <w:bottom w:w="11" w:type="dxa"/>
              <w:right w:w="57" w:type="dxa"/>
            </w:tcMar>
          </w:tcPr>
          <w:p w14:paraId="30E1A604"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7.0</w:t>
            </w:r>
          </w:p>
        </w:tc>
        <w:tc>
          <w:tcPr>
            <w:tcW w:w="1417" w:type="dxa"/>
            <w:tcBorders>
              <w:top w:val="single" w:sz="4" w:space="0" w:color="auto"/>
              <w:bottom w:val="single" w:sz="4" w:space="0" w:color="auto"/>
            </w:tcBorders>
            <w:tcMar>
              <w:top w:w="11" w:type="dxa"/>
              <w:left w:w="57" w:type="dxa"/>
              <w:bottom w:w="11" w:type="dxa"/>
              <w:right w:w="57" w:type="dxa"/>
            </w:tcMar>
          </w:tcPr>
          <w:p w14:paraId="5BAAC304"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276" w:type="dxa"/>
            <w:tcBorders>
              <w:top w:val="single" w:sz="4" w:space="0" w:color="auto"/>
              <w:bottom w:val="single" w:sz="4" w:space="0" w:color="auto"/>
            </w:tcBorders>
            <w:tcMar>
              <w:top w:w="11" w:type="dxa"/>
              <w:left w:w="57" w:type="dxa"/>
              <w:bottom w:w="11" w:type="dxa"/>
              <w:right w:w="57" w:type="dxa"/>
            </w:tcMar>
          </w:tcPr>
          <w:p w14:paraId="410848F2"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418" w:type="dxa"/>
            <w:tcBorders>
              <w:top w:val="single" w:sz="4" w:space="0" w:color="auto"/>
              <w:bottom w:val="single" w:sz="4" w:space="0" w:color="auto"/>
            </w:tcBorders>
            <w:tcMar>
              <w:top w:w="11" w:type="dxa"/>
              <w:left w:w="57" w:type="dxa"/>
              <w:bottom w:w="11" w:type="dxa"/>
              <w:right w:w="57" w:type="dxa"/>
            </w:tcMar>
          </w:tcPr>
          <w:p w14:paraId="75E3333E"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w:t>
            </w:r>
          </w:p>
        </w:tc>
        <w:tc>
          <w:tcPr>
            <w:tcW w:w="1134" w:type="dxa"/>
            <w:tcBorders>
              <w:top w:val="single" w:sz="4" w:space="0" w:color="auto"/>
              <w:bottom w:val="single" w:sz="4" w:space="0" w:color="auto"/>
            </w:tcBorders>
          </w:tcPr>
          <w:p w14:paraId="2831CEBB"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19D4A37E"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10.1</w:t>
            </w:r>
          </w:p>
        </w:tc>
      </w:tr>
      <w:tr w:rsidR="0023294C" w:rsidRPr="00735726" w14:paraId="2A0F7999" w14:textId="77777777" w:rsidTr="00277639">
        <w:trPr>
          <w:trHeight w:val="233"/>
        </w:trPr>
        <w:tc>
          <w:tcPr>
            <w:tcW w:w="2411" w:type="dxa"/>
            <w:tcMar>
              <w:top w:w="11" w:type="dxa"/>
              <w:left w:w="57" w:type="dxa"/>
              <w:bottom w:w="11" w:type="dxa"/>
              <w:right w:w="57" w:type="dxa"/>
            </w:tcMar>
          </w:tcPr>
          <w:p w14:paraId="09A78604" w14:textId="77777777"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10" w:name="XMETag_88ab36e60bb14ab99c1ed5dd07672699" w:colFirst="1" w:colLast="1"/>
            <w:bookmarkStart w:id="711" w:name="XMETag_7b3fca5e3d664fd0b17a9135d4e25c78" w:colFirst="3" w:colLast="3"/>
            <w:bookmarkStart w:id="712" w:name="XMETag_7f08ccb8fe264068a99e20fb538393c7" w:colFirst="4" w:colLast="4"/>
            <w:bookmarkStart w:id="713" w:name="XMETag_de23fcf4073c4880b1db365b1e1f7262" w:colFirst="5" w:colLast="5"/>
            <w:bookmarkStart w:id="714" w:name="XMETag_9e38dd4b32dd4f88a7f16ed22b776783" w:colFirst="6" w:colLast="6"/>
            <w:bookmarkStart w:id="715" w:name="XMETag_e8783bbd3f1e49569af194c5644c1e76" w:colFirst="2" w:colLast="2"/>
            <w:bookmarkEnd w:id="704"/>
            <w:bookmarkEnd w:id="705"/>
            <w:bookmarkEnd w:id="706"/>
            <w:bookmarkEnd w:id="707"/>
            <w:bookmarkEnd w:id="708"/>
            <w:bookmarkEnd w:id="709"/>
            <w:r w:rsidRPr="00735726">
              <w:rPr>
                <w:rFonts w:ascii="Arial" w:eastAsia="Times New Roman" w:hAnsi="Arial" w:cs="DINOT-Light"/>
                <w:color w:val="000000"/>
                <w:sz w:val="18"/>
                <w:szCs w:val="18"/>
              </w:rPr>
              <w:t>Charge for year</w:t>
            </w:r>
          </w:p>
        </w:tc>
        <w:tc>
          <w:tcPr>
            <w:tcW w:w="1267" w:type="dxa"/>
            <w:tcBorders>
              <w:top w:val="single" w:sz="4" w:space="0" w:color="auto"/>
              <w:bottom w:val="single" w:sz="4" w:space="0" w:color="auto"/>
            </w:tcBorders>
            <w:tcMar>
              <w:top w:w="11" w:type="dxa"/>
              <w:left w:w="57" w:type="dxa"/>
              <w:bottom w:w="11" w:type="dxa"/>
              <w:right w:w="57" w:type="dxa"/>
            </w:tcMar>
          </w:tcPr>
          <w:p w14:paraId="7ACD06FD"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w:t>
            </w:r>
          </w:p>
        </w:tc>
        <w:tc>
          <w:tcPr>
            <w:tcW w:w="1417" w:type="dxa"/>
            <w:tcBorders>
              <w:top w:val="single" w:sz="4" w:space="0" w:color="auto"/>
              <w:bottom w:val="single" w:sz="4" w:space="0" w:color="auto"/>
            </w:tcBorders>
            <w:tcMar>
              <w:top w:w="11" w:type="dxa"/>
              <w:left w:w="57" w:type="dxa"/>
              <w:bottom w:w="11" w:type="dxa"/>
              <w:right w:w="57" w:type="dxa"/>
            </w:tcMar>
          </w:tcPr>
          <w:p w14:paraId="26921950"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276" w:type="dxa"/>
            <w:tcBorders>
              <w:top w:val="single" w:sz="4" w:space="0" w:color="auto"/>
              <w:bottom w:val="single" w:sz="4" w:space="0" w:color="auto"/>
            </w:tcBorders>
            <w:tcMar>
              <w:top w:w="11" w:type="dxa"/>
              <w:left w:w="57" w:type="dxa"/>
              <w:bottom w:w="11" w:type="dxa"/>
              <w:right w:w="57" w:type="dxa"/>
            </w:tcMar>
          </w:tcPr>
          <w:p w14:paraId="4DE1E036"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18" w:type="dxa"/>
            <w:tcBorders>
              <w:top w:val="single" w:sz="4" w:space="0" w:color="auto"/>
              <w:bottom w:val="single" w:sz="4" w:space="0" w:color="auto"/>
            </w:tcBorders>
            <w:tcMar>
              <w:top w:w="11" w:type="dxa"/>
              <w:left w:w="57" w:type="dxa"/>
              <w:bottom w:w="11" w:type="dxa"/>
              <w:right w:w="57" w:type="dxa"/>
            </w:tcMar>
          </w:tcPr>
          <w:p w14:paraId="6D6362C3" w14:textId="27D5EE85"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c>
          <w:tcPr>
            <w:tcW w:w="1134" w:type="dxa"/>
            <w:tcBorders>
              <w:top w:val="single" w:sz="4" w:space="0" w:color="auto"/>
              <w:bottom w:val="single" w:sz="4" w:space="0" w:color="auto"/>
            </w:tcBorders>
          </w:tcPr>
          <w:p w14:paraId="18D0C94E"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1CC76F8F" w14:textId="40523CD5"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r>
      <w:tr w:rsidR="0023294C" w:rsidRPr="00735726" w14:paraId="30919C44" w14:textId="77777777" w:rsidTr="00277639">
        <w:trPr>
          <w:trHeight w:val="233"/>
        </w:trPr>
        <w:tc>
          <w:tcPr>
            <w:tcW w:w="2411" w:type="dxa"/>
            <w:tcMar>
              <w:top w:w="11" w:type="dxa"/>
              <w:left w:w="57" w:type="dxa"/>
              <w:bottom w:w="11" w:type="dxa"/>
              <w:right w:w="57" w:type="dxa"/>
            </w:tcMar>
          </w:tcPr>
          <w:p w14:paraId="2EB8A259" w14:textId="77777777"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716" w:name="XMETag_2f3de8e5ef9a42b5ad533d2210e7f39e" w:colFirst="1" w:colLast="1"/>
            <w:bookmarkStart w:id="717" w:name="XMETag_09f04c1a8d4f4e4d8683d93a1295bbbb" w:colFirst="2" w:colLast="2"/>
            <w:bookmarkStart w:id="718" w:name="XMETag_6ddaa34b1173442cafcb14d383b9e080" w:colFirst="3" w:colLast="3"/>
            <w:bookmarkStart w:id="719" w:name="XMETag_6d7c74dec42542c995fe7f8b6b4d23f8" w:colFirst="4" w:colLast="4"/>
            <w:bookmarkStart w:id="720" w:name="XMETag_463cb7afc4cd41eba58d00d85b0178c4" w:colFirst="5" w:colLast="5"/>
            <w:bookmarkStart w:id="721" w:name="XMETag_31cdcc629d9144f3a39a35d8755d64bb" w:colFirst="6" w:colLast="6"/>
            <w:bookmarkEnd w:id="710"/>
            <w:bookmarkEnd w:id="711"/>
            <w:bookmarkEnd w:id="712"/>
            <w:bookmarkEnd w:id="713"/>
            <w:bookmarkEnd w:id="714"/>
            <w:bookmarkEnd w:id="715"/>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1267" w:type="dxa"/>
            <w:tcBorders>
              <w:top w:val="single" w:sz="4" w:space="0" w:color="auto"/>
              <w:bottom w:val="single" w:sz="4" w:space="0" w:color="auto"/>
            </w:tcBorders>
            <w:tcMar>
              <w:top w:w="11" w:type="dxa"/>
              <w:left w:w="57" w:type="dxa"/>
              <w:bottom w:w="11" w:type="dxa"/>
              <w:right w:w="57" w:type="dxa"/>
            </w:tcMar>
          </w:tcPr>
          <w:p w14:paraId="7C38F9E9"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8.4</w:t>
            </w:r>
          </w:p>
        </w:tc>
        <w:tc>
          <w:tcPr>
            <w:tcW w:w="1417" w:type="dxa"/>
            <w:tcBorders>
              <w:top w:val="single" w:sz="4" w:space="0" w:color="auto"/>
              <w:bottom w:val="single" w:sz="4" w:space="0" w:color="auto"/>
            </w:tcBorders>
            <w:tcMar>
              <w:top w:w="11" w:type="dxa"/>
              <w:left w:w="57" w:type="dxa"/>
              <w:bottom w:w="11" w:type="dxa"/>
              <w:right w:w="57" w:type="dxa"/>
            </w:tcMar>
          </w:tcPr>
          <w:p w14:paraId="30D847B9"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1276" w:type="dxa"/>
            <w:tcBorders>
              <w:top w:val="single" w:sz="4" w:space="0" w:color="auto"/>
              <w:bottom w:val="single" w:sz="4" w:space="0" w:color="auto"/>
            </w:tcBorders>
            <w:tcMar>
              <w:top w:w="11" w:type="dxa"/>
              <w:left w:w="57" w:type="dxa"/>
              <w:bottom w:w="11" w:type="dxa"/>
              <w:right w:w="57" w:type="dxa"/>
            </w:tcMar>
          </w:tcPr>
          <w:p w14:paraId="74444338"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1418" w:type="dxa"/>
            <w:tcBorders>
              <w:top w:val="single" w:sz="4" w:space="0" w:color="auto"/>
              <w:bottom w:val="single" w:sz="4" w:space="0" w:color="auto"/>
            </w:tcBorders>
            <w:tcMar>
              <w:top w:w="11" w:type="dxa"/>
              <w:left w:w="57" w:type="dxa"/>
              <w:bottom w:w="11" w:type="dxa"/>
              <w:right w:w="57" w:type="dxa"/>
            </w:tcMar>
          </w:tcPr>
          <w:p w14:paraId="79D3B254" w14:textId="67BEEE0F"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4.7</w:t>
            </w:r>
          </w:p>
        </w:tc>
        <w:tc>
          <w:tcPr>
            <w:tcW w:w="1134" w:type="dxa"/>
            <w:tcBorders>
              <w:top w:val="single" w:sz="4" w:space="0" w:color="auto"/>
              <w:bottom w:val="single" w:sz="4" w:space="0" w:color="auto"/>
            </w:tcBorders>
          </w:tcPr>
          <w:p w14:paraId="496D2B70"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7C284951" w14:textId="41FC1A50"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13.1</w:t>
            </w:r>
          </w:p>
        </w:tc>
      </w:tr>
      <w:bookmarkEnd w:id="716"/>
      <w:bookmarkEnd w:id="717"/>
      <w:bookmarkEnd w:id="718"/>
      <w:bookmarkEnd w:id="719"/>
      <w:bookmarkEnd w:id="720"/>
      <w:bookmarkEnd w:id="721"/>
      <w:tr w:rsidR="0023294C" w:rsidRPr="00735726" w14:paraId="6125E6E2" w14:textId="77777777" w:rsidTr="00277639">
        <w:trPr>
          <w:trHeight w:val="233"/>
        </w:trPr>
        <w:tc>
          <w:tcPr>
            <w:tcW w:w="2411" w:type="dxa"/>
            <w:tcMar>
              <w:top w:w="11" w:type="dxa"/>
              <w:left w:w="57" w:type="dxa"/>
              <w:bottom w:w="11" w:type="dxa"/>
              <w:right w:w="57" w:type="dxa"/>
            </w:tcMar>
          </w:tcPr>
          <w:p w14:paraId="5D24AFA6" w14:textId="77777777"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267" w:type="dxa"/>
            <w:tcBorders>
              <w:top w:val="single" w:sz="4" w:space="0" w:color="auto"/>
            </w:tcBorders>
            <w:tcMar>
              <w:top w:w="11" w:type="dxa"/>
              <w:left w:w="57" w:type="dxa"/>
              <w:bottom w:w="11" w:type="dxa"/>
              <w:right w:w="57" w:type="dxa"/>
            </w:tcMar>
          </w:tcPr>
          <w:p w14:paraId="63735010"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17" w:type="dxa"/>
            <w:tcBorders>
              <w:top w:val="single" w:sz="4" w:space="0" w:color="auto"/>
            </w:tcBorders>
            <w:tcMar>
              <w:top w:w="11" w:type="dxa"/>
              <w:left w:w="57" w:type="dxa"/>
              <w:bottom w:w="11" w:type="dxa"/>
              <w:right w:w="57" w:type="dxa"/>
            </w:tcMar>
          </w:tcPr>
          <w:p w14:paraId="59D37111"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76" w:type="dxa"/>
            <w:tcBorders>
              <w:top w:val="single" w:sz="4" w:space="0" w:color="auto"/>
            </w:tcBorders>
            <w:tcMar>
              <w:top w:w="11" w:type="dxa"/>
              <w:left w:w="57" w:type="dxa"/>
              <w:bottom w:w="11" w:type="dxa"/>
              <w:right w:w="57" w:type="dxa"/>
            </w:tcMar>
          </w:tcPr>
          <w:p w14:paraId="1FA591AA"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418" w:type="dxa"/>
            <w:tcBorders>
              <w:top w:val="single" w:sz="4" w:space="0" w:color="auto"/>
            </w:tcBorders>
            <w:tcMar>
              <w:top w:w="11" w:type="dxa"/>
              <w:left w:w="57" w:type="dxa"/>
              <w:bottom w:w="11" w:type="dxa"/>
              <w:right w:w="57" w:type="dxa"/>
            </w:tcMar>
          </w:tcPr>
          <w:p w14:paraId="2DD1DD3B"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Pr>
          <w:p w14:paraId="6720FC4B"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Mar>
              <w:top w:w="11" w:type="dxa"/>
              <w:left w:w="57" w:type="dxa"/>
              <w:bottom w:w="11" w:type="dxa"/>
              <w:right w:w="57" w:type="dxa"/>
            </w:tcMar>
          </w:tcPr>
          <w:p w14:paraId="777BBD9B"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23294C" w:rsidRPr="00735726" w14:paraId="3CB4C6B7" w14:textId="77777777" w:rsidTr="00277639">
        <w:trPr>
          <w:trHeight w:val="233"/>
        </w:trPr>
        <w:tc>
          <w:tcPr>
            <w:tcW w:w="2411" w:type="dxa"/>
            <w:tcMar>
              <w:top w:w="11" w:type="dxa"/>
              <w:left w:w="57" w:type="dxa"/>
              <w:bottom w:w="11" w:type="dxa"/>
              <w:right w:w="57" w:type="dxa"/>
            </w:tcMar>
          </w:tcPr>
          <w:p w14:paraId="06174472" w14:textId="77777777"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Net book value:</w:t>
            </w:r>
          </w:p>
        </w:tc>
        <w:tc>
          <w:tcPr>
            <w:tcW w:w="1267" w:type="dxa"/>
            <w:tcBorders>
              <w:bottom w:val="single" w:sz="4" w:space="0" w:color="auto"/>
            </w:tcBorders>
            <w:tcMar>
              <w:top w:w="11" w:type="dxa"/>
              <w:left w:w="57" w:type="dxa"/>
              <w:bottom w:w="11" w:type="dxa"/>
              <w:right w:w="57" w:type="dxa"/>
            </w:tcMar>
          </w:tcPr>
          <w:p w14:paraId="45A982CF"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7" w:type="dxa"/>
            <w:tcBorders>
              <w:bottom w:val="single" w:sz="4" w:space="0" w:color="auto"/>
            </w:tcBorders>
            <w:tcMar>
              <w:top w:w="11" w:type="dxa"/>
              <w:left w:w="57" w:type="dxa"/>
              <w:bottom w:w="11" w:type="dxa"/>
              <w:right w:w="57" w:type="dxa"/>
            </w:tcMar>
          </w:tcPr>
          <w:p w14:paraId="130C1E49"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76" w:type="dxa"/>
            <w:tcBorders>
              <w:bottom w:val="single" w:sz="4" w:space="0" w:color="auto"/>
            </w:tcBorders>
            <w:tcMar>
              <w:top w:w="11" w:type="dxa"/>
              <w:left w:w="57" w:type="dxa"/>
              <w:bottom w:w="11" w:type="dxa"/>
              <w:right w:w="57" w:type="dxa"/>
            </w:tcMar>
          </w:tcPr>
          <w:p w14:paraId="52F29D40"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418" w:type="dxa"/>
            <w:tcBorders>
              <w:bottom w:val="single" w:sz="4" w:space="0" w:color="auto"/>
            </w:tcBorders>
            <w:tcMar>
              <w:top w:w="11" w:type="dxa"/>
              <w:left w:w="57" w:type="dxa"/>
              <w:bottom w:w="11" w:type="dxa"/>
              <w:right w:w="57" w:type="dxa"/>
            </w:tcMar>
          </w:tcPr>
          <w:p w14:paraId="40878C12"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bottom w:val="single" w:sz="4" w:space="0" w:color="auto"/>
            </w:tcBorders>
          </w:tcPr>
          <w:p w14:paraId="2B1576FE"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92" w:type="dxa"/>
            <w:tcBorders>
              <w:bottom w:val="single" w:sz="4" w:space="0" w:color="auto"/>
            </w:tcBorders>
            <w:tcMar>
              <w:top w:w="11" w:type="dxa"/>
              <w:left w:w="57" w:type="dxa"/>
              <w:bottom w:w="11" w:type="dxa"/>
              <w:right w:w="57" w:type="dxa"/>
            </w:tcMar>
          </w:tcPr>
          <w:p w14:paraId="7182A9B0"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23294C" w:rsidRPr="00735726" w14:paraId="6AD90176" w14:textId="77777777" w:rsidTr="00277639">
        <w:trPr>
          <w:trHeight w:val="233"/>
        </w:trPr>
        <w:tc>
          <w:tcPr>
            <w:tcW w:w="2411" w:type="dxa"/>
            <w:tcMar>
              <w:top w:w="11" w:type="dxa"/>
              <w:left w:w="57" w:type="dxa"/>
              <w:bottom w:w="11" w:type="dxa"/>
              <w:right w:w="57" w:type="dxa"/>
            </w:tcMar>
          </w:tcPr>
          <w:p w14:paraId="1366A6C3" w14:textId="44910E9A"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bCs/>
                <w:color w:val="000000"/>
                <w:sz w:val="18"/>
                <w:szCs w:val="18"/>
              </w:rPr>
              <w:t>At</w:t>
            </w:r>
            <w:proofErr w:type="gramEnd"/>
            <w:r w:rsidRPr="00735726">
              <w:rPr>
                <w:rFonts w:ascii="Arial" w:eastAsia="Times New Roman" w:hAnsi="Arial" w:cs="DINOT-Light"/>
                <w:b/>
                <w:bCs/>
                <w:color w:val="000000"/>
                <w:sz w:val="18"/>
                <w:szCs w:val="18"/>
              </w:rPr>
              <w:t xml:space="preserve"> 1 April 2024</w:t>
            </w:r>
          </w:p>
        </w:tc>
        <w:tc>
          <w:tcPr>
            <w:tcW w:w="1267" w:type="dxa"/>
            <w:tcBorders>
              <w:top w:val="single" w:sz="4" w:space="0" w:color="auto"/>
              <w:bottom w:val="single" w:sz="4" w:space="0" w:color="auto"/>
            </w:tcBorders>
            <w:tcMar>
              <w:top w:w="11" w:type="dxa"/>
              <w:left w:w="57" w:type="dxa"/>
              <w:bottom w:w="11" w:type="dxa"/>
              <w:right w:w="57" w:type="dxa"/>
            </w:tcMar>
          </w:tcPr>
          <w:p w14:paraId="64184B8C" w14:textId="6C2D2198"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26.2</w:t>
            </w:r>
          </w:p>
        </w:tc>
        <w:tc>
          <w:tcPr>
            <w:tcW w:w="1417" w:type="dxa"/>
            <w:tcBorders>
              <w:top w:val="single" w:sz="4" w:space="0" w:color="auto"/>
              <w:bottom w:val="single" w:sz="4" w:space="0" w:color="auto"/>
            </w:tcBorders>
            <w:tcMar>
              <w:top w:w="11" w:type="dxa"/>
              <w:left w:w="57" w:type="dxa"/>
              <w:bottom w:w="11" w:type="dxa"/>
              <w:right w:w="57" w:type="dxa"/>
            </w:tcMar>
          </w:tcPr>
          <w:p w14:paraId="1317295B" w14:textId="49357844"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276" w:type="dxa"/>
            <w:tcBorders>
              <w:top w:val="single" w:sz="4" w:space="0" w:color="auto"/>
              <w:bottom w:val="single" w:sz="4" w:space="0" w:color="auto"/>
            </w:tcBorders>
            <w:tcMar>
              <w:top w:w="11" w:type="dxa"/>
              <w:left w:w="57" w:type="dxa"/>
              <w:bottom w:w="11" w:type="dxa"/>
              <w:right w:w="57" w:type="dxa"/>
            </w:tcMar>
          </w:tcPr>
          <w:p w14:paraId="7A9A4652" w14:textId="734D0200"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418" w:type="dxa"/>
            <w:tcBorders>
              <w:top w:val="single" w:sz="4" w:space="0" w:color="auto"/>
              <w:bottom w:val="single" w:sz="4" w:space="0" w:color="auto"/>
            </w:tcBorders>
            <w:tcMar>
              <w:top w:w="11" w:type="dxa"/>
              <w:left w:w="57" w:type="dxa"/>
              <w:bottom w:w="11" w:type="dxa"/>
              <w:right w:w="57" w:type="dxa"/>
            </w:tcMar>
          </w:tcPr>
          <w:p w14:paraId="0B88B5D2" w14:textId="09639DFD"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3.4</w:t>
            </w:r>
          </w:p>
        </w:tc>
        <w:tc>
          <w:tcPr>
            <w:tcW w:w="1134" w:type="dxa"/>
            <w:tcBorders>
              <w:top w:val="single" w:sz="4" w:space="0" w:color="auto"/>
              <w:bottom w:val="single" w:sz="4" w:space="0" w:color="auto"/>
            </w:tcBorders>
          </w:tcPr>
          <w:p w14:paraId="16B400D9" w14:textId="41E67A21"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12914A38" w14:textId="1EB679F9"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29.6</w:t>
            </w:r>
          </w:p>
        </w:tc>
      </w:tr>
      <w:tr w:rsidR="0023294C" w:rsidRPr="00735726" w14:paraId="18007FA3" w14:textId="77777777" w:rsidTr="00277639">
        <w:trPr>
          <w:trHeight w:val="233"/>
        </w:trPr>
        <w:tc>
          <w:tcPr>
            <w:tcW w:w="2411" w:type="dxa"/>
            <w:tcMar>
              <w:top w:w="11" w:type="dxa"/>
              <w:left w:w="57" w:type="dxa"/>
              <w:bottom w:w="11" w:type="dxa"/>
              <w:right w:w="57" w:type="dxa"/>
            </w:tcMar>
          </w:tcPr>
          <w:p w14:paraId="7E382508" w14:textId="1441CCAD"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b/>
                <w:bCs/>
                <w:color w:val="000000"/>
                <w:sz w:val="18"/>
                <w:szCs w:val="18"/>
              </w:rPr>
            </w:pPr>
            <w:bookmarkStart w:id="722" w:name="XMETag_bd68b9bc7f294ea791cc2658cc948d49" w:colFirst="1" w:colLast="1"/>
            <w:bookmarkStart w:id="723" w:name="XMETag_5d5000f3f57a40608f7e06bfd1f52d16" w:colFirst="2" w:colLast="2"/>
            <w:bookmarkStart w:id="724" w:name="XMETag_dcf35c12e7d44ed0b69f6f0a18a913e0" w:colFirst="3" w:colLast="3"/>
            <w:bookmarkStart w:id="725" w:name="XMETag_796e8a15612041a4bccd23a5615f34bb" w:colFirst="4" w:colLast="4"/>
            <w:bookmarkStart w:id="726" w:name="XMETag_73c5dfbf2ecf4f11a7a4cbf242483e28" w:colFirst="5" w:colLast="5"/>
            <w:bookmarkStart w:id="727" w:name="XMETag_805296d733b14cce9096831e749e5f6b" w:colFirst="6" w:colLast="6"/>
            <w:proofErr w:type="gramStart"/>
            <w:r w:rsidRPr="00735726">
              <w:rPr>
                <w:rFonts w:ascii="Arial" w:eastAsia="Times New Roman" w:hAnsi="Arial" w:cs="DINOT-Light"/>
                <w:b/>
                <w:bCs/>
                <w:color w:val="000000"/>
                <w:sz w:val="18"/>
                <w:szCs w:val="18"/>
              </w:rPr>
              <w:t>At</w:t>
            </w:r>
            <w:proofErr w:type="gramEnd"/>
            <w:r w:rsidRPr="00735726">
              <w:rPr>
                <w:rFonts w:ascii="Arial" w:eastAsia="Times New Roman" w:hAnsi="Arial" w:cs="DINOT-Light"/>
                <w:b/>
                <w:bCs/>
                <w:color w:val="000000"/>
                <w:sz w:val="18"/>
                <w:szCs w:val="18"/>
              </w:rPr>
              <w:t xml:space="preserve"> </w:t>
            </w:r>
            <w:r w:rsidRPr="00735726">
              <w:rPr>
                <w:rFonts w:ascii="Arial" w:eastAsia="Times New Roman" w:hAnsi="Arial" w:cs="DINOT-Light"/>
                <w:b/>
                <w:color w:val="000000"/>
                <w:sz w:val="18"/>
                <w:szCs w:val="18"/>
              </w:rPr>
              <w:t xml:space="preserve">31 March </w:t>
            </w:r>
            <w:r w:rsidRPr="00735726">
              <w:rPr>
                <w:rFonts w:ascii="Arial" w:eastAsia="Times New Roman" w:hAnsi="Arial" w:cs="DINOT-Light"/>
                <w:b/>
                <w:bCs/>
                <w:color w:val="000000"/>
                <w:sz w:val="18"/>
                <w:szCs w:val="18"/>
              </w:rPr>
              <w:t>2025</w:t>
            </w:r>
          </w:p>
        </w:tc>
        <w:tc>
          <w:tcPr>
            <w:tcW w:w="1267" w:type="dxa"/>
            <w:tcBorders>
              <w:top w:val="single" w:sz="4" w:space="0" w:color="auto"/>
              <w:bottom w:val="single" w:sz="4" w:space="0" w:color="auto"/>
            </w:tcBorders>
            <w:tcMar>
              <w:top w:w="11" w:type="dxa"/>
              <w:left w:w="57" w:type="dxa"/>
              <w:bottom w:w="11" w:type="dxa"/>
              <w:right w:w="57" w:type="dxa"/>
            </w:tcMar>
          </w:tcPr>
          <w:p w14:paraId="4AF199D8"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25.7</w:t>
            </w:r>
          </w:p>
        </w:tc>
        <w:tc>
          <w:tcPr>
            <w:tcW w:w="1417" w:type="dxa"/>
            <w:tcBorders>
              <w:top w:val="single" w:sz="4" w:space="0" w:color="auto"/>
              <w:bottom w:val="single" w:sz="4" w:space="0" w:color="auto"/>
            </w:tcBorders>
            <w:tcMar>
              <w:top w:w="11" w:type="dxa"/>
              <w:left w:w="57" w:type="dxa"/>
              <w:bottom w:w="11" w:type="dxa"/>
              <w:right w:w="57" w:type="dxa"/>
            </w:tcMar>
          </w:tcPr>
          <w:p w14:paraId="31A7C9B6"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w:t>
            </w:r>
          </w:p>
        </w:tc>
        <w:tc>
          <w:tcPr>
            <w:tcW w:w="1276" w:type="dxa"/>
            <w:tcBorders>
              <w:top w:val="single" w:sz="4" w:space="0" w:color="auto"/>
              <w:bottom w:val="single" w:sz="4" w:space="0" w:color="auto"/>
            </w:tcBorders>
            <w:tcMar>
              <w:top w:w="11" w:type="dxa"/>
              <w:left w:w="57" w:type="dxa"/>
              <w:bottom w:w="11" w:type="dxa"/>
              <w:right w:w="57" w:type="dxa"/>
            </w:tcMar>
          </w:tcPr>
          <w:p w14:paraId="0CF22795"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w:t>
            </w:r>
          </w:p>
        </w:tc>
        <w:tc>
          <w:tcPr>
            <w:tcW w:w="1418" w:type="dxa"/>
            <w:tcBorders>
              <w:top w:val="single" w:sz="4" w:space="0" w:color="auto"/>
              <w:bottom w:val="single" w:sz="4" w:space="0" w:color="auto"/>
            </w:tcBorders>
            <w:tcMar>
              <w:top w:w="11" w:type="dxa"/>
              <w:left w:w="57" w:type="dxa"/>
              <w:bottom w:w="11" w:type="dxa"/>
              <w:right w:w="57" w:type="dxa"/>
            </w:tcMar>
          </w:tcPr>
          <w:p w14:paraId="40E53826"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4.1</w:t>
            </w:r>
          </w:p>
        </w:tc>
        <w:tc>
          <w:tcPr>
            <w:tcW w:w="1134" w:type="dxa"/>
            <w:tcBorders>
              <w:top w:val="single" w:sz="4" w:space="0" w:color="auto"/>
              <w:bottom w:val="single" w:sz="4" w:space="0" w:color="auto"/>
            </w:tcBorders>
          </w:tcPr>
          <w:p w14:paraId="34A7EC69"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2925537C"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29.8</w:t>
            </w:r>
          </w:p>
        </w:tc>
      </w:tr>
      <w:tr w:rsidR="0023294C" w:rsidRPr="00735726" w14:paraId="60A5CD99" w14:textId="77777777" w:rsidTr="00277639">
        <w:trPr>
          <w:trHeight w:val="233"/>
        </w:trPr>
        <w:tc>
          <w:tcPr>
            <w:tcW w:w="2411" w:type="dxa"/>
            <w:tcMar>
              <w:top w:w="11" w:type="dxa"/>
              <w:left w:w="57" w:type="dxa"/>
              <w:bottom w:w="11" w:type="dxa"/>
              <w:right w:w="57" w:type="dxa"/>
            </w:tcMar>
          </w:tcPr>
          <w:p w14:paraId="662D3D8B" w14:textId="77777777" w:rsidR="0023294C" w:rsidRPr="00735726" w:rsidRDefault="0023294C" w:rsidP="0023294C">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728" w:name="XMETag_ea257f843c554db69dd931ac0af54c2c" w:colFirst="1" w:colLast="1"/>
            <w:bookmarkStart w:id="729" w:name="XMETag_edd4519a65704e3e87eb16984d2e2a6a" w:colFirst="2" w:colLast="2"/>
            <w:bookmarkStart w:id="730" w:name="XMETag_cac6c2ec4fee455a991241aec45a8078" w:colFirst="3" w:colLast="3"/>
            <w:bookmarkStart w:id="731" w:name="XMETag_a2b2241996bf4658b829b6690a0de403" w:colFirst="4" w:colLast="4"/>
            <w:bookmarkStart w:id="732" w:name="XMETag_68ed79fabadb4269ab40fe5b86e00a29" w:colFirst="5" w:colLast="5"/>
            <w:bookmarkStart w:id="733" w:name="XMETag_cb367fb4353f4b9f9c82656e196632d8" w:colFirst="6" w:colLast="6"/>
            <w:bookmarkEnd w:id="722"/>
            <w:bookmarkEnd w:id="723"/>
            <w:bookmarkEnd w:id="724"/>
            <w:bookmarkEnd w:id="725"/>
            <w:bookmarkEnd w:id="726"/>
            <w:bookmarkEnd w:id="727"/>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1267" w:type="dxa"/>
            <w:tcBorders>
              <w:top w:val="single" w:sz="4" w:space="0" w:color="auto"/>
              <w:bottom w:val="single" w:sz="4" w:space="0" w:color="auto"/>
            </w:tcBorders>
            <w:tcMar>
              <w:top w:w="11" w:type="dxa"/>
              <w:left w:w="57" w:type="dxa"/>
              <w:bottom w:w="11" w:type="dxa"/>
              <w:right w:w="57" w:type="dxa"/>
            </w:tcMar>
          </w:tcPr>
          <w:p w14:paraId="709EF993"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24.3</w:t>
            </w:r>
          </w:p>
        </w:tc>
        <w:tc>
          <w:tcPr>
            <w:tcW w:w="1417" w:type="dxa"/>
            <w:tcBorders>
              <w:top w:val="single" w:sz="4" w:space="0" w:color="auto"/>
              <w:bottom w:val="single" w:sz="4" w:space="0" w:color="auto"/>
            </w:tcBorders>
            <w:tcMar>
              <w:top w:w="11" w:type="dxa"/>
              <w:left w:w="57" w:type="dxa"/>
              <w:bottom w:w="11" w:type="dxa"/>
              <w:right w:w="57" w:type="dxa"/>
            </w:tcMar>
          </w:tcPr>
          <w:p w14:paraId="1DD974D1"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1276" w:type="dxa"/>
            <w:tcBorders>
              <w:top w:val="single" w:sz="4" w:space="0" w:color="auto"/>
              <w:bottom w:val="single" w:sz="4" w:space="0" w:color="auto"/>
            </w:tcBorders>
            <w:tcMar>
              <w:top w:w="11" w:type="dxa"/>
              <w:left w:w="57" w:type="dxa"/>
              <w:bottom w:w="11" w:type="dxa"/>
              <w:right w:w="57" w:type="dxa"/>
            </w:tcMar>
          </w:tcPr>
          <w:p w14:paraId="3A632582"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1418" w:type="dxa"/>
            <w:tcBorders>
              <w:top w:val="single" w:sz="4" w:space="0" w:color="auto"/>
              <w:bottom w:val="single" w:sz="4" w:space="0" w:color="auto"/>
            </w:tcBorders>
            <w:tcMar>
              <w:top w:w="11" w:type="dxa"/>
              <w:left w:w="57" w:type="dxa"/>
              <w:bottom w:w="11" w:type="dxa"/>
              <w:right w:w="57" w:type="dxa"/>
            </w:tcMar>
          </w:tcPr>
          <w:p w14:paraId="08A2ACD2" w14:textId="0820ECD6"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3.4</w:t>
            </w:r>
          </w:p>
        </w:tc>
        <w:tc>
          <w:tcPr>
            <w:tcW w:w="1134" w:type="dxa"/>
            <w:tcBorders>
              <w:top w:val="single" w:sz="4" w:space="0" w:color="auto"/>
              <w:bottom w:val="single" w:sz="4" w:space="0" w:color="auto"/>
            </w:tcBorders>
          </w:tcPr>
          <w:p w14:paraId="63CC976E" w14:textId="77777777"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w:t>
            </w:r>
          </w:p>
        </w:tc>
        <w:tc>
          <w:tcPr>
            <w:tcW w:w="992" w:type="dxa"/>
            <w:tcBorders>
              <w:top w:val="single" w:sz="4" w:space="0" w:color="auto"/>
              <w:bottom w:val="single" w:sz="4" w:space="0" w:color="auto"/>
            </w:tcBorders>
            <w:tcMar>
              <w:top w:w="11" w:type="dxa"/>
              <w:left w:w="57" w:type="dxa"/>
              <w:bottom w:w="11" w:type="dxa"/>
              <w:right w:w="57" w:type="dxa"/>
            </w:tcMar>
          </w:tcPr>
          <w:p w14:paraId="3ADA3812" w14:textId="491FBF04" w:rsidR="0023294C" w:rsidRPr="00735726" w:rsidRDefault="0023294C" w:rsidP="0023294C">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27.7</w:t>
            </w:r>
          </w:p>
        </w:tc>
      </w:tr>
      <w:bookmarkEnd w:id="728"/>
      <w:bookmarkEnd w:id="729"/>
      <w:bookmarkEnd w:id="730"/>
      <w:bookmarkEnd w:id="731"/>
      <w:bookmarkEnd w:id="732"/>
      <w:bookmarkEnd w:id="733"/>
    </w:tbl>
    <w:p w14:paraId="53CD5639" w14:textId="77777777" w:rsidR="00646F4F" w:rsidRPr="009A2CAE" w:rsidRDefault="00646F4F" w:rsidP="00646F4F">
      <w:pPr>
        <w:spacing w:after="160" w:line="259" w:lineRule="auto"/>
        <w:rPr>
          <w:rFonts w:ascii="Arial" w:eastAsia="Times New Roman" w:hAnsi="Arial" w:cs="Arial"/>
          <w:b/>
          <w:bCs/>
          <w:caps/>
          <w:color w:val="000000"/>
          <w:sz w:val="18"/>
          <w:szCs w:val="18"/>
        </w:rPr>
      </w:pPr>
    </w:p>
    <w:p w14:paraId="283B6CEA" w14:textId="77777777" w:rsidR="00B9553C" w:rsidRPr="00735726" w:rsidRDefault="00B9553C">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br w:type="page"/>
      </w:r>
    </w:p>
    <w:p w14:paraId="0771BB47" w14:textId="3B2C295B" w:rsidR="00646F4F" w:rsidRPr="00735726" w:rsidRDefault="00646F4F" w:rsidP="00646F4F">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16.</w:t>
      </w:r>
      <w:r w:rsidRPr="00735726">
        <w:rPr>
          <w:rFonts w:ascii="Arial" w:eastAsia="Times New Roman" w:hAnsi="Arial" w:cs="Arial"/>
          <w:b/>
          <w:bCs/>
          <w:caps/>
          <w:color w:val="000000"/>
          <w:sz w:val="18"/>
          <w:szCs w:val="18"/>
        </w:rPr>
        <w:tab/>
        <w:t>Financial instruments by category</w:t>
      </w:r>
    </w:p>
    <w:p w14:paraId="312A3BDB"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accounting policies for financial instruments have been applied to the line items as below:</w:t>
      </w:r>
    </w:p>
    <w:p w14:paraId="3C4708B7"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9988" w:type="dxa"/>
        <w:tblInd w:w="8" w:type="dxa"/>
        <w:tblLayout w:type="fixed"/>
        <w:tblCellMar>
          <w:left w:w="0" w:type="dxa"/>
          <w:right w:w="0" w:type="dxa"/>
        </w:tblCellMar>
        <w:tblLook w:val="0000" w:firstRow="0" w:lastRow="0" w:firstColumn="0" w:lastColumn="0" w:noHBand="0" w:noVBand="0"/>
      </w:tblPr>
      <w:tblGrid>
        <w:gridCol w:w="4337"/>
        <w:gridCol w:w="1115"/>
        <w:gridCol w:w="1134"/>
        <w:gridCol w:w="1134"/>
        <w:gridCol w:w="1134"/>
        <w:gridCol w:w="1134"/>
      </w:tblGrid>
      <w:tr w:rsidR="00646F4F" w:rsidRPr="00735726" w14:paraId="5C1457C1" w14:textId="77777777" w:rsidTr="00CE19B2">
        <w:trPr>
          <w:trHeight w:val="265"/>
          <w:tblHeader/>
        </w:trPr>
        <w:tc>
          <w:tcPr>
            <w:tcW w:w="4337" w:type="dxa"/>
            <w:tcMar>
              <w:top w:w="11" w:type="dxa"/>
              <w:left w:w="57" w:type="dxa"/>
              <w:bottom w:w="11" w:type="dxa"/>
              <w:right w:w="57" w:type="dxa"/>
            </w:tcMar>
          </w:tcPr>
          <w:p w14:paraId="0C262B40"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15" w:type="dxa"/>
            <w:tcMar>
              <w:top w:w="11" w:type="dxa"/>
              <w:left w:w="57" w:type="dxa"/>
              <w:bottom w:w="11" w:type="dxa"/>
              <w:right w:w="57" w:type="dxa"/>
            </w:tcMar>
          </w:tcPr>
          <w:p w14:paraId="2F55F6C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0FE87FB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Fair value</w:t>
            </w:r>
          </w:p>
        </w:tc>
        <w:tc>
          <w:tcPr>
            <w:tcW w:w="2268" w:type="dxa"/>
            <w:gridSpan w:val="2"/>
            <w:tcMar>
              <w:top w:w="11" w:type="dxa"/>
              <w:left w:w="57" w:type="dxa"/>
              <w:bottom w:w="11" w:type="dxa"/>
              <w:right w:w="57" w:type="dxa"/>
            </w:tcMar>
          </w:tcPr>
          <w:p w14:paraId="65795AE3"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Amortised cost</w:t>
            </w:r>
          </w:p>
        </w:tc>
        <w:tc>
          <w:tcPr>
            <w:tcW w:w="1134" w:type="dxa"/>
            <w:tcMar>
              <w:top w:w="11" w:type="dxa"/>
              <w:left w:w="57" w:type="dxa"/>
              <w:bottom w:w="11" w:type="dxa"/>
              <w:right w:w="57" w:type="dxa"/>
            </w:tcMar>
          </w:tcPr>
          <w:p w14:paraId="7BA09F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0D5429E" w14:textId="77777777" w:rsidTr="00CE19B2">
        <w:trPr>
          <w:trHeight w:val="265"/>
          <w:tblHeader/>
        </w:trPr>
        <w:tc>
          <w:tcPr>
            <w:tcW w:w="4337" w:type="dxa"/>
            <w:tcMar>
              <w:top w:w="11" w:type="dxa"/>
              <w:left w:w="57" w:type="dxa"/>
              <w:bottom w:w="11" w:type="dxa"/>
              <w:right w:w="57" w:type="dxa"/>
            </w:tcMar>
          </w:tcPr>
          <w:p w14:paraId="13776800"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15" w:type="dxa"/>
            <w:tcMar>
              <w:top w:w="11" w:type="dxa"/>
              <w:left w:w="57" w:type="dxa"/>
              <w:bottom w:w="11" w:type="dxa"/>
              <w:right w:w="57" w:type="dxa"/>
            </w:tcMar>
            <w:vAlign w:val="bottom"/>
          </w:tcPr>
          <w:p w14:paraId="66DD7627"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590AB22C"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0A62336E"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745BB695"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w:t>
            </w:r>
          </w:p>
        </w:tc>
        <w:tc>
          <w:tcPr>
            <w:tcW w:w="1134" w:type="dxa"/>
            <w:tcMar>
              <w:top w:w="11" w:type="dxa"/>
              <w:left w:w="57" w:type="dxa"/>
              <w:bottom w:w="11" w:type="dxa"/>
              <w:right w:w="57" w:type="dxa"/>
            </w:tcMar>
            <w:vAlign w:val="bottom"/>
          </w:tcPr>
          <w:p w14:paraId="7D78781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Derivatives used for cash flow hedging </w:t>
            </w:r>
          </w:p>
          <w:p w14:paraId="11A44E9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bottom"/>
          </w:tcPr>
          <w:p w14:paraId="6767EC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18DFDEB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Loans and receivables </w:t>
            </w:r>
          </w:p>
          <w:p w14:paraId="5F710A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bottom"/>
          </w:tcPr>
          <w:p w14:paraId="0EA8A9B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Trade receivables and trade payables</w:t>
            </w:r>
          </w:p>
          <w:p w14:paraId="7782E5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bottom"/>
          </w:tcPr>
          <w:p w14:paraId="73B70F5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br/>
              <w:t>Total</w:t>
            </w:r>
            <w:r w:rsidRPr="00735726">
              <w:rPr>
                <w:rFonts w:ascii="Arial" w:eastAsia="Times New Roman" w:hAnsi="Arial" w:cs="DINOT-Light"/>
                <w:b/>
                <w:color w:val="000000"/>
                <w:sz w:val="18"/>
                <w:szCs w:val="18"/>
              </w:rPr>
              <w:br/>
              <w:t>£m</w:t>
            </w:r>
          </w:p>
        </w:tc>
      </w:tr>
      <w:tr w:rsidR="00646F4F" w:rsidRPr="00735726" w14:paraId="291E5089" w14:textId="77777777" w:rsidTr="00CE19B2">
        <w:trPr>
          <w:trHeight w:val="226"/>
        </w:trPr>
        <w:tc>
          <w:tcPr>
            <w:tcW w:w="4337" w:type="dxa"/>
            <w:tcMar>
              <w:top w:w="11" w:type="dxa"/>
              <w:left w:w="57" w:type="dxa"/>
              <w:bottom w:w="11" w:type="dxa"/>
              <w:right w:w="57" w:type="dxa"/>
            </w:tcMar>
          </w:tcPr>
          <w:p w14:paraId="20698D8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 March 2026</w:t>
            </w:r>
          </w:p>
        </w:tc>
        <w:tc>
          <w:tcPr>
            <w:tcW w:w="1115" w:type="dxa"/>
            <w:tcMar>
              <w:top w:w="11" w:type="dxa"/>
              <w:left w:w="57" w:type="dxa"/>
              <w:bottom w:w="11" w:type="dxa"/>
              <w:right w:w="57" w:type="dxa"/>
            </w:tcMar>
          </w:tcPr>
          <w:p w14:paraId="0C673DA0"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6FB3E4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635ECB0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46A0550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0FEA43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3F827FE4" w14:textId="77777777" w:rsidTr="00CE19B2">
        <w:trPr>
          <w:trHeight w:val="168"/>
        </w:trPr>
        <w:tc>
          <w:tcPr>
            <w:tcW w:w="4337" w:type="dxa"/>
            <w:tcMar>
              <w:top w:w="11" w:type="dxa"/>
              <w:left w:w="57" w:type="dxa"/>
              <w:bottom w:w="11" w:type="dxa"/>
              <w:right w:w="57" w:type="dxa"/>
            </w:tcMar>
          </w:tcPr>
          <w:p w14:paraId="0B0461C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Financial assets</w:t>
            </w:r>
          </w:p>
        </w:tc>
        <w:tc>
          <w:tcPr>
            <w:tcW w:w="1115" w:type="dxa"/>
            <w:tcMar>
              <w:top w:w="11" w:type="dxa"/>
              <w:left w:w="57" w:type="dxa"/>
              <w:bottom w:w="11" w:type="dxa"/>
              <w:right w:w="57" w:type="dxa"/>
            </w:tcMar>
          </w:tcPr>
          <w:p w14:paraId="4228BAA2"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2F8CA56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41B338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139950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7BA68D2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0AF2C117" w14:textId="77777777" w:rsidTr="00CE19B2">
        <w:trPr>
          <w:trHeight w:hRule="exact" w:val="260"/>
        </w:trPr>
        <w:tc>
          <w:tcPr>
            <w:tcW w:w="4337" w:type="dxa"/>
            <w:tcMar>
              <w:top w:w="11" w:type="dxa"/>
              <w:left w:w="57" w:type="dxa"/>
              <w:bottom w:w="11" w:type="dxa"/>
              <w:right w:w="57" w:type="dxa"/>
            </w:tcMar>
          </w:tcPr>
          <w:p w14:paraId="0C711C9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34" w:name="XMETag_e489335033d14cf6b634d86cc9e3e07c" w:colFirst="2" w:colLast="2"/>
            <w:bookmarkStart w:id="735" w:name="XMETag_0eeaf57ec33946a5ab96e3bb7789c886" w:colFirst="3" w:colLast="3"/>
            <w:bookmarkStart w:id="736" w:name="XMETag_bdf0f9c74665464a9c954029db341156" w:colFirst="4" w:colLast="4"/>
            <w:bookmarkStart w:id="737" w:name="XMETag_aa56587b6d7249dc8fe2e0dbb1ff064d" w:colFirst="5" w:colLast="5"/>
            <w:r w:rsidRPr="00735726">
              <w:rPr>
                <w:rFonts w:ascii="Arial" w:eastAsia="Times New Roman" w:hAnsi="Arial" w:cs="DINOT-Light"/>
                <w:color w:val="000000"/>
                <w:sz w:val="18"/>
                <w:szCs w:val="18"/>
              </w:rPr>
              <w:t>Trade and other receivables</w:t>
            </w:r>
          </w:p>
        </w:tc>
        <w:tc>
          <w:tcPr>
            <w:tcW w:w="1115" w:type="dxa"/>
            <w:tcMar>
              <w:top w:w="11" w:type="dxa"/>
              <w:left w:w="57" w:type="dxa"/>
              <w:bottom w:w="11" w:type="dxa"/>
              <w:right w:w="57" w:type="dxa"/>
            </w:tcMar>
          </w:tcPr>
          <w:p w14:paraId="6A622FEE" w14:textId="40371F30" w:rsidR="00646F4F" w:rsidRPr="009A2CAE" w:rsidRDefault="00DB0609"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19</w:t>
            </w:r>
          </w:p>
        </w:tc>
        <w:tc>
          <w:tcPr>
            <w:tcW w:w="1134" w:type="dxa"/>
            <w:tcMar>
              <w:top w:w="11" w:type="dxa"/>
              <w:left w:w="57" w:type="dxa"/>
              <w:bottom w:w="11" w:type="dxa"/>
              <w:right w:w="57" w:type="dxa"/>
            </w:tcMar>
          </w:tcPr>
          <w:p w14:paraId="53D5B9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49333BE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18.5</w:t>
            </w:r>
          </w:p>
        </w:tc>
        <w:tc>
          <w:tcPr>
            <w:tcW w:w="1134" w:type="dxa"/>
            <w:tcMar>
              <w:top w:w="11" w:type="dxa"/>
              <w:left w:w="57" w:type="dxa"/>
              <w:bottom w:w="11" w:type="dxa"/>
              <w:right w:w="57" w:type="dxa"/>
            </w:tcMar>
          </w:tcPr>
          <w:p w14:paraId="4D8EFBB1" w14:textId="69DB06EE" w:rsidR="00646F4F" w:rsidRPr="00735726" w:rsidRDefault="001A4EC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237.8</w:t>
            </w:r>
          </w:p>
        </w:tc>
        <w:tc>
          <w:tcPr>
            <w:tcW w:w="1134" w:type="dxa"/>
            <w:tcMar>
              <w:top w:w="11" w:type="dxa"/>
              <w:left w:w="57" w:type="dxa"/>
              <w:bottom w:w="11" w:type="dxa"/>
              <w:right w:w="57" w:type="dxa"/>
            </w:tcMar>
          </w:tcPr>
          <w:p w14:paraId="015A942A" w14:textId="3C6D9FD5" w:rsidR="00646F4F" w:rsidRPr="00735726" w:rsidRDefault="001A4EC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256.3</w:t>
            </w:r>
          </w:p>
        </w:tc>
      </w:tr>
      <w:tr w:rsidR="001A4ECD" w:rsidRPr="00735726" w14:paraId="510DA19A" w14:textId="77777777" w:rsidTr="00CE19B2">
        <w:trPr>
          <w:trHeight w:hRule="exact" w:val="260"/>
        </w:trPr>
        <w:tc>
          <w:tcPr>
            <w:tcW w:w="4337" w:type="dxa"/>
            <w:tcMar>
              <w:top w:w="11" w:type="dxa"/>
              <w:left w:w="57" w:type="dxa"/>
              <w:bottom w:w="11" w:type="dxa"/>
              <w:right w:w="57" w:type="dxa"/>
            </w:tcMar>
          </w:tcPr>
          <w:p w14:paraId="1DE63AD1" w14:textId="4209172B" w:rsidR="001A4ECD" w:rsidRPr="00735726" w:rsidRDefault="001A4ECD" w:rsidP="001A4ECD">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38" w:name="XMETag_17480d78a7dd4bce9f6230f3f2ff88c1" w:colFirst="5" w:colLast="5"/>
            <w:bookmarkEnd w:id="734"/>
            <w:bookmarkEnd w:id="735"/>
            <w:bookmarkEnd w:id="736"/>
            <w:bookmarkEnd w:id="737"/>
            <w:r w:rsidRPr="00735726">
              <w:rPr>
                <w:rFonts w:ascii="Arial" w:eastAsia="Times New Roman" w:hAnsi="Arial" w:cs="DINOT-Light"/>
                <w:color w:val="000000"/>
                <w:sz w:val="18"/>
                <w:szCs w:val="18"/>
              </w:rPr>
              <w:t>Cash and cash equivalents and restricted funds</w:t>
            </w:r>
          </w:p>
        </w:tc>
        <w:tc>
          <w:tcPr>
            <w:tcW w:w="1115" w:type="dxa"/>
            <w:tcMar>
              <w:top w:w="11" w:type="dxa"/>
              <w:left w:w="57" w:type="dxa"/>
              <w:bottom w:w="11" w:type="dxa"/>
              <w:right w:w="57" w:type="dxa"/>
            </w:tcMar>
          </w:tcPr>
          <w:p w14:paraId="246B3064" w14:textId="286B3422" w:rsidR="001A4ECD" w:rsidRPr="009A2CAE" w:rsidRDefault="00DB0609" w:rsidP="001A4ECD">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21</w:t>
            </w:r>
          </w:p>
        </w:tc>
        <w:tc>
          <w:tcPr>
            <w:tcW w:w="1134" w:type="dxa"/>
            <w:tcMar>
              <w:top w:w="11" w:type="dxa"/>
              <w:left w:w="57" w:type="dxa"/>
              <w:bottom w:w="11" w:type="dxa"/>
              <w:right w:w="57" w:type="dxa"/>
            </w:tcMar>
          </w:tcPr>
          <w:p w14:paraId="3F2C40F6" w14:textId="77777777" w:rsidR="001A4ECD" w:rsidRPr="00735726" w:rsidRDefault="001A4ECD" w:rsidP="001A4ECD">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1FC4EA49" w14:textId="77777777" w:rsidR="001A4ECD" w:rsidRPr="00735726" w:rsidRDefault="001A4ECD" w:rsidP="001A4ECD">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295.9</w:t>
            </w:r>
          </w:p>
        </w:tc>
        <w:tc>
          <w:tcPr>
            <w:tcW w:w="1134" w:type="dxa"/>
            <w:tcMar>
              <w:top w:w="11" w:type="dxa"/>
              <w:left w:w="57" w:type="dxa"/>
              <w:bottom w:w="11" w:type="dxa"/>
              <w:right w:w="57" w:type="dxa"/>
            </w:tcMar>
          </w:tcPr>
          <w:p w14:paraId="605CA445" w14:textId="77777777" w:rsidR="001A4ECD" w:rsidRPr="00735726" w:rsidRDefault="001A4ECD" w:rsidP="001A4ECD">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5D16DC48" w14:textId="77777777" w:rsidR="001A4ECD" w:rsidRPr="00735726" w:rsidRDefault="001A4ECD" w:rsidP="001A4ECD">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295.9</w:t>
            </w:r>
          </w:p>
        </w:tc>
      </w:tr>
      <w:tr w:rsidR="00646F4F" w:rsidRPr="00735726" w14:paraId="6D606B40" w14:textId="77777777" w:rsidTr="00CE19B2">
        <w:trPr>
          <w:trHeight w:val="215"/>
        </w:trPr>
        <w:tc>
          <w:tcPr>
            <w:tcW w:w="4337" w:type="dxa"/>
            <w:tcMar>
              <w:top w:w="11" w:type="dxa"/>
              <w:left w:w="57" w:type="dxa"/>
              <w:bottom w:w="11" w:type="dxa"/>
              <w:right w:w="57" w:type="dxa"/>
            </w:tcMar>
          </w:tcPr>
          <w:p w14:paraId="12FD7CE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39" w:name="XMETag_ddd2b53c92154d749fedf900321b601f" w:colFirst="2" w:colLast="2"/>
            <w:bookmarkStart w:id="740" w:name="XMETag_3cffffa886f64aa09b3d53357cc676bf" w:colFirst="3" w:colLast="3"/>
            <w:bookmarkStart w:id="741" w:name="XMETag_ce59a2a66fd24dc58d2bf600e9f74c6d" w:colFirst="4" w:colLast="4"/>
            <w:bookmarkStart w:id="742" w:name="XMETag_2e38caca6ae54b4da6fff567c19ddbae" w:colFirst="5" w:colLast="5"/>
            <w:bookmarkEnd w:id="738"/>
            <w:r w:rsidRPr="00735726">
              <w:rPr>
                <w:rFonts w:ascii="Arial" w:eastAsia="Times New Roman" w:hAnsi="Arial" w:cs="DINOT-Light"/>
                <w:color w:val="000000"/>
                <w:sz w:val="18"/>
                <w:szCs w:val="18"/>
              </w:rPr>
              <w:t>Derivative financial instruments</w:t>
            </w:r>
          </w:p>
        </w:tc>
        <w:tc>
          <w:tcPr>
            <w:tcW w:w="1115" w:type="dxa"/>
            <w:tcMar>
              <w:top w:w="11" w:type="dxa"/>
              <w:left w:w="57" w:type="dxa"/>
              <w:bottom w:w="11" w:type="dxa"/>
              <w:right w:w="57" w:type="dxa"/>
            </w:tcMar>
          </w:tcPr>
          <w:p w14:paraId="21AE1366" w14:textId="43663D6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DB0609" w:rsidRPr="009A2CAE">
              <w:rPr>
                <w:rFonts w:ascii="Arial" w:eastAsia="Times New Roman" w:hAnsi="Arial" w:cs="DINOT-Light"/>
                <w:color w:val="000000"/>
                <w:sz w:val="18"/>
                <w:szCs w:val="18"/>
              </w:rPr>
              <w:t>0</w:t>
            </w:r>
          </w:p>
        </w:tc>
        <w:tc>
          <w:tcPr>
            <w:tcW w:w="1134" w:type="dxa"/>
            <w:tcBorders>
              <w:bottom w:val="single" w:sz="4" w:space="0" w:color="auto"/>
            </w:tcBorders>
            <w:tcMar>
              <w:top w:w="11" w:type="dxa"/>
              <w:left w:w="57" w:type="dxa"/>
              <w:bottom w:w="11" w:type="dxa"/>
              <w:right w:w="57" w:type="dxa"/>
            </w:tcMar>
          </w:tcPr>
          <w:p w14:paraId="2E2AE33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29.2</w:t>
            </w:r>
          </w:p>
        </w:tc>
        <w:tc>
          <w:tcPr>
            <w:tcW w:w="1134" w:type="dxa"/>
            <w:tcBorders>
              <w:bottom w:val="single" w:sz="4" w:space="0" w:color="auto"/>
            </w:tcBorders>
            <w:tcMar>
              <w:top w:w="11" w:type="dxa"/>
              <w:left w:w="57" w:type="dxa"/>
              <w:bottom w:w="11" w:type="dxa"/>
              <w:right w:w="57" w:type="dxa"/>
            </w:tcMar>
          </w:tcPr>
          <w:p w14:paraId="3E5C2A9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70DAF3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1AACAC7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29.2</w:t>
            </w:r>
          </w:p>
        </w:tc>
      </w:tr>
      <w:tr w:rsidR="00646F4F" w:rsidRPr="00735726" w14:paraId="2E3E8E8D" w14:textId="77777777" w:rsidTr="00CE19B2">
        <w:trPr>
          <w:trHeight w:val="215"/>
        </w:trPr>
        <w:tc>
          <w:tcPr>
            <w:tcW w:w="4337" w:type="dxa"/>
            <w:tcMar>
              <w:top w:w="11" w:type="dxa"/>
              <w:left w:w="57" w:type="dxa"/>
              <w:bottom w:w="11" w:type="dxa"/>
              <w:right w:w="57" w:type="dxa"/>
            </w:tcMar>
          </w:tcPr>
          <w:p w14:paraId="26FF6E49"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743" w:name="XMETag_a119142d4a6b4f91a3bab42ed79f00d9" w:colFirst="2" w:colLast="2"/>
            <w:bookmarkStart w:id="744" w:name="XMETag_3b46e2f5d7b140749df32921013076d5" w:colFirst="3" w:colLast="3"/>
            <w:bookmarkStart w:id="745" w:name="XMETag_35a48ce6ff6e4005b48505f35e8c843d" w:colFirst="4" w:colLast="4"/>
            <w:bookmarkStart w:id="746" w:name="XMETag_7e1b916e629243bf949a3f3a6b23e90e" w:colFirst="5" w:colLast="5"/>
            <w:bookmarkEnd w:id="739"/>
            <w:bookmarkEnd w:id="740"/>
            <w:bookmarkEnd w:id="741"/>
            <w:bookmarkEnd w:id="742"/>
          </w:p>
        </w:tc>
        <w:tc>
          <w:tcPr>
            <w:tcW w:w="1115" w:type="dxa"/>
            <w:tcMar>
              <w:top w:w="11" w:type="dxa"/>
              <w:left w:w="57" w:type="dxa"/>
              <w:bottom w:w="11" w:type="dxa"/>
              <w:right w:w="57" w:type="dxa"/>
            </w:tcMar>
          </w:tcPr>
          <w:p w14:paraId="3036C00F"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4" w:type="dxa"/>
            <w:tcBorders>
              <w:top w:val="single" w:sz="4" w:space="0" w:color="auto"/>
              <w:bottom w:val="single" w:sz="4" w:space="0" w:color="auto"/>
            </w:tcBorders>
            <w:tcMar>
              <w:top w:w="11" w:type="dxa"/>
              <w:left w:w="57" w:type="dxa"/>
              <w:bottom w:w="11" w:type="dxa"/>
              <w:right w:w="57" w:type="dxa"/>
            </w:tcMar>
          </w:tcPr>
          <w:p w14:paraId="3F72DB9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29.2</w:t>
            </w:r>
          </w:p>
        </w:tc>
        <w:tc>
          <w:tcPr>
            <w:tcW w:w="1134" w:type="dxa"/>
            <w:tcBorders>
              <w:top w:val="single" w:sz="4" w:space="0" w:color="auto"/>
              <w:bottom w:val="single" w:sz="4" w:space="0" w:color="auto"/>
            </w:tcBorders>
            <w:tcMar>
              <w:top w:w="11" w:type="dxa"/>
              <w:left w:w="57" w:type="dxa"/>
              <w:bottom w:w="11" w:type="dxa"/>
              <w:right w:w="57" w:type="dxa"/>
            </w:tcMar>
          </w:tcPr>
          <w:p w14:paraId="345FD98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314.4</w:t>
            </w:r>
          </w:p>
        </w:tc>
        <w:tc>
          <w:tcPr>
            <w:tcW w:w="1134" w:type="dxa"/>
            <w:tcBorders>
              <w:top w:val="single" w:sz="4" w:space="0" w:color="auto"/>
              <w:bottom w:val="single" w:sz="4" w:space="0" w:color="auto"/>
            </w:tcBorders>
            <w:tcMar>
              <w:top w:w="11" w:type="dxa"/>
              <w:left w:w="57" w:type="dxa"/>
              <w:bottom w:w="11" w:type="dxa"/>
              <w:right w:w="57" w:type="dxa"/>
            </w:tcMar>
          </w:tcPr>
          <w:p w14:paraId="5C299C96" w14:textId="0E7AE5A2" w:rsidR="00646F4F" w:rsidRPr="00735726" w:rsidRDefault="001A4EC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237.8</w:t>
            </w:r>
          </w:p>
        </w:tc>
        <w:tc>
          <w:tcPr>
            <w:tcW w:w="1134" w:type="dxa"/>
            <w:tcBorders>
              <w:top w:val="single" w:sz="4" w:space="0" w:color="auto"/>
              <w:bottom w:val="single" w:sz="4" w:space="0" w:color="auto"/>
            </w:tcBorders>
            <w:tcMar>
              <w:top w:w="11" w:type="dxa"/>
              <w:left w:w="57" w:type="dxa"/>
              <w:bottom w:w="11" w:type="dxa"/>
              <w:right w:w="57" w:type="dxa"/>
            </w:tcMar>
          </w:tcPr>
          <w:p w14:paraId="43690055" w14:textId="2ABAE536" w:rsidR="00646F4F" w:rsidRPr="00735726" w:rsidRDefault="001A4EC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581.4</w:t>
            </w:r>
          </w:p>
        </w:tc>
      </w:tr>
      <w:bookmarkEnd w:id="743"/>
      <w:bookmarkEnd w:id="744"/>
      <w:bookmarkEnd w:id="745"/>
      <w:bookmarkEnd w:id="746"/>
      <w:tr w:rsidR="00646F4F" w:rsidRPr="00735726" w14:paraId="57350228" w14:textId="77777777" w:rsidTr="00CE19B2">
        <w:trPr>
          <w:trHeight w:val="295"/>
        </w:trPr>
        <w:tc>
          <w:tcPr>
            <w:tcW w:w="4337" w:type="dxa"/>
            <w:tcMar>
              <w:top w:w="11" w:type="dxa"/>
              <w:left w:w="57" w:type="dxa"/>
              <w:bottom w:w="11" w:type="dxa"/>
              <w:right w:w="57" w:type="dxa"/>
            </w:tcMar>
          </w:tcPr>
          <w:p w14:paraId="30EF909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Financial liabilities</w:t>
            </w:r>
          </w:p>
        </w:tc>
        <w:tc>
          <w:tcPr>
            <w:tcW w:w="1115" w:type="dxa"/>
            <w:tcMar>
              <w:top w:w="11" w:type="dxa"/>
              <w:left w:w="57" w:type="dxa"/>
              <w:bottom w:w="11" w:type="dxa"/>
              <w:right w:w="57" w:type="dxa"/>
            </w:tcMar>
          </w:tcPr>
          <w:p w14:paraId="718BA542"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4" w:type="dxa"/>
            <w:tcBorders>
              <w:top w:val="single" w:sz="4" w:space="0" w:color="auto"/>
            </w:tcBorders>
            <w:tcMar>
              <w:top w:w="11" w:type="dxa"/>
              <w:left w:w="57" w:type="dxa"/>
              <w:bottom w:w="11" w:type="dxa"/>
              <w:right w:w="57" w:type="dxa"/>
            </w:tcMar>
          </w:tcPr>
          <w:p w14:paraId="154FC71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top w:val="single" w:sz="4" w:space="0" w:color="auto"/>
            </w:tcBorders>
            <w:tcMar>
              <w:top w:w="11" w:type="dxa"/>
              <w:left w:w="57" w:type="dxa"/>
              <w:bottom w:w="11" w:type="dxa"/>
              <w:right w:w="57" w:type="dxa"/>
            </w:tcMar>
          </w:tcPr>
          <w:p w14:paraId="3095AFC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top w:val="single" w:sz="4" w:space="0" w:color="auto"/>
            </w:tcBorders>
            <w:tcMar>
              <w:top w:w="11" w:type="dxa"/>
              <w:left w:w="57" w:type="dxa"/>
              <w:bottom w:w="11" w:type="dxa"/>
              <w:right w:w="57" w:type="dxa"/>
            </w:tcMar>
          </w:tcPr>
          <w:p w14:paraId="7985006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top w:val="single" w:sz="4" w:space="0" w:color="auto"/>
            </w:tcBorders>
            <w:tcMar>
              <w:top w:w="11" w:type="dxa"/>
              <w:left w:w="57" w:type="dxa"/>
              <w:bottom w:w="11" w:type="dxa"/>
              <w:right w:w="57" w:type="dxa"/>
            </w:tcMar>
          </w:tcPr>
          <w:p w14:paraId="7E6DD94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28AE0F38" w14:textId="77777777" w:rsidTr="00CE19B2">
        <w:trPr>
          <w:trHeight w:hRule="exact" w:val="260"/>
        </w:trPr>
        <w:tc>
          <w:tcPr>
            <w:tcW w:w="4337" w:type="dxa"/>
            <w:tcMar>
              <w:top w:w="11" w:type="dxa"/>
              <w:left w:w="57" w:type="dxa"/>
              <w:bottom w:w="11" w:type="dxa"/>
              <w:right w:w="57" w:type="dxa"/>
            </w:tcMar>
          </w:tcPr>
          <w:p w14:paraId="27A0AD7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47" w:name="XMETag_2974b51840564b48a6ec797ce497b2cd" w:colFirst="2" w:colLast="2"/>
            <w:bookmarkStart w:id="748" w:name="XMETag_a1c10c4c541b40fdb8b19e7268ea51a8" w:colFirst="4" w:colLast="4"/>
            <w:bookmarkStart w:id="749" w:name="XMETag_7c7ef8e4b02a4683b6a3589132a4f4dc" w:colFirst="5" w:colLast="5"/>
            <w:r w:rsidRPr="00735726">
              <w:rPr>
                <w:rFonts w:ascii="Arial" w:eastAsia="Times New Roman" w:hAnsi="Arial" w:cs="DINOT-Light"/>
                <w:color w:val="000000"/>
                <w:sz w:val="18"/>
                <w:szCs w:val="18"/>
              </w:rPr>
              <w:t>Borrowings</w:t>
            </w:r>
          </w:p>
        </w:tc>
        <w:tc>
          <w:tcPr>
            <w:tcW w:w="1115" w:type="dxa"/>
            <w:tcMar>
              <w:top w:w="11" w:type="dxa"/>
              <w:left w:w="57" w:type="dxa"/>
              <w:bottom w:w="11" w:type="dxa"/>
              <w:right w:w="57" w:type="dxa"/>
            </w:tcMar>
          </w:tcPr>
          <w:p w14:paraId="5A2CA95E" w14:textId="41F21AAB"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DB0609" w:rsidRPr="009A2CAE">
              <w:rPr>
                <w:rFonts w:ascii="Arial" w:eastAsia="Times New Roman" w:hAnsi="Arial" w:cs="DINOT-Light"/>
                <w:color w:val="000000"/>
                <w:sz w:val="18"/>
                <w:szCs w:val="18"/>
              </w:rPr>
              <w:t>3</w:t>
            </w:r>
          </w:p>
        </w:tc>
        <w:tc>
          <w:tcPr>
            <w:tcW w:w="1134" w:type="dxa"/>
            <w:tcMar>
              <w:top w:w="11" w:type="dxa"/>
              <w:left w:w="57" w:type="dxa"/>
              <w:bottom w:w="11" w:type="dxa"/>
              <w:right w:w="57" w:type="dxa"/>
            </w:tcMar>
          </w:tcPr>
          <w:p w14:paraId="7E6A58E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50E0B8DB" w14:textId="51FCD4DC" w:rsidR="00646F4F" w:rsidRPr="00735726" w:rsidRDefault="00B538F8"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(4,152.3)</w:t>
            </w:r>
          </w:p>
        </w:tc>
        <w:tc>
          <w:tcPr>
            <w:tcW w:w="1134" w:type="dxa"/>
            <w:tcMar>
              <w:top w:w="11" w:type="dxa"/>
              <w:left w:w="57" w:type="dxa"/>
              <w:bottom w:w="11" w:type="dxa"/>
              <w:right w:w="57" w:type="dxa"/>
            </w:tcMar>
          </w:tcPr>
          <w:p w14:paraId="582092F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74B396D3" w14:textId="39421D95" w:rsidR="00646F4F" w:rsidRPr="00735726" w:rsidRDefault="00B538F8"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(4,152.3)</w:t>
            </w:r>
          </w:p>
        </w:tc>
      </w:tr>
      <w:tr w:rsidR="00646F4F" w:rsidRPr="00735726" w14:paraId="098FF086" w14:textId="77777777" w:rsidTr="00CE19B2">
        <w:trPr>
          <w:trHeight w:hRule="exact" w:val="260"/>
        </w:trPr>
        <w:tc>
          <w:tcPr>
            <w:tcW w:w="4337" w:type="dxa"/>
            <w:tcMar>
              <w:top w:w="11" w:type="dxa"/>
              <w:left w:w="57" w:type="dxa"/>
              <w:bottom w:w="11" w:type="dxa"/>
              <w:right w:w="57" w:type="dxa"/>
            </w:tcMar>
          </w:tcPr>
          <w:p w14:paraId="388AA6D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50" w:name="XMETag_912ea2e944d14648bb57d0ec82d30d05" w:colFirst="2" w:colLast="2"/>
            <w:bookmarkStart w:id="751" w:name="XMETag_f727cc367e3645f3b923bd811992ae28" w:colFirst="3" w:colLast="3"/>
            <w:bookmarkStart w:id="752" w:name="XMETag_9458258c2b504a5a8e44fafc8f2a9097" w:colFirst="4" w:colLast="4"/>
            <w:bookmarkStart w:id="753" w:name="XMETag_ba2a519cf26045c4976b26662181445e" w:colFirst="5" w:colLast="5"/>
            <w:bookmarkEnd w:id="747"/>
            <w:bookmarkEnd w:id="748"/>
            <w:bookmarkEnd w:id="749"/>
            <w:r w:rsidRPr="00735726">
              <w:rPr>
                <w:rFonts w:ascii="Arial" w:eastAsia="Times New Roman" w:hAnsi="Arial" w:cs="DINOT-Light"/>
                <w:color w:val="000000"/>
                <w:sz w:val="18"/>
                <w:szCs w:val="18"/>
              </w:rPr>
              <w:t>Trade and other payables</w:t>
            </w:r>
          </w:p>
        </w:tc>
        <w:tc>
          <w:tcPr>
            <w:tcW w:w="1115" w:type="dxa"/>
            <w:tcMar>
              <w:top w:w="11" w:type="dxa"/>
              <w:left w:w="57" w:type="dxa"/>
              <w:bottom w:w="11" w:type="dxa"/>
              <w:right w:w="57" w:type="dxa"/>
            </w:tcMar>
          </w:tcPr>
          <w:p w14:paraId="3A2F7B98" w14:textId="15D7CBA8"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DB0609" w:rsidRPr="009A2CAE">
              <w:rPr>
                <w:rFonts w:ascii="Arial" w:eastAsia="Times New Roman" w:hAnsi="Arial" w:cs="DINOT-Light"/>
                <w:color w:val="000000"/>
                <w:sz w:val="18"/>
                <w:szCs w:val="18"/>
              </w:rPr>
              <w:t>2</w:t>
            </w:r>
          </w:p>
        </w:tc>
        <w:tc>
          <w:tcPr>
            <w:tcW w:w="1134" w:type="dxa"/>
            <w:tcMar>
              <w:top w:w="11" w:type="dxa"/>
              <w:left w:w="57" w:type="dxa"/>
              <w:bottom w:w="11" w:type="dxa"/>
              <w:right w:w="57" w:type="dxa"/>
            </w:tcMar>
          </w:tcPr>
          <w:p w14:paraId="4AA548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41E92D8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(209.9)</w:t>
            </w:r>
          </w:p>
        </w:tc>
        <w:tc>
          <w:tcPr>
            <w:tcW w:w="1134" w:type="dxa"/>
            <w:tcMar>
              <w:top w:w="11" w:type="dxa"/>
              <w:left w:w="57" w:type="dxa"/>
              <w:bottom w:w="11" w:type="dxa"/>
              <w:right w:w="57" w:type="dxa"/>
            </w:tcMar>
          </w:tcPr>
          <w:p w14:paraId="2984C62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(217.9)</w:t>
            </w:r>
          </w:p>
        </w:tc>
        <w:tc>
          <w:tcPr>
            <w:tcW w:w="1134" w:type="dxa"/>
            <w:tcMar>
              <w:top w:w="11" w:type="dxa"/>
              <w:left w:w="57" w:type="dxa"/>
              <w:bottom w:w="11" w:type="dxa"/>
              <w:right w:w="57" w:type="dxa"/>
            </w:tcMar>
          </w:tcPr>
          <w:p w14:paraId="65B2706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(427.8)</w:t>
            </w:r>
          </w:p>
        </w:tc>
      </w:tr>
      <w:tr w:rsidR="00646F4F" w:rsidRPr="00735726" w14:paraId="1147EB6F" w14:textId="77777777" w:rsidTr="00CE19B2">
        <w:trPr>
          <w:trHeight w:hRule="exact" w:val="260"/>
        </w:trPr>
        <w:tc>
          <w:tcPr>
            <w:tcW w:w="4337" w:type="dxa"/>
            <w:tcMar>
              <w:top w:w="11" w:type="dxa"/>
              <w:left w:w="57" w:type="dxa"/>
              <w:bottom w:w="11" w:type="dxa"/>
              <w:right w:w="57" w:type="dxa"/>
            </w:tcMar>
          </w:tcPr>
          <w:p w14:paraId="720AFFDF" w14:textId="3363E96A" w:rsidR="00646F4F" w:rsidRPr="00735726" w:rsidRDefault="001A4ECD"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Derivative financial instruments</w:t>
            </w:r>
          </w:p>
        </w:tc>
        <w:tc>
          <w:tcPr>
            <w:tcW w:w="1115" w:type="dxa"/>
            <w:tcMar>
              <w:top w:w="11" w:type="dxa"/>
              <w:left w:w="57" w:type="dxa"/>
              <w:bottom w:w="11" w:type="dxa"/>
              <w:right w:w="57" w:type="dxa"/>
            </w:tcMar>
          </w:tcPr>
          <w:p w14:paraId="2B06FAE2" w14:textId="06D428D9"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DB0609" w:rsidRPr="009A2CAE">
              <w:rPr>
                <w:rFonts w:ascii="Arial" w:eastAsia="Times New Roman" w:hAnsi="Arial" w:cs="DINOT-Light"/>
                <w:color w:val="000000"/>
                <w:sz w:val="18"/>
                <w:szCs w:val="18"/>
              </w:rPr>
              <w:t>0</w:t>
            </w:r>
          </w:p>
        </w:tc>
        <w:tc>
          <w:tcPr>
            <w:tcW w:w="1134" w:type="dxa"/>
            <w:tcBorders>
              <w:bottom w:val="single" w:sz="4" w:space="0" w:color="auto"/>
            </w:tcBorders>
            <w:tcMar>
              <w:top w:w="11" w:type="dxa"/>
              <w:left w:w="57" w:type="dxa"/>
              <w:bottom w:w="11" w:type="dxa"/>
              <w:right w:w="57" w:type="dxa"/>
            </w:tcMar>
          </w:tcPr>
          <w:p w14:paraId="45D387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w:t>
            </w:r>
          </w:p>
        </w:tc>
        <w:tc>
          <w:tcPr>
            <w:tcW w:w="1134" w:type="dxa"/>
            <w:tcBorders>
              <w:bottom w:val="single" w:sz="4" w:space="0" w:color="auto"/>
            </w:tcBorders>
            <w:tcMar>
              <w:top w:w="11" w:type="dxa"/>
              <w:left w:w="57" w:type="dxa"/>
              <w:bottom w:w="11" w:type="dxa"/>
              <w:right w:w="57" w:type="dxa"/>
            </w:tcMar>
          </w:tcPr>
          <w:p w14:paraId="5EF279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171E104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77624D9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w:t>
            </w:r>
          </w:p>
        </w:tc>
      </w:tr>
      <w:tr w:rsidR="00646F4F" w:rsidRPr="00735726" w14:paraId="336EC448" w14:textId="77777777" w:rsidTr="00CE19B2">
        <w:trPr>
          <w:trHeight w:hRule="exact" w:val="321"/>
        </w:trPr>
        <w:tc>
          <w:tcPr>
            <w:tcW w:w="4337" w:type="dxa"/>
            <w:tcMar>
              <w:top w:w="11" w:type="dxa"/>
              <w:left w:w="57" w:type="dxa"/>
              <w:bottom w:w="11" w:type="dxa"/>
              <w:right w:w="57" w:type="dxa"/>
            </w:tcMar>
          </w:tcPr>
          <w:p w14:paraId="0F1FB6C0"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754" w:name="XMETag_d3f424b8f407403490ca5cea7056c166" w:colFirst="2" w:colLast="2"/>
            <w:bookmarkStart w:id="755" w:name="XMETag_30be83192fbe42cc8e6f47dcdf63e6e9" w:colFirst="4" w:colLast="4"/>
            <w:bookmarkStart w:id="756" w:name="XMETag_ac5dfe6664ad4fb6873990acb51e54cc" w:colFirst="5" w:colLast="5"/>
            <w:bookmarkEnd w:id="750"/>
            <w:bookmarkEnd w:id="751"/>
            <w:bookmarkEnd w:id="752"/>
            <w:bookmarkEnd w:id="753"/>
          </w:p>
        </w:tc>
        <w:tc>
          <w:tcPr>
            <w:tcW w:w="1115" w:type="dxa"/>
            <w:tcMar>
              <w:top w:w="11" w:type="dxa"/>
              <w:left w:w="57" w:type="dxa"/>
              <w:bottom w:w="11" w:type="dxa"/>
              <w:right w:w="57" w:type="dxa"/>
            </w:tcMar>
          </w:tcPr>
          <w:p w14:paraId="4EB2AAC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top w:val="single" w:sz="4" w:space="0" w:color="auto"/>
              <w:bottom w:val="single" w:sz="4" w:space="0" w:color="auto"/>
            </w:tcBorders>
            <w:tcMar>
              <w:top w:w="11" w:type="dxa"/>
              <w:left w:w="57" w:type="dxa"/>
              <w:bottom w:w="11" w:type="dxa"/>
              <w:right w:w="57" w:type="dxa"/>
            </w:tcMar>
          </w:tcPr>
          <w:p w14:paraId="374E9BF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(2.5)</w:t>
            </w:r>
          </w:p>
        </w:tc>
        <w:tc>
          <w:tcPr>
            <w:tcW w:w="1134" w:type="dxa"/>
            <w:tcBorders>
              <w:top w:val="single" w:sz="4" w:space="0" w:color="auto"/>
              <w:bottom w:val="single" w:sz="4" w:space="0" w:color="auto"/>
            </w:tcBorders>
            <w:tcMar>
              <w:top w:w="11" w:type="dxa"/>
              <w:left w:w="57" w:type="dxa"/>
              <w:bottom w:w="11" w:type="dxa"/>
              <w:right w:w="57" w:type="dxa"/>
            </w:tcMar>
          </w:tcPr>
          <w:p w14:paraId="5DC310E0" w14:textId="7D3676EE" w:rsidR="00646F4F" w:rsidRPr="00735726" w:rsidRDefault="00B538F8"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(4,362.2)</w:t>
            </w:r>
          </w:p>
        </w:tc>
        <w:tc>
          <w:tcPr>
            <w:tcW w:w="1134" w:type="dxa"/>
            <w:tcBorders>
              <w:top w:val="single" w:sz="4" w:space="0" w:color="auto"/>
              <w:bottom w:val="single" w:sz="4" w:space="0" w:color="auto"/>
            </w:tcBorders>
            <w:tcMar>
              <w:top w:w="11" w:type="dxa"/>
              <w:left w:w="57" w:type="dxa"/>
              <w:bottom w:w="11" w:type="dxa"/>
              <w:right w:w="57" w:type="dxa"/>
            </w:tcMar>
          </w:tcPr>
          <w:p w14:paraId="1F6B44A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(217.9)</w:t>
            </w:r>
          </w:p>
        </w:tc>
        <w:tc>
          <w:tcPr>
            <w:tcW w:w="1134" w:type="dxa"/>
            <w:tcBorders>
              <w:top w:val="single" w:sz="4" w:space="0" w:color="auto"/>
              <w:bottom w:val="single" w:sz="4" w:space="0" w:color="auto"/>
            </w:tcBorders>
            <w:tcMar>
              <w:top w:w="11" w:type="dxa"/>
              <w:left w:w="57" w:type="dxa"/>
              <w:bottom w:w="11" w:type="dxa"/>
              <w:right w:w="57" w:type="dxa"/>
            </w:tcMar>
          </w:tcPr>
          <w:p w14:paraId="7135AE5B" w14:textId="28523DB1" w:rsidR="00646F4F" w:rsidRPr="00735726" w:rsidRDefault="00B538F8"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(4,582.6)</w:t>
            </w:r>
          </w:p>
        </w:tc>
      </w:tr>
      <w:bookmarkEnd w:id="754"/>
      <w:bookmarkEnd w:id="755"/>
      <w:bookmarkEnd w:id="756"/>
    </w:tbl>
    <w:p w14:paraId="3B6CD54C"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DE7423F" w14:textId="77777777" w:rsidR="00B9553C" w:rsidRPr="009A2CAE" w:rsidRDefault="00B9553C"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9987" w:type="dxa"/>
        <w:tblInd w:w="8" w:type="dxa"/>
        <w:tblLayout w:type="fixed"/>
        <w:tblCellMar>
          <w:left w:w="0" w:type="dxa"/>
          <w:right w:w="0" w:type="dxa"/>
        </w:tblCellMar>
        <w:tblLook w:val="0000" w:firstRow="0" w:lastRow="0" w:firstColumn="0" w:lastColumn="0" w:noHBand="0" w:noVBand="0"/>
      </w:tblPr>
      <w:tblGrid>
        <w:gridCol w:w="4337"/>
        <w:gridCol w:w="1115"/>
        <w:gridCol w:w="1134"/>
        <w:gridCol w:w="1134"/>
        <w:gridCol w:w="1134"/>
        <w:gridCol w:w="1133"/>
      </w:tblGrid>
      <w:tr w:rsidR="00646F4F" w:rsidRPr="00735726" w14:paraId="05834A97" w14:textId="77777777" w:rsidTr="00CE19B2">
        <w:trPr>
          <w:trHeight w:val="265"/>
          <w:tblHeader/>
        </w:trPr>
        <w:tc>
          <w:tcPr>
            <w:tcW w:w="4337" w:type="dxa"/>
            <w:tcMar>
              <w:top w:w="11" w:type="dxa"/>
              <w:left w:w="57" w:type="dxa"/>
              <w:bottom w:w="11" w:type="dxa"/>
              <w:right w:w="57" w:type="dxa"/>
            </w:tcMar>
          </w:tcPr>
          <w:p w14:paraId="6F482DC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93FA7F7" w14:textId="77777777" w:rsidR="00B9553C" w:rsidRPr="00735726" w:rsidRDefault="00B9553C"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15" w:type="dxa"/>
            <w:tcMar>
              <w:top w:w="11" w:type="dxa"/>
              <w:left w:w="57" w:type="dxa"/>
              <w:bottom w:w="11" w:type="dxa"/>
              <w:right w:w="57" w:type="dxa"/>
            </w:tcMar>
          </w:tcPr>
          <w:p w14:paraId="7A1B830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0C7E644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Fair value</w:t>
            </w:r>
          </w:p>
        </w:tc>
        <w:tc>
          <w:tcPr>
            <w:tcW w:w="2268" w:type="dxa"/>
            <w:gridSpan w:val="2"/>
            <w:tcMar>
              <w:top w:w="11" w:type="dxa"/>
              <w:left w:w="57" w:type="dxa"/>
              <w:bottom w:w="11" w:type="dxa"/>
              <w:right w:w="57" w:type="dxa"/>
            </w:tcMar>
          </w:tcPr>
          <w:p w14:paraId="67D9F598"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Amortised cost</w:t>
            </w:r>
          </w:p>
        </w:tc>
        <w:tc>
          <w:tcPr>
            <w:tcW w:w="1133" w:type="dxa"/>
            <w:tcMar>
              <w:top w:w="11" w:type="dxa"/>
              <w:left w:w="57" w:type="dxa"/>
              <w:bottom w:w="11" w:type="dxa"/>
              <w:right w:w="57" w:type="dxa"/>
            </w:tcMar>
          </w:tcPr>
          <w:p w14:paraId="2FAFC77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r>
      <w:tr w:rsidR="00646F4F" w:rsidRPr="00735726" w14:paraId="694570C6" w14:textId="77777777" w:rsidTr="00CE19B2">
        <w:trPr>
          <w:trHeight w:val="265"/>
          <w:tblHeader/>
        </w:trPr>
        <w:tc>
          <w:tcPr>
            <w:tcW w:w="4337" w:type="dxa"/>
            <w:tcMar>
              <w:top w:w="11" w:type="dxa"/>
              <w:left w:w="57" w:type="dxa"/>
              <w:bottom w:w="11" w:type="dxa"/>
              <w:right w:w="57" w:type="dxa"/>
            </w:tcMar>
          </w:tcPr>
          <w:p w14:paraId="18D1451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15" w:type="dxa"/>
            <w:tcMar>
              <w:top w:w="11" w:type="dxa"/>
              <w:left w:w="57" w:type="dxa"/>
              <w:bottom w:w="11" w:type="dxa"/>
              <w:right w:w="57" w:type="dxa"/>
            </w:tcMar>
            <w:vAlign w:val="bottom"/>
          </w:tcPr>
          <w:p w14:paraId="2F547313"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55CF7312"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127E6B35"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16E398CA"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Note</w:t>
            </w:r>
          </w:p>
        </w:tc>
        <w:tc>
          <w:tcPr>
            <w:tcW w:w="1134" w:type="dxa"/>
            <w:tcMar>
              <w:top w:w="11" w:type="dxa"/>
              <w:left w:w="57" w:type="dxa"/>
              <w:bottom w:w="11" w:type="dxa"/>
              <w:right w:w="57" w:type="dxa"/>
            </w:tcMar>
            <w:vAlign w:val="bottom"/>
          </w:tcPr>
          <w:p w14:paraId="34692A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Derivatives used for cash flow hedging </w:t>
            </w:r>
          </w:p>
          <w:p w14:paraId="418744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bottom"/>
          </w:tcPr>
          <w:p w14:paraId="7D6DEF3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7D7F7E0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Loans and receivables </w:t>
            </w:r>
          </w:p>
          <w:p w14:paraId="1F13AD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bottom"/>
          </w:tcPr>
          <w:p w14:paraId="5100C0F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Trade receivables and trade payables</w:t>
            </w:r>
          </w:p>
          <w:p w14:paraId="24F860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3" w:type="dxa"/>
            <w:tcMar>
              <w:top w:w="11" w:type="dxa"/>
              <w:left w:w="57" w:type="dxa"/>
              <w:bottom w:w="11" w:type="dxa"/>
              <w:right w:w="57" w:type="dxa"/>
            </w:tcMar>
            <w:vAlign w:val="bottom"/>
          </w:tcPr>
          <w:p w14:paraId="67880C1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br/>
            </w:r>
            <w:r w:rsidRPr="00735726">
              <w:rPr>
                <w:rFonts w:ascii="Arial" w:eastAsia="Times New Roman" w:hAnsi="Arial" w:cs="DINOT-Light"/>
                <w:b/>
                <w:color w:val="000000"/>
                <w:sz w:val="18"/>
                <w:szCs w:val="18"/>
              </w:rPr>
              <w:br/>
              <w:t>Total</w:t>
            </w:r>
            <w:r w:rsidRPr="00735726">
              <w:rPr>
                <w:rFonts w:ascii="Arial" w:eastAsia="Times New Roman" w:hAnsi="Arial" w:cs="DINOT-Light"/>
                <w:b/>
                <w:color w:val="000000"/>
                <w:sz w:val="18"/>
                <w:szCs w:val="18"/>
              </w:rPr>
              <w:br/>
              <w:t>£m</w:t>
            </w:r>
          </w:p>
        </w:tc>
      </w:tr>
      <w:tr w:rsidR="00646F4F" w:rsidRPr="00735726" w14:paraId="3264AAA8" w14:textId="77777777" w:rsidTr="00CE19B2">
        <w:trPr>
          <w:trHeight w:val="226"/>
        </w:trPr>
        <w:tc>
          <w:tcPr>
            <w:tcW w:w="4337" w:type="dxa"/>
            <w:tcMar>
              <w:top w:w="11" w:type="dxa"/>
              <w:left w:w="57" w:type="dxa"/>
              <w:bottom w:w="11" w:type="dxa"/>
              <w:right w:w="57" w:type="dxa"/>
            </w:tcMar>
          </w:tcPr>
          <w:p w14:paraId="28045DA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 March 2025</w:t>
            </w:r>
          </w:p>
        </w:tc>
        <w:tc>
          <w:tcPr>
            <w:tcW w:w="1115" w:type="dxa"/>
            <w:tcMar>
              <w:top w:w="11" w:type="dxa"/>
              <w:left w:w="57" w:type="dxa"/>
              <w:bottom w:w="11" w:type="dxa"/>
              <w:right w:w="57" w:type="dxa"/>
            </w:tcMar>
          </w:tcPr>
          <w:p w14:paraId="4A88D370"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7E24436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5039DC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56C607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0627729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27B7CD8" w14:textId="77777777" w:rsidTr="00CE19B2">
        <w:trPr>
          <w:trHeight w:val="168"/>
        </w:trPr>
        <w:tc>
          <w:tcPr>
            <w:tcW w:w="4337" w:type="dxa"/>
            <w:tcMar>
              <w:top w:w="11" w:type="dxa"/>
              <w:left w:w="57" w:type="dxa"/>
              <w:bottom w:w="11" w:type="dxa"/>
              <w:right w:w="57" w:type="dxa"/>
            </w:tcMar>
          </w:tcPr>
          <w:p w14:paraId="5AF3BCA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Financial assets</w:t>
            </w:r>
          </w:p>
        </w:tc>
        <w:tc>
          <w:tcPr>
            <w:tcW w:w="1115" w:type="dxa"/>
            <w:tcMar>
              <w:top w:w="11" w:type="dxa"/>
              <w:left w:w="57" w:type="dxa"/>
              <w:bottom w:w="11" w:type="dxa"/>
              <w:right w:w="57" w:type="dxa"/>
            </w:tcMar>
          </w:tcPr>
          <w:p w14:paraId="539959C3"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3D157AC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7C144E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3223E49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260615B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C066D2F" w14:textId="77777777" w:rsidTr="00CE19B2">
        <w:trPr>
          <w:trHeight w:hRule="exact" w:val="260"/>
        </w:trPr>
        <w:tc>
          <w:tcPr>
            <w:tcW w:w="4337" w:type="dxa"/>
            <w:tcMar>
              <w:top w:w="11" w:type="dxa"/>
              <w:left w:w="57" w:type="dxa"/>
              <w:bottom w:w="11" w:type="dxa"/>
              <w:right w:w="57" w:type="dxa"/>
            </w:tcMar>
          </w:tcPr>
          <w:p w14:paraId="66715E3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57" w:name="XMETag_3fa69dff0d8f4f79b443ad079650f3e6" w:colFirst="2" w:colLast="2"/>
            <w:bookmarkStart w:id="758" w:name="XMETag_b9e77d30cc884434b6c70816a9a14a79" w:colFirst="3" w:colLast="3"/>
            <w:bookmarkStart w:id="759" w:name="XMETag_546357d36706410a9524c18fe6662ea4" w:colFirst="4" w:colLast="4"/>
            <w:bookmarkStart w:id="760" w:name="XMETag_401bd2a1ad244f2eb48156c63fe35516" w:colFirst="5" w:colLast="5"/>
            <w:r w:rsidRPr="00735726">
              <w:rPr>
                <w:rFonts w:ascii="Arial" w:eastAsia="Times New Roman" w:hAnsi="Arial" w:cs="DINOT-Light"/>
                <w:color w:val="000000"/>
                <w:sz w:val="18"/>
                <w:szCs w:val="18"/>
              </w:rPr>
              <w:t>Trade and other receivables</w:t>
            </w:r>
          </w:p>
        </w:tc>
        <w:tc>
          <w:tcPr>
            <w:tcW w:w="1115" w:type="dxa"/>
            <w:tcMar>
              <w:top w:w="11" w:type="dxa"/>
              <w:left w:w="57" w:type="dxa"/>
              <w:bottom w:w="11" w:type="dxa"/>
              <w:right w:w="57" w:type="dxa"/>
            </w:tcMar>
          </w:tcPr>
          <w:p w14:paraId="2638EFA0" w14:textId="22B0C879" w:rsidR="00646F4F" w:rsidRPr="009A2CAE" w:rsidRDefault="00DB0609"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19</w:t>
            </w:r>
          </w:p>
        </w:tc>
        <w:tc>
          <w:tcPr>
            <w:tcW w:w="1134" w:type="dxa"/>
            <w:tcMar>
              <w:top w:w="11" w:type="dxa"/>
              <w:left w:w="57" w:type="dxa"/>
              <w:bottom w:w="11" w:type="dxa"/>
              <w:right w:w="57" w:type="dxa"/>
            </w:tcMar>
          </w:tcPr>
          <w:p w14:paraId="714DA0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4A02AF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19.0</w:t>
            </w:r>
          </w:p>
        </w:tc>
        <w:tc>
          <w:tcPr>
            <w:tcW w:w="1134" w:type="dxa"/>
            <w:tcMar>
              <w:top w:w="11" w:type="dxa"/>
              <w:left w:w="57" w:type="dxa"/>
              <w:bottom w:w="11" w:type="dxa"/>
              <w:right w:w="57" w:type="dxa"/>
            </w:tcMar>
          </w:tcPr>
          <w:p w14:paraId="640BF20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185.9</w:t>
            </w:r>
          </w:p>
        </w:tc>
        <w:tc>
          <w:tcPr>
            <w:tcW w:w="1133" w:type="dxa"/>
            <w:tcMar>
              <w:top w:w="11" w:type="dxa"/>
              <w:left w:w="57" w:type="dxa"/>
              <w:bottom w:w="11" w:type="dxa"/>
              <w:right w:w="57" w:type="dxa"/>
            </w:tcMar>
          </w:tcPr>
          <w:p w14:paraId="395063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204.9</w:t>
            </w:r>
          </w:p>
        </w:tc>
      </w:tr>
      <w:tr w:rsidR="00646F4F" w:rsidRPr="00735726" w14:paraId="391F112F" w14:textId="77777777" w:rsidTr="00CE19B2">
        <w:trPr>
          <w:trHeight w:hRule="exact" w:val="260"/>
        </w:trPr>
        <w:tc>
          <w:tcPr>
            <w:tcW w:w="4337" w:type="dxa"/>
            <w:tcMar>
              <w:top w:w="11" w:type="dxa"/>
              <w:left w:w="57" w:type="dxa"/>
              <w:bottom w:w="11" w:type="dxa"/>
              <w:right w:w="57" w:type="dxa"/>
            </w:tcMar>
          </w:tcPr>
          <w:p w14:paraId="7D9780AF" w14:textId="56C9B2AF"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61" w:name="XMETag_5a5da69990b74b2f9c7fd99ca9879213" w:colFirst="5" w:colLast="5"/>
            <w:bookmarkEnd w:id="757"/>
            <w:bookmarkEnd w:id="758"/>
            <w:bookmarkEnd w:id="759"/>
            <w:bookmarkEnd w:id="760"/>
            <w:r w:rsidRPr="00735726">
              <w:rPr>
                <w:rFonts w:ascii="Arial" w:eastAsia="Times New Roman" w:hAnsi="Arial" w:cs="DINOT-Light"/>
                <w:color w:val="000000"/>
                <w:sz w:val="18"/>
                <w:szCs w:val="18"/>
              </w:rPr>
              <w:t>Cash and cash equivalents</w:t>
            </w:r>
            <w:r w:rsidR="001A4ECD" w:rsidRPr="00735726">
              <w:rPr>
                <w:rFonts w:ascii="Arial" w:eastAsia="Times New Roman" w:hAnsi="Arial" w:cs="DINOT-Light"/>
                <w:color w:val="000000"/>
                <w:sz w:val="18"/>
                <w:szCs w:val="18"/>
              </w:rPr>
              <w:t xml:space="preserve"> and restricted funds</w:t>
            </w:r>
          </w:p>
        </w:tc>
        <w:tc>
          <w:tcPr>
            <w:tcW w:w="1115" w:type="dxa"/>
            <w:tcMar>
              <w:top w:w="11" w:type="dxa"/>
              <w:left w:w="57" w:type="dxa"/>
              <w:bottom w:w="11" w:type="dxa"/>
              <w:right w:w="57" w:type="dxa"/>
            </w:tcMar>
          </w:tcPr>
          <w:p w14:paraId="3830A6E5" w14:textId="0557AF7A"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DB0609" w:rsidRPr="009A2CAE">
              <w:rPr>
                <w:rFonts w:ascii="Arial" w:eastAsia="Times New Roman" w:hAnsi="Arial" w:cs="DINOT-Light"/>
                <w:color w:val="000000"/>
                <w:sz w:val="18"/>
                <w:szCs w:val="18"/>
              </w:rPr>
              <w:t>1</w:t>
            </w:r>
          </w:p>
        </w:tc>
        <w:tc>
          <w:tcPr>
            <w:tcW w:w="1134" w:type="dxa"/>
            <w:tcMar>
              <w:top w:w="11" w:type="dxa"/>
              <w:left w:w="57" w:type="dxa"/>
              <w:bottom w:w="11" w:type="dxa"/>
              <w:right w:w="57" w:type="dxa"/>
            </w:tcMar>
          </w:tcPr>
          <w:p w14:paraId="3D7F79A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5E69F88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326.7</w:t>
            </w:r>
          </w:p>
        </w:tc>
        <w:tc>
          <w:tcPr>
            <w:tcW w:w="1134" w:type="dxa"/>
            <w:tcMar>
              <w:top w:w="11" w:type="dxa"/>
              <w:left w:w="57" w:type="dxa"/>
              <w:bottom w:w="11" w:type="dxa"/>
              <w:right w:w="57" w:type="dxa"/>
            </w:tcMar>
          </w:tcPr>
          <w:p w14:paraId="2270CB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Mar>
              <w:top w:w="11" w:type="dxa"/>
              <w:left w:w="57" w:type="dxa"/>
              <w:bottom w:w="11" w:type="dxa"/>
              <w:right w:w="57" w:type="dxa"/>
            </w:tcMar>
          </w:tcPr>
          <w:p w14:paraId="5C335A6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326.7</w:t>
            </w:r>
          </w:p>
        </w:tc>
      </w:tr>
      <w:tr w:rsidR="00646F4F" w:rsidRPr="00735726" w14:paraId="2672AB49" w14:textId="77777777" w:rsidTr="00CE19B2">
        <w:trPr>
          <w:trHeight w:hRule="exact" w:val="260"/>
        </w:trPr>
        <w:tc>
          <w:tcPr>
            <w:tcW w:w="4337" w:type="dxa"/>
            <w:tcMar>
              <w:top w:w="11" w:type="dxa"/>
              <w:left w:w="57" w:type="dxa"/>
              <w:bottom w:w="11" w:type="dxa"/>
              <w:right w:w="57" w:type="dxa"/>
            </w:tcMar>
          </w:tcPr>
          <w:p w14:paraId="77E2F8A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62" w:name="XMETag_e7b10fa703a04d8298e4fd32bb87d635" w:colFirst="2" w:colLast="2"/>
            <w:bookmarkStart w:id="763" w:name="XMETag_f56e261d052f474fbb645895ca56e286" w:colFirst="3" w:colLast="3"/>
            <w:bookmarkStart w:id="764" w:name="XMETag_5ed6b7671d7d43f78229e1cf02a7ca4a" w:colFirst="4" w:colLast="4"/>
            <w:bookmarkStart w:id="765" w:name="XMETag_d0af8be12a8d4253a9ce0cdb1601cb0d" w:colFirst="5" w:colLast="5"/>
            <w:bookmarkEnd w:id="761"/>
            <w:r w:rsidRPr="00735726">
              <w:rPr>
                <w:rFonts w:ascii="Arial" w:eastAsia="Times New Roman" w:hAnsi="Arial" w:cs="DINOT-Light"/>
                <w:color w:val="000000"/>
                <w:sz w:val="18"/>
                <w:szCs w:val="18"/>
              </w:rPr>
              <w:t>Derivative financial instruments</w:t>
            </w:r>
          </w:p>
        </w:tc>
        <w:tc>
          <w:tcPr>
            <w:tcW w:w="1115" w:type="dxa"/>
            <w:tcMar>
              <w:top w:w="11" w:type="dxa"/>
              <w:left w:w="57" w:type="dxa"/>
              <w:bottom w:w="11" w:type="dxa"/>
              <w:right w:w="57" w:type="dxa"/>
            </w:tcMar>
          </w:tcPr>
          <w:p w14:paraId="596A5B43" w14:textId="0EC26DE3"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DB0609" w:rsidRPr="009A2CAE">
              <w:rPr>
                <w:rFonts w:ascii="Arial" w:eastAsia="Times New Roman" w:hAnsi="Arial" w:cs="DINOT-Light"/>
                <w:color w:val="000000"/>
                <w:sz w:val="18"/>
                <w:szCs w:val="18"/>
              </w:rPr>
              <w:t>0</w:t>
            </w:r>
          </w:p>
        </w:tc>
        <w:tc>
          <w:tcPr>
            <w:tcW w:w="1134" w:type="dxa"/>
            <w:tcBorders>
              <w:bottom w:val="single" w:sz="4" w:space="0" w:color="auto"/>
            </w:tcBorders>
            <w:tcMar>
              <w:top w:w="11" w:type="dxa"/>
              <w:left w:w="57" w:type="dxa"/>
              <w:bottom w:w="11" w:type="dxa"/>
              <w:right w:w="57" w:type="dxa"/>
            </w:tcMar>
          </w:tcPr>
          <w:p w14:paraId="603BFA8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31.6</w:t>
            </w:r>
          </w:p>
        </w:tc>
        <w:tc>
          <w:tcPr>
            <w:tcW w:w="1134" w:type="dxa"/>
            <w:tcBorders>
              <w:bottom w:val="single" w:sz="4" w:space="0" w:color="auto"/>
            </w:tcBorders>
            <w:tcMar>
              <w:top w:w="11" w:type="dxa"/>
              <w:left w:w="57" w:type="dxa"/>
              <w:bottom w:w="11" w:type="dxa"/>
              <w:right w:w="57" w:type="dxa"/>
            </w:tcMar>
          </w:tcPr>
          <w:p w14:paraId="7806B0B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33B5FB4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Borders>
              <w:bottom w:val="single" w:sz="4" w:space="0" w:color="auto"/>
            </w:tcBorders>
            <w:tcMar>
              <w:top w:w="11" w:type="dxa"/>
              <w:left w:w="57" w:type="dxa"/>
              <w:bottom w:w="11" w:type="dxa"/>
              <w:right w:w="57" w:type="dxa"/>
            </w:tcMar>
          </w:tcPr>
          <w:p w14:paraId="67759F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31.6</w:t>
            </w:r>
          </w:p>
        </w:tc>
      </w:tr>
      <w:tr w:rsidR="00646F4F" w:rsidRPr="00735726" w14:paraId="07B5DDAD" w14:textId="77777777" w:rsidTr="00CE19B2">
        <w:trPr>
          <w:trHeight w:val="215"/>
        </w:trPr>
        <w:tc>
          <w:tcPr>
            <w:tcW w:w="4337" w:type="dxa"/>
            <w:tcMar>
              <w:top w:w="11" w:type="dxa"/>
              <w:left w:w="57" w:type="dxa"/>
              <w:bottom w:w="11" w:type="dxa"/>
              <w:right w:w="57" w:type="dxa"/>
            </w:tcMar>
          </w:tcPr>
          <w:p w14:paraId="1821E55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766" w:name="XMETag_31e59bdf7f3041a6a00100ad2652194d" w:colFirst="2" w:colLast="2"/>
            <w:bookmarkStart w:id="767" w:name="XMETag_11f9913816314b0fa6c9e2861ea75cdc" w:colFirst="3" w:colLast="3"/>
            <w:bookmarkStart w:id="768" w:name="XMETag_48f6376d9eac46f5ad0810132d15bf07" w:colFirst="4" w:colLast="4"/>
            <w:bookmarkStart w:id="769" w:name="XMETag_87ad7ecef71b42268b928cdf5d3954e2" w:colFirst="5" w:colLast="5"/>
            <w:bookmarkEnd w:id="762"/>
            <w:bookmarkEnd w:id="763"/>
            <w:bookmarkEnd w:id="764"/>
            <w:bookmarkEnd w:id="765"/>
          </w:p>
        </w:tc>
        <w:tc>
          <w:tcPr>
            <w:tcW w:w="1115" w:type="dxa"/>
            <w:tcMar>
              <w:top w:w="11" w:type="dxa"/>
              <w:left w:w="57" w:type="dxa"/>
              <w:bottom w:w="11" w:type="dxa"/>
              <w:right w:w="57" w:type="dxa"/>
            </w:tcMar>
          </w:tcPr>
          <w:p w14:paraId="67670713"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4" w:type="dxa"/>
            <w:tcBorders>
              <w:top w:val="single" w:sz="4" w:space="0" w:color="auto"/>
              <w:bottom w:val="single" w:sz="4" w:space="0" w:color="auto"/>
            </w:tcBorders>
            <w:tcMar>
              <w:top w:w="11" w:type="dxa"/>
              <w:left w:w="57" w:type="dxa"/>
              <w:bottom w:w="11" w:type="dxa"/>
              <w:right w:w="57" w:type="dxa"/>
            </w:tcMar>
          </w:tcPr>
          <w:p w14:paraId="76875C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31.6</w:t>
            </w:r>
          </w:p>
        </w:tc>
        <w:tc>
          <w:tcPr>
            <w:tcW w:w="1134" w:type="dxa"/>
            <w:tcBorders>
              <w:top w:val="single" w:sz="4" w:space="0" w:color="auto"/>
              <w:bottom w:val="single" w:sz="4" w:space="0" w:color="auto"/>
            </w:tcBorders>
            <w:tcMar>
              <w:top w:w="11" w:type="dxa"/>
              <w:left w:w="57" w:type="dxa"/>
              <w:bottom w:w="11" w:type="dxa"/>
              <w:right w:w="57" w:type="dxa"/>
            </w:tcMar>
          </w:tcPr>
          <w:p w14:paraId="41E1BF7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345.7</w:t>
            </w:r>
          </w:p>
        </w:tc>
        <w:tc>
          <w:tcPr>
            <w:tcW w:w="1134" w:type="dxa"/>
            <w:tcBorders>
              <w:top w:val="single" w:sz="4" w:space="0" w:color="auto"/>
              <w:bottom w:val="single" w:sz="4" w:space="0" w:color="auto"/>
            </w:tcBorders>
            <w:tcMar>
              <w:top w:w="11" w:type="dxa"/>
              <w:left w:w="57" w:type="dxa"/>
              <w:bottom w:w="11" w:type="dxa"/>
              <w:right w:w="57" w:type="dxa"/>
            </w:tcMar>
          </w:tcPr>
          <w:p w14:paraId="0C7A690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185.9</w:t>
            </w:r>
          </w:p>
        </w:tc>
        <w:tc>
          <w:tcPr>
            <w:tcW w:w="1133" w:type="dxa"/>
            <w:tcBorders>
              <w:top w:val="single" w:sz="4" w:space="0" w:color="auto"/>
              <w:bottom w:val="single" w:sz="4" w:space="0" w:color="auto"/>
            </w:tcBorders>
            <w:tcMar>
              <w:top w:w="11" w:type="dxa"/>
              <w:left w:w="57" w:type="dxa"/>
              <w:bottom w:w="11" w:type="dxa"/>
              <w:right w:w="57" w:type="dxa"/>
            </w:tcMar>
          </w:tcPr>
          <w:p w14:paraId="4F1C31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563.2</w:t>
            </w:r>
          </w:p>
        </w:tc>
      </w:tr>
      <w:bookmarkEnd w:id="766"/>
      <w:bookmarkEnd w:id="767"/>
      <w:bookmarkEnd w:id="768"/>
      <w:bookmarkEnd w:id="769"/>
      <w:tr w:rsidR="00646F4F" w:rsidRPr="00735726" w14:paraId="2E3CE6F1" w14:textId="77777777" w:rsidTr="00CE19B2">
        <w:trPr>
          <w:trHeight w:val="226"/>
        </w:trPr>
        <w:tc>
          <w:tcPr>
            <w:tcW w:w="4337" w:type="dxa"/>
            <w:tcMar>
              <w:top w:w="11" w:type="dxa"/>
              <w:left w:w="57" w:type="dxa"/>
              <w:bottom w:w="11" w:type="dxa"/>
              <w:right w:w="57" w:type="dxa"/>
            </w:tcMar>
          </w:tcPr>
          <w:p w14:paraId="6705DC8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Financial liabilities</w:t>
            </w:r>
          </w:p>
        </w:tc>
        <w:tc>
          <w:tcPr>
            <w:tcW w:w="1115" w:type="dxa"/>
            <w:tcMar>
              <w:top w:w="11" w:type="dxa"/>
              <w:left w:w="57" w:type="dxa"/>
              <w:bottom w:w="11" w:type="dxa"/>
              <w:right w:w="57" w:type="dxa"/>
            </w:tcMar>
          </w:tcPr>
          <w:p w14:paraId="66E95CF0"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134" w:type="dxa"/>
            <w:tcBorders>
              <w:top w:val="single" w:sz="4" w:space="0" w:color="auto"/>
            </w:tcBorders>
            <w:tcMar>
              <w:top w:w="11" w:type="dxa"/>
              <w:left w:w="57" w:type="dxa"/>
              <w:bottom w:w="11" w:type="dxa"/>
              <w:right w:w="57" w:type="dxa"/>
            </w:tcMar>
          </w:tcPr>
          <w:p w14:paraId="219F4AB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top w:val="single" w:sz="4" w:space="0" w:color="auto"/>
            </w:tcBorders>
            <w:tcMar>
              <w:top w:w="11" w:type="dxa"/>
              <w:left w:w="57" w:type="dxa"/>
              <w:bottom w:w="11" w:type="dxa"/>
              <w:right w:w="57" w:type="dxa"/>
            </w:tcMar>
          </w:tcPr>
          <w:p w14:paraId="77030F8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top w:val="single" w:sz="4" w:space="0" w:color="auto"/>
            </w:tcBorders>
            <w:tcMar>
              <w:top w:w="11" w:type="dxa"/>
              <w:left w:w="57" w:type="dxa"/>
              <w:bottom w:w="11" w:type="dxa"/>
              <w:right w:w="57" w:type="dxa"/>
            </w:tcMar>
          </w:tcPr>
          <w:p w14:paraId="4B78545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3" w:type="dxa"/>
            <w:tcBorders>
              <w:top w:val="single" w:sz="4" w:space="0" w:color="auto"/>
            </w:tcBorders>
            <w:tcMar>
              <w:top w:w="11" w:type="dxa"/>
              <w:left w:w="57" w:type="dxa"/>
              <w:bottom w:w="11" w:type="dxa"/>
              <w:right w:w="57" w:type="dxa"/>
            </w:tcMar>
          </w:tcPr>
          <w:p w14:paraId="624939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4769B6C" w14:textId="77777777" w:rsidTr="00CE19B2">
        <w:trPr>
          <w:trHeight w:hRule="exact" w:val="260"/>
        </w:trPr>
        <w:tc>
          <w:tcPr>
            <w:tcW w:w="4337" w:type="dxa"/>
            <w:tcMar>
              <w:top w:w="11" w:type="dxa"/>
              <w:left w:w="57" w:type="dxa"/>
              <w:bottom w:w="11" w:type="dxa"/>
              <w:right w:w="57" w:type="dxa"/>
            </w:tcMar>
          </w:tcPr>
          <w:p w14:paraId="71746C5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70" w:name="XMETag_3322f749ef1444e4a7ea5456690f8ca3" w:colFirst="2" w:colLast="2"/>
            <w:bookmarkStart w:id="771" w:name="XMETag_de4785223fea4264812e4de05d75f7d6" w:colFirst="4" w:colLast="4"/>
            <w:bookmarkStart w:id="772" w:name="XMETag_d6f43474b60947e6aef00281f95e19f3" w:colFirst="5" w:colLast="5"/>
            <w:r w:rsidRPr="00735726">
              <w:rPr>
                <w:rFonts w:ascii="Arial" w:eastAsia="Times New Roman" w:hAnsi="Arial" w:cs="DINOT-Light"/>
                <w:color w:val="000000"/>
                <w:sz w:val="18"/>
                <w:szCs w:val="18"/>
              </w:rPr>
              <w:t>Borrowings</w:t>
            </w:r>
          </w:p>
        </w:tc>
        <w:tc>
          <w:tcPr>
            <w:tcW w:w="1115" w:type="dxa"/>
            <w:tcMar>
              <w:top w:w="11" w:type="dxa"/>
              <w:left w:w="57" w:type="dxa"/>
              <w:bottom w:w="11" w:type="dxa"/>
              <w:right w:w="57" w:type="dxa"/>
            </w:tcMar>
          </w:tcPr>
          <w:p w14:paraId="1A6E0A33" w14:textId="1F8B50A3"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DB0609" w:rsidRPr="009A2CAE">
              <w:rPr>
                <w:rFonts w:ascii="Arial" w:eastAsia="Times New Roman" w:hAnsi="Arial" w:cs="DINOT-Light"/>
                <w:color w:val="000000"/>
                <w:sz w:val="18"/>
                <w:szCs w:val="18"/>
              </w:rPr>
              <w:t>3</w:t>
            </w:r>
          </w:p>
        </w:tc>
        <w:tc>
          <w:tcPr>
            <w:tcW w:w="1134" w:type="dxa"/>
            <w:tcMar>
              <w:top w:w="11" w:type="dxa"/>
              <w:left w:w="57" w:type="dxa"/>
              <w:bottom w:w="11" w:type="dxa"/>
              <w:right w:w="57" w:type="dxa"/>
            </w:tcMar>
          </w:tcPr>
          <w:p w14:paraId="0A89F4E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698552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(3,884.3)</w:t>
            </w:r>
          </w:p>
        </w:tc>
        <w:tc>
          <w:tcPr>
            <w:tcW w:w="1134" w:type="dxa"/>
            <w:tcMar>
              <w:top w:w="11" w:type="dxa"/>
              <w:left w:w="57" w:type="dxa"/>
              <w:bottom w:w="11" w:type="dxa"/>
              <w:right w:w="57" w:type="dxa"/>
            </w:tcMar>
          </w:tcPr>
          <w:p w14:paraId="3AC774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Mar>
              <w:top w:w="11" w:type="dxa"/>
              <w:left w:w="57" w:type="dxa"/>
              <w:bottom w:w="11" w:type="dxa"/>
              <w:right w:w="57" w:type="dxa"/>
            </w:tcMar>
          </w:tcPr>
          <w:p w14:paraId="10BD97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(3,884.3)</w:t>
            </w:r>
          </w:p>
        </w:tc>
      </w:tr>
      <w:tr w:rsidR="00646F4F" w:rsidRPr="00735726" w14:paraId="33315EEC" w14:textId="77777777" w:rsidTr="00CE19B2">
        <w:trPr>
          <w:trHeight w:hRule="exact" w:val="260"/>
        </w:trPr>
        <w:tc>
          <w:tcPr>
            <w:tcW w:w="4337" w:type="dxa"/>
            <w:tcMar>
              <w:top w:w="11" w:type="dxa"/>
              <w:left w:w="57" w:type="dxa"/>
              <w:bottom w:w="11" w:type="dxa"/>
              <w:right w:w="57" w:type="dxa"/>
            </w:tcMar>
          </w:tcPr>
          <w:p w14:paraId="65355E4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73" w:name="XMETag_5a70673219804fe6bfb842df0f565bef" w:colFirst="2" w:colLast="2"/>
            <w:bookmarkStart w:id="774" w:name="XMETag_751242dd62384761b0baa4572938915d" w:colFirst="3" w:colLast="3"/>
            <w:bookmarkStart w:id="775" w:name="XMETag_7b286ef5889a4df7b0458cff7cf48199" w:colFirst="4" w:colLast="4"/>
            <w:bookmarkStart w:id="776" w:name="XMETag_c2ddb588f3324e3f926eba1b3918ce66" w:colFirst="5" w:colLast="5"/>
            <w:bookmarkEnd w:id="770"/>
            <w:bookmarkEnd w:id="771"/>
            <w:bookmarkEnd w:id="772"/>
            <w:r w:rsidRPr="00735726">
              <w:rPr>
                <w:rFonts w:ascii="Arial" w:eastAsia="Times New Roman" w:hAnsi="Arial" w:cs="DINOT-Light"/>
                <w:color w:val="000000"/>
                <w:sz w:val="18"/>
                <w:szCs w:val="18"/>
              </w:rPr>
              <w:t>Trade and other payables</w:t>
            </w:r>
          </w:p>
        </w:tc>
        <w:tc>
          <w:tcPr>
            <w:tcW w:w="1115" w:type="dxa"/>
            <w:tcMar>
              <w:top w:w="11" w:type="dxa"/>
              <w:left w:w="57" w:type="dxa"/>
              <w:bottom w:w="11" w:type="dxa"/>
              <w:right w:w="57" w:type="dxa"/>
            </w:tcMar>
          </w:tcPr>
          <w:p w14:paraId="4B6F37D7" w14:textId="48BEC902"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DB0609" w:rsidRPr="009A2CAE">
              <w:rPr>
                <w:rFonts w:ascii="Arial" w:eastAsia="Times New Roman" w:hAnsi="Arial" w:cs="DINOT-Light"/>
                <w:color w:val="000000"/>
                <w:sz w:val="18"/>
                <w:szCs w:val="18"/>
              </w:rPr>
              <w:t>2</w:t>
            </w:r>
          </w:p>
        </w:tc>
        <w:tc>
          <w:tcPr>
            <w:tcW w:w="1134" w:type="dxa"/>
            <w:tcMar>
              <w:top w:w="11" w:type="dxa"/>
              <w:left w:w="57" w:type="dxa"/>
              <w:bottom w:w="11" w:type="dxa"/>
              <w:right w:w="57" w:type="dxa"/>
            </w:tcMar>
          </w:tcPr>
          <w:p w14:paraId="04BE0F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0A6DCC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(77.5)</w:t>
            </w:r>
          </w:p>
        </w:tc>
        <w:tc>
          <w:tcPr>
            <w:tcW w:w="1134" w:type="dxa"/>
            <w:tcMar>
              <w:top w:w="11" w:type="dxa"/>
              <w:left w:w="57" w:type="dxa"/>
              <w:bottom w:w="11" w:type="dxa"/>
              <w:right w:w="57" w:type="dxa"/>
            </w:tcMar>
          </w:tcPr>
          <w:p w14:paraId="3156AE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(144.3)</w:t>
            </w:r>
          </w:p>
        </w:tc>
        <w:tc>
          <w:tcPr>
            <w:tcW w:w="1133" w:type="dxa"/>
            <w:tcMar>
              <w:top w:w="11" w:type="dxa"/>
              <w:left w:w="57" w:type="dxa"/>
              <w:bottom w:w="11" w:type="dxa"/>
              <w:right w:w="57" w:type="dxa"/>
            </w:tcMar>
          </w:tcPr>
          <w:p w14:paraId="657E23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(221.8)</w:t>
            </w:r>
          </w:p>
        </w:tc>
      </w:tr>
      <w:tr w:rsidR="00646F4F" w:rsidRPr="00735726" w14:paraId="41638911" w14:textId="77777777" w:rsidTr="00CE19B2">
        <w:trPr>
          <w:trHeight w:hRule="exact" w:val="260"/>
        </w:trPr>
        <w:tc>
          <w:tcPr>
            <w:tcW w:w="4337" w:type="dxa"/>
            <w:tcMar>
              <w:top w:w="11" w:type="dxa"/>
              <w:left w:w="57" w:type="dxa"/>
              <w:bottom w:w="11" w:type="dxa"/>
              <w:right w:w="57" w:type="dxa"/>
            </w:tcMar>
          </w:tcPr>
          <w:p w14:paraId="08135496" w14:textId="2AB8B2B7" w:rsidR="00646F4F" w:rsidRPr="00735726" w:rsidRDefault="001A4ECD"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Derivative financial instruments</w:t>
            </w:r>
          </w:p>
        </w:tc>
        <w:tc>
          <w:tcPr>
            <w:tcW w:w="1115" w:type="dxa"/>
            <w:tcMar>
              <w:top w:w="11" w:type="dxa"/>
              <w:left w:w="57" w:type="dxa"/>
              <w:bottom w:w="11" w:type="dxa"/>
              <w:right w:w="57" w:type="dxa"/>
            </w:tcMar>
          </w:tcPr>
          <w:p w14:paraId="68A0B197" w14:textId="50DDF56F"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2</w:t>
            </w:r>
            <w:r w:rsidR="00DB0609" w:rsidRPr="009A2CAE">
              <w:rPr>
                <w:rFonts w:ascii="Arial" w:eastAsia="Times New Roman" w:hAnsi="Arial" w:cs="DINOT-Light"/>
                <w:color w:val="000000"/>
                <w:sz w:val="18"/>
                <w:szCs w:val="18"/>
              </w:rPr>
              <w:t>0</w:t>
            </w:r>
          </w:p>
        </w:tc>
        <w:tc>
          <w:tcPr>
            <w:tcW w:w="1134" w:type="dxa"/>
            <w:tcBorders>
              <w:bottom w:val="single" w:sz="4" w:space="0" w:color="auto"/>
            </w:tcBorders>
            <w:tcMar>
              <w:top w:w="11" w:type="dxa"/>
              <w:left w:w="57" w:type="dxa"/>
              <w:bottom w:w="11" w:type="dxa"/>
              <w:right w:w="57" w:type="dxa"/>
            </w:tcMar>
          </w:tcPr>
          <w:p w14:paraId="77C9E9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w:t>
            </w:r>
          </w:p>
        </w:tc>
        <w:tc>
          <w:tcPr>
            <w:tcW w:w="1134" w:type="dxa"/>
            <w:tcBorders>
              <w:bottom w:val="single" w:sz="4" w:space="0" w:color="auto"/>
            </w:tcBorders>
            <w:tcMar>
              <w:top w:w="11" w:type="dxa"/>
              <w:left w:w="57" w:type="dxa"/>
              <w:bottom w:w="11" w:type="dxa"/>
              <w:right w:w="57" w:type="dxa"/>
            </w:tcMar>
          </w:tcPr>
          <w:p w14:paraId="180C4F2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2B44E46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Borders>
              <w:bottom w:val="single" w:sz="4" w:space="0" w:color="auto"/>
            </w:tcBorders>
            <w:tcMar>
              <w:top w:w="11" w:type="dxa"/>
              <w:left w:w="57" w:type="dxa"/>
              <w:bottom w:w="11" w:type="dxa"/>
              <w:right w:w="57" w:type="dxa"/>
            </w:tcMar>
          </w:tcPr>
          <w:p w14:paraId="0CFC2D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w:t>
            </w:r>
          </w:p>
        </w:tc>
      </w:tr>
      <w:tr w:rsidR="00646F4F" w:rsidRPr="00735726" w14:paraId="303936ED" w14:textId="77777777" w:rsidTr="00CE19B2">
        <w:trPr>
          <w:trHeight w:hRule="exact" w:val="233"/>
        </w:trPr>
        <w:tc>
          <w:tcPr>
            <w:tcW w:w="4337" w:type="dxa"/>
            <w:tcMar>
              <w:top w:w="11" w:type="dxa"/>
              <w:left w:w="57" w:type="dxa"/>
              <w:bottom w:w="11" w:type="dxa"/>
              <w:right w:w="57" w:type="dxa"/>
            </w:tcMar>
          </w:tcPr>
          <w:p w14:paraId="228E28B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777" w:name="XMETag_66a2ac176910492c9819418edb60a1c2" w:colFirst="2" w:colLast="2"/>
            <w:bookmarkStart w:id="778" w:name="XMETag_4e5575203f934f7a8cfbe80d21a2cbfe" w:colFirst="4" w:colLast="4"/>
            <w:bookmarkStart w:id="779" w:name="XMETag_977232b17bb549578ac17f9afe42e6db" w:colFirst="5" w:colLast="5"/>
            <w:bookmarkEnd w:id="773"/>
            <w:bookmarkEnd w:id="774"/>
            <w:bookmarkEnd w:id="775"/>
            <w:bookmarkEnd w:id="776"/>
          </w:p>
        </w:tc>
        <w:tc>
          <w:tcPr>
            <w:tcW w:w="1115" w:type="dxa"/>
            <w:tcMar>
              <w:top w:w="11" w:type="dxa"/>
              <w:left w:w="57" w:type="dxa"/>
              <w:bottom w:w="11" w:type="dxa"/>
              <w:right w:w="57" w:type="dxa"/>
            </w:tcMar>
          </w:tcPr>
          <w:p w14:paraId="42BBEE2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top w:val="single" w:sz="4" w:space="0" w:color="auto"/>
              <w:bottom w:val="single" w:sz="4" w:space="0" w:color="auto"/>
            </w:tcBorders>
            <w:tcMar>
              <w:top w:w="11" w:type="dxa"/>
              <w:left w:w="57" w:type="dxa"/>
              <w:bottom w:w="11" w:type="dxa"/>
              <w:right w:w="57" w:type="dxa"/>
            </w:tcMar>
          </w:tcPr>
          <w:p w14:paraId="3EAB746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w:t>
            </w:r>
          </w:p>
        </w:tc>
        <w:tc>
          <w:tcPr>
            <w:tcW w:w="1134" w:type="dxa"/>
            <w:tcBorders>
              <w:top w:val="single" w:sz="4" w:space="0" w:color="auto"/>
              <w:bottom w:val="single" w:sz="4" w:space="0" w:color="auto"/>
            </w:tcBorders>
            <w:tcMar>
              <w:top w:w="11" w:type="dxa"/>
              <w:left w:w="57" w:type="dxa"/>
              <w:bottom w:w="11" w:type="dxa"/>
              <w:right w:w="57" w:type="dxa"/>
            </w:tcMar>
          </w:tcPr>
          <w:p w14:paraId="529D7C6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(3,961.8)</w:t>
            </w:r>
          </w:p>
        </w:tc>
        <w:tc>
          <w:tcPr>
            <w:tcW w:w="1134" w:type="dxa"/>
            <w:tcBorders>
              <w:top w:val="single" w:sz="4" w:space="0" w:color="auto"/>
              <w:bottom w:val="single" w:sz="4" w:space="0" w:color="auto"/>
            </w:tcBorders>
            <w:tcMar>
              <w:top w:w="11" w:type="dxa"/>
              <w:left w:w="57" w:type="dxa"/>
              <w:bottom w:w="11" w:type="dxa"/>
              <w:right w:w="57" w:type="dxa"/>
            </w:tcMar>
          </w:tcPr>
          <w:p w14:paraId="7EB9F48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(144.3)</w:t>
            </w:r>
          </w:p>
        </w:tc>
        <w:tc>
          <w:tcPr>
            <w:tcW w:w="1133" w:type="dxa"/>
            <w:tcBorders>
              <w:top w:val="single" w:sz="4" w:space="0" w:color="auto"/>
              <w:bottom w:val="single" w:sz="4" w:space="0" w:color="auto"/>
            </w:tcBorders>
            <w:tcMar>
              <w:top w:w="11" w:type="dxa"/>
              <w:left w:w="57" w:type="dxa"/>
              <w:bottom w:w="11" w:type="dxa"/>
              <w:right w:w="57" w:type="dxa"/>
            </w:tcMar>
          </w:tcPr>
          <w:p w14:paraId="3EE69D9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(4,108.1)</w:t>
            </w:r>
          </w:p>
        </w:tc>
      </w:tr>
      <w:bookmarkEnd w:id="777"/>
      <w:bookmarkEnd w:id="778"/>
      <w:bookmarkEnd w:id="779"/>
    </w:tbl>
    <w:p w14:paraId="1DFCDFFE"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4473EF87" w14:textId="77777777" w:rsidR="00B9553C" w:rsidRPr="009A2CAE" w:rsidRDefault="00B9553C">
      <w:pPr>
        <w:spacing w:after="160" w:line="259" w:lineRule="auto"/>
        <w:rPr>
          <w:rFonts w:ascii="Arial" w:eastAsia="Times New Roman" w:hAnsi="Arial" w:cs="Arial"/>
          <w:b/>
          <w:bCs/>
          <w:caps/>
          <w:color w:val="000000"/>
          <w:sz w:val="18"/>
          <w:szCs w:val="18"/>
        </w:rPr>
      </w:pPr>
      <w:r w:rsidRPr="009A2CAE">
        <w:rPr>
          <w:rFonts w:ascii="Arial" w:eastAsia="Times New Roman" w:hAnsi="Arial" w:cs="Arial"/>
          <w:b/>
          <w:bCs/>
          <w:caps/>
          <w:color w:val="000000"/>
          <w:sz w:val="18"/>
          <w:szCs w:val="18"/>
        </w:rPr>
        <w:br w:type="page"/>
      </w:r>
    </w:p>
    <w:p w14:paraId="22EE4319" w14:textId="77777777" w:rsidR="00646F4F" w:rsidRPr="00735726" w:rsidRDefault="00646F4F" w:rsidP="00277639">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17.</w:t>
      </w:r>
      <w:r w:rsidRPr="00735726">
        <w:rPr>
          <w:rFonts w:ascii="Arial" w:eastAsia="Times New Roman" w:hAnsi="Arial" w:cs="Arial"/>
          <w:b/>
          <w:bCs/>
          <w:caps/>
          <w:color w:val="000000"/>
          <w:sz w:val="18"/>
          <w:szCs w:val="18"/>
        </w:rPr>
        <w:tab/>
      </w:r>
      <w:bookmarkStart w:id="780" w:name="_Hlk135751967"/>
      <w:r w:rsidRPr="00735726">
        <w:rPr>
          <w:rFonts w:ascii="Arial" w:eastAsia="Times New Roman" w:hAnsi="Arial" w:cs="Arial"/>
          <w:b/>
          <w:bCs/>
          <w:caps/>
          <w:color w:val="000000"/>
          <w:sz w:val="18"/>
          <w:szCs w:val="18"/>
        </w:rPr>
        <w:t>InvestmentS IN SUBSIDIARY UNDERTAKINGS</w:t>
      </w:r>
    </w:p>
    <w:p w14:paraId="2990CBA8"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004DCB7C" w14:textId="77777777" w:rsidTr="00CE19B2">
        <w:trPr>
          <w:trHeight w:val="60"/>
          <w:tblHeader/>
        </w:trPr>
        <w:tc>
          <w:tcPr>
            <w:tcW w:w="7739" w:type="dxa"/>
            <w:tcMar>
              <w:top w:w="11" w:type="dxa"/>
              <w:left w:w="57" w:type="dxa"/>
              <w:bottom w:w="11" w:type="dxa"/>
              <w:right w:w="57" w:type="dxa"/>
            </w:tcMar>
          </w:tcPr>
          <w:p w14:paraId="32E1C10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19B5F6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74AEA9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6B98F3C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65CCE3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90D711B" w14:textId="77777777" w:rsidTr="00CE19B2">
        <w:trPr>
          <w:trHeight w:val="226"/>
        </w:trPr>
        <w:tc>
          <w:tcPr>
            <w:tcW w:w="7739" w:type="dxa"/>
            <w:tcMar>
              <w:top w:w="11" w:type="dxa"/>
              <w:left w:w="57" w:type="dxa"/>
              <w:bottom w:w="11" w:type="dxa"/>
              <w:right w:w="57" w:type="dxa"/>
            </w:tcMar>
          </w:tcPr>
          <w:p w14:paraId="43840ABF" w14:textId="53DFBE36"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w:t>
            </w:r>
          </w:p>
        </w:tc>
        <w:tc>
          <w:tcPr>
            <w:tcW w:w="1133" w:type="dxa"/>
            <w:tcMar>
              <w:top w:w="11" w:type="dxa"/>
              <w:left w:w="57" w:type="dxa"/>
              <w:bottom w:w="11" w:type="dxa"/>
              <w:right w:w="57" w:type="dxa"/>
            </w:tcMar>
          </w:tcPr>
          <w:p w14:paraId="3B9D0B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21.7</w:t>
            </w:r>
          </w:p>
        </w:tc>
        <w:tc>
          <w:tcPr>
            <w:tcW w:w="1134" w:type="dxa"/>
            <w:tcMar>
              <w:top w:w="11" w:type="dxa"/>
              <w:left w:w="57" w:type="dxa"/>
              <w:bottom w:w="11" w:type="dxa"/>
              <w:right w:w="57" w:type="dxa"/>
            </w:tcMar>
          </w:tcPr>
          <w:p w14:paraId="12DA3AC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21.7</w:t>
            </w:r>
          </w:p>
        </w:tc>
      </w:tr>
      <w:tr w:rsidR="00646F4F" w:rsidRPr="00735726" w14:paraId="436E3F00" w14:textId="77777777" w:rsidTr="00CE19B2">
        <w:trPr>
          <w:trHeight w:val="226"/>
        </w:trPr>
        <w:tc>
          <w:tcPr>
            <w:tcW w:w="7739" w:type="dxa"/>
            <w:tcMar>
              <w:top w:w="11" w:type="dxa"/>
              <w:left w:w="57" w:type="dxa"/>
              <w:bottom w:w="11" w:type="dxa"/>
              <w:right w:w="57" w:type="dxa"/>
            </w:tcMar>
          </w:tcPr>
          <w:p w14:paraId="73B8F4F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81" w:name="XMETag_8f2b85a004d94b5c9be2cd27e94ba334" w:colFirst="1" w:colLast="1"/>
            <w:bookmarkStart w:id="782" w:name="XMETag_850a117d1aab4c25a19b3de093a2fe8b" w:colFirst="2" w:colLast="2"/>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w:t>
            </w:r>
          </w:p>
        </w:tc>
        <w:tc>
          <w:tcPr>
            <w:tcW w:w="1133" w:type="dxa"/>
            <w:tcBorders>
              <w:top w:val="single" w:sz="4" w:space="0" w:color="auto"/>
              <w:bottom w:val="single" w:sz="4" w:space="0" w:color="auto"/>
            </w:tcBorders>
            <w:tcMar>
              <w:top w:w="11" w:type="dxa"/>
              <w:left w:w="57" w:type="dxa"/>
              <w:bottom w:w="11" w:type="dxa"/>
              <w:right w:w="57" w:type="dxa"/>
            </w:tcMar>
          </w:tcPr>
          <w:p w14:paraId="199AB7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21.7</w:t>
            </w:r>
          </w:p>
        </w:tc>
        <w:tc>
          <w:tcPr>
            <w:tcW w:w="1134" w:type="dxa"/>
            <w:tcBorders>
              <w:top w:val="single" w:sz="4" w:space="0" w:color="auto"/>
              <w:bottom w:val="single" w:sz="4" w:space="0" w:color="auto"/>
            </w:tcBorders>
            <w:tcMar>
              <w:top w:w="11" w:type="dxa"/>
              <w:left w:w="57" w:type="dxa"/>
              <w:bottom w:w="11" w:type="dxa"/>
              <w:right w:w="57" w:type="dxa"/>
            </w:tcMar>
          </w:tcPr>
          <w:p w14:paraId="5F9071E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21.7</w:t>
            </w:r>
          </w:p>
        </w:tc>
      </w:tr>
    </w:tbl>
    <w:p w14:paraId="7773B08C"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bookmarkStart w:id="783" w:name="XMETag_e8575f4d74284cf69e8cc6f4007c649b"/>
      <w:bookmarkEnd w:id="781"/>
      <w:bookmarkEnd w:id="782"/>
    </w:p>
    <w:p w14:paraId="2C48EAFD"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0"/>
        <w:gridCol w:w="3232"/>
        <w:gridCol w:w="2693"/>
        <w:gridCol w:w="1418"/>
      </w:tblGrid>
      <w:tr w:rsidR="00646F4F" w:rsidRPr="00735726" w14:paraId="32F6D976" w14:textId="77777777" w:rsidTr="00CE19B2">
        <w:trPr>
          <w:trHeight w:val="1124"/>
        </w:trPr>
        <w:tc>
          <w:tcPr>
            <w:tcW w:w="2580" w:type="dxa"/>
            <w:tcBorders>
              <w:top w:val="single" w:sz="4" w:space="0" w:color="auto"/>
              <w:bottom w:val="single" w:sz="4" w:space="0" w:color="auto"/>
            </w:tcBorders>
          </w:tcPr>
          <w:p w14:paraId="046BB6C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b/>
                <w:bCs/>
                <w:color w:val="000000"/>
                <w:sz w:val="18"/>
                <w:szCs w:val="18"/>
              </w:rPr>
            </w:pPr>
            <w:r w:rsidRPr="00735726">
              <w:rPr>
                <w:rFonts w:ascii="Arial" w:hAnsi="Arial" w:cs="Arial"/>
                <w:b/>
                <w:bCs/>
                <w:color w:val="000000"/>
                <w:sz w:val="18"/>
                <w:szCs w:val="18"/>
              </w:rPr>
              <w:t>Principal subsidiary companies</w:t>
            </w:r>
          </w:p>
        </w:tc>
        <w:tc>
          <w:tcPr>
            <w:tcW w:w="3232" w:type="dxa"/>
            <w:tcBorders>
              <w:top w:val="single" w:sz="4" w:space="0" w:color="auto"/>
              <w:bottom w:val="single" w:sz="4" w:space="0" w:color="auto"/>
            </w:tcBorders>
          </w:tcPr>
          <w:p w14:paraId="334F424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b/>
                <w:bCs/>
                <w:color w:val="000000"/>
                <w:sz w:val="18"/>
                <w:szCs w:val="18"/>
              </w:rPr>
            </w:pPr>
            <w:r w:rsidRPr="00735726">
              <w:rPr>
                <w:rFonts w:ascii="Arial" w:hAnsi="Arial" w:cs="Arial"/>
                <w:b/>
                <w:bCs/>
                <w:color w:val="000000"/>
                <w:sz w:val="18"/>
                <w:szCs w:val="18"/>
              </w:rPr>
              <w:t>Registered office address</w:t>
            </w:r>
          </w:p>
        </w:tc>
        <w:tc>
          <w:tcPr>
            <w:tcW w:w="2693" w:type="dxa"/>
            <w:tcBorders>
              <w:top w:val="single" w:sz="4" w:space="0" w:color="auto"/>
              <w:bottom w:val="single" w:sz="4" w:space="0" w:color="auto"/>
            </w:tcBorders>
          </w:tcPr>
          <w:p w14:paraId="02AED67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b/>
                <w:bCs/>
                <w:color w:val="000000"/>
                <w:sz w:val="18"/>
                <w:szCs w:val="18"/>
              </w:rPr>
            </w:pPr>
            <w:r w:rsidRPr="00735726">
              <w:rPr>
                <w:rFonts w:ascii="Arial" w:hAnsi="Arial" w:cs="Arial"/>
                <w:b/>
                <w:bCs/>
                <w:color w:val="000000"/>
                <w:sz w:val="18"/>
                <w:szCs w:val="18"/>
              </w:rPr>
              <w:t>Country of incorporation, registration</w:t>
            </w:r>
          </w:p>
          <w:p w14:paraId="08676FC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b/>
                <w:bCs/>
                <w:color w:val="000000"/>
                <w:sz w:val="18"/>
                <w:szCs w:val="18"/>
              </w:rPr>
            </w:pPr>
            <w:r w:rsidRPr="00735726">
              <w:rPr>
                <w:rFonts w:ascii="Arial" w:hAnsi="Arial" w:cs="Arial"/>
                <w:b/>
                <w:bCs/>
                <w:color w:val="000000"/>
                <w:sz w:val="18"/>
                <w:szCs w:val="18"/>
              </w:rPr>
              <w:t>and principal operations</w:t>
            </w:r>
          </w:p>
        </w:tc>
        <w:tc>
          <w:tcPr>
            <w:tcW w:w="1418" w:type="dxa"/>
            <w:tcBorders>
              <w:top w:val="single" w:sz="4" w:space="0" w:color="auto"/>
              <w:bottom w:val="single" w:sz="4" w:space="0" w:color="auto"/>
            </w:tcBorders>
          </w:tcPr>
          <w:p w14:paraId="0338BEA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b/>
                <w:bCs/>
                <w:color w:val="000000"/>
                <w:sz w:val="18"/>
                <w:szCs w:val="18"/>
              </w:rPr>
            </w:pPr>
          </w:p>
        </w:tc>
      </w:tr>
      <w:tr w:rsidR="00646F4F" w:rsidRPr="00735726" w14:paraId="71F2498B" w14:textId="77777777" w:rsidTr="00CE19B2">
        <w:trPr>
          <w:trHeight w:val="567"/>
        </w:trPr>
        <w:tc>
          <w:tcPr>
            <w:tcW w:w="2580" w:type="dxa"/>
            <w:tcBorders>
              <w:top w:val="single" w:sz="4" w:space="0" w:color="auto"/>
            </w:tcBorders>
          </w:tcPr>
          <w:p w14:paraId="4301556B" w14:textId="7FAF3F35"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 xml:space="preserve">Bristol Water </w:t>
            </w:r>
            <w:r w:rsidR="009F4FAE" w:rsidRPr="00735726">
              <w:rPr>
                <w:rFonts w:ascii="Arial" w:hAnsi="Arial" w:cs="Arial"/>
                <w:color w:val="000000"/>
                <w:sz w:val="18"/>
                <w:szCs w:val="18"/>
              </w:rPr>
              <w:t>p</w:t>
            </w:r>
            <w:r w:rsidRPr="00735726">
              <w:rPr>
                <w:rFonts w:ascii="Arial" w:hAnsi="Arial" w:cs="Arial"/>
                <w:color w:val="000000"/>
                <w:sz w:val="18"/>
                <w:szCs w:val="18"/>
              </w:rPr>
              <w:t>lc</w:t>
            </w:r>
          </w:p>
        </w:tc>
        <w:tc>
          <w:tcPr>
            <w:tcW w:w="3232" w:type="dxa"/>
            <w:tcBorders>
              <w:top w:val="single" w:sz="4" w:space="0" w:color="auto"/>
            </w:tcBorders>
          </w:tcPr>
          <w:p w14:paraId="2536D3B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Bridgwater Road, Bristol, BS13 7AT</w:t>
            </w:r>
          </w:p>
        </w:tc>
        <w:tc>
          <w:tcPr>
            <w:tcW w:w="2693" w:type="dxa"/>
            <w:tcBorders>
              <w:top w:val="single" w:sz="4" w:space="0" w:color="auto"/>
            </w:tcBorders>
          </w:tcPr>
          <w:p w14:paraId="4366131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England</w:t>
            </w:r>
          </w:p>
        </w:tc>
        <w:tc>
          <w:tcPr>
            <w:tcW w:w="1418" w:type="dxa"/>
            <w:tcBorders>
              <w:top w:val="single" w:sz="4" w:space="0" w:color="auto"/>
            </w:tcBorders>
          </w:tcPr>
          <w:p w14:paraId="3DF8196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
        </w:tc>
      </w:tr>
      <w:tr w:rsidR="00646F4F" w:rsidRPr="00735726" w14:paraId="6E1E3CB6" w14:textId="77777777" w:rsidTr="00CE19B2">
        <w:trPr>
          <w:trHeight w:val="523"/>
        </w:trPr>
        <w:tc>
          <w:tcPr>
            <w:tcW w:w="2580" w:type="dxa"/>
          </w:tcPr>
          <w:p w14:paraId="76FC593F" w14:textId="0118E120"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roofErr w:type="gramStart"/>
            <w:r w:rsidRPr="00735726">
              <w:rPr>
                <w:rFonts w:ascii="Arial" w:hAnsi="Arial" w:cs="Arial"/>
                <w:color w:val="000000"/>
                <w:sz w:val="18"/>
                <w:szCs w:val="18"/>
              </w:rPr>
              <w:t>South West</w:t>
            </w:r>
            <w:proofErr w:type="gramEnd"/>
            <w:r w:rsidRPr="00735726">
              <w:rPr>
                <w:rFonts w:ascii="Arial" w:hAnsi="Arial" w:cs="Arial"/>
                <w:color w:val="000000"/>
                <w:sz w:val="18"/>
                <w:szCs w:val="18"/>
              </w:rPr>
              <w:t xml:space="preserve"> Water Finance </w:t>
            </w:r>
            <w:r w:rsidR="009F4FAE" w:rsidRPr="00735726">
              <w:rPr>
                <w:rFonts w:ascii="Arial" w:hAnsi="Arial" w:cs="Arial"/>
                <w:color w:val="000000"/>
                <w:sz w:val="18"/>
                <w:szCs w:val="18"/>
              </w:rPr>
              <w:t>p</w:t>
            </w:r>
            <w:r w:rsidRPr="00735726">
              <w:rPr>
                <w:rFonts w:ascii="Arial" w:hAnsi="Arial" w:cs="Arial"/>
                <w:color w:val="000000"/>
                <w:sz w:val="18"/>
                <w:szCs w:val="18"/>
              </w:rPr>
              <w:t>lc</w:t>
            </w:r>
          </w:p>
        </w:tc>
        <w:tc>
          <w:tcPr>
            <w:tcW w:w="3232" w:type="dxa"/>
          </w:tcPr>
          <w:p w14:paraId="49F8BA8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Peninsula House, Rydon Lane, Exeter, EX2 7HR</w:t>
            </w:r>
          </w:p>
        </w:tc>
        <w:tc>
          <w:tcPr>
            <w:tcW w:w="2693" w:type="dxa"/>
          </w:tcPr>
          <w:p w14:paraId="6619860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England</w:t>
            </w:r>
          </w:p>
        </w:tc>
        <w:tc>
          <w:tcPr>
            <w:tcW w:w="1418" w:type="dxa"/>
          </w:tcPr>
          <w:p w14:paraId="7C373CA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
        </w:tc>
      </w:tr>
      <w:tr w:rsidR="00646F4F" w:rsidRPr="00735726" w14:paraId="2EC21856" w14:textId="77777777" w:rsidTr="00CE19B2">
        <w:trPr>
          <w:trHeight w:val="567"/>
        </w:trPr>
        <w:tc>
          <w:tcPr>
            <w:tcW w:w="2580" w:type="dxa"/>
            <w:tcBorders>
              <w:bottom w:val="single" w:sz="4" w:space="0" w:color="auto"/>
            </w:tcBorders>
          </w:tcPr>
          <w:p w14:paraId="190C09E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roofErr w:type="gramStart"/>
            <w:r w:rsidRPr="00735726">
              <w:rPr>
                <w:rFonts w:ascii="Arial" w:hAnsi="Arial" w:cs="Arial"/>
                <w:color w:val="000000"/>
                <w:sz w:val="18"/>
                <w:szCs w:val="18"/>
              </w:rPr>
              <w:t>South West</w:t>
            </w:r>
            <w:proofErr w:type="gramEnd"/>
            <w:r w:rsidRPr="00735726">
              <w:rPr>
                <w:rFonts w:ascii="Arial" w:hAnsi="Arial" w:cs="Arial"/>
                <w:color w:val="000000"/>
                <w:sz w:val="18"/>
                <w:szCs w:val="18"/>
              </w:rPr>
              <w:t xml:space="preserve"> Water Customer Services Limited</w:t>
            </w:r>
          </w:p>
        </w:tc>
        <w:tc>
          <w:tcPr>
            <w:tcW w:w="3232" w:type="dxa"/>
            <w:tcBorders>
              <w:bottom w:val="single" w:sz="4" w:space="0" w:color="auto"/>
            </w:tcBorders>
          </w:tcPr>
          <w:p w14:paraId="7DE5B40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Peninsula House, Rydon Lane, Exeter, EX2 7HR</w:t>
            </w:r>
          </w:p>
        </w:tc>
        <w:tc>
          <w:tcPr>
            <w:tcW w:w="2693" w:type="dxa"/>
            <w:tcBorders>
              <w:bottom w:val="single" w:sz="4" w:space="0" w:color="auto"/>
            </w:tcBorders>
          </w:tcPr>
          <w:p w14:paraId="7038055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England</w:t>
            </w:r>
          </w:p>
        </w:tc>
        <w:tc>
          <w:tcPr>
            <w:tcW w:w="1418" w:type="dxa"/>
            <w:tcBorders>
              <w:bottom w:val="single" w:sz="4" w:space="0" w:color="auto"/>
            </w:tcBorders>
          </w:tcPr>
          <w:p w14:paraId="3032FA8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
        </w:tc>
      </w:tr>
      <w:tr w:rsidR="00646F4F" w:rsidRPr="00735726" w14:paraId="25439A42" w14:textId="77777777" w:rsidTr="00CE19B2">
        <w:trPr>
          <w:trHeight w:val="567"/>
        </w:trPr>
        <w:tc>
          <w:tcPr>
            <w:tcW w:w="2580" w:type="dxa"/>
            <w:tcBorders>
              <w:top w:val="single" w:sz="4" w:space="0" w:color="auto"/>
              <w:bottom w:val="single" w:sz="4" w:space="0" w:color="auto"/>
            </w:tcBorders>
          </w:tcPr>
          <w:p w14:paraId="672C686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b/>
                <w:bCs/>
                <w:color w:val="000000"/>
                <w:sz w:val="18"/>
                <w:szCs w:val="18"/>
              </w:rPr>
            </w:pPr>
            <w:r w:rsidRPr="00735726">
              <w:rPr>
                <w:rFonts w:ascii="Arial" w:hAnsi="Arial" w:cs="Arial"/>
                <w:b/>
                <w:bCs/>
                <w:color w:val="000000"/>
                <w:sz w:val="18"/>
                <w:szCs w:val="18"/>
              </w:rPr>
              <w:t>Dormant companies</w:t>
            </w:r>
          </w:p>
        </w:tc>
        <w:tc>
          <w:tcPr>
            <w:tcW w:w="3232" w:type="dxa"/>
            <w:tcBorders>
              <w:top w:val="single" w:sz="4" w:space="0" w:color="auto"/>
              <w:bottom w:val="single" w:sz="4" w:space="0" w:color="auto"/>
            </w:tcBorders>
          </w:tcPr>
          <w:p w14:paraId="2DAEAE2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b/>
                <w:bCs/>
                <w:color w:val="000000"/>
                <w:sz w:val="18"/>
                <w:szCs w:val="18"/>
              </w:rPr>
              <w:t>Registered office address</w:t>
            </w:r>
          </w:p>
        </w:tc>
        <w:tc>
          <w:tcPr>
            <w:tcW w:w="2693" w:type="dxa"/>
            <w:tcBorders>
              <w:top w:val="single" w:sz="4" w:space="0" w:color="auto"/>
              <w:bottom w:val="single" w:sz="4" w:space="0" w:color="auto"/>
            </w:tcBorders>
          </w:tcPr>
          <w:p w14:paraId="215C13D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b/>
                <w:bCs/>
                <w:color w:val="000000"/>
                <w:sz w:val="18"/>
                <w:szCs w:val="18"/>
              </w:rPr>
              <w:t>Country of incorporation</w:t>
            </w:r>
          </w:p>
          <w:p w14:paraId="6471FAB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
        </w:tc>
        <w:tc>
          <w:tcPr>
            <w:tcW w:w="1418" w:type="dxa"/>
            <w:tcBorders>
              <w:top w:val="single" w:sz="4" w:space="0" w:color="auto"/>
              <w:bottom w:val="single" w:sz="4" w:space="0" w:color="auto"/>
            </w:tcBorders>
          </w:tcPr>
          <w:p w14:paraId="03AD2A7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b/>
                <w:bCs/>
                <w:color w:val="000000"/>
                <w:sz w:val="18"/>
                <w:szCs w:val="18"/>
              </w:rPr>
            </w:pPr>
          </w:p>
        </w:tc>
      </w:tr>
      <w:tr w:rsidR="00646F4F" w:rsidRPr="00735726" w14:paraId="07947D7E" w14:textId="77777777" w:rsidTr="00CE19B2">
        <w:trPr>
          <w:trHeight w:val="567"/>
        </w:trPr>
        <w:tc>
          <w:tcPr>
            <w:tcW w:w="2580" w:type="dxa"/>
            <w:tcBorders>
              <w:top w:val="single" w:sz="4" w:space="0" w:color="auto"/>
            </w:tcBorders>
          </w:tcPr>
          <w:p w14:paraId="2D81AD3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Avon Valley Water Limited</w:t>
            </w:r>
          </w:p>
        </w:tc>
        <w:tc>
          <w:tcPr>
            <w:tcW w:w="3232" w:type="dxa"/>
            <w:tcBorders>
              <w:top w:val="single" w:sz="4" w:space="0" w:color="auto"/>
            </w:tcBorders>
          </w:tcPr>
          <w:p w14:paraId="62DE1B1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Peninsula House, Rydon Lane, Exeter, EX2 7HR</w:t>
            </w:r>
          </w:p>
        </w:tc>
        <w:tc>
          <w:tcPr>
            <w:tcW w:w="2693" w:type="dxa"/>
            <w:tcBorders>
              <w:top w:val="single" w:sz="4" w:space="0" w:color="auto"/>
            </w:tcBorders>
          </w:tcPr>
          <w:p w14:paraId="7DC36AC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England</w:t>
            </w:r>
          </w:p>
        </w:tc>
        <w:tc>
          <w:tcPr>
            <w:tcW w:w="1418" w:type="dxa"/>
            <w:tcBorders>
              <w:top w:val="single" w:sz="4" w:space="0" w:color="auto"/>
            </w:tcBorders>
          </w:tcPr>
          <w:p w14:paraId="4CE4FB9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
        </w:tc>
      </w:tr>
      <w:tr w:rsidR="00646F4F" w:rsidRPr="00735726" w14:paraId="3BEF53BC" w14:textId="77777777" w:rsidTr="00CE19B2">
        <w:trPr>
          <w:trHeight w:val="567"/>
        </w:trPr>
        <w:tc>
          <w:tcPr>
            <w:tcW w:w="2580" w:type="dxa"/>
            <w:tcBorders>
              <w:bottom w:val="single" w:sz="4" w:space="0" w:color="auto"/>
            </w:tcBorders>
          </w:tcPr>
          <w:p w14:paraId="669EEFA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Peninsula Properties (Exeter) Limited</w:t>
            </w:r>
          </w:p>
        </w:tc>
        <w:tc>
          <w:tcPr>
            <w:tcW w:w="3232" w:type="dxa"/>
            <w:tcBorders>
              <w:bottom w:val="single" w:sz="4" w:space="0" w:color="auto"/>
            </w:tcBorders>
          </w:tcPr>
          <w:p w14:paraId="7A5C282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Peninsula House, Rydon Lane, Exeter, EX2 7HR</w:t>
            </w:r>
          </w:p>
        </w:tc>
        <w:tc>
          <w:tcPr>
            <w:tcW w:w="2693" w:type="dxa"/>
            <w:tcBorders>
              <w:bottom w:val="single" w:sz="4" w:space="0" w:color="auto"/>
            </w:tcBorders>
          </w:tcPr>
          <w:p w14:paraId="3C7CC47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England</w:t>
            </w:r>
          </w:p>
        </w:tc>
        <w:tc>
          <w:tcPr>
            <w:tcW w:w="1418" w:type="dxa"/>
            <w:tcBorders>
              <w:bottom w:val="single" w:sz="4" w:space="0" w:color="auto"/>
            </w:tcBorders>
          </w:tcPr>
          <w:p w14:paraId="19891B7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
        </w:tc>
      </w:tr>
      <w:tr w:rsidR="00646F4F" w:rsidRPr="00735726" w14:paraId="4F32E0BC" w14:textId="77777777" w:rsidTr="00CE19B2">
        <w:trPr>
          <w:trHeight w:val="567"/>
        </w:trPr>
        <w:tc>
          <w:tcPr>
            <w:tcW w:w="2580" w:type="dxa"/>
            <w:tcBorders>
              <w:top w:val="single" w:sz="4" w:space="0" w:color="auto"/>
              <w:bottom w:val="single" w:sz="4" w:space="0" w:color="auto"/>
            </w:tcBorders>
          </w:tcPr>
          <w:p w14:paraId="676C334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b/>
                <w:bCs/>
                <w:color w:val="000000"/>
                <w:sz w:val="18"/>
                <w:szCs w:val="18"/>
              </w:rPr>
            </w:pPr>
            <w:r w:rsidRPr="00735726">
              <w:rPr>
                <w:rFonts w:ascii="Arial" w:hAnsi="Arial" w:cs="Arial"/>
                <w:b/>
                <w:bCs/>
                <w:color w:val="000000"/>
                <w:sz w:val="18"/>
                <w:szCs w:val="18"/>
              </w:rPr>
              <w:t xml:space="preserve">Joint ventures </w:t>
            </w:r>
          </w:p>
        </w:tc>
        <w:tc>
          <w:tcPr>
            <w:tcW w:w="3232" w:type="dxa"/>
            <w:tcBorders>
              <w:top w:val="single" w:sz="4" w:space="0" w:color="auto"/>
              <w:bottom w:val="single" w:sz="4" w:space="0" w:color="auto"/>
            </w:tcBorders>
          </w:tcPr>
          <w:p w14:paraId="3CF81EC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b/>
                <w:bCs/>
                <w:color w:val="000000"/>
                <w:sz w:val="18"/>
                <w:szCs w:val="18"/>
              </w:rPr>
              <w:t>Registered office address</w:t>
            </w:r>
          </w:p>
        </w:tc>
        <w:tc>
          <w:tcPr>
            <w:tcW w:w="2693" w:type="dxa"/>
            <w:tcBorders>
              <w:top w:val="single" w:sz="4" w:space="0" w:color="auto"/>
              <w:bottom w:val="single" w:sz="4" w:space="0" w:color="auto"/>
            </w:tcBorders>
          </w:tcPr>
          <w:p w14:paraId="15C1BF6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b/>
                <w:bCs/>
                <w:color w:val="000000"/>
                <w:sz w:val="18"/>
                <w:szCs w:val="18"/>
              </w:rPr>
              <w:t>Country of incorporation</w:t>
            </w:r>
          </w:p>
          <w:p w14:paraId="44D825E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
        </w:tc>
        <w:tc>
          <w:tcPr>
            <w:tcW w:w="1418" w:type="dxa"/>
            <w:tcBorders>
              <w:top w:val="single" w:sz="4" w:space="0" w:color="auto"/>
              <w:bottom w:val="single" w:sz="4" w:space="0" w:color="auto"/>
            </w:tcBorders>
          </w:tcPr>
          <w:p w14:paraId="33333988" w14:textId="32812852"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b/>
                <w:bCs/>
                <w:color w:val="000000"/>
                <w:sz w:val="18"/>
                <w:szCs w:val="18"/>
              </w:rPr>
            </w:pPr>
            <w:r w:rsidRPr="00735726">
              <w:rPr>
                <w:rFonts w:ascii="Arial" w:hAnsi="Arial" w:cs="Arial"/>
                <w:b/>
                <w:bCs/>
                <w:color w:val="000000"/>
                <w:sz w:val="18"/>
                <w:szCs w:val="18"/>
              </w:rPr>
              <w:t>Stake</w:t>
            </w:r>
          </w:p>
        </w:tc>
      </w:tr>
      <w:tr w:rsidR="00646F4F" w:rsidRPr="00735726" w14:paraId="33A43D6C" w14:textId="77777777" w:rsidTr="00CE19B2">
        <w:trPr>
          <w:trHeight w:val="567"/>
        </w:trPr>
        <w:tc>
          <w:tcPr>
            <w:tcW w:w="2580" w:type="dxa"/>
            <w:tcBorders>
              <w:top w:val="single" w:sz="4" w:space="0" w:color="auto"/>
            </w:tcBorders>
          </w:tcPr>
          <w:p w14:paraId="6DE46D5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Bristol Wessex Billing Services Limited</w:t>
            </w:r>
          </w:p>
        </w:tc>
        <w:tc>
          <w:tcPr>
            <w:tcW w:w="3232" w:type="dxa"/>
            <w:tcBorders>
              <w:top w:val="single" w:sz="4" w:space="0" w:color="auto"/>
            </w:tcBorders>
          </w:tcPr>
          <w:p w14:paraId="6F4311F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1 Clevedon Walk, Nailsea, Bristol, BS48 1WA</w:t>
            </w:r>
          </w:p>
        </w:tc>
        <w:tc>
          <w:tcPr>
            <w:tcW w:w="2693" w:type="dxa"/>
            <w:tcBorders>
              <w:top w:val="single" w:sz="4" w:space="0" w:color="auto"/>
            </w:tcBorders>
          </w:tcPr>
          <w:p w14:paraId="7B154B0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England</w:t>
            </w:r>
          </w:p>
        </w:tc>
        <w:tc>
          <w:tcPr>
            <w:tcW w:w="1418" w:type="dxa"/>
            <w:tcBorders>
              <w:top w:val="single" w:sz="4" w:space="0" w:color="auto"/>
            </w:tcBorders>
          </w:tcPr>
          <w:p w14:paraId="7AEB659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50%</w:t>
            </w:r>
          </w:p>
        </w:tc>
      </w:tr>
      <w:tr w:rsidR="00646F4F" w:rsidRPr="00735726" w14:paraId="0EB1DDAF" w14:textId="77777777" w:rsidTr="00CE19B2">
        <w:trPr>
          <w:trHeight w:val="567"/>
        </w:trPr>
        <w:tc>
          <w:tcPr>
            <w:tcW w:w="2580" w:type="dxa"/>
          </w:tcPr>
          <w:p w14:paraId="3ED538A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CREWW Executive Board Limited</w:t>
            </w:r>
          </w:p>
        </w:tc>
        <w:tc>
          <w:tcPr>
            <w:tcW w:w="3232" w:type="dxa"/>
          </w:tcPr>
          <w:p w14:paraId="14EBC93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Peninsula House, Rydon Lane, Exeter, EX2 7HR</w:t>
            </w:r>
          </w:p>
        </w:tc>
        <w:tc>
          <w:tcPr>
            <w:tcW w:w="2693" w:type="dxa"/>
          </w:tcPr>
          <w:p w14:paraId="34924B2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England</w:t>
            </w:r>
          </w:p>
        </w:tc>
        <w:tc>
          <w:tcPr>
            <w:tcW w:w="1418" w:type="dxa"/>
          </w:tcPr>
          <w:p w14:paraId="6B5A9FD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50%</w:t>
            </w:r>
          </w:p>
        </w:tc>
      </w:tr>
      <w:tr w:rsidR="00646F4F" w:rsidRPr="00735726" w14:paraId="013822F9" w14:textId="77777777" w:rsidTr="00CE19B2">
        <w:trPr>
          <w:trHeight w:val="567"/>
        </w:trPr>
        <w:tc>
          <w:tcPr>
            <w:tcW w:w="2580" w:type="dxa"/>
          </w:tcPr>
          <w:p w14:paraId="5892446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Searchlight Collections Limited</w:t>
            </w:r>
          </w:p>
        </w:tc>
        <w:tc>
          <w:tcPr>
            <w:tcW w:w="3232" w:type="dxa"/>
          </w:tcPr>
          <w:p w14:paraId="7E58498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 xml:space="preserve">PO BOX 930 </w:t>
            </w:r>
            <w:proofErr w:type="spellStart"/>
            <w:r w:rsidRPr="00735726">
              <w:rPr>
                <w:rFonts w:ascii="Arial" w:hAnsi="Arial" w:cs="Arial"/>
                <w:color w:val="000000"/>
                <w:sz w:val="18"/>
                <w:szCs w:val="18"/>
              </w:rPr>
              <w:t>Galmington</w:t>
            </w:r>
            <w:proofErr w:type="spellEnd"/>
            <w:r w:rsidRPr="00735726">
              <w:rPr>
                <w:rFonts w:ascii="Arial" w:hAnsi="Arial" w:cs="Arial"/>
                <w:color w:val="000000"/>
                <w:sz w:val="18"/>
                <w:szCs w:val="18"/>
              </w:rPr>
              <w:t xml:space="preserve"> Office, </w:t>
            </w:r>
            <w:proofErr w:type="spellStart"/>
            <w:r w:rsidRPr="00735726">
              <w:rPr>
                <w:rFonts w:ascii="Arial" w:hAnsi="Arial" w:cs="Arial"/>
                <w:color w:val="000000"/>
                <w:sz w:val="18"/>
                <w:szCs w:val="18"/>
              </w:rPr>
              <w:t>Galmington</w:t>
            </w:r>
            <w:proofErr w:type="spellEnd"/>
            <w:r w:rsidRPr="00735726">
              <w:rPr>
                <w:rFonts w:ascii="Arial" w:hAnsi="Arial" w:cs="Arial"/>
                <w:color w:val="000000"/>
                <w:sz w:val="18"/>
                <w:szCs w:val="18"/>
              </w:rPr>
              <w:t xml:space="preserve"> Trading Estate,</w:t>
            </w:r>
          </w:p>
          <w:p w14:paraId="1C0B011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proofErr w:type="spellStart"/>
            <w:r w:rsidRPr="00735726">
              <w:rPr>
                <w:rFonts w:ascii="Arial" w:hAnsi="Arial" w:cs="Arial"/>
                <w:color w:val="000000"/>
                <w:sz w:val="18"/>
                <w:szCs w:val="18"/>
              </w:rPr>
              <w:t>Cornishway</w:t>
            </w:r>
            <w:proofErr w:type="spellEnd"/>
            <w:r w:rsidRPr="00735726">
              <w:rPr>
                <w:rFonts w:ascii="Arial" w:hAnsi="Arial" w:cs="Arial"/>
                <w:color w:val="000000"/>
                <w:sz w:val="18"/>
                <w:szCs w:val="18"/>
              </w:rPr>
              <w:t xml:space="preserve"> West, Taunton, Somerset, TA1 9LQ</w:t>
            </w:r>
          </w:p>
        </w:tc>
        <w:tc>
          <w:tcPr>
            <w:tcW w:w="2693" w:type="dxa"/>
          </w:tcPr>
          <w:p w14:paraId="6D3598D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England</w:t>
            </w:r>
          </w:p>
        </w:tc>
        <w:tc>
          <w:tcPr>
            <w:tcW w:w="1418" w:type="dxa"/>
          </w:tcPr>
          <w:p w14:paraId="3C36110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Arial"/>
                <w:color w:val="000000"/>
                <w:sz w:val="18"/>
                <w:szCs w:val="18"/>
              </w:rPr>
            </w:pPr>
            <w:r w:rsidRPr="00735726">
              <w:rPr>
                <w:rFonts w:ascii="Arial" w:hAnsi="Arial" w:cs="Arial"/>
                <w:color w:val="000000"/>
                <w:sz w:val="18"/>
                <w:szCs w:val="18"/>
              </w:rPr>
              <w:t>50%</w:t>
            </w:r>
          </w:p>
        </w:tc>
      </w:tr>
    </w:tbl>
    <w:p w14:paraId="61A24D5F"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hAnsi="Arial" w:cs="Arial"/>
          <w:color w:val="000000"/>
          <w:sz w:val="18"/>
          <w:szCs w:val="18"/>
        </w:rPr>
      </w:pPr>
    </w:p>
    <w:p w14:paraId="2A7F281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hAnsi="Arial" w:cs="Arial"/>
          <w:color w:val="000000"/>
          <w:sz w:val="18"/>
          <w:szCs w:val="18"/>
        </w:rPr>
        <w:t>The Company also has minority shareholding in Landlord Tap Limited, which is incorporated, registered and operates in England.</w:t>
      </w:r>
    </w:p>
    <w:bookmarkEnd w:id="780"/>
    <w:p w14:paraId="6B316227"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08F58AB" w14:textId="77777777"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Consolidated financial statements have not been prepared, as explained in </w:t>
      </w:r>
      <w:r w:rsidRPr="009A2CAE">
        <w:rPr>
          <w:rFonts w:ascii="Arial" w:eastAsia="Times New Roman" w:hAnsi="Arial" w:cs="DINOT-Light"/>
          <w:color w:val="000000"/>
          <w:sz w:val="18"/>
          <w:szCs w:val="18"/>
        </w:rPr>
        <w:t>note 2(b).</w:t>
      </w:r>
    </w:p>
    <w:p w14:paraId="7649848A"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D6E9BF6"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There are no indicators of impairment in the current year.</w:t>
      </w:r>
      <w:bookmarkEnd w:id="783"/>
      <w:r w:rsidRPr="00735726">
        <w:rPr>
          <w:rFonts w:ascii="Arial" w:eastAsia="Times New Roman" w:hAnsi="Arial" w:cs="DINOT-Light"/>
          <w:color w:val="000000"/>
          <w:sz w:val="18"/>
          <w:szCs w:val="18"/>
        </w:rPr>
        <w:t xml:space="preserve"> </w:t>
      </w:r>
    </w:p>
    <w:p w14:paraId="17623A0F"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E5A178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9972" w:type="dxa"/>
        <w:tblInd w:w="8" w:type="dxa"/>
        <w:tblLayout w:type="fixed"/>
        <w:tblCellMar>
          <w:left w:w="0" w:type="dxa"/>
          <w:right w:w="0" w:type="dxa"/>
        </w:tblCellMar>
        <w:tblLook w:val="0000" w:firstRow="0" w:lastRow="0" w:firstColumn="0" w:lastColumn="0" w:noHBand="0" w:noVBand="0"/>
      </w:tblPr>
      <w:tblGrid>
        <w:gridCol w:w="7739"/>
        <w:gridCol w:w="1133"/>
        <w:gridCol w:w="1100"/>
      </w:tblGrid>
      <w:tr w:rsidR="00646F4F" w:rsidRPr="00735726" w14:paraId="7DDC1990" w14:textId="77777777" w:rsidTr="00CE19B2">
        <w:trPr>
          <w:trHeight w:val="60"/>
          <w:tblHeader/>
        </w:trPr>
        <w:tc>
          <w:tcPr>
            <w:tcW w:w="7739" w:type="dxa"/>
            <w:tcMar>
              <w:top w:w="11" w:type="dxa"/>
              <w:left w:w="57" w:type="dxa"/>
              <w:bottom w:w="11" w:type="dxa"/>
              <w:right w:w="57" w:type="dxa"/>
            </w:tcMar>
          </w:tcPr>
          <w:p w14:paraId="5144A9B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Arial"/>
                <w:b/>
                <w:bCs/>
                <w:caps/>
                <w:color w:val="000000"/>
                <w:sz w:val="18"/>
                <w:szCs w:val="18"/>
              </w:rPr>
              <w:t xml:space="preserve">18.   Inventories </w:t>
            </w:r>
          </w:p>
        </w:tc>
        <w:tc>
          <w:tcPr>
            <w:tcW w:w="1133" w:type="dxa"/>
            <w:tcMar>
              <w:top w:w="11" w:type="dxa"/>
              <w:left w:w="57" w:type="dxa"/>
              <w:bottom w:w="11" w:type="dxa"/>
              <w:right w:w="57" w:type="dxa"/>
            </w:tcMar>
          </w:tcPr>
          <w:p w14:paraId="522EF8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F0D2E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00" w:type="dxa"/>
          </w:tcPr>
          <w:p w14:paraId="67BE52B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0B7761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A620D3C" w14:textId="77777777" w:rsidTr="00CE19B2">
        <w:trPr>
          <w:trHeight w:val="226"/>
        </w:trPr>
        <w:tc>
          <w:tcPr>
            <w:tcW w:w="7739" w:type="dxa"/>
            <w:tcMar>
              <w:top w:w="11" w:type="dxa"/>
              <w:left w:w="57" w:type="dxa"/>
              <w:bottom w:w="11" w:type="dxa"/>
              <w:right w:w="57" w:type="dxa"/>
            </w:tcMar>
          </w:tcPr>
          <w:p w14:paraId="7FCDA6A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0F7FC39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00" w:type="dxa"/>
          </w:tcPr>
          <w:p w14:paraId="3380419E"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r>
      <w:tr w:rsidR="00646F4F" w:rsidRPr="00735726" w14:paraId="524BE8F5" w14:textId="77777777" w:rsidTr="00CE19B2">
        <w:trPr>
          <w:trHeight w:val="226"/>
        </w:trPr>
        <w:tc>
          <w:tcPr>
            <w:tcW w:w="7739" w:type="dxa"/>
            <w:tcMar>
              <w:top w:w="11" w:type="dxa"/>
              <w:left w:w="57" w:type="dxa"/>
              <w:bottom w:w="11" w:type="dxa"/>
              <w:right w:w="57" w:type="dxa"/>
            </w:tcMar>
          </w:tcPr>
          <w:p w14:paraId="7EA2918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84" w:name="XMETag_6dd3930aad1a45aab202044779a4e6cd" w:colFirst="1" w:colLast="1"/>
            <w:bookmarkStart w:id="785" w:name="XMETag_808382d9037d42dd821b23b4203df303" w:colFirst="2" w:colLast="2"/>
            <w:r w:rsidRPr="00735726">
              <w:rPr>
                <w:rFonts w:ascii="Arial" w:eastAsia="Times New Roman" w:hAnsi="Arial" w:cs="DINOT-Light"/>
                <w:color w:val="000000"/>
                <w:sz w:val="18"/>
                <w:szCs w:val="18"/>
              </w:rPr>
              <w:t>Raw materials and consumables</w:t>
            </w:r>
          </w:p>
        </w:tc>
        <w:tc>
          <w:tcPr>
            <w:tcW w:w="1133" w:type="dxa"/>
            <w:tcBorders>
              <w:bottom w:val="single" w:sz="4" w:space="0" w:color="auto"/>
            </w:tcBorders>
            <w:tcMar>
              <w:top w:w="11" w:type="dxa"/>
              <w:left w:w="57" w:type="dxa"/>
              <w:bottom w:w="11" w:type="dxa"/>
              <w:right w:w="57" w:type="dxa"/>
            </w:tcMar>
          </w:tcPr>
          <w:p w14:paraId="3DB60D5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13.8</w:t>
            </w:r>
          </w:p>
        </w:tc>
        <w:tc>
          <w:tcPr>
            <w:tcW w:w="1100" w:type="dxa"/>
            <w:tcBorders>
              <w:bottom w:val="single" w:sz="4" w:space="0" w:color="auto"/>
            </w:tcBorders>
          </w:tcPr>
          <w:p w14:paraId="0C2A6AB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10.7</w:t>
            </w:r>
          </w:p>
        </w:tc>
      </w:tr>
      <w:bookmarkEnd w:id="784"/>
      <w:bookmarkEnd w:id="785"/>
    </w:tbl>
    <w:p w14:paraId="4534E4FB"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19415331"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p>
    <w:p w14:paraId="7A2148C0"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p>
    <w:p w14:paraId="69F0F8AA"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p>
    <w:p w14:paraId="5C8088F8"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p>
    <w:p w14:paraId="4A136B8F"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p>
    <w:p w14:paraId="66122224"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p>
    <w:p w14:paraId="0E607E42" w14:textId="752E7F9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19.</w:t>
      </w:r>
      <w:r w:rsidRPr="00735726">
        <w:rPr>
          <w:rFonts w:ascii="Arial" w:eastAsia="Times New Roman" w:hAnsi="Arial" w:cs="Arial"/>
          <w:b/>
          <w:bCs/>
          <w:caps/>
          <w:color w:val="000000"/>
          <w:sz w:val="18"/>
          <w:szCs w:val="18"/>
        </w:rPr>
        <w:tab/>
        <w:t xml:space="preserve">Trade and other receivables </w:t>
      </w:r>
      <w:r w:rsidR="00C84DB7" w:rsidRPr="00735726">
        <w:rPr>
          <w:rFonts w:ascii="Arial" w:eastAsia="Times New Roman" w:hAnsi="Arial" w:cs="Arial"/>
          <w:b/>
          <w:bCs/>
          <w:caps/>
          <w:color w:val="000000"/>
          <w:sz w:val="18"/>
          <w:szCs w:val="18"/>
        </w:rPr>
        <w:t>- CURRENT</w:t>
      </w:r>
    </w:p>
    <w:p w14:paraId="26D860FA"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58F5AFD5" w14:textId="77777777" w:rsidTr="00CE19B2">
        <w:trPr>
          <w:trHeight w:val="60"/>
          <w:tblHeader/>
        </w:trPr>
        <w:tc>
          <w:tcPr>
            <w:tcW w:w="7739" w:type="dxa"/>
            <w:tcMar>
              <w:top w:w="11" w:type="dxa"/>
              <w:left w:w="57" w:type="dxa"/>
              <w:bottom w:w="11" w:type="dxa"/>
              <w:right w:w="57" w:type="dxa"/>
            </w:tcMar>
          </w:tcPr>
          <w:p w14:paraId="560D16B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4F2E01D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3308686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6499D0B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7BE9F1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476412C7" w14:textId="77777777" w:rsidTr="00CE19B2">
        <w:trPr>
          <w:trHeight w:val="226"/>
        </w:trPr>
        <w:tc>
          <w:tcPr>
            <w:tcW w:w="7739" w:type="dxa"/>
            <w:tcMar>
              <w:top w:w="11" w:type="dxa"/>
              <w:left w:w="57" w:type="dxa"/>
              <w:bottom w:w="11" w:type="dxa"/>
              <w:right w:w="57" w:type="dxa"/>
            </w:tcMar>
          </w:tcPr>
          <w:p w14:paraId="6467634E" w14:textId="776E9B4D" w:rsidR="00646F4F" w:rsidRPr="00735726" w:rsidRDefault="005D03F3"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86" w:name="XMETag_e7edfc7cd2ee4ad698ac8f965acde1b9" w:colFirst="1" w:colLast="1"/>
            <w:bookmarkStart w:id="787" w:name="XMETag_0706c1842b944113bfbd30860914a8b6" w:colFirst="2" w:colLast="2"/>
            <w:r w:rsidRPr="00735726">
              <w:rPr>
                <w:rFonts w:ascii="Arial" w:eastAsia="Times New Roman" w:hAnsi="Arial" w:cs="DINOT-Light"/>
                <w:color w:val="000000"/>
                <w:sz w:val="18"/>
                <w:szCs w:val="18"/>
              </w:rPr>
              <w:t>Trade receivables</w:t>
            </w:r>
          </w:p>
        </w:tc>
        <w:tc>
          <w:tcPr>
            <w:tcW w:w="1133" w:type="dxa"/>
            <w:tcMar>
              <w:top w:w="11" w:type="dxa"/>
              <w:left w:w="57" w:type="dxa"/>
              <w:bottom w:w="11" w:type="dxa"/>
              <w:right w:w="57" w:type="dxa"/>
            </w:tcMar>
          </w:tcPr>
          <w:p w14:paraId="6D599ADF" w14:textId="4E224BAB" w:rsidR="00646F4F" w:rsidRPr="00735726" w:rsidRDefault="005D03F3"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343</w:t>
            </w:r>
            <w:r w:rsidR="00646F4F" w:rsidRPr="00735726">
              <w:rPr>
                <w:rFonts w:ascii="Arial" w:eastAsia="Times New Roman" w:hAnsi="Arial" w:cs="DINOT-Light"/>
                <w:color w:val="000000"/>
                <w:sz w:val="18"/>
                <w:szCs w:val="18"/>
              </w:rPr>
              <w:t>.9</w:t>
            </w:r>
          </w:p>
        </w:tc>
        <w:tc>
          <w:tcPr>
            <w:tcW w:w="1134" w:type="dxa"/>
          </w:tcPr>
          <w:p w14:paraId="219760A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282.4</w:t>
            </w:r>
          </w:p>
        </w:tc>
      </w:tr>
      <w:tr w:rsidR="00646F4F" w:rsidRPr="00735726" w14:paraId="7A5481FC" w14:textId="77777777" w:rsidTr="00CE19B2">
        <w:trPr>
          <w:trHeight w:val="226"/>
        </w:trPr>
        <w:tc>
          <w:tcPr>
            <w:tcW w:w="7739" w:type="dxa"/>
            <w:tcMar>
              <w:top w:w="11" w:type="dxa"/>
              <w:left w:w="57" w:type="dxa"/>
              <w:bottom w:w="11" w:type="dxa"/>
              <w:right w:w="57" w:type="dxa"/>
            </w:tcMar>
          </w:tcPr>
          <w:p w14:paraId="68B4F538" w14:textId="77777777" w:rsidR="005D03F3" w:rsidRPr="00735726" w:rsidRDefault="00646F4F" w:rsidP="005D03F3">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88" w:name="XMETag_95d186060e014ec4aed327deaaa05bf5" w:colFirst="1" w:colLast="1"/>
            <w:bookmarkStart w:id="789" w:name="XMETag_9bbd2d516efe468f86572b31915549e7" w:colFirst="2" w:colLast="2"/>
            <w:bookmarkEnd w:id="786"/>
            <w:bookmarkEnd w:id="787"/>
            <w:r w:rsidRPr="00735726">
              <w:rPr>
                <w:rFonts w:ascii="Arial" w:eastAsia="Times New Roman" w:hAnsi="Arial" w:cs="DINOT-Light"/>
                <w:color w:val="000000"/>
                <w:sz w:val="18"/>
                <w:szCs w:val="18"/>
              </w:rPr>
              <w:t xml:space="preserve">Less: </w:t>
            </w:r>
            <w:r w:rsidR="005D03F3" w:rsidRPr="00735726">
              <w:rPr>
                <w:rFonts w:ascii="Arial" w:eastAsia="Times New Roman" w:hAnsi="Arial" w:cs="DINOT-Light"/>
                <w:color w:val="000000"/>
                <w:sz w:val="18"/>
                <w:szCs w:val="18"/>
              </w:rPr>
              <w:t>allowance for expected credit losses</w:t>
            </w:r>
          </w:p>
          <w:p w14:paraId="65313EE6" w14:textId="013060AE" w:rsidR="00646F4F" w:rsidRPr="00735726" w:rsidRDefault="005D03F3" w:rsidP="005D03F3">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 respect of trade receivables</w:t>
            </w:r>
          </w:p>
        </w:tc>
        <w:tc>
          <w:tcPr>
            <w:tcW w:w="1133" w:type="dxa"/>
            <w:tcBorders>
              <w:bottom w:val="single" w:sz="4" w:space="0" w:color="auto"/>
            </w:tcBorders>
            <w:tcMar>
              <w:top w:w="11" w:type="dxa"/>
              <w:left w:w="57" w:type="dxa"/>
              <w:bottom w:w="11" w:type="dxa"/>
              <w:right w:w="57" w:type="dxa"/>
            </w:tcMar>
          </w:tcPr>
          <w:p w14:paraId="2D46D8E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(106.1)</w:t>
            </w:r>
          </w:p>
        </w:tc>
        <w:tc>
          <w:tcPr>
            <w:tcW w:w="1134" w:type="dxa"/>
            <w:tcBorders>
              <w:bottom w:val="single" w:sz="4" w:space="0" w:color="auto"/>
            </w:tcBorders>
          </w:tcPr>
          <w:p w14:paraId="11FB8C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(96.5)</w:t>
            </w:r>
          </w:p>
        </w:tc>
      </w:tr>
      <w:tr w:rsidR="00646F4F" w:rsidRPr="00735726" w14:paraId="27D82433" w14:textId="77777777" w:rsidTr="00CE19B2">
        <w:trPr>
          <w:trHeight w:val="226"/>
        </w:trPr>
        <w:tc>
          <w:tcPr>
            <w:tcW w:w="7739" w:type="dxa"/>
            <w:tcMar>
              <w:top w:w="11" w:type="dxa"/>
              <w:left w:w="57" w:type="dxa"/>
              <w:bottom w:w="11" w:type="dxa"/>
              <w:right w:w="57" w:type="dxa"/>
            </w:tcMar>
          </w:tcPr>
          <w:p w14:paraId="170B9CA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790" w:name="XMETag_4356abee0103461db254582ac58021b3" w:colFirst="1" w:colLast="1"/>
            <w:bookmarkStart w:id="791" w:name="XMETag_e3fea7145be54b2eb8b21cc1dcb789ff" w:colFirst="2" w:colLast="2"/>
            <w:bookmarkEnd w:id="788"/>
            <w:bookmarkEnd w:id="789"/>
            <w:r w:rsidRPr="00735726">
              <w:rPr>
                <w:rFonts w:ascii="Arial" w:eastAsia="Times New Roman" w:hAnsi="Arial" w:cs="DINOT-Light"/>
                <w:b/>
                <w:color w:val="000000"/>
                <w:sz w:val="18"/>
                <w:szCs w:val="18"/>
              </w:rPr>
              <w:t>Net trade receivables</w:t>
            </w:r>
          </w:p>
        </w:tc>
        <w:tc>
          <w:tcPr>
            <w:tcW w:w="1133" w:type="dxa"/>
            <w:tcBorders>
              <w:top w:val="single" w:sz="4" w:space="0" w:color="auto"/>
              <w:bottom w:val="single" w:sz="4" w:space="0" w:color="auto"/>
            </w:tcBorders>
            <w:tcMar>
              <w:top w:w="11" w:type="dxa"/>
              <w:left w:w="57" w:type="dxa"/>
              <w:bottom w:w="11" w:type="dxa"/>
              <w:right w:w="57" w:type="dxa"/>
            </w:tcMar>
          </w:tcPr>
          <w:p w14:paraId="33849E8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237.8</w:t>
            </w:r>
          </w:p>
        </w:tc>
        <w:tc>
          <w:tcPr>
            <w:tcW w:w="1134" w:type="dxa"/>
            <w:tcBorders>
              <w:top w:val="single" w:sz="4" w:space="0" w:color="auto"/>
              <w:bottom w:val="single" w:sz="4" w:space="0" w:color="auto"/>
            </w:tcBorders>
          </w:tcPr>
          <w:p w14:paraId="01C2C3A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185.9</w:t>
            </w:r>
          </w:p>
        </w:tc>
      </w:tr>
      <w:tr w:rsidR="00646F4F" w:rsidRPr="00735726" w14:paraId="129272D2" w14:textId="77777777" w:rsidTr="00CE19B2">
        <w:trPr>
          <w:trHeight w:val="226"/>
        </w:trPr>
        <w:tc>
          <w:tcPr>
            <w:tcW w:w="7739" w:type="dxa"/>
            <w:tcMar>
              <w:top w:w="11" w:type="dxa"/>
              <w:left w:w="57" w:type="dxa"/>
              <w:bottom w:w="11" w:type="dxa"/>
              <w:right w:w="57" w:type="dxa"/>
            </w:tcMar>
          </w:tcPr>
          <w:p w14:paraId="29F1862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92" w:name="XMETag_164a2df3fbd94a60858c20d45e74fcca" w:colFirst="1" w:colLast="1"/>
            <w:bookmarkStart w:id="793" w:name="XMETag_31f7d80c440943d79831cf703e02cc00" w:colFirst="2" w:colLast="2"/>
            <w:bookmarkEnd w:id="790"/>
            <w:bookmarkEnd w:id="791"/>
            <w:r w:rsidRPr="00735726">
              <w:rPr>
                <w:rFonts w:ascii="Arial" w:eastAsia="Times New Roman" w:hAnsi="Arial" w:cs="DINOT-Light"/>
                <w:color w:val="000000"/>
                <w:sz w:val="18"/>
                <w:szCs w:val="18"/>
              </w:rPr>
              <w:t>Amounts owed by Pennon Group companies</w:t>
            </w:r>
          </w:p>
        </w:tc>
        <w:tc>
          <w:tcPr>
            <w:tcW w:w="1133" w:type="dxa"/>
            <w:tcBorders>
              <w:top w:val="single" w:sz="4" w:space="0" w:color="auto"/>
            </w:tcBorders>
            <w:tcMar>
              <w:top w:w="11" w:type="dxa"/>
              <w:left w:w="57" w:type="dxa"/>
              <w:bottom w:w="11" w:type="dxa"/>
              <w:right w:w="57" w:type="dxa"/>
            </w:tcMar>
          </w:tcPr>
          <w:p w14:paraId="31B47DE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18.5</w:t>
            </w:r>
          </w:p>
        </w:tc>
        <w:tc>
          <w:tcPr>
            <w:tcW w:w="1134" w:type="dxa"/>
            <w:tcBorders>
              <w:top w:val="single" w:sz="4" w:space="0" w:color="auto"/>
            </w:tcBorders>
          </w:tcPr>
          <w:p w14:paraId="744EEA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19.0</w:t>
            </w:r>
          </w:p>
        </w:tc>
      </w:tr>
      <w:tr w:rsidR="00646F4F" w:rsidRPr="00735726" w14:paraId="62D38611" w14:textId="77777777" w:rsidTr="00CE19B2">
        <w:trPr>
          <w:trHeight w:val="226"/>
        </w:trPr>
        <w:tc>
          <w:tcPr>
            <w:tcW w:w="7739" w:type="dxa"/>
            <w:tcMar>
              <w:top w:w="11" w:type="dxa"/>
              <w:left w:w="57" w:type="dxa"/>
              <w:bottom w:w="11" w:type="dxa"/>
              <w:right w:w="57" w:type="dxa"/>
            </w:tcMar>
          </w:tcPr>
          <w:p w14:paraId="174BAC8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94" w:name="XMETag_dd1090f1b2774800819fac6ae18c3c50" w:colFirst="1" w:colLast="1"/>
            <w:bookmarkStart w:id="795" w:name="XMETag_792e828370f64c5fb6a3f6cd1a6dc906" w:colFirst="2" w:colLast="2"/>
            <w:bookmarkEnd w:id="792"/>
            <w:bookmarkEnd w:id="793"/>
            <w:r w:rsidRPr="00735726">
              <w:rPr>
                <w:rFonts w:ascii="Arial" w:eastAsia="Times New Roman" w:hAnsi="Arial" w:cs="DINOT-Light"/>
                <w:color w:val="000000"/>
                <w:sz w:val="18"/>
                <w:szCs w:val="18"/>
              </w:rPr>
              <w:t>Other receivables</w:t>
            </w:r>
          </w:p>
        </w:tc>
        <w:tc>
          <w:tcPr>
            <w:tcW w:w="1133" w:type="dxa"/>
            <w:tcMar>
              <w:top w:w="11" w:type="dxa"/>
              <w:left w:w="57" w:type="dxa"/>
              <w:bottom w:w="11" w:type="dxa"/>
              <w:right w:w="57" w:type="dxa"/>
            </w:tcMar>
          </w:tcPr>
          <w:p w14:paraId="4D272A8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34.2</w:t>
            </w:r>
          </w:p>
        </w:tc>
        <w:tc>
          <w:tcPr>
            <w:tcW w:w="1134" w:type="dxa"/>
          </w:tcPr>
          <w:p w14:paraId="7298968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39.8</w:t>
            </w:r>
          </w:p>
        </w:tc>
      </w:tr>
      <w:tr w:rsidR="00646F4F" w:rsidRPr="00735726" w14:paraId="7EF84B2E" w14:textId="77777777" w:rsidTr="00CE19B2">
        <w:trPr>
          <w:trHeight w:val="226"/>
        </w:trPr>
        <w:tc>
          <w:tcPr>
            <w:tcW w:w="7739" w:type="dxa"/>
            <w:tcMar>
              <w:top w:w="11" w:type="dxa"/>
              <w:left w:w="57" w:type="dxa"/>
              <w:bottom w:w="11" w:type="dxa"/>
              <w:right w:w="57" w:type="dxa"/>
            </w:tcMar>
          </w:tcPr>
          <w:p w14:paraId="67CB2FE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Prepayments</w:t>
            </w:r>
          </w:p>
        </w:tc>
        <w:tc>
          <w:tcPr>
            <w:tcW w:w="1133" w:type="dxa"/>
            <w:tcMar>
              <w:top w:w="11" w:type="dxa"/>
              <w:left w:w="57" w:type="dxa"/>
              <w:bottom w:w="11" w:type="dxa"/>
              <w:right w:w="57" w:type="dxa"/>
            </w:tcMar>
          </w:tcPr>
          <w:p w14:paraId="78F8FF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9.6</w:t>
            </w:r>
          </w:p>
        </w:tc>
        <w:tc>
          <w:tcPr>
            <w:tcW w:w="1134" w:type="dxa"/>
          </w:tcPr>
          <w:p w14:paraId="035C175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12.7</w:t>
            </w:r>
          </w:p>
        </w:tc>
      </w:tr>
      <w:tr w:rsidR="00646F4F" w:rsidRPr="00735726" w14:paraId="482E2C7F" w14:textId="77777777" w:rsidTr="00CE19B2">
        <w:trPr>
          <w:trHeight w:val="226"/>
        </w:trPr>
        <w:tc>
          <w:tcPr>
            <w:tcW w:w="7739" w:type="dxa"/>
            <w:tcMar>
              <w:top w:w="11" w:type="dxa"/>
              <w:left w:w="57" w:type="dxa"/>
              <w:bottom w:w="11" w:type="dxa"/>
              <w:right w:w="57" w:type="dxa"/>
            </w:tcMar>
          </w:tcPr>
          <w:p w14:paraId="1669171A" w14:textId="35F4261E" w:rsidR="00646F4F" w:rsidRPr="00735726" w:rsidRDefault="005D03F3"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796" w:name="XMETag_f70d3e1c151547caa5338a86d873e600" w:colFirst="1" w:colLast="1"/>
            <w:bookmarkStart w:id="797" w:name="XMETag_90cc1d8d4af841e4a638da05d99c4464" w:colFirst="2" w:colLast="2"/>
            <w:bookmarkEnd w:id="794"/>
            <w:bookmarkEnd w:id="795"/>
            <w:r w:rsidRPr="00735726">
              <w:rPr>
                <w:rFonts w:ascii="Arial" w:eastAsia="Times New Roman" w:hAnsi="Arial" w:cs="DINOT-Light"/>
                <w:color w:val="000000"/>
                <w:sz w:val="18"/>
                <w:szCs w:val="18"/>
              </w:rPr>
              <w:t>Contract assets</w:t>
            </w:r>
          </w:p>
        </w:tc>
        <w:tc>
          <w:tcPr>
            <w:tcW w:w="1133" w:type="dxa"/>
            <w:tcBorders>
              <w:bottom w:val="single" w:sz="4" w:space="0" w:color="auto"/>
            </w:tcBorders>
            <w:tcMar>
              <w:top w:w="11" w:type="dxa"/>
              <w:left w:w="57" w:type="dxa"/>
              <w:bottom w:w="11" w:type="dxa"/>
              <w:right w:w="57" w:type="dxa"/>
            </w:tcMar>
          </w:tcPr>
          <w:p w14:paraId="58A80FCB" w14:textId="68544EF2" w:rsidR="00646F4F" w:rsidRPr="00735726" w:rsidRDefault="005D03F3"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7.1</w:t>
            </w:r>
          </w:p>
        </w:tc>
        <w:tc>
          <w:tcPr>
            <w:tcW w:w="1134" w:type="dxa"/>
            <w:tcBorders>
              <w:bottom w:val="single" w:sz="4" w:space="0" w:color="auto"/>
            </w:tcBorders>
          </w:tcPr>
          <w:p w14:paraId="4272C6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10.4</w:t>
            </w:r>
          </w:p>
        </w:tc>
      </w:tr>
      <w:tr w:rsidR="00646F4F" w:rsidRPr="00735726" w14:paraId="6E2CD3BF" w14:textId="77777777" w:rsidTr="00CE19B2">
        <w:trPr>
          <w:trHeight w:val="226"/>
        </w:trPr>
        <w:tc>
          <w:tcPr>
            <w:tcW w:w="7739" w:type="dxa"/>
            <w:tcMar>
              <w:top w:w="11" w:type="dxa"/>
              <w:left w:w="57" w:type="dxa"/>
              <w:bottom w:w="11" w:type="dxa"/>
              <w:right w:w="57" w:type="dxa"/>
            </w:tcMar>
          </w:tcPr>
          <w:p w14:paraId="2E6DEAA4" w14:textId="710D219D"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798" w:name="XMETag_4c1b67c351134044b268a303f734bf37" w:colFirst="1" w:colLast="1"/>
            <w:bookmarkStart w:id="799" w:name="XMETag_f2110ef6c78c491ca6ff04e3c2f0becd" w:colFirst="2" w:colLast="2"/>
            <w:bookmarkEnd w:id="796"/>
            <w:bookmarkEnd w:id="797"/>
            <w:r w:rsidRPr="00735726">
              <w:rPr>
                <w:rFonts w:ascii="Arial" w:eastAsia="Times New Roman" w:hAnsi="Arial" w:cs="DINOT-Light"/>
                <w:b/>
                <w:color w:val="000000"/>
                <w:sz w:val="18"/>
                <w:szCs w:val="18"/>
              </w:rPr>
              <w:t xml:space="preserve">Trade and other receivables </w:t>
            </w:r>
            <w:r w:rsidR="006C1BA9" w:rsidRPr="00735726">
              <w:rPr>
                <w:rFonts w:ascii="Arial" w:eastAsia="Times New Roman" w:hAnsi="Arial" w:cs="DINOT-Light"/>
                <w:b/>
                <w:color w:val="000000"/>
                <w:sz w:val="18"/>
                <w:szCs w:val="18"/>
              </w:rPr>
              <w:t xml:space="preserve">- </w:t>
            </w:r>
            <w:r w:rsidRPr="00735726">
              <w:rPr>
                <w:rFonts w:ascii="Arial" w:eastAsia="Times New Roman" w:hAnsi="Arial" w:cs="DINOT-Light"/>
                <w:b/>
                <w:color w:val="000000"/>
                <w:sz w:val="18"/>
                <w:szCs w:val="18"/>
              </w:rPr>
              <w:t>current</w:t>
            </w:r>
          </w:p>
        </w:tc>
        <w:tc>
          <w:tcPr>
            <w:tcW w:w="1133" w:type="dxa"/>
            <w:tcBorders>
              <w:top w:val="single" w:sz="4" w:space="0" w:color="auto"/>
              <w:bottom w:val="single" w:sz="4" w:space="0" w:color="auto"/>
            </w:tcBorders>
            <w:tcMar>
              <w:top w:w="11" w:type="dxa"/>
              <w:left w:w="57" w:type="dxa"/>
              <w:bottom w:w="11" w:type="dxa"/>
              <w:right w:w="57" w:type="dxa"/>
            </w:tcMar>
          </w:tcPr>
          <w:p w14:paraId="49CF5BA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307.2</w:t>
            </w:r>
          </w:p>
        </w:tc>
        <w:tc>
          <w:tcPr>
            <w:tcW w:w="1134" w:type="dxa"/>
            <w:tcBorders>
              <w:top w:val="single" w:sz="4" w:space="0" w:color="auto"/>
              <w:bottom w:val="single" w:sz="4" w:space="0" w:color="auto"/>
            </w:tcBorders>
          </w:tcPr>
          <w:p w14:paraId="32FB4FB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267.8</w:t>
            </w:r>
          </w:p>
        </w:tc>
      </w:tr>
      <w:bookmarkEnd w:id="798"/>
      <w:bookmarkEnd w:id="799"/>
    </w:tbl>
    <w:p w14:paraId="48C44B29"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4CCB0EC"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800" w:name="_Hlk8417278"/>
      <w:bookmarkStart w:id="801" w:name="XMETag_d0f00d2dd79f4d9995d1fde8463abfcc"/>
      <w:r w:rsidRPr="00735726">
        <w:rPr>
          <w:rFonts w:ascii="Arial" w:eastAsia="Times New Roman" w:hAnsi="Arial" w:cs="DINOT-Light"/>
          <w:color w:val="000000"/>
          <w:sz w:val="18"/>
          <w:szCs w:val="18"/>
        </w:rPr>
        <w:t>The Directors consider that the carrying amounts of trade and other receivables approximate to their fair value.</w:t>
      </w:r>
    </w:p>
    <w:p w14:paraId="5BAC027C"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0E82416"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There is no concentration of credit risk in trade receivables. The Company has </w:t>
      </w:r>
      <w:proofErr w:type="gramStart"/>
      <w:r w:rsidRPr="00735726">
        <w:rPr>
          <w:rFonts w:ascii="Arial" w:eastAsia="Times New Roman" w:hAnsi="Arial" w:cs="DINOT-Light"/>
          <w:color w:val="000000"/>
          <w:sz w:val="18"/>
          <w:szCs w:val="18"/>
        </w:rPr>
        <w:t>a large number of</w:t>
      </w:r>
      <w:proofErr w:type="gramEnd"/>
      <w:r w:rsidRPr="00735726">
        <w:rPr>
          <w:rFonts w:ascii="Arial" w:eastAsia="Times New Roman" w:hAnsi="Arial" w:cs="DINOT-Light"/>
          <w:color w:val="000000"/>
          <w:sz w:val="18"/>
          <w:szCs w:val="18"/>
        </w:rPr>
        <w:t xml:space="preserve"> customers who are dispersed and there is no significant loss on trade receivables expected that has not been provided for. </w:t>
      </w:r>
      <w:bookmarkEnd w:id="800"/>
    </w:p>
    <w:p w14:paraId="14BD666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410EC541" w14:textId="257D2695"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applies the simplified approach in calculating the expected credit losses for trade receivables allowing a provision matrix to be used which is based on the expected life of trade receivables, default rates for different customer categories within the collection process and </w:t>
      </w:r>
      <w:r w:rsidR="005D03F3" w:rsidRPr="00735726">
        <w:rPr>
          <w:rFonts w:ascii="Arial" w:eastAsia="Times New Roman" w:hAnsi="Arial" w:cs="DINOT-Light"/>
          <w:color w:val="000000"/>
          <w:sz w:val="18"/>
          <w:szCs w:val="18"/>
        </w:rPr>
        <w:t>forward-looking</w:t>
      </w:r>
      <w:r w:rsidRPr="00735726">
        <w:rPr>
          <w:rFonts w:ascii="Arial" w:eastAsia="Times New Roman" w:hAnsi="Arial" w:cs="DINOT-Light"/>
          <w:color w:val="000000"/>
          <w:sz w:val="18"/>
          <w:szCs w:val="18"/>
        </w:rPr>
        <w:t xml:space="preserve"> information.</w:t>
      </w:r>
      <w:bookmarkEnd w:id="801"/>
      <w:r w:rsidRPr="00735726">
        <w:rPr>
          <w:rFonts w:ascii="Arial" w:eastAsia="Times New Roman" w:hAnsi="Arial" w:cs="DINOT-Light"/>
          <w:color w:val="000000"/>
          <w:sz w:val="18"/>
          <w:szCs w:val="18"/>
        </w:rPr>
        <w:t xml:space="preserve"> </w:t>
      </w:r>
    </w:p>
    <w:p w14:paraId="6EB212CC"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4088013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As </w:t>
      </w:r>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31 March, an analysis of the aging of gross trade receivables is as follows: </w:t>
      </w:r>
    </w:p>
    <w:p w14:paraId="3CA269A0"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74C169F5" w14:textId="77777777" w:rsidTr="00CE19B2">
        <w:trPr>
          <w:trHeight w:val="60"/>
          <w:tblHeader/>
        </w:trPr>
        <w:tc>
          <w:tcPr>
            <w:tcW w:w="7739" w:type="dxa"/>
            <w:tcMar>
              <w:top w:w="11" w:type="dxa"/>
              <w:left w:w="57" w:type="dxa"/>
              <w:bottom w:w="11" w:type="dxa"/>
              <w:right w:w="57" w:type="dxa"/>
            </w:tcMar>
          </w:tcPr>
          <w:p w14:paraId="3DBAFB2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494149A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8B360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448F264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42BD570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2D8C8ADA" w14:textId="77777777" w:rsidTr="00CE19B2">
        <w:trPr>
          <w:trHeight w:val="60"/>
          <w:tblHeader/>
        </w:trPr>
        <w:tc>
          <w:tcPr>
            <w:tcW w:w="7739" w:type="dxa"/>
            <w:tcMar>
              <w:top w:w="11" w:type="dxa"/>
              <w:left w:w="57" w:type="dxa"/>
              <w:bottom w:w="11" w:type="dxa"/>
              <w:right w:w="57" w:type="dxa"/>
            </w:tcMar>
          </w:tcPr>
          <w:p w14:paraId="3B0ACCD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02" w:name="XMETag_c0e5693141444a31867f9c296b229db4" w:colFirst="1" w:colLast="1"/>
            <w:bookmarkStart w:id="803" w:name="XMETag_85f1ed0a791440f6a29d67898912619f" w:colFirst="2" w:colLast="2"/>
            <w:r w:rsidRPr="00735726">
              <w:rPr>
                <w:rFonts w:ascii="Arial" w:eastAsia="Times New Roman" w:hAnsi="Arial" w:cs="DINOT-Light"/>
                <w:color w:val="000000"/>
                <w:sz w:val="18"/>
                <w:szCs w:val="18"/>
              </w:rPr>
              <w:t>Not due</w:t>
            </w:r>
          </w:p>
        </w:tc>
        <w:tc>
          <w:tcPr>
            <w:tcW w:w="1133" w:type="dxa"/>
            <w:tcMar>
              <w:top w:w="11" w:type="dxa"/>
              <w:left w:w="57" w:type="dxa"/>
              <w:bottom w:w="11" w:type="dxa"/>
              <w:right w:w="57" w:type="dxa"/>
            </w:tcMar>
          </w:tcPr>
          <w:p w14:paraId="2861699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92.7</w:t>
            </w:r>
          </w:p>
        </w:tc>
        <w:tc>
          <w:tcPr>
            <w:tcW w:w="1134" w:type="dxa"/>
          </w:tcPr>
          <w:p w14:paraId="3C1C87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64.5</w:t>
            </w:r>
          </w:p>
        </w:tc>
      </w:tr>
      <w:bookmarkEnd w:id="802"/>
      <w:bookmarkEnd w:id="803"/>
      <w:tr w:rsidR="00646F4F" w:rsidRPr="00735726" w14:paraId="7DE49FD3" w14:textId="77777777" w:rsidTr="00CE19B2">
        <w:trPr>
          <w:trHeight w:val="226"/>
        </w:trPr>
        <w:tc>
          <w:tcPr>
            <w:tcW w:w="7739" w:type="dxa"/>
            <w:tcMar>
              <w:top w:w="11" w:type="dxa"/>
              <w:left w:w="57" w:type="dxa"/>
              <w:bottom w:w="11" w:type="dxa"/>
              <w:right w:w="57" w:type="dxa"/>
            </w:tcMar>
          </w:tcPr>
          <w:p w14:paraId="03B792B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Past due 1 - 30 days</w:t>
            </w:r>
          </w:p>
        </w:tc>
        <w:tc>
          <w:tcPr>
            <w:tcW w:w="1133" w:type="dxa"/>
            <w:tcMar>
              <w:top w:w="11" w:type="dxa"/>
              <w:left w:w="57" w:type="dxa"/>
              <w:bottom w:w="11" w:type="dxa"/>
              <w:right w:w="57" w:type="dxa"/>
            </w:tcMar>
          </w:tcPr>
          <w:p w14:paraId="3484D8F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17.9</w:t>
            </w:r>
          </w:p>
        </w:tc>
        <w:tc>
          <w:tcPr>
            <w:tcW w:w="1134" w:type="dxa"/>
          </w:tcPr>
          <w:p w14:paraId="67853F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12.4</w:t>
            </w:r>
          </w:p>
        </w:tc>
      </w:tr>
      <w:tr w:rsidR="00646F4F" w:rsidRPr="00735726" w14:paraId="547499FB" w14:textId="77777777" w:rsidTr="00CE19B2">
        <w:trPr>
          <w:trHeight w:val="226"/>
        </w:trPr>
        <w:tc>
          <w:tcPr>
            <w:tcW w:w="7739" w:type="dxa"/>
            <w:tcMar>
              <w:top w:w="11" w:type="dxa"/>
              <w:left w:w="57" w:type="dxa"/>
              <w:bottom w:w="11" w:type="dxa"/>
              <w:right w:w="57" w:type="dxa"/>
            </w:tcMar>
          </w:tcPr>
          <w:p w14:paraId="46D44F0C" w14:textId="77777777" w:rsidR="00646F4F" w:rsidRPr="00735726" w:rsidRDefault="00646F4F" w:rsidP="00CE19B2">
            <w:pPr>
              <w:widowControl w:val="0"/>
              <w:tabs>
                <w:tab w:val="right" w:pos="7625"/>
              </w:tabs>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Past due 31 - 120 days</w:t>
            </w:r>
            <w:r w:rsidRPr="00735726">
              <w:rPr>
                <w:rFonts w:ascii="Arial" w:eastAsia="Times New Roman" w:hAnsi="Arial" w:cs="DINOT-Light"/>
                <w:color w:val="000000"/>
                <w:sz w:val="18"/>
                <w:szCs w:val="18"/>
              </w:rPr>
              <w:tab/>
            </w:r>
          </w:p>
        </w:tc>
        <w:tc>
          <w:tcPr>
            <w:tcW w:w="1133" w:type="dxa"/>
            <w:tcMar>
              <w:top w:w="11" w:type="dxa"/>
              <w:left w:w="57" w:type="dxa"/>
              <w:bottom w:w="11" w:type="dxa"/>
              <w:right w:w="57" w:type="dxa"/>
            </w:tcMar>
          </w:tcPr>
          <w:p w14:paraId="59E960B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20.0</w:t>
            </w:r>
          </w:p>
        </w:tc>
        <w:tc>
          <w:tcPr>
            <w:tcW w:w="1134" w:type="dxa"/>
          </w:tcPr>
          <w:p w14:paraId="692F3E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14.8</w:t>
            </w:r>
          </w:p>
        </w:tc>
      </w:tr>
      <w:tr w:rsidR="00646F4F" w:rsidRPr="00735726" w14:paraId="1BB03DAD" w14:textId="77777777" w:rsidTr="00CE19B2">
        <w:trPr>
          <w:trHeight w:val="226"/>
        </w:trPr>
        <w:tc>
          <w:tcPr>
            <w:tcW w:w="7739" w:type="dxa"/>
            <w:tcMar>
              <w:top w:w="11" w:type="dxa"/>
              <w:left w:w="57" w:type="dxa"/>
              <w:bottom w:w="11" w:type="dxa"/>
              <w:right w:w="57" w:type="dxa"/>
            </w:tcMar>
          </w:tcPr>
          <w:p w14:paraId="184425E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More than 120 days</w:t>
            </w:r>
          </w:p>
        </w:tc>
        <w:tc>
          <w:tcPr>
            <w:tcW w:w="1133" w:type="dxa"/>
            <w:tcBorders>
              <w:bottom w:val="single" w:sz="4" w:space="0" w:color="auto"/>
            </w:tcBorders>
            <w:tcMar>
              <w:top w:w="11" w:type="dxa"/>
              <w:left w:w="57" w:type="dxa"/>
              <w:bottom w:w="11" w:type="dxa"/>
              <w:right w:w="57" w:type="dxa"/>
            </w:tcMar>
          </w:tcPr>
          <w:p w14:paraId="096DC73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213.3</w:t>
            </w:r>
          </w:p>
        </w:tc>
        <w:tc>
          <w:tcPr>
            <w:tcW w:w="1134" w:type="dxa"/>
            <w:tcBorders>
              <w:bottom w:val="single" w:sz="4" w:space="0" w:color="auto"/>
            </w:tcBorders>
          </w:tcPr>
          <w:p w14:paraId="53811F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190.7</w:t>
            </w:r>
          </w:p>
        </w:tc>
      </w:tr>
      <w:tr w:rsidR="00646F4F" w:rsidRPr="00735726" w14:paraId="785B0E5E" w14:textId="77777777" w:rsidTr="00CE19B2">
        <w:trPr>
          <w:trHeight w:val="226"/>
        </w:trPr>
        <w:tc>
          <w:tcPr>
            <w:tcW w:w="7739" w:type="dxa"/>
            <w:tcMar>
              <w:top w:w="11" w:type="dxa"/>
              <w:left w:w="57" w:type="dxa"/>
              <w:bottom w:w="11" w:type="dxa"/>
              <w:right w:w="57" w:type="dxa"/>
            </w:tcMar>
          </w:tcPr>
          <w:p w14:paraId="533AC7E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804" w:name="XMETag_85db37c951d0453e8b16ee69e3dd5130" w:colFirst="1" w:colLast="1"/>
            <w:bookmarkStart w:id="805" w:name="XMETag_7f48dad6337f4a64ba1ff65ef8a0eeec" w:colFirst="2" w:colLast="2"/>
            <w:r w:rsidRPr="00735726">
              <w:rPr>
                <w:rFonts w:ascii="Arial" w:eastAsia="Times New Roman" w:hAnsi="Arial" w:cs="DINOT-Light"/>
                <w:b/>
                <w:color w:val="000000"/>
                <w:sz w:val="18"/>
                <w:szCs w:val="18"/>
              </w:rPr>
              <w:t>Total trade receivables</w:t>
            </w:r>
          </w:p>
        </w:tc>
        <w:tc>
          <w:tcPr>
            <w:tcW w:w="1133" w:type="dxa"/>
            <w:tcBorders>
              <w:top w:val="single" w:sz="4" w:space="0" w:color="auto"/>
              <w:bottom w:val="single" w:sz="4" w:space="0" w:color="auto"/>
            </w:tcBorders>
            <w:tcMar>
              <w:top w:w="11" w:type="dxa"/>
              <w:left w:w="57" w:type="dxa"/>
              <w:bottom w:w="11" w:type="dxa"/>
              <w:right w:w="57" w:type="dxa"/>
            </w:tcMar>
          </w:tcPr>
          <w:p w14:paraId="1113A94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343.9</w:t>
            </w:r>
          </w:p>
        </w:tc>
        <w:tc>
          <w:tcPr>
            <w:tcW w:w="1134" w:type="dxa"/>
            <w:tcBorders>
              <w:top w:val="single" w:sz="4" w:space="0" w:color="auto"/>
              <w:bottom w:val="single" w:sz="4" w:space="0" w:color="auto"/>
            </w:tcBorders>
          </w:tcPr>
          <w:p w14:paraId="3A520A1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282.4</w:t>
            </w:r>
          </w:p>
        </w:tc>
      </w:tr>
      <w:bookmarkEnd w:id="804"/>
      <w:bookmarkEnd w:id="805"/>
    </w:tbl>
    <w:p w14:paraId="58431473"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207453A0" w14:textId="62DE24FC"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specifically reviews separate categories of debt to identify an appropriate allowance for expected credit losses as outlined in </w:t>
      </w:r>
      <w:r w:rsidRPr="009A2CAE">
        <w:rPr>
          <w:rFonts w:ascii="Arial" w:eastAsia="Times New Roman" w:hAnsi="Arial" w:cs="DINOT-Light"/>
          <w:color w:val="000000"/>
          <w:sz w:val="18"/>
          <w:szCs w:val="18"/>
        </w:rPr>
        <w:t>note 2 (</w:t>
      </w:r>
      <w:r w:rsidR="00DB0609" w:rsidRPr="009A2CAE">
        <w:rPr>
          <w:rFonts w:ascii="Arial" w:eastAsia="Times New Roman" w:hAnsi="Arial" w:cs="DINOT-Light"/>
          <w:color w:val="000000"/>
          <w:sz w:val="18"/>
          <w:szCs w:val="18"/>
        </w:rPr>
        <w:t>o</w:t>
      </w:r>
      <w:r w:rsidRPr="009A2CAE">
        <w:rPr>
          <w:rFonts w:ascii="Arial" w:eastAsia="Times New Roman" w:hAnsi="Arial" w:cs="DINOT-Light"/>
          <w:color w:val="000000"/>
          <w:sz w:val="18"/>
          <w:szCs w:val="18"/>
        </w:rPr>
        <w:t xml:space="preserve">) ii.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has a duty under legislation to continue to provide domestic customers with services regardless of payment. The provision matrix adopted for household customers in the most significant operating region of Devon, Cornwall and Bournemouth </w:t>
      </w:r>
      <w:proofErr w:type="gramStart"/>
      <w:r w:rsidRPr="00735726">
        <w:rPr>
          <w:rFonts w:ascii="Arial" w:eastAsia="Times New Roman" w:hAnsi="Arial" w:cs="DINOT-Light"/>
          <w:color w:val="000000"/>
          <w:sz w:val="18"/>
          <w:szCs w:val="18"/>
        </w:rPr>
        <w:t>is</w:t>
      </w:r>
      <w:proofErr w:type="gramEnd"/>
      <w:r w:rsidRPr="00735726">
        <w:rPr>
          <w:rFonts w:ascii="Arial" w:eastAsia="Times New Roman" w:hAnsi="Arial" w:cs="DINOT-Light"/>
          <w:color w:val="000000"/>
          <w:sz w:val="18"/>
          <w:szCs w:val="18"/>
        </w:rPr>
        <w:t xml:space="preserve"> outlined in the table below, showing the range of provision rates dependent on phase of collection. The table also includes the gross debt and provision rates for other customer areas:</w:t>
      </w:r>
    </w:p>
    <w:tbl>
      <w:tblPr>
        <w:tblW w:w="10149" w:type="dxa"/>
        <w:tblInd w:w="8" w:type="dxa"/>
        <w:tblLayout w:type="fixed"/>
        <w:tblCellMar>
          <w:left w:w="0" w:type="dxa"/>
          <w:right w:w="0" w:type="dxa"/>
        </w:tblCellMar>
        <w:tblLook w:val="0000" w:firstRow="0" w:lastRow="0" w:firstColumn="0" w:lastColumn="0" w:noHBand="0" w:noVBand="0"/>
      </w:tblPr>
      <w:tblGrid>
        <w:gridCol w:w="5459"/>
        <w:gridCol w:w="273"/>
        <w:gridCol w:w="1206"/>
        <w:gridCol w:w="1134"/>
        <w:gridCol w:w="1098"/>
        <w:gridCol w:w="979"/>
      </w:tblGrid>
      <w:tr w:rsidR="00646F4F" w:rsidRPr="00735726" w14:paraId="42520BC3" w14:textId="77777777" w:rsidTr="00CE19B2">
        <w:trPr>
          <w:trHeight w:val="52"/>
          <w:tblHeader/>
        </w:trPr>
        <w:tc>
          <w:tcPr>
            <w:tcW w:w="5459" w:type="dxa"/>
            <w:tcMar>
              <w:top w:w="11" w:type="dxa"/>
              <w:left w:w="57" w:type="dxa"/>
              <w:bottom w:w="11" w:type="dxa"/>
              <w:right w:w="57" w:type="dxa"/>
            </w:tcMar>
          </w:tcPr>
          <w:p w14:paraId="29B8DE6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273" w:type="dxa"/>
          </w:tcPr>
          <w:p w14:paraId="343978A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2340" w:type="dxa"/>
            <w:gridSpan w:val="2"/>
            <w:tcMar>
              <w:top w:w="11" w:type="dxa"/>
              <w:left w:w="57" w:type="dxa"/>
              <w:bottom w:w="11" w:type="dxa"/>
              <w:right w:w="57" w:type="dxa"/>
            </w:tcMar>
            <w:vAlign w:val="bottom"/>
          </w:tcPr>
          <w:p w14:paraId="1BD75B78"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tc>
        <w:tc>
          <w:tcPr>
            <w:tcW w:w="2077" w:type="dxa"/>
            <w:gridSpan w:val="2"/>
            <w:vAlign w:val="bottom"/>
          </w:tcPr>
          <w:p w14:paraId="2FDCBD2C"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5A681413" w14:textId="77777777" w:rsidTr="00CE19B2">
        <w:trPr>
          <w:trHeight w:val="52"/>
          <w:tblHeader/>
        </w:trPr>
        <w:tc>
          <w:tcPr>
            <w:tcW w:w="5459" w:type="dxa"/>
            <w:tcMar>
              <w:top w:w="11" w:type="dxa"/>
              <w:left w:w="57" w:type="dxa"/>
              <w:bottom w:w="11" w:type="dxa"/>
              <w:right w:w="57" w:type="dxa"/>
            </w:tcMar>
          </w:tcPr>
          <w:p w14:paraId="609A1C5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273" w:type="dxa"/>
          </w:tcPr>
          <w:p w14:paraId="133D3F8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06" w:type="dxa"/>
            <w:tcMar>
              <w:top w:w="11" w:type="dxa"/>
              <w:left w:w="57" w:type="dxa"/>
              <w:bottom w:w="11" w:type="dxa"/>
              <w:right w:w="57" w:type="dxa"/>
            </w:tcMar>
          </w:tcPr>
          <w:p w14:paraId="2FBAA0F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Trade Receivables</w:t>
            </w:r>
          </w:p>
          <w:p w14:paraId="25BE00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0531362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Allowance for ECL’s</w:t>
            </w:r>
          </w:p>
          <w:p w14:paraId="4BF737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098" w:type="dxa"/>
          </w:tcPr>
          <w:p w14:paraId="6624B82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Trade Receivables</w:t>
            </w:r>
          </w:p>
          <w:p w14:paraId="29BA3D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79" w:type="dxa"/>
          </w:tcPr>
          <w:p w14:paraId="68E02A2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Allowance for ECL’s</w:t>
            </w:r>
          </w:p>
          <w:p w14:paraId="7ABDB22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4C30A18B" w14:textId="77777777" w:rsidTr="00CE19B2">
        <w:trPr>
          <w:trHeight w:val="201"/>
        </w:trPr>
        <w:tc>
          <w:tcPr>
            <w:tcW w:w="5459" w:type="dxa"/>
            <w:tcMar>
              <w:top w:w="11" w:type="dxa"/>
              <w:left w:w="57" w:type="dxa"/>
              <w:bottom w:w="11" w:type="dxa"/>
              <w:right w:w="57" w:type="dxa"/>
            </w:tcMar>
          </w:tcPr>
          <w:p w14:paraId="65D706A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Devon, Cornwall and Bournemouth (household customers)</w:t>
            </w:r>
          </w:p>
        </w:tc>
        <w:tc>
          <w:tcPr>
            <w:tcW w:w="273" w:type="dxa"/>
          </w:tcPr>
          <w:p w14:paraId="05260D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06" w:type="dxa"/>
            <w:tcMar>
              <w:top w:w="11" w:type="dxa"/>
              <w:left w:w="57" w:type="dxa"/>
              <w:bottom w:w="11" w:type="dxa"/>
              <w:right w:w="57" w:type="dxa"/>
            </w:tcMar>
          </w:tcPr>
          <w:p w14:paraId="1FD83EE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45F0E8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98" w:type="dxa"/>
          </w:tcPr>
          <w:p w14:paraId="460C8C0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79" w:type="dxa"/>
          </w:tcPr>
          <w:p w14:paraId="6A6553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0AD5DE90" w14:textId="77777777" w:rsidTr="00CE19B2">
        <w:trPr>
          <w:trHeight w:val="201"/>
        </w:trPr>
        <w:tc>
          <w:tcPr>
            <w:tcW w:w="5459" w:type="dxa"/>
            <w:tcMar>
              <w:top w:w="11" w:type="dxa"/>
              <w:left w:w="57" w:type="dxa"/>
              <w:bottom w:w="11" w:type="dxa"/>
              <w:right w:w="57" w:type="dxa"/>
            </w:tcMar>
          </w:tcPr>
          <w:p w14:paraId="00B240B2" w14:textId="77777777" w:rsidR="00646F4F" w:rsidRPr="00735726" w:rsidRDefault="00646F4F" w:rsidP="00646F4F">
            <w:pPr>
              <w:pStyle w:val="ListParagraph"/>
              <w:widowControl w:val="0"/>
              <w:numPr>
                <w:ilvl w:val="0"/>
                <w:numId w:val="30"/>
              </w:numPr>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Current occupier &lt; 12 months: 1% - 30%</w:t>
            </w:r>
          </w:p>
        </w:tc>
        <w:tc>
          <w:tcPr>
            <w:tcW w:w="273" w:type="dxa"/>
          </w:tcPr>
          <w:p w14:paraId="51688F0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06" w:type="dxa"/>
            <w:tcMar>
              <w:top w:w="11" w:type="dxa"/>
              <w:left w:w="57" w:type="dxa"/>
              <w:bottom w:w="11" w:type="dxa"/>
              <w:right w:w="57" w:type="dxa"/>
            </w:tcMar>
          </w:tcPr>
          <w:p w14:paraId="3344F43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97.7</w:t>
            </w:r>
          </w:p>
        </w:tc>
        <w:tc>
          <w:tcPr>
            <w:tcW w:w="1134" w:type="dxa"/>
            <w:tcMar>
              <w:top w:w="11" w:type="dxa"/>
              <w:left w:w="57" w:type="dxa"/>
              <w:bottom w:w="11" w:type="dxa"/>
              <w:right w:w="57" w:type="dxa"/>
            </w:tcMar>
          </w:tcPr>
          <w:p w14:paraId="775A998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1098" w:type="dxa"/>
          </w:tcPr>
          <w:p w14:paraId="69C0DA4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68.7</w:t>
            </w:r>
          </w:p>
        </w:tc>
        <w:tc>
          <w:tcPr>
            <w:tcW w:w="979" w:type="dxa"/>
          </w:tcPr>
          <w:p w14:paraId="2683014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0.4</w:t>
            </w:r>
          </w:p>
        </w:tc>
      </w:tr>
      <w:tr w:rsidR="00646F4F" w:rsidRPr="00735726" w14:paraId="534858F1" w14:textId="77777777" w:rsidTr="00CE19B2">
        <w:trPr>
          <w:trHeight w:val="201"/>
        </w:trPr>
        <w:tc>
          <w:tcPr>
            <w:tcW w:w="5459" w:type="dxa"/>
            <w:tcMar>
              <w:top w:w="11" w:type="dxa"/>
              <w:left w:w="57" w:type="dxa"/>
              <w:bottom w:w="11" w:type="dxa"/>
              <w:right w:w="57" w:type="dxa"/>
            </w:tcMar>
          </w:tcPr>
          <w:p w14:paraId="49C7E9E4" w14:textId="150E4461" w:rsidR="00646F4F" w:rsidRPr="00735726" w:rsidRDefault="00646F4F" w:rsidP="00646F4F">
            <w:pPr>
              <w:pStyle w:val="ListParagraph"/>
              <w:widowControl w:val="0"/>
              <w:numPr>
                <w:ilvl w:val="0"/>
                <w:numId w:val="30"/>
              </w:numPr>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Current occupier 12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24 months: 10% - 60%</w:t>
            </w:r>
          </w:p>
        </w:tc>
        <w:tc>
          <w:tcPr>
            <w:tcW w:w="273" w:type="dxa"/>
          </w:tcPr>
          <w:p w14:paraId="1564B6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06" w:type="dxa"/>
            <w:tcMar>
              <w:top w:w="11" w:type="dxa"/>
              <w:left w:w="57" w:type="dxa"/>
              <w:bottom w:w="11" w:type="dxa"/>
              <w:right w:w="57" w:type="dxa"/>
            </w:tcMar>
          </w:tcPr>
          <w:p w14:paraId="53C4E0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16.0</w:t>
            </w:r>
          </w:p>
        </w:tc>
        <w:tc>
          <w:tcPr>
            <w:tcW w:w="1134" w:type="dxa"/>
            <w:tcMar>
              <w:top w:w="11" w:type="dxa"/>
              <w:left w:w="57" w:type="dxa"/>
              <w:bottom w:w="11" w:type="dxa"/>
              <w:right w:w="57" w:type="dxa"/>
            </w:tcMar>
          </w:tcPr>
          <w:p w14:paraId="42D866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w:t>
            </w:r>
          </w:p>
        </w:tc>
        <w:tc>
          <w:tcPr>
            <w:tcW w:w="1098" w:type="dxa"/>
          </w:tcPr>
          <w:p w14:paraId="02CDF76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12.4</w:t>
            </w:r>
          </w:p>
        </w:tc>
        <w:tc>
          <w:tcPr>
            <w:tcW w:w="979" w:type="dxa"/>
          </w:tcPr>
          <w:p w14:paraId="3299D9E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w:t>
            </w:r>
          </w:p>
        </w:tc>
      </w:tr>
      <w:tr w:rsidR="00646F4F" w:rsidRPr="00735726" w14:paraId="4148A2D5" w14:textId="77777777" w:rsidTr="00CE19B2">
        <w:trPr>
          <w:trHeight w:val="201"/>
        </w:trPr>
        <w:tc>
          <w:tcPr>
            <w:tcW w:w="5459" w:type="dxa"/>
            <w:tcMar>
              <w:top w:w="11" w:type="dxa"/>
              <w:left w:w="57" w:type="dxa"/>
              <w:bottom w:w="11" w:type="dxa"/>
              <w:right w:w="57" w:type="dxa"/>
            </w:tcMar>
          </w:tcPr>
          <w:p w14:paraId="1988FBFB" w14:textId="5F61F3EF" w:rsidR="00646F4F" w:rsidRPr="00735726" w:rsidRDefault="00646F4F" w:rsidP="00646F4F">
            <w:pPr>
              <w:pStyle w:val="ListParagraph"/>
              <w:widowControl w:val="0"/>
              <w:numPr>
                <w:ilvl w:val="0"/>
                <w:numId w:val="30"/>
              </w:numPr>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Current occupier 24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36 months: 15% - 80%</w:t>
            </w:r>
          </w:p>
        </w:tc>
        <w:tc>
          <w:tcPr>
            <w:tcW w:w="273" w:type="dxa"/>
          </w:tcPr>
          <w:p w14:paraId="37378B4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06" w:type="dxa"/>
            <w:tcMar>
              <w:top w:w="11" w:type="dxa"/>
              <w:left w:w="57" w:type="dxa"/>
              <w:bottom w:w="11" w:type="dxa"/>
              <w:right w:w="57" w:type="dxa"/>
            </w:tcMar>
          </w:tcPr>
          <w:p w14:paraId="68E6D40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12.2</w:t>
            </w:r>
          </w:p>
        </w:tc>
        <w:tc>
          <w:tcPr>
            <w:tcW w:w="1134" w:type="dxa"/>
            <w:tcMar>
              <w:top w:w="11" w:type="dxa"/>
              <w:left w:w="57" w:type="dxa"/>
              <w:bottom w:w="11" w:type="dxa"/>
              <w:right w:w="57" w:type="dxa"/>
            </w:tcMar>
          </w:tcPr>
          <w:p w14:paraId="7A60AA9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w:t>
            </w:r>
          </w:p>
        </w:tc>
        <w:tc>
          <w:tcPr>
            <w:tcW w:w="1098" w:type="dxa"/>
          </w:tcPr>
          <w:p w14:paraId="697E51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10.9</w:t>
            </w:r>
          </w:p>
        </w:tc>
        <w:tc>
          <w:tcPr>
            <w:tcW w:w="979" w:type="dxa"/>
          </w:tcPr>
          <w:p w14:paraId="2E02EC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r>
      <w:tr w:rsidR="00646F4F" w:rsidRPr="00735726" w14:paraId="0DBD587B" w14:textId="77777777" w:rsidTr="00CE19B2">
        <w:trPr>
          <w:trHeight w:val="201"/>
        </w:trPr>
        <w:tc>
          <w:tcPr>
            <w:tcW w:w="5459" w:type="dxa"/>
            <w:tcMar>
              <w:top w:w="11" w:type="dxa"/>
              <w:left w:w="57" w:type="dxa"/>
              <w:bottom w:w="11" w:type="dxa"/>
              <w:right w:w="57" w:type="dxa"/>
            </w:tcMar>
          </w:tcPr>
          <w:p w14:paraId="1A9B9195" w14:textId="77777777" w:rsidR="00646F4F" w:rsidRPr="00735726" w:rsidRDefault="00646F4F" w:rsidP="00646F4F">
            <w:pPr>
              <w:pStyle w:val="ListParagraph"/>
              <w:widowControl w:val="0"/>
              <w:numPr>
                <w:ilvl w:val="0"/>
                <w:numId w:val="30"/>
              </w:numPr>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Current occupier &gt; 36 months: 20% - 100%</w:t>
            </w:r>
          </w:p>
        </w:tc>
        <w:tc>
          <w:tcPr>
            <w:tcW w:w="273" w:type="dxa"/>
          </w:tcPr>
          <w:p w14:paraId="5D2CD08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06" w:type="dxa"/>
            <w:tcMar>
              <w:top w:w="11" w:type="dxa"/>
              <w:left w:w="57" w:type="dxa"/>
              <w:bottom w:w="11" w:type="dxa"/>
              <w:right w:w="57" w:type="dxa"/>
            </w:tcMar>
          </w:tcPr>
          <w:p w14:paraId="1B499FB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99.1</w:t>
            </w:r>
          </w:p>
        </w:tc>
        <w:tc>
          <w:tcPr>
            <w:tcW w:w="1134" w:type="dxa"/>
            <w:tcMar>
              <w:top w:w="11" w:type="dxa"/>
              <w:left w:w="57" w:type="dxa"/>
              <w:bottom w:w="11" w:type="dxa"/>
              <w:right w:w="57" w:type="dxa"/>
            </w:tcMar>
          </w:tcPr>
          <w:p w14:paraId="728212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39.7</w:t>
            </w:r>
          </w:p>
        </w:tc>
        <w:tc>
          <w:tcPr>
            <w:tcW w:w="1098" w:type="dxa"/>
          </w:tcPr>
          <w:p w14:paraId="0317B64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91.6</w:t>
            </w:r>
          </w:p>
        </w:tc>
        <w:tc>
          <w:tcPr>
            <w:tcW w:w="979" w:type="dxa"/>
          </w:tcPr>
          <w:p w14:paraId="3FB7EA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39.9</w:t>
            </w:r>
          </w:p>
        </w:tc>
      </w:tr>
      <w:tr w:rsidR="00646F4F" w:rsidRPr="00735726" w14:paraId="3002DD30" w14:textId="77777777" w:rsidTr="00CE19B2">
        <w:trPr>
          <w:trHeight w:val="201"/>
        </w:trPr>
        <w:tc>
          <w:tcPr>
            <w:tcW w:w="5459" w:type="dxa"/>
            <w:tcMar>
              <w:top w:w="11" w:type="dxa"/>
              <w:left w:w="57" w:type="dxa"/>
              <w:bottom w:w="11" w:type="dxa"/>
              <w:right w:w="57" w:type="dxa"/>
            </w:tcMar>
          </w:tcPr>
          <w:p w14:paraId="33F815E4" w14:textId="77777777" w:rsidR="00646F4F" w:rsidRPr="00735726" w:rsidRDefault="00646F4F" w:rsidP="00646F4F">
            <w:pPr>
              <w:pStyle w:val="ListParagraph"/>
              <w:widowControl w:val="0"/>
              <w:numPr>
                <w:ilvl w:val="0"/>
                <w:numId w:val="30"/>
              </w:numPr>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Previous occupier: 55% - 100%</w:t>
            </w:r>
          </w:p>
        </w:tc>
        <w:tc>
          <w:tcPr>
            <w:tcW w:w="273" w:type="dxa"/>
          </w:tcPr>
          <w:p w14:paraId="4F6C8FF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06" w:type="dxa"/>
            <w:tcMar>
              <w:top w:w="11" w:type="dxa"/>
              <w:left w:w="57" w:type="dxa"/>
              <w:bottom w:w="11" w:type="dxa"/>
              <w:right w:w="57" w:type="dxa"/>
            </w:tcMar>
          </w:tcPr>
          <w:p w14:paraId="12DAC8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58.4</w:t>
            </w:r>
          </w:p>
        </w:tc>
        <w:tc>
          <w:tcPr>
            <w:tcW w:w="1134" w:type="dxa"/>
            <w:tcMar>
              <w:top w:w="11" w:type="dxa"/>
              <w:left w:w="57" w:type="dxa"/>
              <w:bottom w:w="11" w:type="dxa"/>
              <w:right w:w="57" w:type="dxa"/>
            </w:tcMar>
          </w:tcPr>
          <w:p w14:paraId="6E42EA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36.9</w:t>
            </w:r>
          </w:p>
        </w:tc>
        <w:tc>
          <w:tcPr>
            <w:tcW w:w="1098" w:type="dxa"/>
          </w:tcPr>
          <w:p w14:paraId="1838352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51.3</w:t>
            </w:r>
          </w:p>
        </w:tc>
        <w:tc>
          <w:tcPr>
            <w:tcW w:w="979" w:type="dxa"/>
          </w:tcPr>
          <w:p w14:paraId="3F5B63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32.1</w:t>
            </w:r>
          </w:p>
        </w:tc>
      </w:tr>
      <w:tr w:rsidR="00646F4F" w:rsidRPr="00735726" w14:paraId="3E52640B" w14:textId="77777777" w:rsidTr="00CE19B2">
        <w:trPr>
          <w:trHeight w:val="201"/>
        </w:trPr>
        <w:tc>
          <w:tcPr>
            <w:tcW w:w="5459" w:type="dxa"/>
            <w:tcMar>
              <w:top w:w="11" w:type="dxa"/>
              <w:left w:w="57" w:type="dxa"/>
              <w:bottom w:w="11" w:type="dxa"/>
              <w:right w:w="57" w:type="dxa"/>
            </w:tcMar>
          </w:tcPr>
          <w:p w14:paraId="78EC4CE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Bristol</w:t>
            </w:r>
          </w:p>
        </w:tc>
        <w:tc>
          <w:tcPr>
            <w:tcW w:w="273" w:type="dxa"/>
          </w:tcPr>
          <w:p w14:paraId="1C50462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06" w:type="dxa"/>
            <w:tcMar>
              <w:top w:w="11" w:type="dxa"/>
              <w:left w:w="57" w:type="dxa"/>
              <w:bottom w:w="11" w:type="dxa"/>
              <w:right w:w="57" w:type="dxa"/>
            </w:tcMar>
          </w:tcPr>
          <w:p w14:paraId="4E9F9A5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44.7</w:t>
            </w:r>
          </w:p>
        </w:tc>
        <w:tc>
          <w:tcPr>
            <w:tcW w:w="1134" w:type="dxa"/>
            <w:tcMar>
              <w:top w:w="11" w:type="dxa"/>
              <w:left w:w="57" w:type="dxa"/>
              <w:bottom w:w="11" w:type="dxa"/>
              <w:right w:w="57" w:type="dxa"/>
            </w:tcMar>
          </w:tcPr>
          <w:p w14:paraId="5BF0A51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21.0</w:t>
            </w:r>
          </w:p>
        </w:tc>
        <w:tc>
          <w:tcPr>
            <w:tcW w:w="1098" w:type="dxa"/>
          </w:tcPr>
          <w:p w14:paraId="39FB3B8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38.1</w:t>
            </w:r>
          </w:p>
        </w:tc>
        <w:tc>
          <w:tcPr>
            <w:tcW w:w="979" w:type="dxa"/>
          </w:tcPr>
          <w:p w14:paraId="762681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18.3</w:t>
            </w:r>
          </w:p>
        </w:tc>
      </w:tr>
      <w:tr w:rsidR="00646F4F" w:rsidRPr="00735726" w14:paraId="2DF98ACE" w14:textId="77777777" w:rsidTr="00277639">
        <w:trPr>
          <w:trHeight w:val="201"/>
        </w:trPr>
        <w:tc>
          <w:tcPr>
            <w:tcW w:w="5459" w:type="dxa"/>
            <w:tcMar>
              <w:top w:w="11" w:type="dxa"/>
              <w:left w:w="57" w:type="dxa"/>
              <w:bottom w:w="11" w:type="dxa"/>
              <w:right w:w="57" w:type="dxa"/>
            </w:tcMar>
          </w:tcPr>
          <w:p w14:paraId="79D4CDD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Other</w:t>
            </w:r>
          </w:p>
        </w:tc>
        <w:tc>
          <w:tcPr>
            <w:tcW w:w="273" w:type="dxa"/>
          </w:tcPr>
          <w:p w14:paraId="73E994C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206" w:type="dxa"/>
            <w:tcBorders>
              <w:bottom w:val="single" w:sz="4" w:space="0" w:color="auto"/>
            </w:tcBorders>
            <w:tcMar>
              <w:top w:w="11" w:type="dxa"/>
              <w:left w:w="57" w:type="dxa"/>
              <w:bottom w:w="11" w:type="dxa"/>
              <w:right w:w="57" w:type="dxa"/>
            </w:tcMar>
          </w:tcPr>
          <w:p w14:paraId="62FCC6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15.8</w:t>
            </w:r>
          </w:p>
        </w:tc>
        <w:tc>
          <w:tcPr>
            <w:tcW w:w="1134" w:type="dxa"/>
            <w:tcBorders>
              <w:bottom w:val="single" w:sz="4" w:space="0" w:color="auto"/>
            </w:tcBorders>
            <w:tcMar>
              <w:top w:w="11" w:type="dxa"/>
              <w:left w:w="57" w:type="dxa"/>
              <w:bottom w:w="11" w:type="dxa"/>
              <w:right w:w="57" w:type="dxa"/>
            </w:tcMar>
          </w:tcPr>
          <w:p w14:paraId="16633E6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098" w:type="dxa"/>
            <w:tcBorders>
              <w:bottom w:val="single" w:sz="4" w:space="0" w:color="auto"/>
            </w:tcBorders>
          </w:tcPr>
          <w:p w14:paraId="785CC08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9.4</w:t>
            </w:r>
          </w:p>
        </w:tc>
        <w:tc>
          <w:tcPr>
            <w:tcW w:w="979" w:type="dxa"/>
            <w:tcBorders>
              <w:bottom w:val="single" w:sz="4" w:space="0" w:color="auto"/>
            </w:tcBorders>
          </w:tcPr>
          <w:p w14:paraId="19535BE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tr w:rsidR="00646F4F" w:rsidRPr="00735726" w14:paraId="684C932A" w14:textId="77777777" w:rsidTr="00277639">
        <w:trPr>
          <w:trHeight w:val="201"/>
        </w:trPr>
        <w:tc>
          <w:tcPr>
            <w:tcW w:w="5459" w:type="dxa"/>
            <w:tcMar>
              <w:top w:w="11" w:type="dxa"/>
              <w:left w:w="57" w:type="dxa"/>
              <w:bottom w:w="11" w:type="dxa"/>
              <w:right w:w="57" w:type="dxa"/>
            </w:tcMar>
          </w:tcPr>
          <w:p w14:paraId="594ECB2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273" w:type="dxa"/>
          </w:tcPr>
          <w:p w14:paraId="3ED4EB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206" w:type="dxa"/>
            <w:tcBorders>
              <w:top w:val="single" w:sz="4" w:space="0" w:color="auto"/>
              <w:bottom w:val="single" w:sz="4" w:space="0" w:color="auto"/>
            </w:tcBorders>
            <w:tcMar>
              <w:top w:w="11" w:type="dxa"/>
              <w:left w:w="57" w:type="dxa"/>
              <w:bottom w:w="11" w:type="dxa"/>
              <w:right w:w="57" w:type="dxa"/>
            </w:tcMar>
          </w:tcPr>
          <w:p w14:paraId="0953585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343.9</w:t>
            </w:r>
          </w:p>
        </w:tc>
        <w:tc>
          <w:tcPr>
            <w:tcW w:w="1134" w:type="dxa"/>
            <w:tcBorders>
              <w:top w:val="single" w:sz="4" w:space="0" w:color="auto"/>
              <w:bottom w:val="single" w:sz="4" w:space="0" w:color="auto"/>
            </w:tcBorders>
            <w:tcMar>
              <w:top w:w="11" w:type="dxa"/>
              <w:left w:w="57" w:type="dxa"/>
              <w:bottom w:w="11" w:type="dxa"/>
              <w:right w:w="57" w:type="dxa"/>
            </w:tcMar>
          </w:tcPr>
          <w:p w14:paraId="5D70CF0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106.1</w:t>
            </w:r>
          </w:p>
        </w:tc>
        <w:tc>
          <w:tcPr>
            <w:tcW w:w="1098" w:type="dxa"/>
            <w:tcBorders>
              <w:top w:val="single" w:sz="4" w:space="0" w:color="auto"/>
              <w:bottom w:val="single" w:sz="4" w:space="0" w:color="auto"/>
            </w:tcBorders>
          </w:tcPr>
          <w:p w14:paraId="4BC24B8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282.4</w:t>
            </w:r>
          </w:p>
        </w:tc>
        <w:tc>
          <w:tcPr>
            <w:tcW w:w="979" w:type="dxa"/>
            <w:tcBorders>
              <w:top w:val="single" w:sz="4" w:space="0" w:color="auto"/>
              <w:bottom w:val="single" w:sz="4" w:space="0" w:color="auto"/>
            </w:tcBorders>
          </w:tcPr>
          <w:p w14:paraId="77D9598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96.5</w:t>
            </w:r>
          </w:p>
        </w:tc>
      </w:tr>
    </w:tbl>
    <w:p w14:paraId="5CB6ADAA"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73132D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No material expected credit loss provision has been recognised in respect of amounts owed by fellow subsidiary undertakings. </w:t>
      </w:r>
    </w:p>
    <w:p w14:paraId="65775085"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2D58DAEE" w14:textId="1F4363FD" w:rsidR="00B9553C" w:rsidRPr="009A2CAE" w:rsidRDefault="00B9553C">
      <w:pPr>
        <w:spacing w:after="160" w:line="259" w:lineRule="auto"/>
        <w:rPr>
          <w:rFonts w:ascii="Arial" w:eastAsia="Times New Roman" w:hAnsi="Arial" w:cs="Arial"/>
          <w:b/>
          <w:bCs/>
          <w:caps/>
          <w:color w:val="000000"/>
          <w:sz w:val="18"/>
          <w:szCs w:val="18"/>
        </w:rPr>
      </w:pPr>
      <w:r w:rsidRPr="009A2CAE">
        <w:rPr>
          <w:rFonts w:ascii="Arial" w:eastAsia="Times New Roman" w:hAnsi="Arial" w:cs="Arial"/>
          <w:b/>
          <w:bCs/>
          <w:caps/>
          <w:color w:val="000000"/>
          <w:sz w:val="18"/>
          <w:szCs w:val="18"/>
        </w:rPr>
        <w:br w:type="page"/>
      </w:r>
    </w:p>
    <w:p w14:paraId="44D3A36B" w14:textId="57FD1BAE"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19.</w:t>
      </w:r>
      <w:r w:rsidRPr="00735726">
        <w:rPr>
          <w:rFonts w:ascii="Arial" w:eastAsia="Times New Roman" w:hAnsi="Arial" w:cs="Arial"/>
          <w:b/>
          <w:bCs/>
          <w:caps/>
          <w:color w:val="000000"/>
          <w:sz w:val="18"/>
          <w:szCs w:val="18"/>
        </w:rPr>
        <w:tab/>
        <w:t>Trade and other receivables</w:t>
      </w:r>
      <w:r w:rsidR="00C84DB7" w:rsidRPr="00735726">
        <w:rPr>
          <w:rFonts w:ascii="Arial" w:eastAsia="Times New Roman" w:hAnsi="Arial" w:cs="Arial"/>
          <w:b/>
          <w:bCs/>
          <w:caps/>
          <w:color w:val="000000"/>
          <w:sz w:val="18"/>
          <w:szCs w:val="18"/>
        </w:rPr>
        <w:t xml:space="preserve"> - CURRENT</w:t>
      </w:r>
      <w:r w:rsidRPr="00735726">
        <w:rPr>
          <w:rFonts w:ascii="Arial" w:eastAsia="Times New Roman" w:hAnsi="Arial" w:cs="Arial"/>
          <w:b/>
          <w:bCs/>
          <w:caps/>
          <w:color w:val="000000"/>
          <w:sz w:val="18"/>
          <w:szCs w:val="18"/>
        </w:rPr>
        <w:t xml:space="preserve"> (continued)</w:t>
      </w:r>
    </w:p>
    <w:p w14:paraId="06311A3D"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4C84BE3"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Calibri" w:hAnsi="Arial" w:cs="Arial"/>
          <w:sz w:val="18"/>
          <w:szCs w:val="18"/>
        </w:rPr>
      </w:pPr>
      <w:r w:rsidRPr="00735726">
        <w:rPr>
          <w:rFonts w:ascii="Arial" w:eastAsia="Times New Roman" w:hAnsi="Arial" w:cs="DINOT-Light"/>
          <w:color w:val="000000"/>
          <w:sz w:val="18"/>
          <w:szCs w:val="18"/>
        </w:rPr>
        <w:t xml:space="preserve">The movement in the allowance for expected credit losses in respect of trade receivables was: </w:t>
      </w:r>
    </w:p>
    <w:tbl>
      <w:tblPr>
        <w:tblW w:w="9982" w:type="dxa"/>
        <w:tblInd w:w="8" w:type="dxa"/>
        <w:tblLayout w:type="fixed"/>
        <w:tblCellMar>
          <w:left w:w="0" w:type="dxa"/>
          <w:right w:w="0" w:type="dxa"/>
        </w:tblCellMar>
        <w:tblLook w:val="0000" w:firstRow="0" w:lastRow="0" w:firstColumn="0" w:lastColumn="0" w:noHBand="0" w:noVBand="0"/>
      </w:tblPr>
      <w:tblGrid>
        <w:gridCol w:w="6936"/>
        <w:gridCol w:w="1015"/>
        <w:gridCol w:w="1015"/>
        <w:gridCol w:w="1016"/>
      </w:tblGrid>
      <w:tr w:rsidR="00646F4F" w:rsidRPr="00735726" w14:paraId="656DC88B" w14:textId="77777777" w:rsidTr="00CE19B2">
        <w:trPr>
          <w:trHeight w:val="54"/>
          <w:tblHeader/>
        </w:trPr>
        <w:tc>
          <w:tcPr>
            <w:tcW w:w="6936" w:type="dxa"/>
            <w:tcMar>
              <w:top w:w="11" w:type="dxa"/>
              <w:left w:w="57" w:type="dxa"/>
              <w:bottom w:w="11" w:type="dxa"/>
              <w:right w:w="57" w:type="dxa"/>
            </w:tcMar>
          </w:tcPr>
          <w:p w14:paraId="3314000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015" w:type="dxa"/>
          </w:tcPr>
          <w:p w14:paraId="21511D9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15" w:type="dxa"/>
            <w:tcMar>
              <w:top w:w="11" w:type="dxa"/>
              <w:left w:w="57" w:type="dxa"/>
              <w:bottom w:w="11" w:type="dxa"/>
              <w:right w:w="57" w:type="dxa"/>
            </w:tcMar>
          </w:tcPr>
          <w:p w14:paraId="3FE869D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52323E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016" w:type="dxa"/>
            <w:tcMar>
              <w:top w:w="11" w:type="dxa"/>
              <w:left w:w="57" w:type="dxa"/>
              <w:bottom w:w="11" w:type="dxa"/>
              <w:right w:w="57" w:type="dxa"/>
            </w:tcMar>
          </w:tcPr>
          <w:p w14:paraId="6CA1AC1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11542DC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03F4497C" w14:textId="77777777" w:rsidTr="00CE19B2">
        <w:trPr>
          <w:trHeight w:val="206"/>
        </w:trPr>
        <w:tc>
          <w:tcPr>
            <w:tcW w:w="6936" w:type="dxa"/>
            <w:tcMar>
              <w:top w:w="11" w:type="dxa"/>
              <w:left w:w="57" w:type="dxa"/>
              <w:bottom w:w="11" w:type="dxa"/>
              <w:right w:w="57" w:type="dxa"/>
            </w:tcMar>
          </w:tcPr>
          <w:p w14:paraId="3FB369BE" w14:textId="5F8AA14D"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806" w:name="XMETag_281dca2d1fab47699acacbaac7e9d88a" w:colFirst="2" w:colLast="2"/>
            <w:bookmarkStart w:id="807" w:name="XMETag_374d39a051d74013b456ce88e081b709" w:colFirst="3" w:colLast="3"/>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w:t>
            </w:r>
          </w:p>
        </w:tc>
        <w:tc>
          <w:tcPr>
            <w:tcW w:w="1015" w:type="dxa"/>
          </w:tcPr>
          <w:p w14:paraId="60EC716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15" w:type="dxa"/>
            <w:tcMar>
              <w:top w:w="11" w:type="dxa"/>
              <w:left w:w="57" w:type="dxa"/>
              <w:bottom w:w="11" w:type="dxa"/>
              <w:right w:w="57" w:type="dxa"/>
            </w:tcMar>
          </w:tcPr>
          <w:p w14:paraId="69C7F61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96.5</w:t>
            </w:r>
          </w:p>
        </w:tc>
        <w:tc>
          <w:tcPr>
            <w:tcW w:w="1016" w:type="dxa"/>
            <w:tcMar>
              <w:top w:w="11" w:type="dxa"/>
              <w:left w:w="57" w:type="dxa"/>
              <w:bottom w:w="11" w:type="dxa"/>
              <w:right w:w="57" w:type="dxa"/>
            </w:tcMar>
          </w:tcPr>
          <w:p w14:paraId="37383FC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102.8</w:t>
            </w:r>
          </w:p>
        </w:tc>
      </w:tr>
      <w:tr w:rsidR="00646F4F" w:rsidRPr="00735726" w14:paraId="278482CE" w14:textId="77777777" w:rsidTr="00CE19B2">
        <w:trPr>
          <w:trHeight w:val="206"/>
        </w:trPr>
        <w:tc>
          <w:tcPr>
            <w:tcW w:w="6936" w:type="dxa"/>
            <w:tcMar>
              <w:top w:w="11" w:type="dxa"/>
              <w:left w:w="57" w:type="dxa"/>
              <w:bottom w:w="11" w:type="dxa"/>
              <w:right w:w="57" w:type="dxa"/>
            </w:tcMar>
          </w:tcPr>
          <w:p w14:paraId="4DB3BB6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08" w:name="XMETag_304772be477040f49ac6079fdfeab6fb" w:colFirst="2" w:colLast="2"/>
            <w:bookmarkStart w:id="809" w:name="XMETag_dadfdfd47b574c40aa660e7946f29ed0" w:colFirst="3" w:colLast="3"/>
            <w:bookmarkEnd w:id="806"/>
            <w:bookmarkEnd w:id="807"/>
            <w:r w:rsidRPr="00735726">
              <w:rPr>
                <w:rFonts w:ascii="Arial" w:eastAsia="Times New Roman" w:hAnsi="Arial" w:cs="DINOT-Light"/>
                <w:color w:val="000000"/>
                <w:sz w:val="18"/>
                <w:szCs w:val="18"/>
              </w:rPr>
              <w:t>Provision for expected credit losses</w:t>
            </w:r>
          </w:p>
        </w:tc>
        <w:tc>
          <w:tcPr>
            <w:tcW w:w="1015" w:type="dxa"/>
          </w:tcPr>
          <w:p w14:paraId="0328BEA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015" w:type="dxa"/>
            <w:tcMar>
              <w:top w:w="11" w:type="dxa"/>
              <w:left w:w="57" w:type="dxa"/>
              <w:bottom w:w="11" w:type="dxa"/>
              <w:right w:w="57" w:type="dxa"/>
            </w:tcMar>
          </w:tcPr>
          <w:p w14:paraId="4D26BF8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14.0</w:t>
            </w:r>
          </w:p>
        </w:tc>
        <w:tc>
          <w:tcPr>
            <w:tcW w:w="1016" w:type="dxa"/>
            <w:tcMar>
              <w:top w:w="11" w:type="dxa"/>
              <w:left w:w="57" w:type="dxa"/>
              <w:bottom w:w="11" w:type="dxa"/>
              <w:right w:w="57" w:type="dxa"/>
            </w:tcMar>
          </w:tcPr>
          <w:p w14:paraId="628F1E2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8.2</w:t>
            </w:r>
          </w:p>
        </w:tc>
      </w:tr>
      <w:tr w:rsidR="00646F4F" w:rsidRPr="00735726" w14:paraId="1D0E3056" w14:textId="77777777" w:rsidTr="00CE19B2">
        <w:trPr>
          <w:trHeight w:val="206"/>
        </w:trPr>
        <w:tc>
          <w:tcPr>
            <w:tcW w:w="6936" w:type="dxa"/>
            <w:tcMar>
              <w:top w:w="11" w:type="dxa"/>
              <w:left w:w="57" w:type="dxa"/>
              <w:bottom w:w="11" w:type="dxa"/>
              <w:right w:w="57" w:type="dxa"/>
            </w:tcMar>
          </w:tcPr>
          <w:p w14:paraId="219ADB00" w14:textId="2267BC55"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10" w:name="XMETag_1092122cb4f142dfac8fc91a83902c7a" w:colFirst="2" w:colLast="2"/>
            <w:bookmarkStart w:id="811" w:name="XMETag_69b5270c1bb54cdba11ebe439cf16d04" w:colFirst="3" w:colLast="3"/>
            <w:bookmarkEnd w:id="808"/>
            <w:bookmarkEnd w:id="809"/>
            <w:r w:rsidRPr="00735726">
              <w:rPr>
                <w:rFonts w:ascii="Arial" w:eastAsia="Times New Roman" w:hAnsi="Arial" w:cs="DINOT-Light"/>
                <w:color w:val="000000"/>
                <w:sz w:val="18"/>
                <w:szCs w:val="18"/>
              </w:rPr>
              <w:t xml:space="preserve">Receivables </w:t>
            </w:r>
            <w:proofErr w:type="gramStart"/>
            <w:r w:rsidRPr="00735726">
              <w:rPr>
                <w:rFonts w:ascii="Arial" w:eastAsia="Times New Roman" w:hAnsi="Arial" w:cs="DINOT-Light"/>
                <w:color w:val="000000"/>
                <w:sz w:val="18"/>
                <w:szCs w:val="18"/>
              </w:rPr>
              <w:t>written-off</w:t>
            </w:r>
            <w:proofErr w:type="gramEnd"/>
            <w:r w:rsidRPr="00735726">
              <w:rPr>
                <w:rFonts w:ascii="Arial" w:eastAsia="Times New Roman" w:hAnsi="Arial" w:cs="DINOT-Light"/>
                <w:color w:val="000000"/>
                <w:sz w:val="18"/>
                <w:szCs w:val="18"/>
              </w:rPr>
              <w:t xml:space="preserve"> during the year as uncollectable</w:t>
            </w:r>
          </w:p>
        </w:tc>
        <w:tc>
          <w:tcPr>
            <w:tcW w:w="1015" w:type="dxa"/>
          </w:tcPr>
          <w:p w14:paraId="4CD0516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015" w:type="dxa"/>
            <w:tcMar>
              <w:top w:w="11" w:type="dxa"/>
              <w:left w:w="57" w:type="dxa"/>
              <w:bottom w:w="11" w:type="dxa"/>
              <w:right w:w="57" w:type="dxa"/>
            </w:tcMar>
          </w:tcPr>
          <w:p w14:paraId="6ECF1A4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(4.4)</w:t>
            </w:r>
          </w:p>
        </w:tc>
        <w:tc>
          <w:tcPr>
            <w:tcW w:w="1016" w:type="dxa"/>
            <w:tcMar>
              <w:top w:w="11" w:type="dxa"/>
              <w:left w:w="57" w:type="dxa"/>
              <w:bottom w:w="11" w:type="dxa"/>
              <w:right w:w="57" w:type="dxa"/>
            </w:tcMar>
          </w:tcPr>
          <w:p w14:paraId="1A2F20E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(14.5)</w:t>
            </w:r>
          </w:p>
        </w:tc>
      </w:tr>
      <w:tr w:rsidR="00646F4F" w:rsidRPr="00735726" w14:paraId="47BC24EB" w14:textId="77777777" w:rsidTr="00CE19B2">
        <w:trPr>
          <w:trHeight w:val="206"/>
        </w:trPr>
        <w:tc>
          <w:tcPr>
            <w:tcW w:w="6936" w:type="dxa"/>
            <w:tcMar>
              <w:top w:w="11" w:type="dxa"/>
              <w:left w:w="57" w:type="dxa"/>
              <w:bottom w:w="11" w:type="dxa"/>
              <w:right w:w="57" w:type="dxa"/>
            </w:tcMar>
          </w:tcPr>
          <w:p w14:paraId="446114B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812" w:name="XMETag_d3aeaa085d9343e4b83f398af0ef64af" w:colFirst="2" w:colLast="2"/>
            <w:bookmarkStart w:id="813" w:name="XMETag_b8b3bd164ba84f5d95c7ac0b9c4f4247" w:colFirst="3" w:colLast="3"/>
            <w:bookmarkEnd w:id="810"/>
            <w:bookmarkEnd w:id="811"/>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w:t>
            </w:r>
          </w:p>
        </w:tc>
        <w:tc>
          <w:tcPr>
            <w:tcW w:w="1015" w:type="dxa"/>
          </w:tcPr>
          <w:p w14:paraId="5B651A5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015" w:type="dxa"/>
            <w:tcBorders>
              <w:top w:val="single" w:sz="4" w:space="0" w:color="auto"/>
              <w:bottom w:val="single" w:sz="4" w:space="0" w:color="auto"/>
            </w:tcBorders>
            <w:tcMar>
              <w:top w:w="11" w:type="dxa"/>
              <w:left w:w="57" w:type="dxa"/>
              <w:bottom w:w="11" w:type="dxa"/>
              <w:right w:w="57" w:type="dxa"/>
            </w:tcMar>
          </w:tcPr>
          <w:p w14:paraId="50B004E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106.1</w:t>
            </w:r>
          </w:p>
        </w:tc>
        <w:tc>
          <w:tcPr>
            <w:tcW w:w="1016" w:type="dxa"/>
            <w:tcBorders>
              <w:top w:val="single" w:sz="4" w:space="0" w:color="auto"/>
              <w:bottom w:val="single" w:sz="4" w:space="0" w:color="auto"/>
            </w:tcBorders>
            <w:tcMar>
              <w:top w:w="11" w:type="dxa"/>
              <w:left w:w="57" w:type="dxa"/>
              <w:bottom w:w="11" w:type="dxa"/>
              <w:right w:w="57" w:type="dxa"/>
            </w:tcMar>
          </w:tcPr>
          <w:p w14:paraId="0BB8B31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96.5</w:t>
            </w:r>
          </w:p>
        </w:tc>
      </w:tr>
      <w:bookmarkEnd w:id="812"/>
      <w:bookmarkEnd w:id="813"/>
    </w:tbl>
    <w:p w14:paraId="17E12CDB" w14:textId="77777777" w:rsidR="00646F4F" w:rsidRPr="009A2CAE" w:rsidRDefault="00646F4F" w:rsidP="00646F4F">
      <w:pPr>
        <w:spacing w:after="0" w:line="240" w:lineRule="auto"/>
        <w:rPr>
          <w:rFonts w:ascii="Arial" w:eastAsia="Calibri" w:hAnsi="Arial" w:cs="Arial"/>
          <w:sz w:val="18"/>
          <w:szCs w:val="18"/>
        </w:rPr>
      </w:pPr>
    </w:p>
    <w:p w14:paraId="34828D19" w14:textId="3C65CA6F" w:rsidR="00646F4F" w:rsidRPr="00735726" w:rsidRDefault="00646F4F" w:rsidP="00646F4F">
      <w:pPr>
        <w:rPr>
          <w:rFonts w:ascii="Arial" w:eastAsia="Calibri" w:hAnsi="Arial" w:cs="Arial"/>
          <w:sz w:val="18"/>
          <w:szCs w:val="18"/>
        </w:rPr>
      </w:pPr>
      <w:r w:rsidRPr="00735726">
        <w:rPr>
          <w:rFonts w:ascii="Arial" w:eastAsia="Calibri" w:hAnsi="Arial" w:cs="Arial"/>
          <w:sz w:val="18"/>
          <w:szCs w:val="18"/>
        </w:rPr>
        <w:t xml:space="preserve">Trade receivables and contract assets are written off where there is no reasonable expectation of recovery. Indicators that there is no reasonable expectation of recovery include, amongst others, the failure of a debtor to engage in a repayment plan with the </w:t>
      </w:r>
      <w:r w:rsidR="00B231EE" w:rsidRPr="00735726">
        <w:rPr>
          <w:rFonts w:ascii="Arial" w:eastAsia="Calibri" w:hAnsi="Arial" w:cs="Arial"/>
          <w:sz w:val="18"/>
          <w:szCs w:val="18"/>
        </w:rPr>
        <w:t>Company</w:t>
      </w:r>
      <w:r w:rsidRPr="00735726">
        <w:rPr>
          <w:rFonts w:ascii="Arial" w:eastAsia="Calibri" w:hAnsi="Arial" w:cs="Arial"/>
          <w:sz w:val="18"/>
          <w:szCs w:val="18"/>
        </w:rPr>
        <w:t>, and where a failure to make payments on overdue invoices indicate the debt is unrecoverable.</w:t>
      </w:r>
    </w:p>
    <w:p w14:paraId="0F6BD320"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20.</w:t>
      </w:r>
      <w:r w:rsidRPr="00735726">
        <w:rPr>
          <w:rFonts w:ascii="Arial" w:eastAsia="Times New Roman" w:hAnsi="Arial" w:cs="Arial"/>
          <w:b/>
          <w:bCs/>
          <w:caps/>
          <w:color w:val="000000"/>
          <w:sz w:val="18"/>
          <w:szCs w:val="18"/>
        </w:rPr>
        <w:tab/>
        <w:t xml:space="preserve">Derivative financial instruments </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18D24AC4" w14:textId="77777777" w:rsidTr="00CE19B2">
        <w:trPr>
          <w:trHeight w:val="60"/>
          <w:tblHeader/>
        </w:trPr>
        <w:tc>
          <w:tcPr>
            <w:tcW w:w="7739" w:type="dxa"/>
            <w:tcMar>
              <w:top w:w="11" w:type="dxa"/>
              <w:left w:w="57" w:type="dxa"/>
              <w:bottom w:w="11" w:type="dxa"/>
              <w:right w:w="57" w:type="dxa"/>
            </w:tcMar>
            <w:vAlign w:val="bottom"/>
          </w:tcPr>
          <w:p w14:paraId="368F1A5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Derivatives used for cash flow hedging:</w:t>
            </w:r>
          </w:p>
        </w:tc>
        <w:tc>
          <w:tcPr>
            <w:tcW w:w="1133" w:type="dxa"/>
            <w:tcMar>
              <w:top w:w="11" w:type="dxa"/>
              <w:left w:w="57" w:type="dxa"/>
              <w:bottom w:w="11" w:type="dxa"/>
              <w:right w:w="57" w:type="dxa"/>
            </w:tcMar>
          </w:tcPr>
          <w:p w14:paraId="2AF2396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2991B8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565E1A4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7322CAF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6C148EF" w14:textId="77777777" w:rsidTr="00CE19B2">
        <w:trPr>
          <w:trHeight w:val="228"/>
        </w:trPr>
        <w:tc>
          <w:tcPr>
            <w:tcW w:w="7739" w:type="dxa"/>
            <w:tcMar>
              <w:top w:w="11" w:type="dxa"/>
              <w:left w:w="57" w:type="dxa"/>
              <w:bottom w:w="11" w:type="dxa"/>
              <w:right w:w="57" w:type="dxa"/>
            </w:tcMar>
          </w:tcPr>
          <w:p w14:paraId="568B089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b/>
                <w:color w:val="000000"/>
                <w:sz w:val="18"/>
                <w:szCs w:val="18"/>
              </w:rPr>
              <w:t>Assets</w:t>
            </w:r>
          </w:p>
        </w:tc>
        <w:tc>
          <w:tcPr>
            <w:tcW w:w="1133" w:type="dxa"/>
            <w:tcMar>
              <w:top w:w="11" w:type="dxa"/>
              <w:left w:w="57" w:type="dxa"/>
              <w:bottom w:w="11" w:type="dxa"/>
              <w:right w:w="57" w:type="dxa"/>
            </w:tcMar>
          </w:tcPr>
          <w:p w14:paraId="2ED6267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688F266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08219F3A" w14:textId="77777777" w:rsidTr="00CE19B2">
        <w:trPr>
          <w:trHeight w:val="228"/>
        </w:trPr>
        <w:tc>
          <w:tcPr>
            <w:tcW w:w="7739" w:type="dxa"/>
            <w:tcMar>
              <w:top w:w="11" w:type="dxa"/>
              <w:left w:w="57" w:type="dxa"/>
              <w:bottom w:w="11" w:type="dxa"/>
              <w:right w:w="57" w:type="dxa"/>
            </w:tcMar>
          </w:tcPr>
          <w:p w14:paraId="5017DAE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14" w:name="XMETag_56f79945c44248d69e3e907c3063c52d" w:colFirst="1" w:colLast="1"/>
            <w:bookmarkStart w:id="815" w:name="XMETag_789d3dfee3594ad0b3789cc44531b337" w:colFirst="2" w:colLast="2"/>
            <w:r w:rsidRPr="00735726">
              <w:rPr>
                <w:rFonts w:ascii="Arial" w:eastAsia="Times New Roman" w:hAnsi="Arial" w:cs="DINOT-Light"/>
                <w:color w:val="000000"/>
                <w:sz w:val="18"/>
                <w:szCs w:val="18"/>
              </w:rPr>
              <w:t>Current assets</w:t>
            </w:r>
          </w:p>
        </w:tc>
        <w:tc>
          <w:tcPr>
            <w:tcW w:w="1133" w:type="dxa"/>
            <w:tcMar>
              <w:top w:w="11" w:type="dxa"/>
              <w:left w:w="57" w:type="dxa"/>
              <w:bottom w:w="11" w:type="dxa"/>
              <w:right w:w="57" w:type="dxa"/>
            </w:tcMar>
          </w:tcPr>
          <w:p w14:paraId="3E35C7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7.8</w:t>
            </w:r>
          </w:p>
        </w:tc>
        <w:tc>
          <w:tcPr>
            <w:tcW w:w="1134" w:type="dxa"/>
            <w:tcMar>
              <w:top w:w="11" w:type="dxa"/>
              <w:left w:w="57" w:type="dxa"/>
              <w:bottom w:w="11" w:type="dxa"/>
              <w:right w:w="57" w:type="dxa"/>
            </w:tcMar>
          </w:tcPr>
          <w:p w14:paraId="3027F6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9.3</w:t>
            </w:r>
          </w:p>
        </w:tc>
      </w:tr>
      <w:tr w:rsidR="00646F4F" w:rsidRPr="00735726" w14:paraId="15A338F8" w14:textId="77777777" w:rsidTr="00CE19B2">
        <w:trPr>
          <w:trHeight w:val="228"/>
        </w:trPr>
        <w:tc>
          <w:tcPr>
            <w:tcW w:w="7739" w:type="dxa"/>
            <w:tcMar>
              <w:top w:w="11" w:type="dxa"/>
              <w:left w:w="57" w:type="dxa"/>
              <w:bottom w:w="11" w:type="dxa"/>
              <w:right w:w="57" w:type="dxa"/>
            </w:tcMar>
          </w:tcPr>
          <w:p w14:paraId="0CE63C1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16" w:name="XMETag_b08c6c423ba84fb2aa34d7195f9d6e47" w:colFirst="1" w:colLast="1"/>
            <w:bookmarkStart w:id="817" w:name="XMETag_b38af03a1c544c058eb4e603f95c1759" w:colFirst="2" w:colLast="2"/>
            <w:bookmarkEnd w:id="814"/>
            <w:bookmarkEnd w:id="815"/>
            <w:r w:rsidRPr="00735726">
              <w:rPr>
                <w:rFonts w:ascii="Arial" w:eastAsia="Times New Roman" w:hAnsi="Arial" w:cs="DINOT-Light"/>
                <w:color w:val="000000"/>
                <w:sz w:val="18"/>
                <w:szCs w:val="18"/>
              </w:rPr>
              <w:t>Non-current assets</w:t>
            </w:r>
          </w:p>
        </w:tc>
        <w:tc>
          <w:tcPr>
            <w:tcW w:w="1133" w:type="dxa"/>
            <w:tcBorders>
              <w:bottom w:val="single" w:sz="4" w:space="0" w:color="auto"/>
            </w:tcBorders>
            <w:tcMar>
              <w:top w:w="11" w:type="dxa"/>
              <w:left w:w="57" w:type="dxa"/>
              <w:bottom w:w="11" w:type="dxa"/>
              <w:right w:w="57" w:type="dxa"/>
            </w:tcMar>
          </w:tcPr>
          <w:p w14:paraId="779B94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21.4</w:t>
            </w:r>
          </w:p>
        </w:tc>
        <w:tc>
          <w:tcPr>
            <w:tcW w:w="1134" w:type="dxa"/>
            <w:tcBorders>
              <w:bottom w:val="single" w:sz="4" w:space="0" w:color="auto"/>
            </w:tcBorders>
            <w:tcMar>
              <w:top w:w="11" w:type="dxa"/>
              <w:left w:w="57" w:type="dxa"/>
              <w:bottom w:w="11" w:type="dxa"/>
              <w:right w:w="57" w:type="dxa"/>
            </w:tcMar>
          </w:tcPr>
          <w:p w14:paraId="268D4B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22.3</w:t>
            </w:r>
          </w:p>
        </w:tc>
      </w:tr>
      <w:tr w:rsidR="00646F4F" w:rsidRPr="00735726" w14:paraId="7E6D8C30" w14:textId="77777777" w:rsidTr="00CE19B2">
        <w:trPr>
          <w:trHeight w:val="228"/>
        </w:trPr>
        <w:tc>
          <w:tcPr>
            <w:tcW w:w="7739" w:type="dxa"/>
            <w:tcMar>
              <w:top w:w="11" w:type="dxa"/>
              <w:left w:w="57" w:type="dxa"/>
              <w:bottom w:w="11" w:type="dxa"/>
              <w:right w:w="57" w:type="dxa"/>
            </w:tcMar>
          </w:tcPr>
          <w:p w14:paraId="31CD4EF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18" w:name="XMETag_c154b300329f4f44b5ac537502ac515d" w:colFirst="1" w:colLast="1"/>
            <w:bookmarkStart w:id="819" w:name="XMETag_dc0df647dc3f432d919956537f5dfd1c" w:colFirst="2" w:colLast="2"/>
            <w:bookmarkEnd w:id="816"/>
            <w:bookmarkEnd w:id="817"/>
            <w:r w:rsidRPr="00735726">
              <w:rPr>
                <w:rFonts w:ascii="Arial" w:eastAsia="Times New Roman" w:hAnsi="Arial" w:cs="DINOT-Light"/>
                <w:b/>
                <w:color w:val="000000"/>
                <w:sz w:val="18"/>
                <w:szCs w:val="18"/>
              </w:rPr>
              <w:t>Total assets</w:t>
            </w:r>
          </w:p>
        </w:tc>
        <w:tc>
          <w:tcPr>
            <w:tcW w:w="1133" w:type="dxa"/>
            <w:tcBorders>
              <w:top w:val="single" w:sz="4" w:space="0" w:color="auto"/>
              <w:bottom w:val="single" w:sz="4" w:space="0" w:color="auto"/>
            </w:tcBorders>
            <w:tcMar>
              <w:top w:w="11" w:type="dxa"/>
              <w:left w:w="57" w:type="dxa"/>
              <w:bottom w:w="11" w:type="dxa"/>
              <w:right w:w="57" w:type="dxa"/>
            </w:tcMar>
          </w:tcPr>
          <w:p w14:paraId="2C5B67D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29.2</w:t>
            </w:r>
          </w:p>
        </w:tc>
        <w:tc>
          <w:tcPr>
            <w:tcW w:w="1134" w:type="dxa"/>
            <w:tcBorders>
              <w:top w:val="single" w:sz="4" w:space="0" w:color="auto"/>
              <w:bottom w:val="single" w:sz="4" w:space="0" w:color="auto"/>
            </w:tcBorders>
            <w:tcMar>
              <w:top w:w="11" w:type="dxa"/>
              <w:left w:w="57" w:type="dxa"/>
              <w:bottom w:w="11" w:type="dxa"/>
              <w:right w:w="57" w:type="dxa"/>
            </w:tcMar>
          </w:tcPr>
          <w:p w14:paraId="49AC9F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31.6</w:t>
            </w:r>
          </w:p>
        </w:tc>
      </w:tr>
      <w:bookmarkEnd w:id="818"/>
      <w:bookmarkEnd w:id="819"/>
      <w:tr w:rsidR="00646F4F" w:rsidRPr="00735726" w14:paraId="309C7119" w14:textId="77777777" w:rsidTr="00CE19B2">
        <w:trPr>
          <w:trHeight w:val="228"/>
        </w:trPr>
        <w:tc>
          <w:tcPr>
            <w:tcW w:w="7739" w:type="dxa"/>
            <w:tcMar>
              <w:top w:w="11" w:type="dxa"/>
              <w:left w:w="57" w:type="dxa"/>
              <w:bottom w:w="11" w:type="dxa"/>
              <w:right w:w="57" w:type="dxa"/>
            </w:tcMar>
          </w:tcPr>
          <w:p w14:paraId="4BA7FAF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3" w:type="dxa"/>
            <w:tcBorders>
              <w:top w:val="single" w:sz="4" w:space="0" w:color="auto"/>
            </w:tcBorders>
            <w:tcMar>
              <w:top w:w="11" w:type="dxa"/>
              <w:left w:w="57" w:type="dxa"/>
              <w:bottom w:w="11" w:type="dxa"/>
              <w:right w:w="57" w:type="dxa"/>
            </w:tcMar>
          </w:tcPr>
          <w:p w14:paraId="06545E9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6DBE179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78258684" w14:textId="77777777" w:rsidTr="00CE19B2">
        <w:trPr>
          <w:trHeight w:val="228"/>
        </w:trPr>
        <w:tc>
          <w:tcPr>
            <w:tcW w:w="7739" w:type="dxa"/>
            <w:tcMar>
              <w:top w:w="11" w:type="dxa"/>
              <w:left w:w="57" w:type="dxa"/>
              <w:bottom w:w="11" w:type="dxa"/>
              <w:right w:w="57" w:type="dxa"/>
            </w:tcMar>
          </w:tcPr>
          <w:p w14:paraId="7CAB933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b/>
                <w:color w:val="000000"/>
                <w:sz w:val="18"/>
                <w:szCs w:val="18"/>
              </w:rPr>
              <w:t>Liabilities</w:t>
            </w:r>
          </w:p>
        </w:tc>
        <w:tc>
          <w:tcPr>
            <w:tcW w:w="1133" w:type="dxa"/>
            <w:tcMar>
              <w:top w:w="11" w:type="dxa"/>
              <w:left w:w="57" w:type="dxa"/>
              <w:bottom w:w="11" w:type="dxa"/>
              <w:right w:w="57" w:type="dxa"/>
            </w:tcMar>
          </w:tcPr>
          <w:p w14:paraId="5D3A80B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2869A68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6F3028E1" w14:textId="77777777" w:rsidTr="00CE19B2">
        <w:trPr>
          <w:trHeight w:val="228"/>
        </w:trPr>
        <w:tc>
          <w:tcPr>
            <w:tcW w:w="7739" w:type="dxa"/>
            <w:tcMar>
              <w:top w:w="11" w:type="dxa"/>
              <w:left w:w="57" w:type="dxa"/>
              <w:bottom w:w="11" w:type="dxa"/>
              <w:right w:w="57" w:type="dxa"/>
            </w:tcMar>
          </w:tcPr>
          <w:p w14:paraId="52A6661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20" w:name="XMETag_fbcc5f1819ac483cbc7c95c390b94d6c" w:colFirst="1" w:colLast="1"/>
            <w:bookmarkStart w:id="821" w:name="XMETag_c00a094f6c904fd7bff1c3a1602a4f7c" w:colFirst="2" w:colLast="2"/>
            <w:r w:rsidRPr="00735726">
              <w:rPr>
                <w:rFonts w:ascii="Arial" w:eastAsia="Times New Roman" w:hAnsi="Arial" w:cs="DINOT-Light"/>
                <w:color w:val="000000"/>
                <w:sz w:val="18"/>
                <w:szCs w:val="18"/>
              </w:rPr>
              <w:t>Current liabilities</w:t>
            </w:r>
          </w:p>
        </w:tc>
        <w:tc>
          <w:tcPr>
            <w:tcW w:w="1133" w:type="dxa"/>
            <w:tcMar>
              <w:top w:w="11" w:type="dxa"/>
              <w:left w:w="57" w:type="dxa"/>
              <w:bottom w:w="11" w:type="dxa"/>
              <w:right w:w="57" w:type="dxa"/>
            </w:tcMar>
          </w:tcPr>
          <w:p w14:paraId="54A889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(0.6)</w:t>
            </w:r>
          </w:p>
        </w:tc>
        <w:tc>
          <w:tcPr>
            <w:tcW w:w="1134" w:type="dxa"/>
            <w:tcMar>
              <w:top w:w="11" w:type="dxa"/>
              <w:left w:w="57" w:type="dxa"/>
              <w:bottom w:w="11" w:type="dxa"/>
              <w:right w:w="57" w:type="dxa"/>
            </w:tcMar>
          </w:tcPr>
          <w:p w14:paraId="60C1358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(0.4)</w:t>
            </w:r>
          </w:p>
        </w:tc>
      </w:tr>
      <w:tr w:rsidR="00646F4F" w:rsidRPr="00735726" w14:paraId="14953D15" w14:textId="77777777" w:rsidTr="00CE19B2">
        <w:trPr>
          <w:trHeight w:val="228"/>
        </w:trPr>
        <w:tc>
          <w:tcPr>
            <w:tcW w:w="7739" w:type="dxa"/>
            <w:tcMar>
              <w:top w:w="11" w:type="dxa"/>
              <w:left w:w="57" w:type="dxa"/>
              <w:bottom w:w="11" w:type="dxa"/>
              <w:right w:w="57" w:type="dxa"/>
            </w:tcMar>
          </w:tcPr>
          <w:p w14:paraId="259D249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22" w:name="XMETag_37e4fe6b5dd1468c8faf96a8db94b8e9" w:colFirst="1" w:colLast="1"/>
            <w:bookmarkStart w:id="823" w:name="XMETag_df2589e95cfc40bfbf26eaf37762d7ea" w:colFirst="2" w:colLast="2"/>
            <w:bookmarkEnd w:id="820"/>
            <w:bookmarkEnd w:id="821"/>
            <w:r w:rsidRPr="00735726">
              <w:rPr>
                <w:rFonts w:ascii="Arial" w:eastAsia="Times New Roman" w:hAnsi="Arial" w:cs="DINOT-Light"/>
                <w:color w:val="000000"/>
                <w:sz w:val="18"/>
                <w:szCs w:val="18"/>
              </w:rPr>
              <w:t>Non-current liabilities</w:t>
            </w:r>
          </w:p>
        </w:tc>
        <w:tc>
          <w:tcPr>
            <w:tcW w:w="1133" w:type="dxa"/>
            <w:tcBorders>
              <w:bottom w:val="single" w:sz="4" w:space="0" w:color="auto"/>
            </w:tcBorders>
            <w:tcMar>
              <w:top w:w="11" w:type="dxa"/>
              <w:left w:w="57" w:type="dxa"/>
              <w:bottom w:w="11" w:type="dxa"/>
              <w:right w:w="57" w:type="dxa"/>
            </w:tcMar>
          </w:tcPr>
          <w:p w14:paraId="1891A19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w:t>
            </w:r>
          </w:p>
        </w:tc>
        <w:tc>
          <w:tcPr>
            <w:tcW w:w="1134" w:type="dxa"/>
            <w:tcBorders>
              <w:bottom w:val="single" w:sz="4" w:space="0" w:color="auto"/>
            </w:tcBorders>
            <w:tcMar>
              <w:top w:w="11" w:type="dxa"/>
              <w:left w:w="57" w:type="dxa"/>
              <w:bottom w:w="11" w:type="dxa"/>
              <w:right w:w="57" w:type="dxa"/>
            </w:tcMar>
          </w:tcPr>
          <w:p w14:paraId="25F073B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r>
      <w:tr w:rsidR="00646F4F" w:rsidRPr="00735726" w14:paraId="78E1BE8C" w14:textId="77777777" w:rsidTr="00CE19B2">
        <w:trPr>
          <w:trHeight w:val="228"/>
        </w:trPr>
        <w:tc>
          <w:tcPr>
            <w:tcW w:w="7739" w:type="dxa"/>
            <w:tcMar>
              <w:top w:w="11" w:type="dxa"/>
              <w:left w:w="57" w:type="dxa"/>
              <w:bottom w:w="11" w:type="dxa"/>
              <w:right w:w="57" w:type="dxa"/>
            </w:tcMar>
          </w:tcPr>
          <w:p w14:paraId="3C55082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824" w:name="XMETag_020077f7e39b4ab99a12a1f411d38b19" w:colFirst="1" w:colLast="1"/>
            <w:bookmarkStart w:id="825" w:name="XMETag_5557d72334bc4a0ab5c964dda7346d1d" w:colFirst="2" w:colLast="2"/>
            <w:bookmarkEnd w:id="822"/>
            <w:bookmarkEnd w:id="823"/>
            <w:r w:rsidRPr="00735726">
              <w:rPr>
                <w:rFonts w:ascii="Arial" w:eastAsia="Times New Roman" w:hAnsi="Arial" w:cs="DINOT-Light"/>
                <w:b/>
                <w:color w:val="000000"/>
                <w:sz w:val="18"/>
                <w:szCs w:val="18"/>
              </w:rPr>
              <w:t>Total liabilities</w:t>
            </w:r>
          </w:p>
        </w:tc>
        <w:tc>
          <w:tcPr>
            <w:tcW w:w="1133" w:type="dxa"/>
            <w:tcBorders>
              <w:top w:val="single" w:sz="4" w:space="0" w:color="auto"/>
              <w:bottom w:val="single" w:sz="4" w:space="0" w:color="auto"/>
            </w:tcBorders>
            <w:tcMar>
              <w:top w:w="11" w:type="dxa"/>
              <w:left w:w="57" w:type="dxa"/>
              <w:bottom w:w="11" w:type="dxa"/>
              <w:right w:w="57" w:type="dxa"/>
            </w:tcMar>
          </w:tcPr>
          <w:p w14:paraId="25276D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(2.5)</w:t>
            </w:r>
          </w:p>
        </w:tc>
        <w:tc>
          <w:tcPr>
            <w:tcW w:w="1134" w:type="dxa"/>
            <w:tcBorders>
              <w:top w:val="single" w:sz="4" w:space="0" w:color="auto"/>
              <w:bottom w:val="single" w:sz="4" w:space="0" w:color="auto"/>
            </w:tcBorders>
            <w:tcMar>
              <w:top w:w="11" w:type="dxa"/>
              <w:left w:w="57" w:type="dxa"/>
              <w:bottom w:w="11" w:type="dxa"/>
              <w:right w:w="57" w:type="dxa"/>
            </w:tcMar>
          </w:tcPr>
          <w:p w14:paraId="748DA43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w:t>
            </w:r>
          </w:p>
        </w:tc>
      </w:tr>
      <w:bookmarkEnd w:id="824"/>
      <w:bookmarkEnd w:id="825"/>
    </w:tbl>
    <w:p w14:paraId="075808B5"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752C75E" w14:textId="01F5392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 xml:space="preserve">The Company’s financial risks and risk management policies are set out in </w:t>
      </w:r>
      <w:r w:rsidRPr="009A2CAE">
        <w:rPr>
          <w:rFonts w:ascii="Arial" w:eastAsia="Times New Roman" w:hAnsi="Arial" w:cs="DINOT-Light"/>
          <w:color w:val="000000"/>
          <w:sz w:val="18"/>
          <w:szCs w:val="18"/>
        </w:rPr>
        <w:t xml:space="preserve">note 3. </w:t>
      </w:r>
      <w:r w:rsidRPr="00735726">
        <w:rPr>
          <w:rFonts w:ascii="Arial" w:eastAsia="Times New Roman" w:hAnsi="Arial" w:cs="DINOT-Light"/>
          <w:color w:val="000000"/>
          <w:sz w:val="18"/>
          <w:szCs w:val="18"/>
        </w:rPr>
        <w:t>The fair value of derivatives is split between current and non-current assets or liabilities based on the maturity of the cash flows. The ineffective portion recognised in the statement of profit or loss arising from hedging relationships was £</w:t>
      </w:r>
      <w:r w:rsidR="00B538F8" w:rsidRPr="00735726">
        <w:rPr>
          <w:rFonts w:ascii="Arial" w:eastAsia="Times New Roman" w:hAnsi="Arial" w:cs="DINOT-Light"/>
          <w:color w:val="000000"/>
          <w:sz w:val="18"/>
          <w:szCs w:val="18"/>
        </w:rPr>
        <w:t>nil</w:t>
      </w:r>
      <w:r w:rsidRPr="00735726">
        <w:rPr>
          <w:rFonts w:ascii="Arial" w:eastAsia="Times New Roman" w:hAnsi="Arial" w:cs="DINOT-Light"/>
          <w:color w:val="000000"/>
          <w:sz w:val="18"/>
          <w:szCs w:val="18"/>
        </w:rPr>
        <w:t xml:space="preserve"> </w:t>
      </w:r>
      <w:r w:rsidRPr="00735726">
        <w:rPr>
          <w:rFonts w:ascii="Arial" w:eastAsia="Times New Roman" w:hAnsi="Arial" w:cs="DINOT-Light"/>
          <w:sz w:val="18"/>
          <w:szCs w:val="18"/>
        </w:rPr>
        <w:t>(2025: £nil).</w:t>
      </w:r>
    </w:p>
    <w:p w14:paraId="1DB74328"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1A981F7D" w14:textId="7FA9A214"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A net £0.7 million credit (2025: £4.4 million debit) was recognised in other comprehensive income for cash flow hedges, including a £7.3 million credit (2025: £15.1 million credit) recognised in profit and loss relating to cash flow hedges previously recognised through other comprehensive income and recorded in the hedging reserve.</w:t>
      </w:r>
    </w:p>
    <w:p w14:paraId="58FCBC99"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72DC30A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Interest rate swaps, primarily cash flow hedges, and fixed rate borrowings are used to manage the mix of fixed and floating rates to ensure at least 60% of Company net borrowings are at fixed rate.</w:t>
      </w:r>
    </w:p>
    <w:p w14:paraId="0442F579"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17CFDA08" w14:textId="6046C0F3"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roofErr w:type="gramStart"/>
      <w:r w:rsidRPr="00735726">
        <w:rPr>
          <w:rFonts w:ascii="Arial" w:eastAsia="Times New Roman" w:hAnsi="Arial" w:cs="DINOT-Light"/>
          <w:sz w:val="18"/>
          <w:szCs w:val="18"/>
        </w:rPr>
        <w:t>At</w:t>
      </w:r>
      <w:proofErr w:type="gramEnd"/>
      <w:r w:rsidRPr="00735726">
        <w:rPr>
          <w:rFonts w:ascii="Arial" w:eastAsia="Times New Roman" w:hAnsi="Arial" w:cs="DINOT-Light"/>
          <w:sz w:val="18"/>
          <w:szCs w:val="18"/>
        </w:rPr>
        <w:t xml:space="preserve"> 31 March 2026 the </w:t>
      </w:r>
      <w:r w:rsidR="004169C5" w:rsidRPr="00735726">
        <w:rPr>
          <w:rFonts w:ascii="Arial" w:eastAsia="Times New Roman" w:hAnsi="Arial" w:cs="DINOT-Light"/>
          <w:sz w:val="18"/>
          <w:szCs w:val="18"/>
        </w:rPr>
        <w:t>C</w:t>
      </w:r>
      <w:r w:rsidRPr="00735726">
        <w:rPr>
          <w:rFonts w:ascii="Arial" w:eastAsia="Times New Roman" w:hAnsi="Arial" w:cs="DINOT-Light"/>
          <w:sz w:val="18"/>
          <w:szCs w:val="18"/>
        </w:rPr>
        <w:t>ompany had interest rate swaps to swap from floating to fixed rate and hedge financial liabilities with a notional value of £</w:t>
      </w:r>
      <w:r w:rsidR="00B538F8" w:rsidRPr="00735726">
        <w:rPr>
          <w:rFonts w:ascii="Arial" w:eastAsia="Times New Roman" w:hAnsi="Arial" w:cs="DINOT-Light"/>
          <w:sz w:val="18"/>
          <w:szCs w:val="18"/>
        </w:rPr>
        <w:t>603</w:t>
      </w:r>
      <w:r w:rsidRPr="00735726">
        <w:rPr>
          <w:rFonts w:ascii="Arial" w:eastAsia="Times New Roman" w:hAnsi="Arial" w:cs="DINOT-Light"/>
          <w:sz w:val="18"/>
          <w:szCs w:val="18"/>
        </w:rPr>
        <w:t xml:space="preserve"> million and a weighted average maturity of </w:t>
      </w:r>
      <w:r w:rsidR="00B538F8" w:rsidRPr="00735726">
        <w:rPr>
          <w:rFonts w:ascii="Arial" w:eastAsia="Times New Roman" w:hAnsi="Arial" w:cs="DINOT-Light"/>
          <w:sz w:val="18"/>
          <w:szCs w:val="18"/>
        </w:rPr>
        <w:t>4.5</w:t>
      </w:r>
      <w:r w:rsidRPr="00735726">
        <w:rPr>
          <w:rFonts w:ascii="Arial" w:eastAsia="Times New Roman" w:hAnsi="Arial" w:cs="DINOT-Light"/>
          <w:sz w:val="18"/>
          <w:szCs w:val="18"/>
        </w:rPr>
        <w:t xml:space="preserve"> years (2025: £636 million, with 5.3 years). The weighted average interest rate of the swaps for their nominal amount was </w:t>
      </w:r>
      <w:r w:rsidR="00B538F8" w:rsidRPr="00735726">
        <w:rPr>
          <w:rFonts w:ascii="Arial" w:eastAsia="Times New Roman" w:hAnsi="Arial" w:cs="DINOT-Light"/>
          <w:sz w:val="18"/>
          <w:szCs w:val="18"/>
        </w:rPr>
        <w:t>3.0</w:t>
      </w:r>
      <w:r w:rsidRPr="00735726">
        <w:rPr>
          <w:rFonts w:ascii="Arial" w:eastAsia="Times New Roman" w:hAnsi="Arial" w:cs="DINOT-Light"/>
          <w:sz w:val="18"/>
          <w:szCs w:val="18"/>
        </w:rPr>
        <w:t>% (2025: 2.9%).</w:t>
      </w:r>
    </w:p>
    <w:p w14:paraId="1BEC2BCA"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4E58B7C7" w14:textId="1A485671" w:rsidR="00646F4F" w:rsidRPr="009A2CAE" w:rsidRDefault="00646F4F" w:rsidP="00646F4F">
      <w:pPr>
        <w:autoSpaceDE w:val="0"/>
        <w:autoSpaceDN w:val="0"/>
        <w:adjustRightInd w:val="0"/>
        <w:spacing w:after="0"/>
        <w:rPr>
          <w:rFonts w:ascii="Arial" w:eastAsia="Times New Roman" w:hAnsi="Arial" w:cs="DINOT-Light"/>
          <w:sz w:val="18"/>
          <w:szCs w:val="18"/>
        </w:rPr>
      </w:pPr>
      <w:proofErr w:type="gramStart"/>
      <w:r w:rsidRPr="00735726">
        <w:rPr>
          <w:rFonts w:ascii="Arial" w:eastAsia="Times New Roman" w:hAnsi="Arial" w:cs="DINOT-Light"/>
          <w:sz w:val="18"/>
          <w:szCs w:val="18"/>
        </w:rPr>
        <w:t>At</w:t>
      </w:r>
      <w:proofErr w:type="gramEnd"/>
      <w:r w:rsidRPr="00735726">
        <w:rPr>
          <w:rFonts w:ascii="Arial" w:eastAsia="Times New Roman" w:hAnsi="Arial" w:cs="DINOT-Light"/>
          <w:sz w:val="18"/>
          <w:szCs w:val="18"/>
        </w:rPr>
        <w:t xml:space="preserve"> 31 March 2026 the Company had interest rate swaps to swap from RPI Linked to fixed rate and hedge financial liabilities with a notional value of £</w:t>
      </w:r>
      <w:r w:rsidR="00B538F8" w:rsidRPr="00735726">
        <w:rPr>
          <w:rFonts w:ascii="Arial" w:eastAsia="Times New Roman" w:hAnsi="Arial" w:cs="DINOT-Light"/>
          <w:sz w:val="18"/>
          <w:szCs w:val="18"/>
        </w:rPr>
        <w:t>nil</w:t>
      </w:r>
      <w:r w:rsidRPr="00735726">
        <w:rPr>
          <w:rFonts w:ascii="Arial" w:eastAsia="Times New Roman" w:hAnsi="Arial" w:cs="DINOT-Light"/>
          <w:sz w:val="18"/>
          <w:szCs w:val="18"/>
        </w:rPr>
        <w:t xml:space="preserve"> (2025: £nil). The weighted average interest rate of the swaps for their nominal amount was </w:t>
      </w:r>
      <w:r w:rsidR="00B538F8" w:rsidRPr="00735726">
        <w:rPr>
          <w:rFonts w:ascii="Arial" w:eastAsia="Times New Roman" w:hAnsi="Arial" w:cs="DINOT-Light"/>
          <w:sz w:val="18"/>
          <w:szCs w:val="18"/>
        </w:rPr>
        <w:t>nil</w:t>
      </w:r>
      <w:r w:rsidRPr="00735726">
        <w:rPr>
          <w:rFonts w:ascii="Arial" w:eastAsia="Times New Roman" w:hAnsi="Arial" w:cs="DINOT-Light"/>
          <w:sz w:val="18"/>
          <w:szCs w:val="18"/>
        </w:rPr>
        <w:t>% (2025: nil%).</w:t>
      </w:r>
    </w:p>
    <w:p w14:paraId="3C8F2D80" w14:textId="77777777" w:rsidR="00646F4F" w:rsidRPr="009A2CAE" w:rsidRDefault="00646F4F" w:rsidP="00646F4F">
      <w:pPr>
        <w:autoSpaceDE w:val="0"/>
        <w:autoSpaceDN w:val="0"/>
        <w:adjustRightInd w:val="0"/>
        <w:spacing w:after="0"/>
        <w:rPr>
          <w:rFonts w:ascii="Arial" w:eastAsia="Times New Roman" w:hAnsi="Arial" w:cs="DINOT-Light"/>
          <w:sz w:val="18"/>
          <w:szCs w:val="18"/>
        </w:rPr>
      </w:pPr>
    </w:p>
    <w:p w14:paraId="5BD16A08" w14:textId="241BC1AC"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The Company had cross currency swaps and hedged financial liabilities with a notional value of £</w:t>
      </w:r>
      <w:r w:rsidR="00B538F8" w:rsidRPr="00735726">
        <w:rPr>
          <w:rFonts w:ascii="Arial" w:eastAsia="Times New Roman" w:hAnsi="Arial" w:cs="DINOT-Light"/>
          <w:sz w:val="18"/>
          <w:szCs w:val="18"/>
        </w:rPr>
        <w:t>40</w:t>
      </w:r>
      <w:r w:rsidRPr="00735726">
        <w:rPr>
          <w:rFonts w:ascii="Arial" w:eastAsia="Times New Roman" w:hAnsi="Arial" w:cs="DINOT-Light"/>
          <w:sz w:val="18"/>
          <w:szCs w:val="18"/>
        </w:rPr>
        <w:t xml:space="preserve"> million (2025: £40 million) and a weighted average maturity of </w:t>
      </w:r>
      <w:r w:rsidR="00B538F8" w:rsidRPr="00735726">
        <w:rPr>
          <w:rFonts w:ascii="Arial" w:eastAsia="Times New Roman" w:hAnsi="Arial" w:cs="DINOT-Light"/>
          <w:sz w:val="18"/>
          <w:szCs w:val="18"/>
        </w:rPr>
        <w:t>4.1</w:t>
      </w:r>
      <w:r w:rsidRPr="00735726">
        <w:rPr>
          <w:rFonts w:ascii="Arial" w:eastAsia="Times New Roman" w:hAnsi="Arial" w:cs="DINOT-Light"/>
          <w:sz w:val="18"/>
          <w:szCs w:val="18"/>
        </w:rPr>
        <w:t xml:space="preserve"> years (2025: 5.1 years). The weighted average interest for the swaps for their nominal amount was </w:t>
      </w:r>
      <w:r w:rsidR="00B538F8" w:rsidRPr="00735726">
        <w:rPr>
          <w:rFonts w:ascii="Arial" w:eastAsia="Times New Roman" w:hAnsi="Arial" w:cs="DINOT-Light"/>
          <w:sz w:val="18"/>
          <w:szCs w:val="18"/>
        </w:rPr>
        <w:t>4.9</w:t>
      </w:r>
      <w:r w:rsidRPr="00735726">
        <w:rPr>
          <w:rFonts w:ascii="Arial" w:eastAsia="Times New Roman" w:hAnsi="Arial" w:cs="DINOT-Light"/>
          <w:sz w:val="18"/>
          <w:szCs w:val="18"/>
        </w:rPr>
        <w:t>% (2025: 5.3%). The swaps are denominated in USD to match the underlying currency exposures.</w:t>
      </w:r>
    </w:p>
    <w:p w14:paraId="0BDD8947"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4CE83080" w14:textId="393F9976" w:rsidR="00646F4F" w:rsidRPr="00735726" w:rsidRDefault="00646F4F" w:rsidP="00646F4F">
      <w:pPr>
        <w:spacing w:after="160"/>
        <w:rPr>
          <w:rFonts w:ascii="Arial" w:eastAsia="Times New Roman" w:hAnsi="Arial" w:cs="DINOT-Light"/>
          <w:sz w:val="18"/>
          <w:szCs w:val="18"/>
        </w:rPr>
      </w:pPr>
      <w:r w:rsidRPr="00735726">
        <w:rPr>
          <w:rFonts w:ascii="Arial" w:eastAsia="Times New Roman" w:hAnsi="Arial" w:cs="DINOT-Light"/>
          <w:sz w:val="18"/>
          <w:szCs w:val="18"/>
        </w:rPr>
        <w:t>The Company has established a hedge ratio of 1:1 for the hedging relationships as the underlying risks of the swaps are identical to the hedged risk components. To test the hedge effectiveness, the Company uses the hypothetical derivative method and compares the changes in the fair value of the hedging instrument against the changes in fair value of the hedged item attributable to the hedged risk.</w:t>
      </w:r>
      <w:r w:rsidR="001B2BD6" w:rsidRPr="00735726">
        <w:rPr>
          <w:rFonts w:ascii="Arial" w:eastAsia="Times New Roman" w:hAnsi="Arial" w:cs="DINOT-Light"/>
          <w:sz w:val="18"/>
          <w:szCs w:val="18"/>
        </w:rPr>
        <w:br/>
      </w:r>
    </w:p>
    <w:p w14:paraId="029971D3" w14:textId="77777777" w:rsidR="00646F4F" w:rsidRPr="00735726" w:rsidRDefault="00646F4F" w:rsidP="00646F4F">
      <w:pPr>
        <w:spacing w:after="160" w:line="259" w:lineRule="auto"/>
        <w:ind w:left="6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20.</w:t>
      </w:r>
      <w:r w:rsidRPr="00735726">
        <w:rPr>
          <w:rFonts w:ascii="Arial" w:eastAsia="Times New Roman" w:hAnsi="Arial" w:cs="Arial"/>
          <w:b/>
          <w:bCs/>
          <w:caps/>
          <w:color w:val="000000"/>
          <w:sz w:val="18"/>
          <w:szCs w:val="18"/>
        </w:rPr>
        <w:tab/>
        <w:t>Derivative financial instruments (CONTINUED)</w:t>
      </w:r>
    </w:p>
    <w:p w14:paraId="53B05E87" w14:textId="77777777" w:rsidR="00646F4F" w:rsidRPr="00735726" w:rsidRDefault="00646F4F" w:rsidP="00646F4F">
      <w:pPr>
        <w:spacing w:after="0"/>
        <w:rPr>
          <w:rFonts w:ascii="Arial" w:eastAsia="Times New Roman" w:hAnsi="Arial" w:cs="DINOT-Light"/>
          <w:sz w:val="18"/>
          <w:szCs w:val="18"/>
        </w:rPr>
      </w:pPr>
      <w:r w:rsidRPr="00735726">
        <w:rPr>
          <w:rFonts w:ascii="Arial" w:eastAsia="Times New Roman" w:hAnsi="Arial" w:cs="DINOT-Light"/>
          <w:sz w:val="18"/>
          <w:szCs w:val="18"/>
        </w:rPr>
        <w:t>The hedge ineffectiveness can arise from:</w:t>
      </w:r>
    </w:p>
    <w:p w14:paraId="302747B3" w14:textId="77777777" w:rsidR="00646F4F" w:rsidRPr="00735726" w:rsidRDefault="00646F4F" w:rsidP="00646F4F">
      <w:pPr>
        <w:pStyle w:val="ListParagraph"/>
        <w:numPr>
          <w:ilvl w:val="0"/>
          <w:numId w:val="21"/>
        </w:numPr>
        <w:spacing w:after="160"/>
        <w:rPr>
          <w:rFonts w:ascii="Arial" w:eastAsia="Times New Roman" w:hAnsi="Arial" w:cs="DINOT-Light"/>
          <w:sz w:val="18"/>
          <w:szCs w:val="18"/>
        </w:rPr>
      </w:pPr>
      <w:r w:rsidRPr="00735726">
        <w:rPr>
          <w:rFonts w:ascii="Arial" w:eastAsia="Times New Roman" w:hAnsi="Arial" w:cs="DINOT-Light"/>
          <w:sz w:val="18"/>
          <w:szCs w:val="18"/>
        </w:rPr>
        <w:t xml:space="preserve">Different interest rate curve applied to discount the hedged item and hedging instrument </w:t>
      </w:r>
    </w:p>
    <w:p w14:paraId="6DF662A9" w14:textId="77777777" w:rsidR="00646F4F" w:rsidRPr="00735726" w:rsidRDefault="00646F4F" w:rsidP="00646F4F">
      <w:pPr>
        <w:pStyle w:val="ListParagraph"/>
        <w:numPr>
          <w:ilvl w:val="0"/>
          <w:numId w:val="21"/>
        </w:numPr>
        <w:spacing w:after="160"/>
        <w:rPr>
          <w:rFonts w:ascii="Arial" w:eastAsia="Times New Roman" w:hAnsi="Arial" w:cs="DINOT-Light"/>
          <w:sz w:val="18"/>
          <w:szCs w:val="18"/>
        </w:rPr>
      </w:pPr>
      <w:r w:rsidRPr="00735726">
        <w:rPr>
          <w:rFonts w:ascii="Arial" w:eastAsia="Times New Roman" w:hAnsi="Arial" w:cs="DINOT-Light"/>
          <w:sz w:val="18"/>
          <w:szCs w:val="18"/>
        </w:rPr>
        <w:t xml:space="preserve">Differences in timing of cash flows of the hedged item and hedging instrument </w:t>
      </w:r>
    </w:p>
    <w:p w14:paraId="2033D5EC" w14:textId="77777777" w:rsidR="00646F4F" w:rsidRPr="00735726" w:rsidRDefault="00646F4F" w:rsidP="00646F4F">
      <w:pPr>
        <w:pStyle w:val="ListParagraph"/>
        <w:numPr>
          <w:ilvl w:val="0"/>
          <w:numId w:val="21"/>
        </w:numPr>
        <w:spacing w:after="160"/>
        <w:rPr>
          <w:rFonts w:ascii="Arial" w:eastAsia="Times New Roman" w:hAnsi="Arial" w:cs="Arial"/>
          <w:b/>
          <w:bCs/>
          <w:caps/>
          <w:color w:val="000000"/>
          <w:sz w:val="18"/>
          <w:szCs w:val="18"/>
        </w:rPr>
      </w:pPr>
      <w:r w:rsidRPr="00735726">
        <w:rPr>
          <w:rFonts w:ascii="Arial" w:eastAsia="Times New Roman" w:hAnsi="Arial" w:cs="DINOT-Light"/>
          <w:sz w:val="18"/>
          <w:szCs w:val="18"/>
        </w:rPr>
        <w:t>The counterparties’ credit risk differently impacting the fair value movements of the hedging instrument and hedged item</w:t>
      </w:r>
    </w:p>
    <w:p w14:paraId="7FA28131" w14:textId="77777777" w:rsidR="00646F4F" w:rsidRPr="00735726" w:rsidRDefault="00646F4F" w:rsidP="00646F4F">
      <w:pPr>
        <w:spacing w:after="160" w:line="259" w:lineRule="auto"/>
        <w:rPr>
          <w:rFonts w:ascii="Arial" w:eastAsia="Times New Roman" w:hAnsi="Arial" w:cs="DINOT-Light"/>
          <w:sz w:val="18"/>
          <w:szCs w:val="18"/>
        </w:rPr>
      </w:pPr>
      <w:r w:rsidRPr="00735726">
        <w:rPr>
          <w:rFonts w:ascii="Arial" w:eastAsia="Times New Roman" w:hAnsi="Arial" w:cs="DINOT-Light"/>
          <w:sz w:val="18"/>
          <w:szCs w:val="18"/>
        </w:rPr>
        <w:t>The impact of the hedging instrument on the balance sheet is as follows:</w:t>
      </w:r>
    </w:p>
    <w:tbl>
      <w:tblPr>
        <w:tblW w:w="9773" w:type="dxa"/>
        <w:tblInd w:w="8" w:type="dxa"/>
        <w:tblLayout w:type="fixed"/>
        <w:tblCellMar>
          <w:left w:w="0" w:type="dxa"/>
          <w:right w:w="0" w:type="dxa"/>
        </w:tblCellMar>
        <w:tblLook w:val="0000" w:firstRow="0" w:lastRow="0" w:firstColumn="0" w:lastColumn="0" w:noHBand="0" w:noVBand="0"/>
      </w:tblPr>
      <w:tblGrid>
        <w:gridCol w:w="3394"/>
        <w:gridCol w:w="1134"/>
        <w:gridCol w:w="993"/>
        <w:gridCol w:w="1842"/>
        <w:gridCol w:w="2410"/>
      </w:tblGrid>
      <w:tr w:rsidR="00646F4F" w:rsidRPr="00735726" w14:paraId="6BFAFCB7" w14:textId="77777777" w:rsidTr="00CE19B2">
        <w:trPr>
          <w:trHeight w:val="60"/>
          <w:tblHeader/>
        </w:trPr>
        <w:tc>
          <w:tcPr>
            <w:tcW w:w="3394" w:type="dxa"/>
            <w:tcMar>
              <w:top w:w="11" w:type="dxa"/>
              <w:left w:w="57" w:type="dxa"/>
              <w:bottom w:w="11" w:type="dxa"/>
              <w:right w:w="57" w:type="dxa"/>
            </w:tcMar>
          </w:tcPr>
          <w:p w14:paraId="1843396D"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vAlign w:val="bottom"/>
          </w:tcPr>
          <w:p w14:paraId="65FED18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Notional Amount</w:t>
            </w:r>
          </w:p>
          <w:p w14:paraId="7BBA0E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93" w:type="dxa"/>
            <w:tcMar>
              <w:top w:w="11" w:type="dxa"/>
              <w:left w:w="57" w:type="dxa"/>
              <w:bottom w:w="11" w:type="dxa"/>
              <w:right w:w="57" w:type="dxa"/>
            </w:tcMar>
            <w:vAlign w:val="bottom"/>
          </w:tcPr>
          <w:p w14:paraId="2BDC5C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Carrying Amount</w:t>
            </w:r>
          </w:p>
          <w:p w14:paraId="3FD03EC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842" w:type="dxa"/>
            <w:vAlign w:val="bottom"/>
          </w:tcPr>
          <w:p w14:paraId="3304BD05" w14:textId="51037F7F"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Line item in the </w:t>
            </w:r>
            <w:r w:rsidR="00F57853" w:rsidRPr="00735726">
              <w:rPr>
                <w:rFonts w:ascii="Arial" w:eastAsia="Times New Roman" w:hAnsi="Arial" w:cs="DINOT-Light"/>
                <w:b/>
                <w:color w:val="000000"/>
                <w:sz w:val="18"/>
                <w:szCs w:val="18"/>
              </w:rPr>
              <w:t>balance sheet</w:t>
            </w:r>
          </w:p>
          <w:p w14:paraId="57D43E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2410" w:type="dxa"/>
            <w:vAlign w:val="bottom"/>
          </w:tcPr>
          <w:p w14:paraId="04618077" w14:textId="57E1A6B2"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Change in fair value used for measuring ineffectiveness </w:t>
            </w:r>
            <w:r w:rsidR="009F4FAE" w:rsidRPr="00735726">
              <w:rPr>
                <w:rFonts w:ascii="Arial" w:eastAsia="Times New Roman" w:hAnsi="Arial" w:cs="DINOT-Light"/>
                <w:b/>
                <w:color w:val="000000"/>
                <w:sz w:val="18"/>
                <w:szCs w:val="18"/>
              </w:rPr>
              <w:t xml:space="preserve">in </w:t>
            </w:r>
            <w:r w:rsidRPr="00735726">
              <w:rPr>
                <w:rFonts w:ascii="Arial" w:eastAsia="Times New Roman" w:hAnsi="Arial" w:cs="DINOT-Light"/>
                <w:b/>
                <w:color w:val="000000"/>
                <w:sz w:val="18"/>
                <w:szCs w:val="18"/>
              </w:rPr>
              <w:t>the period</w:t>
            </w:r>
          </w:p>
          <w:p w14:paraId="2B8A195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7AAB8B8C" w14:textId="77777777" w:rsidTr="00CE19B2">
        <w:trPr>
          <w:trHeight w:val="226"/>
        </w:trPr>
        <w:tc>
          <w:tcPr>
            <w:tcW w:w="3394" w:type="dxa"/>
            <w:tcMar>
              <w:top w:w="11" w:type="dxa"/>
              <w:left w:w="57" w:type="dxa"/>
              <w:bottom w:w="11" w:type="dxa"/>
              <w:right w:w="57" w:type="dxa"/>
            </w:tcMar>
          </w:tcPr>
          <w:p w14:paraId="16BDD7B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 March 2026</w:t>
            </w:r>
          </w:p>
        </w:tc>
        <w:tc>
          <w:tcPr>
            <w:tcW w:w="1134" w:type="dxa"/>
            <w:tcMar>
              <w:top w:w="11" w:type="dxa"/>
              <w:left w:w="57" w:type="dxa"/>
              <w:bottom w:w="11" w:type="dxa"/>
              <w:right w:w="57" w:type="dxa"/>
            </w:tcMar>
          </w:tcPr>
          <w:p w14:paraId="0C095C3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3" w:type="dxa"/>
            <w:tcMar>
              <w:top w:w="11" w:type="dxa"/>
              <w:left w:w="57" w:type="dxa"/>
              <w:bottom w:w="11" w:type="dxa"/>
              <w:right w:w="57" w:type="dxa"/>
            </w:tcMar>
          </w:tcPr>
          <w:p w14:paraId="5E23E14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842" w:type="dxa"/>
          </w:tcPr>
          <w:p w14:paraId="21855FB2"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2410" w:type="dxa"/>
          </w:tcPr>
          <w:p w14:paraId="14B4E46B"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B538F8" w:rsidRPr="00735726" w14:paraId="3E2B15CA" w14:textId="77777777" w:rsidTr="00CE19B2">
        <w:trPr>
          <w:trHeight w:val="226"/>
        </w:trPr>
        <w:tc>
          <w:tcPr>
            <w:tcW w:w="3394" w:type="dxa"/>
            <w:tcMar>
              <w:top w:w="11" w:type="dxa"/>
              <w:left w:w="57" w:type="dxa"/>
              <w:bottom w:w="11" w:type="dxa"/>
              <w:right w:w="57" w:type="dxa"/>
            </w:tcMar>
          </w:tcPr>
          <w:p w14:paraId="22158048" w14:textId="67114415" w:rsidR="00B538F8" w:rsidRPr="00735726" w:rsidRDefault="00B538F8" w:rsidP="00B538F8">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Interest rate swaps</w:t>
            </w:r>
          </w:p>
        </w:tc>
        <w:tc>
          <w:tcPr>
            <w:tcW w:w="1134" w:type="dxa"/>
            <w:tcMar>
              <w:top w:w="11" w:type="dxa"/>
              <w:left w:w="57" w:type="dxa"/>
              <w:bottom w:w="11" w:type="dxa"/>
              <w:right w:w="57" w:type="dxa"/>
            </w:tcMar>
          </w:tcPr>
          <w:p w14:paraId="2DE71EE7" w14:textId="327E4AEA" w:rsidR="00B538F8" w:rsidRPr="00735726" w:rsidRDefault="00B538F8" w:rsidP="00B538F8">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603.0</w:t>
            </w:r>
          </w:p>
        </w:tc>
        <w:tc>
          <w:tcPr>
            <w:tcW w:w="993" w:type="dxa"/>
            <w:tcMar>
              <w:top w:w="11" w:type="dxa"/>
              <w:left w:w="57" w:type="dxa"/>
              <w:bottom w:w="11" w:type="dxa"/>
              <w:right w:w="57" w:type="dxa"/>
            </w:tcMar>
          </w:tcPr>
          <w:p w14:paraId="1699481B" w14:textId="273BC698" w:rsidR="00B538F8" w:rsidRPr="00735726" w:rsidRDefault="00B538F8" w:rsidP="00B538F8">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27.9</w:t>
            </w:r>
          </w:p>
        </w:tc>
        <w:tc>
          <w:tcPr>
            <w:tcW w:w="1842" w:type="dxa"/>
          </w:tcPr>
          <w:p w14:paraId="116FF287" w14:textId="792A1CB8" w:rsidR="00B538F8" w:rsidRPr="00735726" w:rsidRDefault="00B538F8" w:rsidP="00B538F8">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Derivative financial instruments</w:t>
            </w:r>
          </w:p>
        </w:tc>
        <w:tc>
          <w:tcPr>
            <w:tcW w:w="2410" w:type="dxa"/>
          </w:tcPr>
          <w:p w14:paraId="0EB7D9CC" w14:textId="1F873C53" w:rsidR="00B538F8" w:rsidRPr="00735726" w:rsidRDefault="00B538F8" w:rsidP="00B538F8">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r>
      <w:tr w:rsidR="00B538F8" w:rsidRPr="00735726" w14:paraId="56607702" w14:textId="77777777" w:rsidTr="00CE19B2">
        <w:trPr>
          <w:trHeight w:val="226"/>
        </w:trPr>
        <w:tc>
          <w:tcPr>
            <w:tcW w:w="3394" w:type="dxa"/>
            <w:tcMar>
              <w:top w:w="11" w:type="dxa"/>
              <w:left w:w="57" w:type="dxa"/>
              <w:bottom w:w="11" w:type="dxa"/>
              <w:right w:w="57" w:type="dxa"/>
            </w:tcMar>
          </w:tcPr>
          <w:p w14:paraId="15EFC672" w14:textId="76B81959" w:rsidR="00B538F8" w:rsidRPr="00735726" w:rsidRDefault="00B538F8" w:rsidP="00B538F8">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Cross currency swaps</w:t>
            </w:r>
          </w:p>
        </w:tc>
        <w:tc>
          <w:tcPr>
            <w:tcW w:w="1134" w:type="dxa"/>
            <w:tcBorders>
              <w:bottom w:val="single" w:sz="4" w:space="0" w:color="auto"/>
            </w:tcBorders>
            <w:tcMar>
              <w:top w:w="11" w:type="dxa"/>
              <w:left w:w="57" w:type="dxa"/>
              <w:bottom w:w="11" w:type="dxa"/>
              <w:right w:w="57" w:type="dxa"/>
            </w:tcMar>
          </w:tcPr>
          <w:p w14:paraId="2A9CB1A5" w14:textId="6870F177" w:rsidR="00B538F8" w:rsidRPr="00735726" w:rsidRDefault="00B538F8" w:rsidP="00B538F8">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40.1</w:t>
            </w:r>
          </w:p>
        </w:tc>
        <w:tc>
          <w:tcPr>
            <w:tcW w:w="993" w:type="dxa"/>
            <w:tcBorders>
              <w:bottom w:val="single" w:sz="4" w:space="0" w:color="auto"/>
            </w:tcBorders>
            <w:tcMar>
              <w:top w:w="11" w:type="dxa"/>
              <w:left w:w="57" w:type="dxa"/>
              <w:bottom w:w="11" w:type="dxa"/>
              <w:right w:w="57" w:type="dxa"/>
            </w:tcMar>
          </w:tcPr>
          <w:p w14:paraId="5857E38D" w14:textId="0AF59DD8" w:rsidR="00B538F8" w:rsidRPr="00735726" w:rsidRDefault="00B538F8" w:rsidP="00B538F8">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w:t>
            </w:r>
          </w:p>
        </w:tc>
        <w:tc>
          <w:tcPr>
            <w:tcW w:w="1842" w:type="dxa"/>
            <w:tcBorders>
              <w:bottom w:val="single" w:sz="4" w:space="0" w:color="auto"/>
            </w:tcBorders>
          </w:tcPr>
          <w:p w14:paraId="3EC1858B" w14:textId="1766458F" w:rsidR="00B538F8" w:rsidRPr="00735726" w:rsidRDefault="00B538F8" w:rsidP="00B538F8">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Derivative financial instruments</w:t>
            </w:r>
          </w:p>
        </w:tc>
        <w:tc>
          <w:tcPr>
            <w:tcW w:w="2410" w:type="dxa"/>
            <w:tcBorders>
              <w:bottom w:val="single" w:sz="4" w:space="0" w:color="auto"/>
            </w:tcBorders>
          </w:tcPr>
          <w:p w14:paraId="212CFFDD" w14:textId="0C1AB515" w:rsidR="00B538F8" w:rsidRPr="00735726" w:rsidRDefault="00B538F8" w:rsidP="00B538F8">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0.5</w:t>
            </w:r>
          </w:p>
        </w:tc>
      </w:tr>
      <w:tr w:rsidR="00646F4F" w:rsidRPr="00735726" w14:paraId="73DA63EB" w14:textId="77777777" w:rsidTr="00CE19B2">
        <w:trPr>
          <w:trHeight w:val="228"/>
        </w:trPr>
        <w:tc>
          <w:tcPr>
            <w:tcW w:w="3394" w:type="dxa"/>
            <w:tcMar>
              <w:top w:w="11" w:type="dxa"/>
              <w:left w:w="57" w:type="dxa"/>
              <w:bottom w:w="11" w:type="dxa"/>
              <w:right w:w="57" w:type="dxa"/>
            </w:tcMar>
          </w:tcPr>
          <w:p w14:paraId="4DC26AA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 March 2025</w:t>
            </w:r>
          </w:p>
        </w:tc>
        <w:tc>
          <w:tcPr>
            <w:tcW w:w="1134" w:type="dxa"/>
            <w:tcBorders>
              <w:top w:val="single" w:sz="4" w:space="0" w:color="auto"/>
            </w:tcBorders>
            <w:tcMar>
              <w:top w:w="11" w:type="dxa"/>
              <w:left w:w="57" w:type="dxa"/>
              <w:bottom w:w="11" w:type="dxa"/>
              <w:right w:w="57" w:type="dxa"/>
            </w:tcMar>
          </w:tcPr>
          <w:p w14:paraId="368199B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3" w:type="dxa"/>
            <w:tcBorders>
              <w:top w:val="single" w:sz="4" w:space="0" w:color="auto"/>
            </w:tcBorders>
            <w:tcMar>
              <w:top w:w="11" w:type="dxa"/>
              <w:left w:w="57" w:type="dxa"/>
              <w:bottom w:w="11" w:type="dxa"/>
              <w:right w:w="57" w:type="dxa"/>
            </w:tcMar>
          </w:tcPr>
          <w:p w14:paraId="24F2417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842" w:type="dxa"/>
            <w:tcBorders>
              <w:top w:val="single" w:sz="4" w:space="0" w:color="auto"/>
            </w:tcBorders>
          </w:tcPr>
          <w:p w14:paraId="7CC753F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2410" w:type="dxa"/>
            <w:tcBorders>
              <w:top w:val="single" w:sz="4" w:space="0" w:color="auto"/>
            </w:tcBorders>
          </w:tcPr>
          <w:p w14:paraId="05ED18B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F57853" w:rsidRPr="00735726" w14:paraId="1284FE70" w14:textId="77777777" w:rsidTr="00CE19B2">
        <w:trPr>
          <w:trHeight w:val="226"/>
        </w:trPr>
        <w:tc>
          <w:tcPr>
            <w:tcW w:w="3394" w:type="dxa"/>
            <w:tcMar>
              <w:top w:w="11" w:type="dxa"/>
              <w:left w:w="57" w:type="dxa"/>
              <w:bottom w:w="11" w:type="dxa"/>
              <w:right w:w="57" w:type="dxa"/>
            </w:tcMar>
          </w:tcPr>
          <w:p w14:paraId="1C383219" w14:textId="7293C086" w:rsidR="00F57853" w:rsidRPr="00735726" w:rsidRDefault="00F57853" w:rsidP="00F57853">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Interest rate swaps</w:t>
            </w:r>
          </w:p>
        </w:tc>
        <w:tc>
          <w:tcPr>
            <w:tcW w:w="1134" w:type="dxa"/>
            <w:tcMar>
              <w:top w:w="11" w:type="dxa"/>
              <w:left w:w="57" w:type="dxa"/>
              <w:bottom w:w="11" w:type="dxa"/>
              <w:right w:w="57" w:type="dxa"/>
            </w:tcMar>
          </w:tcPr>
          <w:p w14:paraId="32E6A926" w14:textId="77777777" w:rsidR="00F57853" w:rsidRPr="00735726" w:rsidRDefault="00F57853" w:rsidP="00F57853">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363.0</w:t>
            </w:r>
          </w:p>
        </w:tc>
        <w:tc>
          <w:tcPr>
            <w:tcW w:w="993" w:type="dxa"/>
            <w:tcMar>
              <w:top w:w="11" w:type="dxa"/>
              <w:left w:w="57" w:type="dxa"/>
              <w:bottom w:w="11" w:type="dxa"/>
              <w:right w:w="57" w:type="dxa"/>
            </w:tcMar>
          </w:tcPr>
          <w:p w14:paraId="55F3D5E5" w14:textId="77777777" w:rsidR="00F57853" w:rsidRPr="00735726" w:rsidRDefault="00F57853" w:rsidP="00F57853">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27.7</w:t>
            </w:r>
          </w:p>
        </w:tc>
        <w:tc>
          <w:tcPr>
            <w:tcW w:w="1842" w:type="dxa"/>
          </w:tcPr>
          <w:p w14:paraId="066189C9" w14:textId="77777777" w:rsidR="00F57853" w:rsidRPr="00735726" w:rsidRDefault="00F57853" w:rsidP="00F57853">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Derivative financial instruments</w:t>
            </w:r>
          </w:p>
        </w:tc>
        <w:tc>
          <w:tcPr>
            <w:tcW w:w="2410" w:type="dxa"/>
          </w:tcPr>
          <w:p w14:paraId="66EFA475" w14:textId="77777777" w:rsidR="00F57853" w:rsidRPr="00735726" w:rsidRDefault="00F57853" w:rsidP="00F57853">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(9.9)</w:t>
            </w:r>
          </w:p>
        </w:tc>
      </w:tr>
      <w:tr w:rsidR="00F57853" w:rsidRPr="00735726" w14:paraId="0B6FA786" w14:textId="77777777" w:rsidTr="00CE19B2">
        <w:trPr>
          <w:trHeight w:val="226"/>
        </w:trPr>
        <w:tc>
          <w:tcPr>
            <w:tcW w:w="3394" w:type="dxa"/>
            <w:tcMar>
              <w:top w:w="11" w:type="dxa"/>
              <w:left w:w="57" w:type="dxa"/>
              <w:bottom w:w="11" w:type="dxa"/>
              <w:right w:w="57" w:type="dxa"/>
            </w:tcMar>
          </w:tcPr>
          <w:p w14:paraId="1321D1AD" w14:textId="283D8740" w:rsidR="00F57853" w:rsidRPr="00735726" w:rsidRDefault="00F57853" w:rsidP="00F57853">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Cross currency swaps</w:t>
            </w:r>
          </w:p>
        </w:tc>
        <w:tc>
          <w:tcPr>
            <w:tcW w:w="1134" w:type="dxa"/>
            <w:tcBorders>
              <w:bottom w:val="single" w:sz="4" w:space="0" w:color="auto"/>
            </w:tcBorders>
            <w:tcMar>
              <w:top w:w="11" w:type="dxa"/>
              <w:left w:w="57" w:type="dxa"/>
              <w:bottom w:w="11" w:type="dxa"/>
              <w:right w:w="57" w:type="dxa"/>
            </w:tcMar>
          </w:tcPr>
          <w:p w14:paraId="13759C2A" w14:textId="77777777" w:rsidR="00F57853" w:rsidRPr="00735726" w:rsidRDefault="00F57853" w:rsidP="00F57853">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40.1</w:t>
            </w:r>
          </w:p>
        </w:tc>
        <w:tc>
          <w:tcPr>
            <w:tcW w:w="993" w:type="dxa"/>
            <w:tcBorders>
              <w:bottom w:val="single" w:sz="4" w:space="0" w:color="auto"/>
            </w:tcBorders>
            <w:tcMar>
              <w:top w:w="11" w:type="dxa"/>
              <w:left w:w="57" w:type="dxa"/>
              <w:bottom w:w="11" w:type="dxa"/>
              <w:right w:w="57" w:type="dxa"/>
            </w:tcMar>
          </w:tcPr>
          <w:p w14:paraId="21F4A138" w14:textId="77777777" w:rsidR="00F57853" w:rsidRPr="00735726" w:rsidRDefault="00F57853" w:rsidP="00F57853">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c>
          <w:tcPr>
            <w:tcW w:w="1842" w:type="dxa"/>
            <w:tcBorders>
              <w:bottom w:val="single" w:sz="4" w:space="0" w:color="auto"/>
            </w:tcBorders>
          </w:tcPr>
          <w:p w14:paraId="40D9B065" w14:textId="77777777" w:rsidR="00F57853" w:rsidRPr="00735726" w:rsidRDefault="00F57853" w:rsidP="00F57853">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Derivative financial instruments</w:t>
            </w:r>
          </w:p>
        </w:tc>
        <w:tc>
          <w:tcPr>
            <w:tcW w:w="2410" w:type="dxa"/>
            <w:tcBorders>
              <w:bottom w:val="single" w:sz="4" w:space="0" w:color="auto"/>
            </w:tcBorders>
          </w:tcPr>
          <w:p w14:paraId="7A50DE5E" w14:textId="77777777" w:rsidR="00F57853" w:rsidRPr="00735726" w:rsidRDefault="00F57853" w:rsidP="00F57853">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r>
    </w:tbl>
    <w:p w14:paraId="557A7E65"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b/>
          <w:bCs/>
          <w:sz w:val="18"/>
          <w:szCs w:val="18"/>
        </w:rPr>
      </w:pPr>
    </w:p>
    <w:p w14:paraId="574FC3CE"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The periods for which cash flow hedges are expected to affect future profit or loss as follows:</w:t>
      </w:r>
    </w:p>
    <w:p w14:paraId="2A178AE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tbl>
      <w:tblPr>
        <w:tblW w:w="9972" w:type="dxa"/>
        <w:tblInd w:w="8" w:type="dxa"/>
        <w:tblLayout w:type="fixed"/>
        <w:tblCellMar>
          <w:left w:w="0" w:type="dxa"/>
          <w:right w:w="0" w:type="dxa"/>
        </w:tblCellMar>
        <w:tblLook w:val="0000" w:firstRow="0" w:lastRow="0" w:firstColumn="0" w:lastColumn="0" w:noHBand="0" w:noVBand="0"/>
      </w:tblPr>
      <w:tblGrid>
        <w:gridCol w:w="4727"/>
        <w:gridCol w:w="992"/>
        <w:gridCol w:w="993"/>
        <w:gridCol w:w="992"/>
        <w:gridCol w:w="1077"/>
        <w:gridCol w:w="1191"/>
      </w:tblGrid>
      <w:tr w:rsidR="00646F4F" w:rsidRPr="00735726" w14:paraId="1360A114" w14:textId="77777777" w:rsidTr="00CE19B2">
        <w:trPr>
          <w:trHeight w:val="60"/>
          <w:tblHeader/>
        </w:trPr>
        <w:tc>
          <w:tcPr>
            <w:tcW w:w="4727" w:type="dxa"/>
            <w:tcMar>
              <w:top w:w="11" w:type="dxa"/>
              <w:left w:w="57" w:type="dxa"/>
              <w:bottom w:w="11" w:type="dxa"/>
              <w:right w:w="57" w:type="dxa"/>
            </w:tcMar>
          </w:tcPr>
          <w:p w14:paraId="6437B9CB"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992" w:type="dxa"/>
            <w:tcMar>
              <w:top w:w="11" w:type="dxa"/>
              <w:left w:w="57" w:type="dxa"/>
              <w:bottom w:w="11" w:type="dxa"/>
              <w:right w:w="57" w:type="dxa"/>
            </w:tcMar>
            <w:vAlign w:val="bottom"/>
          </w:tcPr>
          <w:p w14:paraId="48DF9B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&lt;1 year</w:t>
            </w:r>
          </w:p>
          <w:p w14:paraId="4565250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93" w:type="dxa"/>
            <w:tcMar>
              <w:top w:w="11" w:type="dxa"/>
              <w:left w:w="57" w:type="dxa"/>
              <w:bottom w:w="11" w:type="dxa"/>
              <w:right w:w="57" w:type="dxa"/>
            </w:tcMar>
            <w:vAlign w:val="bottom"/>
          </w:tcPr>
          <w:p w14:paraId="54495E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1-2 years</w:t>
            </w:r>
          </w:p>
          <w:p w14:paraId="1DB44A2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92" w:type="dxa"/>
            <w:vAlign w:val="bottom"/>
          </w:tcPr>
          <w:p w14:paraId="288D964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2-5 years</w:t>
            </w:r>
          </w:p>
          <w:p w14:paraId="5ACA1E8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077" w:type="dxa"/>
            <w:vAlign w:val="bottom"/>
          </w:tcPr>
          <w:p w14:paraId="1701A52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Over 5 years</w:t>
            </w:r>
          </w:p>
          <w:p w14:paraId="352A15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91" w:type="dxa"/>
            <w:vAlign w:val="bottom"/>
          </w:tcPr>
          <w:p w14:paraId="2A902F6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78774A0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1A08232" w14:textId="77777777" w:rsidTr="00CE19B2">
        <w:trPr>
          <w:trHeight w:val="226"/>
        </w:trPr>
        <w:tc>
          <w:tcPr>
            <w:tcW w:w="4727" w:type="dxa"/>
            <w:tcMar>
              <w:top w:w="11" w:type="dxa"/>
              <w:left w:w="57" w:type="dxa"/>
              <w:bottom w:w="11" w:type="dxa"/>
              <w:right w:w="57" w:type="dxa"/>
            </w:tcMar>
          </w:tcPr>
          <w:p w14:paraId="7D10335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 March 2026</w:t>
            </w:r>
          </w:p>
        </w:tc>
        <w:tc>
          <w:tcPr>
            <w:tcW w:w="992" w:type="dxa"/>
            <w:tcMar>
              <w:top w:w="11" w:type="dxa"/>
              <w:left w:w="57" w:type="dxa"/>
              <w:bottom w:w="11" w:type="dxa"/>
              <w:right w:w="57" w:type="dxa"/>
            </w:tcMar>
          </w:tcPr>
          <w:p w14:paraId="718E577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3" w:type="dxa"/>
            <w:tcMar>
              <w:top w:w="11" w:type="dxa"/>
              <w:left w:w="57" w:type="dxa"/>
              <w:bottom w:w="11" w:type="dxa"/>
              <w:right w:w="57" w:type="dxa"/>
            </w:tcMar>
          </w:tcPr>
          <w:p w14:paraId="7CBF29F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Pr>
          <w:p w14:paraId="4CB963D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077" w:type="dxa"/>
          </w:tcPr>
          <w:p w14:paraId="7F38D040"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91" w:type="dxa"/>
          </w:tcPr>
          <w:p w14:paraId="419A259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39A85D47" w14:textId="77777777" w:rsidTr="00CE19B2">
        <w:trPr>
          <w:trHeight w:val="226"/>
        </w:trPr>
        <w:tc>
          <w:tcPr>
            <w:tcW w:w="4727" w:type="dxa"/>
            <w:tcMar>
              <w:top w:w="11" w:type="dxa"/>
              <w:left w:w="57" w:type="dxa"/>
              <w:bottom w:w="11" w:type="dxa"/>
              <w:right w:w="57" w:type="dxa"/>
            </w:tcMar>
          </w:tcPr>
          <w:p w14:paraId="15AF936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26" w:name="XMETag_b9dafe89978c41ce8e4cccf2344c2b7c" w:colFirst="1" w:colLast="1"/>
            <w:bookmarkStart w:id="827" w:name="XMETag_7aafbf5027574c62bab4313be81fa642" w:colFirst="2" w:colLast="2"/>
            <w:bookmarkStart w:id="828" w:name="XMETag_10d545a472ed4b5f972d447a2404f193" w:colFirst="3" w:colLast="3"/>
            <w:bookmarkStart w:id="829" w:name="XMETag_ca6c4665d0214e6781c779c44cc7ebe6" w:colFirst="4" w:colLast="4"/>
            <w:bookmarkStart w:id="830" w:name="XMETag_5e44c0c7ffd64f4f81a33a766dd825f7" w:colFirst="5" w:colLast="5"/>
            <w:r w:rsidRPr="00735726">
              <w:rPr>
                <w:rFonts w:ascii="Arial" w:eastAsia="Times New Roman" w:hAnsi="Arial" w:cs="DINOT-Light"/>
                <w:color w:val="000000"/>
                <w:sz w:val="18"/>
                <w:szCs w:val="18"/>
              </w:rPr>
              <w:t xml:space="preserve">   Assets</w:t>
            </w:r>
          </w:p>
        </w:tc>
        <w:tc>
          <w:tcPr>
            <w:tcW w:w="992" w:type="dxa"/>
            <w:tcMar>
              <w:top w:w="11" w:type="dxa"/>
              <w:left w:w="57" w:type="dxa"/>
              <w:bottom w:w="11" w:type="dxa"/>
              <w:right w:w="57" w:type="dxa"/>
            </w:tcMar>
          </w:tcPr>
          <w:p w14:paraId="0BB79F95" w14:textId="4A33EA54" w:rsidR="00646F4F" w:rsidRPr="00735726" w:rsidRDefault="00B538F8"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7.8</w:t>
            </w:r>
          </w:p>
        </w:tc>
        <w:tc>
          <w:tcPr>
            <w:tcW w:w="993" w:type="dxa"/>
            <w:tcMar>
              <w:top w:w="11" w:type="dxa"/>
              <w:left w:w="57" w:type="dxa"/>
              <w:bottom w:w="11" w:type="dxa"/>
              <w:right w:w="57" w:type="dxa"/>
            </w:tcMar>
          </w:tcPr>
          <w:p w14:paraId="1E71C895" w14:textId="02C92A21" w:rsidR="00646F4F" w:rsidRPr="00735726" w:rsidRDefault="00B538F8"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5.8</w:t>
            </w:r>
          </w:p>
        </w:tc>
        <w:tc>
          <w:tcPr>
            <w:tcW w:w="992" w:type="dxa"/>
          </w:tcPr>
          <w:p w14:paraId="0E28D17A" w14:textId="03975AB7" w:rsidR="00646F4F" w:rsidRPr="00735726" w:rsidRDefault="00063E97"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12.9</w:t>
            </w:r>
          </w:p>
        </w:tc>
        <w:tc>
          <w:tcPr>
            <w:tcW w:w="1077" w:type="dxa"/>
          </w:tcPr>
          <w:p w14:paraId="4EF8E486" w14:textId="3443EF90" w:rsidR="00646F4F" w:rsidRPr="00735726" w:rsidRDefault="00063E97"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w:t>
            </w:r>
          </w:p>
        </w:tc>
        <w:tc>
          <w:tcPr>
            <w:tcW w:w="1191" w:type="dxa"/>
          </w:tcPr>
          <w:p w14:paraId="3D63D327" w14:textId="1EBEA933" w:rsidR="00646F4F" w:rsidRPr="00735726" w:rsidRDefault="00063E97"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29.2</w:t>
            </w:r>
          </w:p>
        </w:tc>
      </w:tr>
      <w:tr w:rsidR="00646F4F" w:rsidRPr="00735726" w14:paraId="11B49957" w14:textId="77777777" w:rsidTr="00CE19B2">
        <w:trPr>
          <w:trHeight w:val="226"/>
        </w:trPr>
        <w:tc>
          <w:tcPr>
            <w:tcW w:w="4727" w:type="dxa"/>
            <w:tcMar>
              <w:top w:w="11" w:type="dxa"/>
              <w:left w:w="57" w:type="dxa"/>
              <w:bottom w:w="11" w:type="dxa"/>
              <w:right w:w="57" w:type="dxa"/>
            </w:tcMar>
          </w:tcPr>
          <w:p w14:paraId="0B0F4C0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31" w:name="XMETag_758ab1844cef40c484907f4ce8e98940" w:colFirst="1" w:colLast="1"/>
            <w:bookmarkStart w:id="832" w:name="XMETag_becc745c621f4154b35d5b99ce57c7e3" w:colFirst="2" w:colLast="2"/>
            <w:bookmarkStart w:id="833" w:name="XMETag_515acb50b4674b1abc28e48003259d62" w:colFirst="3" w:colLast="3"/>
            <w:bookmarkStart w:id="834" w:name="XMETag_125bf57581364d0a8f25a30a7a8b3dc7" w:colFirst="4" w:colLast="4"/>
            <w:bookmarkStart w:id="835" w:name="XMETag_ff2908d19395410b97ba5b7013d283cf" w:colFirst="5" w:colLast="5"/>
            <w:bookmarkEnd w:id="826"/>
            <w:bookmarkEnd w:id="827"/>
            <w:bookmarkEnd w:id="828"/>
            <w:bookmarkEnd w:id="829"/>
            <w:bookmarkEnd w:id="830"/>
            <w:r w:rsidRPr="00735726">
              <w:rPr>
                <w:rFonts w:ascii="Arial" w:eastAsia="Times New Roman" w:hAnsi="Arial" w:cs="DINOT-Light"/>
                <w:color w:val="000000"/>
                <w:sz w:val="18"/>
                <w:szCs w:val="18"/>
              </w:rPr>
              <w:t xml:space="preserve">   Liabilities</w:t>
            </w:r>
          </w:p>
        </w:tc>
        <w:tc>
          <w:tcPr>
            <w:tcW w:w="992" w:type="dxa"/>
            <w:tcBorders>
              <w:bottom w:val="single" w:sz="4" w:space="0" w:color="auto"/>
            </w:tcBorders>
            <w:tcMar>
              <w:top w:w="11" w:type="dxa"/>
              <w:left w:w="57" w:type="dxa"/>
              <w:bottom w:w="11" w:type="dxa"/>
              <w:right w:w="57" w:type="dxa"/>
            </w:tcMar>
          </w:tcPr>
          <w:p w14:paraId="64E47D36" w14:textId="6C75D080" w:rsidR="00646F4F" w:rsidRPr="009A2CAE" w:rsidRDefault="00063E97"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(0.6)</w:t>
            </w:r>
          </w:p>
        </w:tc>
        <w:tc>
          <w:tcPr>
            <w:tcW w:w="993" w:type="dxa"/>
            <w:tcBorders>
              <w:bottom w:val="single" w:sz="4" w:space="0" w:color="auto"/>
            </w:tcBorders>
            <w:tcMar>
              <w:top w:w="11" w:type="dxa"/>
              <w:left w:w="57" w:type="dxa"/>
              <w:bottom w:w="11" w:type="dxa"/>
              <w:right w:w="57" w:type="dxa"/>
            </w:tcMar>
          </w:tcPr>
          <w:p w14:paraId="2CA46433" w14:textId="06C4D1E2" w:rsidR="00646F4F" w:rsidRPr="00735726" w:rsidRDefault="0012751D"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(0.6)</w:t>
            </w:r>
          </w:p>
        </w:tc>
        <w:tc>
          <w:tcPr>
            <w:tcW w:w="992" w:type="dxa"/>
            <w:tcBorders>
              <w:bottom w:val="single" w:sz="4" w:space="0" w:color="auto"/>
            </w:tcBorders>
          </w:tcPr>
          <w:p w14:paraId="39A4BB5D" w14:textId="47B48F10" w:rsidR="00646F4F" w:rsidRPr="00735726" w:rsidRDefault="0012751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c>
          <w:tcPr>
            <w:tcW w:w="1077" w:type="dxa"/>
            <w:tcBorders>
              <w:bottom w:val="single" w:sz="4" w:space="0" w:color="auto"/>
            </w:tcBorders>
          </w:tcPr>
          <w:p w14:paraId="7FB4B985" w14:textId="74E128FC" w:rsidR="00646F4F" w:rsidRPr="00735726" w:rsidRDefault="0012751D"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91" w:type="dxa"/>
            <w:tcBorders>
              <w:bottom w:val="single" w:sz="4" w:space="0" w:color="auto"/>
            </w:tcBorders>
          </w:tcPr>
          <w:p w14:paraId="533E223E" w14:textId="7FCA65A8" w:rsidR="00646F4F" w:rsidRPr="00735726" w:rsidRDefault="00063E97"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w:t>
            </w:r>
          </w:p>
        </w:tc>
      </w:tr>
      <w:bookmarkEnd w:id="831"/>
      <w:bookmarkEnd w:id="832"/>
      <w:bookmarkEnd w:id="833"/>
      <w:bookmarkEnd w:id="834"/>
      <w:bookmarkEnd w:id="835"/>
      <w:tr w:rsidR="00646F4F" w:rsidRPr="00735726" w14:paraId="22486A5B" w14:textId="77777777" w:rsidTr="00CE19B2">
        <w:trPr>
          <w:trHeight w:val="228"/>
        </w:trPr>
        <w:tc>
          <w:tcPr>
            <w:tcW w:w="4727" w:type="dxa"/>
            <w:tcMar>
              <w:top w:w="11" w:type="dxa"/>
              <w:left w:w="57" w:type="dxa"/>
              <w:bottom w:w="11" w:type="dxa"/>
              <w:right w:w="57" w:type="dxa"/>
            </w:tcMar>
          </w:tcPr>
          <w:p w14:paraId="586B58E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31 March 2025</w:t>
            </w:r>
          </w:p>
        </w:tc>
        <w:tc>
          <w:tcPr>
            <w:tcW w:w="992" w:type="dxa"/>
            <w:tcBorders>
              <w:top w:val="single" w:sz="4" w:space="0" w:color="auto"/>
            </w:tcBorders>
            <w:tcMar>
              <w:top w:w="11" w:type="dxa"/>
              <w:left w:w="57" w:type="dxa"/>
              <w:bottom w:w="11" w:type="dxa"/>
              <w:right w:w="57" w:type="dxa"/>
            </w:tcMar>
          </w:tcPr>
          <w:p w14:paraId="293E558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3" w:type="dxa"/>
            <w:tcBorders>
              <w:top w:val="single" w:sz="4" w:space="0" w:color="auto"/>
            </w:tcBorders>
            <w:tcMar>
              <w:top w:w="11" w:type="dxa"/>
              <w:left w:w="57" w:type="dxa"/>
              <w:bottom w:w="11" w:type="dxa"/>
              <w:right w:w="57" w:type="dxa"/>
            </w:tcMar>
          </w:tcPr>
          <w:p w14:paraId="576424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992" w:type="dxa"/>
            <w:tcBorders>
              <w:top w:val="single" w:sz="4" w:space="0" w:color="auto"/>
            </w:tcBorders>
          </w:tcPr>
          <w:p w14:paraId="37D5C0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077" w:type="dxa"/>
            <w:tcBorders>
              <w:top w:val="single" w:sz="4" w:space="0" w:color="auto"/>
            </w:tcBorders>
          </w:tcPr>
          <w:p w14:paraId="1E45536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91" w:type="dxa"/>
            <w:tcBorders>
              <w:top w:val="single" w:sz="4" w:space="0" w:color="auto"/>
            </w:tcBorders>
          </w:tcPr>
          <w:p w14:paraId="649E26E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156C8531" w14:textId="77777777" w:rsidTr="00CE19B2">
        <w:trPr>
          <w:trHeight w:val="226"/>
        </w:trPr>
        <w:tc>
          <w:tcPr>
            <w:tcW w:w="4727" w:type="dxa"/>
            <w:tcMar>
              <w:top w:w="11" w:type="dxa"/>
              <w:left w:w="57" w:type="dxa"/>
              <w:bottom w:w="11" w:type="dxa"/>
              <w:right w:w="57" w:type="dxa"/>
            </w:tcMar>
          </w:tcPr>
          <w:p w14:paraId="4F24DC2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36" w:name="XMETag_d0d51787c0554a09bc58636c7d3c4b8c" w:colFirst="1" w:colLast="1"/>
            <w:bookmarkStart w:id="837" w:name="XMETag_bd71ab4bc87c47f88486633d520025a0" w:colFirst="2" w:colLast="2"/>
            <w:bookmarkStart w:id="838" w:name="XMETag_5379018f8d6a438686676ee7a4b019da" w:colFirst="3" w:colLast="3"/>
            <w:bookmarkStart w:id="839" w:name="XMETag_3328160687bc4c77aeb1993e3f5aca73" w:colFirst="4" w:colLast="4"/>
            <w:bookmarkStart w:id="840" w:name="XMETag_7ef1c6858f04450b8185642024c84245" w:colFirst="5" w:colLast="5"/>
            <w:r w:rsidRPr="00735726">
              <w:rPr>
                <w:rFonts w:ascii="Arial" w:eastAsia="Times New Roman" w:hAnsi="Arial" w:cs="DINOT-Light"/>
                <w:color w:val="000000"/>
                <w:sz w:val="18"/>
                <w:szCs w:val="18"/>
              </w:rPr>
              <w:t xml:space="preserve">   Assets</w:t>
            </w:r>
          </w:p>
        </w:tc>
        <w:tc>
          <w:tcPr>
            <w:tcW w:w="992" w:type="dxa"/>
            <w:tcMar>
              <w:top w:w="11" w:type="dxa"/>
              <w:left w:w="57" w:type="dxa"/>
              <w:bottom w:w="11" w:type="dxa"/>
              <w:right w:w="57" w:type="dxa"/>
            </w:tcMar>
          </w:tcPr>
          <w:p w14:paraId="541DCB3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9.3</w:t>
            </w:r>
          </w:p>
        </w:tc>
        <w:tc>
          <w:tcPr>
            <w:tcW w:w="993" w:type="dxa"/>
            <w:tcMar>
              <w:top w:w="11" w:type="dxa"/>
              <w:left w:w="57" w:type="dxa"/>
              <w:bottom w:w="11" w:type="dxa"/>
              <w:right w:w="57" w:type="dxa"/>
            </w:tcMar>
          </w:tcPr>
          <w:p w14:paraId="160A9032" w14:textId="77777777" w:rsidR="00646F4F" w:rsidRPr="00735726" w:rsidRDefault="00646F4F"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5.3</w:t>
            </w:r>
          </w:p>
        </w:tc>
        <w:tc>
          <w:tcPr>
            <w:tcW w:w="992" w:type="dxa"/>
          </w:tcPr>
          <w:p w14:paraId="2E4A88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12.6</w:t>
            </w:r>
          </w:p>
        </w:tc>
        <w:tc>
          <w:tcPr>
            <w:tcW w:w="1077" w:type="dxa"/>
          </w:tcPr>
          <w:p w14:paraId="7C509741" w14:textId="77777777" w:rsidR="00646F4F" w:rsidRPr="00735726" w:rsidRDefault="00646F4F"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4.4</w:t>
            </w:r>
          </w:p>
        </w:tc>
        <w:tc>
          <w:tcPr>
            <w:tcW w:w="1191" w:type="dxa"/>
          </w:tcPr>
          <w:p w14:paraId="3AC79359" w14:textId="77777777" w:rsidR="00646F4F" w:rsidRPr="00735726" w:rsidRDefault="00646F4F"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31.6</w:t>
            </w:r>
          </w:p>
        </w:tc>
      </w:tr>
      <w:tr w:rsidR="00646F4F" w:rsidRPr="00735726" w14:paraId="686DE1FD" w14:textId="77777777" w:rsidTr="00CE19B2">
        <w:trPr>
          <w:trHeight w:val="228"/>
        </w:trPr>
        <w:tc>
          <w:tcPr>
            <w:tcW w:w="4727" w:type="dxa"/>
            <w:tcMar>
              <w:top w:w="11" w:type="dxa"/>
              <w:left w:w="57" w:type="dxa"/>
              <w:bottom w:w="11" w:type="dxa"/>
              <w:right w:w="57" w:type="dxa"/>
            </w:tcMar>
          </w:tcPr>
          <w:p w14:paraId="7F3E63B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41" w:name="XMETag_a91cb1ed43094b69a6f1545eb4835360" w:colFirst="1" w:colLast="1"/>
            <w:bookmarkStart w:id="842" w:name="XMETag_c18effc8886e45d0a4f364c9c86a2b02" w:colFirst="2" w:colLast="2"/>
            <w:bookmarkStart w:id="843" w:name="XMETag_fc1ef2f4b64240c5945c87af2556cdc6" w:colFirst="3" w:colLast="3"/>
            <w:bookmarkStart w:id="844" w:name="XMETag_5f5439ee05a349c3b95997501135ce6a" w:colFirst="4" w:colLast="4"/>
            <w:bookmarkStart w:id="845" w:name="XMETag_47fce8fb746544fd96fc0f470e6beb67" w:colFirst="5" w:colLast="5"/>
            <w:bookmarkEnd w:id="836"/>
            <w:bookmarkEnd w:id="837"/>
            <w:bookmarkEnd w:id="838"/>
            <w:bookmarkEnd w:id="839"/>
            <w:bookmarkEnd w:id="840"/>
            <w:r w:rsidRPr="00735726">
              <w:rPr>
                <w:rFonts w:ascii="Arial" w:eastAsia="Times New Roman" w:hAnsi="Arial" w:cs="DINOT-Light"/>
                <w:color w:val="000000"/>
                <w:sz w:val="18"/>
                <w:szCs w:val="18"/>
              </w:rPr>
              <w:t xml:space="preserve">   Liabilities</w:t>
            </w:r>
          </w:p>
        </w:tc>
        <w:tc>
          <w:tcPr>
            <w:tcW w:w="992" w:type="dxa"/>
            <w:tcBorders>
              <w:bottom w:val="single" w:sz="4" w:space="0" w:color="auto"/>
            </w:tcBorders>
            <w:tcMar>
              <w:top w:w="11" w:type="dxa"/>
              <w:left w:w="57" w:type="dxa"/>
              <w:bottom w:w="11" w:type="dxa"/>
              <w:right w:w="57" w:type="dxa"/>
            </w:tcMar>
          </w:tcPr>
          <w:p w14:paraId="178374A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(0.4)</w:t>
            </w:r>
          </w:p>
        </w:tc>
        <w:tc>
          <w:tcPr>
            <w:tcW w:w="993" w:type="dxa"/>
            <w:tcBorders>
              <w:bottom w:val="single" w:sz="4" w:space="0" w:color="auto"/>
            </w:tcBorders>
            <w:tcMar>
              <w:top w:w="11" w:type="dxa"/>
              <w:left w:w="57" w:type="dxa"/>
              <w:bottom w:w="11" w:type="dxa"/>
              <w:right w:w="57" w:type="dxa"/>
            </w:tcMar>
          </w:tcPr>
          <w:p w14:paraId="291F5EDF" w14:textId="77777777" w:rsidR="00646F4F" w:rsidRPr="00735726" w:rsidRDefault="00646F4F"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w:t>
            </w:r>
          </w:p>
        </w:tc>
        <w:tc>
          <w:tcPr>
            <w:tcW w:w="992" w:type="dxa"/>
            <w:tcBorders>
              <w:bottom w:val="single" w:sz="4" w:space="0" w:color="auto"/>
            </w:tcBorders>
          </w:tcPr>
          <w:p w14:paraId="338764E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1077" w:type="dxa"/>
            <w:tcBorders>
              <w:bottom w:val="single" w:sz="4" w:space="0" w:color="auto"/>
            </w:tcBorders>
          </w:tcPr>
          <w:p w14:paraId="6C37E915" w14:textId="77777777" w:rsidR="00646F4F" w:rsidRPr="00735726" w:rsidRDefault="00646F4F"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w:t>
            </w:r>
          </w:p>
        </w:tc>
        <w:tc>
          <w:tcPr>
            <w:tcW w:w="1191" w:type="dxa"/>
            <w:tcBorders>
              <w:bottom w:val="single" w:sz="4" w:space="0" w:color="auto"/>
            </w:tcBorders>
          </w:tcPr>
          <w:p w14:paraId="37F5B6AD" w14:textId="77777777" w:rsidR="00646F4F" w:rsidRPr="00735726" w:rsidRDefault="00646F4F" w:rsidP="00CE19B2">
            <w:pPr>
              <w:widowControl w:val="0"/>
              <w:tabs>
                <w:tab w:val="left" w:pos="340"/>
              </w:tabs>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w:t>
            </w:r>
          </w:p>
        </w:tc>
      </w:tr>
      <w:bookmarkEnd w:id="841"/>
      <w:bookmarkEnd w:id="842"/>
      <w:bookmarkEnd w:id="843"/>
      <w:bookmarkEnd w:id="844"/>
      <w:bookmarkEnd w:id="845"/>
    </w:tbl>
    <w:p w14:paraId="5A838A44"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p w14:paraId="035C2700" w14:textId="77777777" w:rsidR="00646F4F" w:rsidRPr="00735726" w:rsidRDefault="00646F4F" w:rsidP="00646F4F">
      <w:pPr>
        <w:widowControl w:val="0"/>
        <w:tabs>
          <w:tab w:val="left" w:pos="340"/>
        </w:tabs>
        <w:suppressAutoHyphens/>
        <w:autoSpaceDE w:val="0"/>
        <w:autoSpaceDN w:val="0"/>
        <w:adjustRightInd w:val="0"/>
        <w:spacing w:after="0"/>
        <w:textAlignment w:val="center"/>
        <w:outlineLvl w:val="0"/>
        <w:rPr>
          <w:rFonts w:ascii="Arial" w:eastAsia="Times New Roman" w:hAnsi="Arial" w:cs="Arial"/>
          <w:b/>
          <w:bCs/>
          <w:sz w:val="18"/>
          <w:szCs w:val="18"/>
        </w:rPr>
      </w:pPr>
      <w:r w:rsidRPr="00735726">
        <w:rPr>
          <w:rFonts w:ascii="Arial" w:eastAsia="Times New Roman" w:hAnsi="Arial" w:cs="Arial"/>
          <w:b/>
          <w:bCs/>
          <w:sz w:val="18"/>
          <w:szCs w:val="18"/>
        </w:rPr>
        <w:t>Valuation hierarchy</w:t>
      </w:r>
    </w:p>
    <w:p w14:paraId="0150EBBE"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Company uses the following hierarchy for determining the fair value of financial instruments by valuation technique:</w:t>
      </w:r>
      <w:r w:rsidRPr="00735726">
        <w:rPr>
          <w:rFonts w:ascii="Arial" w:eastAsia="Times New Roman" w:hAnsi="Arial" w:cs="DINOT-Light"/>
          <w:color w:val="000000"/>
          <w:sz w:val="18"/>
          <w:szCs w:val="18"/>
        </w:rPr>
        <w:br/>
      </w:r>
    </w:p>
    <w:p w14:paraId="1870891B" w14:textId="77777777" w:rsidR="00646F4F" w:rsidRPr="00735726" w:rsidRDefault="00646F4F" w:rsidP="00646F4F">
      <w:pPr>
        <w:widowControl w:val="0"/>
        <w:numPr>
          <w:ilvl w:val="0"/>
          <w:numId w:val="27"/>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Quoted prices (unadjusted) in active markets for identical assets or liabilities (level 1)</w:t>
      </w:r>
    </w:p>
    <w:p w14:paraId="30488350" w14:textId="77777777" w:rsidR="00646F4F" w:rsidRPr="00735726" w:rsidRDefault="00646F4F" w:rsidP="00646F4F">
      <w:pPr>
        <w:widowControl w:val="0"/>
        <w:numPr>
          <w:ilvl w:val="0"/>
          <w:numId w:val="27"/>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Inputs other than quoted prices included within level 1 that are observable for the asset or liability, either directly (that is, as prices) or indirectly (that is, derived from prices) (level 2)</w:t>
      </w:r>
    </w:p>
    <w:p w14:paraId="68E2635F" w14:textId="77777777" w:rsidR="00646F4F" w:rsidRPr="00735726" w:rsidRDefault="00646F4F" w:rsidP="00646F4F">
      <w:pPr>
        <w:widowControl w:val="0"/>
        <w:numPr>
          <w:ilvl w:val="0"/>
          <w:numId w:val="27"/>
        </w:numPr>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Inputs for the asset or liability that are not based on observable market data (that is, unobservable inputs) (level 3) </w:t>
      </w:r>
    </w:p>
    <w:p w14:paraId="500B2AC2" w14:textId="77777777" w:rsidR="00646F4F" w:rsidRPr="00735726" w:rsidRDefault="00646F4F" w:rsidP="00646F4F">
      <w:pPr>
        <w:widowControl w:val="0"/>
        <w:suppressAutoHyphens/>
        <w:autoSpaceDE w:val="0"/>
        <w:autoSpaceDN w:val="0"/>
        <w:adjustRightInd w:val="0"/>
        <w:spacing w:after="0"/>
        <w:ind w:left="720"/>
        <w:textAlignment w:val="center"/>
        <w:rPr>
          <w:rFonts w:ascii="Arial" w:eastAsia="Times New Roman" w:hAnsi="Arial" w:cs="DINOT-Light"/>
          <w:color w:val="000000"/>
          <w:sz w:val="18"/>
          <w:szCs w:val="18"/>
        </w:rPr>
      </w:pPr>
    </w:p>
    <w:p w14:paraId="5774449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fair value of financial instruments not traded in an active market (level 2, for example over-the-counter derivatives) is determined by using valuation techniques. A variety of methods and assumptions are used based on market conditions existing at each balance sheet date. Quoted market prices or dealer quotes for similar instruments are used for long-term debt. Other techniques, such as estimated discounted cash flows, are used to determine fair value for the remaining financial instruments. The fair value of interest rate swaps is calculated as the present value of the estimated future cash flows.</w:t>
      </w:r>
    </w:p>
    <w:p w14:paraId="227764B1"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95E90FF" w14:textId="77777777" w:rsidR="00646F4F" w:rsidRPr="009A2CAE" w:rsidRDefault="00646F4F" w:rsidP="00646F4F">
      <w:pPr>
        <w:spacing w:after="160" w:line="259" w:lineRule="auto"/>
        <w:ind w:left="60"/>
        <w:rPr>
          <w:rFonts w:ascii="Arial" w:eastAsia="Times New Roman" w:hAnsi="Arial" w:cs="Arial"/>
          <w:b/>
          <w:bCs/>
          <w:caps/>
          <w:color w:val="000000"/>
          <w:sz w:val="18"/>
          <w:szCs w:val="18"/>
        </w:rPr>
      </w:pPr>
    </w:p>
    <w:p w14:paraId="1BED7768" w14:textId="77777777" w:rsidR="00646F4F" w:rsidRPr="009A2CAE" w:rsidRDefault="00646F4F" w:rsidP="00646F4F">
      <w:pPr>
        <w:spacing w:after="160" w:line="259" w:lineRule="auto"/>
        <w:ind w:left="60"/>
        <w:rPr>
          <w:rFonts w:ascii="Arial" w:eastAsia="Times New Roman" w:hAnsi="Arial" w:cs="Arial"/>
          <w:b/>
          <w:bCs/>
          <w:caps/>
          <w:color w:val="000000"/>
          <w:sz w:val="18"/>
          <w:szCs w:val="18"/>
        </w:rPr>
      </w:pPr>
    </w:p>
    <w:p w14:paraId="000A926C" w14:textId="77777777" w:rsidR="00646F4F" w:rsidRPr="009A2CAE" w:rsidRDefault="00646F4F" w:rsidP="00646F4F">
      <w:pPr>
        <w:spacing w:after="160" w:line="259" w:lineRule="auto"/>
        <w:ind w:left="60"/>
        <w:rPr>
          <w:rFonts w:ascii="Arial" w:eastAsia="Times New Roman" w:hAnsi="Arial" w:cs="Arial"/>
          <w:b/>
          <w:bCs/>
          <w:caps/>
          <w:color w:val="000000"/>
          <w:sz w:val="18"/>
          <w:szCs w:val="18"/>
        </w:rPr>
      </w:pPr>
    </w:p>
    <w:p w14:paraId="1772A4DA" w14:textId="77777777" w:rsidR="00646F4F" w:rsidRPr="00735726" w:rsidRDefault="00646F4F" w:rsidP="00646F4F">
      <w:pPr>
        <w:spacing w:after="160" w:line="259" w:lineRule="auto"/>
        <w:ind w:left="6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20.</w:t>
      </w:r>
      <w:r w:rsidRPr="00735726">
        <w:rPr>
          <w:rFonts w:ascii="Arial" w:eastAsia="Times New Roman" w:hAnsi="Arial" w:cs="Arial"/>
          <w:b/>
          <w:bCs/>
          <w:caps/>
          <w:color w:val="000000"/>
          <w:sz w:val="18"/>
          <w:szCs w:val="18"/>
        </w:rPr>
        <w:tab/>
        <w:t>Derivative financial instruments (CONTINUED)</w:t>
      </w:r>
    </w:p>
    <w:p w14:paraId="242AFFCA"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pPr w:leftFromText="180" w:rightFromText="180" w:vertAnchor="text" w:horzAnchor="margin" w:tblpY="-55"/>
        <w:tblW w:w="10006"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325E125A" w14:textId="77777777" w:rsidTr="00CE19B2">
        <w:trPr>
          <w:trHeight w:val="60"/>
          <w:tblHeader/>
        </w:trPr>
        <w:tc>
          <w:tcPr>
            <w:tcW w:w="7739" w:type="dxa"/>
            <w:tcMar>
              <w:top w:w="11" w:type="dxa"/>
              <w:left w:w="57" w:type="dxa"/>
              <w:bottom w:w="11" w:type="dxa"/>
              <w:right w:w="57" w:type="dxa"/>
            </w:tcMar>
          </w:tcPr>
          <w:p w14:paraId="20A3A28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The Company’s financial instruments are valued using level 2 measures:</w:t>
            </w:r>
          </w:p>
        </w:tc>
        <w:tc>
          <w:tcPr>
            <w:tcW w:w="1133" w:type="dxa"/>
            <w:tcMar>
              <w:top w:w="11" w:type="dxa"/>
              <w:left w:w="57" w:type="dxa"/>
              <w:bottom w:w="11" w:type="dxa"/>
              <w:right w:w="57" w:type="dxa"/>
            </w:tcMar>
          </w:tcPr>
          <w:p w14:paraId="409EED1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2BFA28E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36FF08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7106F12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0B6759C" w14:textId="77777777" w:rsidTr="00CE19B2">
        <w:trPr>
          <w:trHeight w:val="226"/>
        </w:trPr>
        <w:tc>
          <w:tcPr>
            <w:tcW w:w="7739" w:type="dxa"/>
            <w:tcMar>
              <w:top w:w="11" w:type="dxa"/>
              <w:left w:w="57" w:type="dxa"/>
              <w:bottom w:w="11" w:type="dxa"/>
              <w:right w:w="57" w:type="dxa"/>
            </w:tcMar>
          </w:tcPr>
          <w:p w14:paraId="5DF2CE8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46EAD87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3A7FB7A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8F4D91A" w14:textId="77777777" w:rsidTr="00CE19B2">
        <w:trPr>
          <w:trHeight w:val="226"/>
        </w:trPr>
        <w:tc>
          <w:tcPr>
            <w:tcW w:w="7739" w:type="dxa"/>
            <w:tcMar>
              <w:top w:w="11" w:type="dxa"/>
              <w:left w:w="57" w:type="dxa"/>
              <w:bottom w:w="11" w:type="dxa"/>
              <w:right w:w="57" w:type="dxa"/>
            </w:tcMar>
          </w:tcPr>
          <w:p w14:paraId="02CAD4F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Assets</w:t>
            </w:r>
          </w:p>
        </w:tc>
        <w:tc>
          <w:tcPr>
            <w:tcW w:w="1133" w:type="dxa"/>
            <w:tcMar>
              <w:top w:w="11" w:type="dxa"/>
              <w:left w:w="57" w:type="dxa"/>
              <w:bottom w:w="11" w:type="dxa"/>
              <w:right w:w="57" w:type="dxa"/>
            </w:tcMar>
          </w:tcPr>
          <w:p w14:paraId="3A59B6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1EB3208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04A2EC4B" w14:textId="77777777" w:rsidTr="00CE19B2">
        <w:trPr>
          <w:trHeight w:val="226"/>
        </w:trPr>
        <w:tc>
          <w:tcPr>
            <w:tcW w:w="7739" w:type="dxa"/>
            <w:tcMar>
              <w:top w:w="11" w:type="dxa"/>
              <w:left w:w="57" w:type="dxa"/>
              <w:bottom w:w="11" w:type="dxa"/>
              <w:right w:w="57" w:type="dxa"/>
            </w:tcMar>
          </w:tcPr>
          <w:p w14:paraId="44399B6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46" w:name="XMETag_12d35aee55d44e11a32a7a098682990c" w:colFirst="1" w:colLast="1"/>
            <w:bookmarkStart w:id="847" w:name="XMETag_ef6e8d533351485ba1421f4e75314088" w:colFirst="2" w:colLast="2"/>
            <w:r w:rsidRPr="00735726">
              <w:rPr>
                <w:rFonts w:ascii="Arial" w:eastAsia="Times New Roman" w:hAnsi="Arial" w:cs="DINOT-Light"/>
                <w:color w:val="000000"/>
                <w:sz w:val="18"/>
                <w:szCs w:val="18"/>
              </w:rPr>
              <w:t>Derivatives used for cash flow hedging</w:t>
            </w:r>
          </w:p>
        </w:tc>
        <w:tc>
          <w:tcPr>
            <w:tcW w:w="1133" w:type="dxa"/>
            <w:tcMar>
              <w:top w:w="11" w:type="dxa"/>
              <w:left w:w="57" w:type="dxa"/>
              <w:bottom w:w="11" w:type="dxa"/>
              <w:right w:w="57" w:type="dxa"/>
            </w:tcMar>
          </w:tcPr>
          <w:p w14:paraId="710B99E7" w14:textId="3E7308AF"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29.2</w:t>
            </w:r>
          </w:p>
        </w:tc>
        <w:tc>
          <w:tcPr>
            <w:tcW w:w="1134" w:type="dxa"/>
            <w:tcMar>
              <w:top w:w="11" w:type="dxa"/>
              <w:left w:w="57" w:type="dxa"/>
              <w:bottom w:w="11" w:type="dxa"/>
              <w:right w:w="57" w:type="dxa"/>
            </w:tcMar>
          </w:tcPr>
          <w:p w14:paraId="651C2AC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31.6</w:t>
            </w:r>
          </w:p>
        </w:tc>
      </w:tr>
      <w:bookmarkEnd w:id="846"/>
      <w:bookmarkEnd w:id="847"/>
      <w:tr w:rsidR="00646F4F" w:rsidRPr="00735726" w14:paraId="67BFE9F5" w14:textId="77777777" w:rsidTr="00CE19B2">
        <w:trPr>
          <w:trHeight w:val="226"/>
        </w:trPr>
        <w:tc>
          <w:tcPr>
            <w:tcW w:w="7739" w:type="dxa"/>
            <w:tcMar>
              <w:top w:w="11" w:type="dxa"/>
              <w:left w:w="57" w:type="dxa"/>
              <w:bottom w:w="11" w:type="dxa"/>
              <w:right w:w="57" w:type="dxa"/>
            </w:tcMar>
          </w:tcPr>
          <w:p w14:paraId="794FA95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Liabilities</w:t>
            </w:r>
          </w:p>
        </w:tc>
        <w:tc>
          <w:tcPr>
            <w:tcW w:w="1133" w:type="dxa"/>
            <w:tcMar>
              <w:top w:w="11" w:type="dxa"/>
              <w:left w:w="57" w:type="dxa"/>
              <w:bottom w:w="11" w:type="dxa"/>
              <w:right w:w="57" w:type="dxa"/>
            </w:tcMar>
          </w:tcPr>
          <w:p w14:paraId="0020AC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008E222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0DD3C71" w14:textId="77777777" w:rsidTr="00CE19B2">
        <w:trPr>
          <w:trHeight w:val="226"/>
        </w:trPr>
        <w:tc>
          <w:tcPr>
            <w:tcW w:w="7739" w:type="dxa"/>
            <w:tcMar>
              <w:top w:w="11" w:type="dxa"/>
              <w:left w:w="57" w:type="dxa"/>
              <w:bottom w:w="11" w:type="dxa"/>
              <w:right w:w="57" w:type="dxa"/>
            </w:tcMar>
          </w:tcPr>
          <w:p w14:paraId="487F5D6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48" w:name="XMETag_6c9e11a77e3a49789cbaba07c845546c" w:colFirst="1" w:colLast="1"/>
            <w:bookmarkStart w:id="849" w:name="XMETag_71d18eedc491462b937f23c97fb2b7a0" w:colFirst="2" w:colLast="2"/>
            <w:r w:rsidRPr="00735726">
              <w:rPr>
                <w:rFonts w:ascii="Arial" w:eastAsia="Times New Roman" w:hAnsi="Arial" w:cs="DINOT-Light"/>
                <w:color w:val="000000"/>
                <w:sz w:val="18"/>
                <w:szCs w:val="18"/>
              </w:rPr>
              <w:t>Derivatives used for cash flow hedging</w:t>
            </w:r>
          </w:p>
        </w:tc>
        <w:tc>
          <w:tcPr>
            <w:tcW w:w="1133" w:type="dxa"/>
            <w:tcMar>
              <w:top w:w="11" w:type="dxa"/>
              <w:left w:w="57" w:type="dxa"/>
              <w:bottom w:w="11" w:type="dxa"/>
              <w:right w:w="57" w:type="dxa"/>
            </w:tcMar>
          </w:tcPr>
          <w:p w14:paraId="592EAE60" w14:textId="32BE7EA8"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w:t>
            </w:r>
          </w:p>
        </w:tc>
        <w:tc>
          <w:tcPr>
            <w:tcW w:w="1134" w:type="dxa"/>
            <w:tcMar>
              <w:top w:w="11" w:type="dxa"/>
              <w:left w:w="57" w:type="dxa"/>
              <w:bottom w:w="11" w:type="dxa"/>
              <w:right w:w="57" w:type="dxa"/>
            </w:tcMar>
          </w:tcPr>
          <w:p w14:paraId="6EE48C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w:t>
            </w:r>
          </w:p>
        </w:tc>
      </w:tr>
      <w:bookmarkEnd w:id="848"/>
      <w:bookmarkEnd w:id="849"/>
    </w:tbl>
    <w:p w14:paraId="5264889A"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75D955B5"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21.</w:t>
      </w:r>
      <w:r w:rsidRPr="00735726">
        <w:rPr>
          <w:rFonts w:ascii="Arial" w:eastAsia="Times New Roman" w:hAnsi="Arial" w:cs="Arial"/>
          <w:b/>
          <w:bCs/>
          <w:caps/>
          <w:color w:val="000000"/>
          <w:sz w:val="18"/>
          <w:szCs w:val="18"/>
        </w:rPr>
        <w:tab/>
        <w:t>Cash and cash EQUIVALENTS AND RESTRICTED FUNDS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78B42A30" w14:textId="77777777" w:rsidTr="00CE19B2">
        <w:trPr>
          <w:trHeight w:val="60"/>
          <w:tblHeader/>
        </w:trPr>
        <w:tc>
          <w:tcPr>
            <w:tcW w:w="7739" w:type="dxa"/>
            <w:tcMar>
              <w:top w:w="11" w:type="dxa"/>
              <w:left w:w="57" w:type="dxa"/>
              <w:bottom w:w="11" w:type="dxa"/>
              <w:right w:w="57" w:type="dxa"/>
            </w:tcMar>
          </w:tcPr>
          <w:p w14:paraId="2DB9F1D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517EE2E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0BD280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258CC9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2514096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0CB8D0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913D3E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4EA55876" w14:textId="77777777" w:rsidTr="00277639">
        <w:trPr>
          <w:trHeight w:val="226"/>
        </w:trPr>
        <w:tc>
          <w:tcPr>
            <w:tcW w:w="7739" w:type="dxa"/>
            <w:tcMar>
              <w:top w:w="11" w:type="dxa"/>
              <w:left w:w="57" w:type="dxa"/>
              <w:bottom w:w="11" w:type="dxa"/>
              <w:right w:w="57" w:type="dxa"/>
            </w:tcMar>
          </w:tcPr>
          <w:p w14:paraId="32C3704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50" w:name="XMETag_61d890c24bd64af5937331e075b7ebc0" w:colFirst="1" w:colLast="1"/>
            <w:bookmarkStart w:id="851" w:name="XMETag_619db2f297ae44da8e62359f935b5507" w:colFirst="2" w:colLast="2"/>
            <w:r w:rsidRPr="00735726">
              <w:rPr>
                <w:rFonts w:ascii="Arial" w:eastAsia="Times New Roman" w:hAnsi="Arial" w:cs="DINOT-Light"/>
                <w:color w:val="000000"/>
                <w:sz w:val="18"/>
                <w:szCs w:val="18"/>
              </w:rPr>
              <w:t>Cash at bank and in hand</w:t>
            </w:r>
          </w:p>
        </w:tc>
        <w:tc>
          <w:tcPr>
            <w:tcW w:w="1133" w:type="dxa"/>
            <w:tcMar>
              <w:top w:w="11" w:type="dxa"/>
              <w:left w:w="57" w:type="dxa"/>
              <w:bottom w:w="11" w:type="dxa"/>
              <w:right w:w="57" w:type="dxa"/>
            </w:tcMar>
          </w:tcPr>
          <w:p w14:paraId="0EB6D2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24.1</w:t>
            </w:r>
          </w:p>
        </w:tc>
        <w:tc>
          <w:tcPr>
            <w:tcW w:w="1134" w:type="dxa"/>
          </w:tcPr>
          <w:p w14:paraId="16AB8F4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30.6</w:t>
            </w:r>
          </w:p>
        </w:tc>
      </w:tr>
      <w:tr w:rsidR="00646F4F" w:rsidRPr="00735726" w14:paraId="2F1060C8" w14:textId="77777777" w:rsidTr="00277639">
        <w:trPr>
          <w:trHeight w:val="226"/>
        </w:trPr>
        <w:tc>
          <w:tcPr>
            <w:tcW w:w="7739" w:type="dxa"/>
            <w:tcMar>
              <w:top w:w="11" w:type="dxa"/>
              <w:left w:w="57" w:type="dxa"/>
              <w:bottom w:w="11" w:type="dxa"/>
              <w:right w:w="57" w:type="dxa"/>
            </w:tcMar>
          </w:tcPr>
          <w:p w14:paraId="383F786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Short-term bank deposits</w:t>
            </w:r>
          </w:p>
        </w:tc>
        <w:tc>
          <w:tcPr>
            <w:tcW w:w="1133" w:type="dxa"/>
            <w:tcMar>
              <w:top w:w="11" w:type="dxa"/>
              <w:left w:w="57" w:type="dxa"/>
              <w:bottom w:w="11" w:type="dxa"/>
              <w:right w:w="57" w:type="dxa"/>
            </w:tcMar>
          </w:tcPr>
          <w:p w14:paraId="75FA5FC7" w14:textId="0A67DB57" w:rsidR="00646F4F" w:rsidRPr="00735726" w:rsidRDefault="000D2D29"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75.6</w:t>
            </w:r>
          </w:p>
        </w:tc>
        <w:tc>
          <w:tcPr>
            <w:tcW w:w="1134" w:type="dxa"/>
          </w:tcPr>
          <w:p w14:paraId="2139522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250.0</w:t>
            </w:r>
          </w:p>
        </w:tc>
      </w:tr>
      <w:tr w:rsidR="000D2D29" w:rsidRPr="00735726" w14:paraId="35911663" w14:textId="77777777" w:rsidTr="00277639">
        <w:trPr>
          <w:trHeight w:val="226"/>
        </w:trPr>
        <w:tc>
          <w:tcPr>
            <w:tcW w:w="7739" w:type="dxa"/>
            <w:tcMar>
              <w:top w:w="11" w:type="dxa"/>
              <w:left w:w="57" w:type="dxa"/>
              <w:bottom w:w="11" w:type="dxa"/>
              <w:right w:w="57" w:type="dxa"/>
            </w:tcMar>
          </w:tcPr>
          <w:p w14:paraId="2200A759" w14:textId="04DF8D57" w:rsidR="000D2D29" w:rsidRPr="00735726" w:rsidRDefault="000D2D29"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Other deposits</w:t>
            </w:r>
          </w:p>
        </w:tc>
        <w:tc>
          <w:tcPr>
            <w:tcW w:w="1133" w:type="dxa"/>
            <w:tcBorders>
              <w:bottom w:val="single" w:sz="4" w:space="0" w:color="auto"/>
            </w:tcBorders>
            <w:tcMar>
              <w:top w:w="11" w:type="dxa"/>
              <w:left w:w="57" w:type="dxa"/>
              <w:bottom w:w="11" w:type="dxa"/>
              <w:right w:w="57" w:type="dxa"/>
            </w:tcMar>
          </w:tcPr>
          <w:p w14:paraId="0E20B8EF" w14:textId="481D9E3E" w:rsidR="000D2D29" w:rsidRPr="00735726" w:rsidRDefault="000D2D29"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150.0</w:t>
            </w:r>
          </w:p>
        </w:tc>
        <w:tc>
          <w:tcPr>
            <w:tcW w:w="1134" w:type="dxa"/>
            <w:tcBorders>
              <w:bottom w:val="single" w:sz="4" w:space="0" w:color="auto"/>
            </w:tcBorders>
          </w:tcPr>
          <w:p w14:paraId="186353C3" w14:textId="1B86DCD4" w:rsidR="000D2D29" w:rsidRPr="00735726" w:rsidRDefault="000D2D29"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tr w:rsidR="00646F4F" w:rsidRPr="00735726" w14:paraId="68D34B86" w14:textId="77777777" w:rsidTr="00CE19B2">
        <w:trPr>
          <w:trHeight w:val="226"/>
        </w:trPr>
        <w:tc>
          <w:tcPr>
            <w:tcW w:w="7739" w:type="dxa"/>
            <w:tcMar>
              <w:top w:w="11" w:type="dxa"/>
              <w:left w:w="57" w:type="dxa"/>
              <w:bottom w:w="11" w:type="dxa"/>
              <w:right w:w="57" w:type="dxa"/>
            </w:tcMar>
          </w:tcPr>
          <w:p w14:paraId="225D934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Cash and cash equivalents</w:t>
            </w:r>
          </w:p>
        </w:tc>
        <w:tc>
          <w:tcPr>
            <w:tcW w:w="1133" w:type="dxa"/>
            <w:tcBorders>
              <w:top w:val="single" w:sz="4" w:space="0" w:color="auto"/>
            </w:tcBorders>
            <w:tcMar>
              <w:top w:w="11" w:type="dxa"/>
              <w:left w:w="57" w:type="dxa"/>
              <w:bottom w:w="11" w:type="dxa"/>
              <w:right w:w="57" w:type="dxa"/>
            </w:tcMar>
          </w:tcPr>
          <w:p w14:paraId="7AE6D9B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249.7</w:t>
            </w:r>
          </w:p>
        </w:tc>
        <w:tc>
          <w:tcPr>
            <w:tcW w:w="1134" w:type="dxa"/>
            <w:tcBorders>
              <w:top w:val="single" w:sz="4" w:space="0" w:color="auto"/>
            </w:tcBorders>
          </w:tcPr>
          <w:p w14:paraId="053BF93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280.6</w:t>
            </w:r>
          </w:p>
        </w:tc>
      </w:tr>
      <w:tr w:rsidR="00646F4F" w:rsidRPr="00735726" w14:paraId="67AC55E3" w14:textId="77777777" w:rsidTr="00CE19B2">
        <w:trPr>
          <w:trHeight w:val="226"/>
        </w:trPr>
        <w:tc>
          <w:tcPr>
            <w:tcW w:w="7739" w:type="dxa"/>
            <w:tcMar>
              <w:top w:w="11" w:type="dxa"/>
              <w:left w:w="57" w:type="dxa"/>
              <w:bottom w:w="11" w:type="dxa"/>
              <w:right w:w="57" w:type="dxa"/>
            </w:tcMar>
          </w:tcPr>
          <w:p w14:paraId="0D05508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52" w:name="XMETag_a8366f9faf634c5d9fdc1ef73b2c21e9" w:colFirst="1" w:colLast="1"/>
            <w:bookmarkStart w:id="853" w:name="XMETag_535148246cca49fa80a93f2472cc344f" w:colFirst="2" w:colLast="2"/>
            <w:bookmarkEnd w:id="850"/>
            <w:bookmarkEnd w:id="851"/>
            <w:r w:rsidRPr="00735726">
              <w:rPr>
                <w:rFonts w:ascii="Arial" w:eastAsia="Times New Roman" w:hAnsi="Arial" w:cs="DINOT-Light"/>
                <w:color w:val="000000"/>
                <w:sz w:val="18"/>
                <w:szCs w:val="18"/>
              </w:rPr>
              <w:t>Restricted funds</w:t>
            </w:r>
          </w:p>
        </w:tc>
        <w:tc>
          <w:tcPr>
            <w:tcW w:w="1133" w:type="dxa"/>
            <w:tcBorders>
              <w:bottom w:val="single" w:sz="4" w:space="0" w:color="auto"/>
            </w:tcBorders>
            <w:tcMar>
              <w:top w:w="11" w:type="dxa"/>
              <w:left w:w="57" w:type="dxa"/>
              <w:bottom w:w="11" w:type="dxa"/>
              <w:right w:w="57" w:type="dxa"/>
            </w:tcMar>
          </w:tcPr>
          <w:p w14:paraId="1FEE7C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46.2</w:t>
            </w:r>
          </w:p>
        </w:tc>
        <w:tc>
          <w:tcPr>
            <w:tcW w:w="1134" w:type="dxa"/>
            <w:tcBorders>
              <w:bottom w:val="single" w:sz="4" w:space="0" w:color="auto"/>
            </w:tcBorders>
          </w:tcPr>
          <w:p w14:paraId="1B2EA6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46.1</w:t>
            </w:r>
          </w:p>
        </w:tc>
      </w:tr>
      <w:tr w:rsidR="00646F4F" w:rsidRPr="00735726" w14:paraId="01816769" w14:textId="77777777" w:rsidTr="00CE19B2">
        <w:trPr>
          <w:trHeight w:val="226"/>
        </w:trPr>
        <w:tc>
          <w:tcPr>
            <w:tcW w:w="7739" w:type="dxa"/>
            <w:tcMar>
              <w:top w:w="11" w:type="dxa"/>
              <w:left w:w="57" w:type="dxa"/>
              <w:bottom w:w="11" w:type="dxa"/>
              <w:right w:w="57" w:type="dxa"/>
            </w:tcMar>
          </w:tcPr>
          <w:p w14:paraId="5967DC9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854" w:name="XMETag_663e04f129f04f0aae79f22f02a851eb" w:colFirst="1" w:colLast="1"/>
            <w:bookmarkStart w:id="855" w:name="XMETag_f70f3ddb865f4b3f9740af72e1805196" w:colFirst="2" w:colLast="2"/>
            <w:bookmarkEnd w:id="852"/>
            <w:bookmarkEnd w:id="853"/>
            <w:r w:rsidRPr="00735726">
              <w:rPr>
                <w:rFonts w:ascii="Arial" w:eastAsia="Times New Roman" w:hAnsi="Arial" w:cs="DINOT-Light"/>
                <w:b/>
                <w:color w:val="000000"/>
                <w:sz w:val="18"/>
                <w:szCs w:val="18"/>
              </w:rPr>
              <w:t>Total</w:t>
            </w:r>
          </w:p>
        </w:tc>
        <w:tc>
          <w:tcPr>
            <w:tcW w:w="1133" w:type="dxa"/>
            <w:tcBorders>
              <w:top w:val="single" w:sz="4" w:space="0" w:color="auto"/>
              <w:bottom w:val="single" w:sz="4" w:space="0" w:color="auto"/>
            </w:tcBorders>
            <w:tcMar>
              <w:top w:w="11" w:type="dxa"/>
              <w:left w:w="57" w:type="dxa"/>
              <w:bottom w:w="11" w:type="dxa"/>
              <w:right w:w="57" w:type="dxa"/>
            </w:tcMar>
          </w:tcPr>
          <w:p w14:paraId="0086D2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295.9</w:t>
            </w:r>
          </w:p>
        </w:tc>
        <w:tc>
          <w:tcPr>
            <w:tcW w:w="1134" w:type="dxa"/>
            <w:tcBorders>
              <w:top w:val="single" w:sz="4" w:space="0" w:color="auto"/>
              <w:bottom w:val="single" w:sz="4" w:space="0" w:color="auto"/>
            </w:tcBorders>
          </w:tcPr>
          <w:p w14:paraId="4F44125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326.7</w:t>
            </w:r>
          </w:p>
        </w:tc>
      </w:tr>
      <w:bookmarkEnd w:id="854"/>
      <w:bookmarkEnd w:id="855"/>
    </w:tbl>
    <w:p w14:paraId="5C68DC1E"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DD154D9" w14:textId="704905A3" w:rsidR="00646F4F" w:rsidRPr="00735726" w:rsidRDefault="00646F4F" w:rsidP="00646F4F">
      <w:pPr>
        <w:widowControl w:val="0"/>
        <w:suppressAutoHyphens/>
        <w:autoSpaceDE w:val="0"/>
        <w:autoSpaceDN w:val="0"/>
        <w:adjustRightInd w:val="0"/>
        <w:spacing w:after="0"/>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Company short-term deposits have an average maturity of </w:t>
      </w:r>
      <w:r w:rsidR="00063E97" w:rsidRPr="00735726">
        <w:rPr>
          <w:rFonts w:ascii="Arial" w:eastAsia="Times New Roman" w:hAnsi="Arial" w:cs="DINOT-Light"/>
          <w:color w:val="000000"/>
          <w:sz w:val="18"/>
          <w:szCs w:val="18"/>
        </w:rPr>
        <w:t>one</w:t>
      </w:r>
      <w:r w:rsidRPr="00735726">
        <w:rPr>
          <w:rFonts w:ascii="Arial" w:eastAsia="Times New Roman" w:hAnsi="Arial" w:cs="DINOT-Light"/>
          <w:color w:val="000000"/>
          <w:sz w:val="18"/>
          <w:szCs w:val="18"/>
        </w:rPr>
        <w:t xml:space="preserve"> working days (2025: one working day). Company other deposits </w:t>
      </w:r>
      <w:r w:rsidR="00955316" w:rsidRPr="00735726">
        <w:rPr>
          <w:rFonts w:ascii="Arial" w:eastAsia="Times New Roman" w:hAnsi="Arial" w:cs="DINOT-Light"/>
          <w:color w:val="000000"/>
          <w:sz w:val="18"/>
          <w:szCs w:val="18"/>
        </w:rPr>
        <w:t xml:space="preserve">(including restricted funds) </w:t>
      </w:r>
      <w:r w:rsidRPr="00735726">
        <w:rPr>
          <w:rFonts w:ascii="Arial" w:eastAsia="Times New Roman" w:hAnsi="Arial" w:cs="DINOT-Light"/>
          <w:color w:val="000000"/>
          <w:sz w:val="18"/>
          <w:szCs w:val="18"/>
        </w:rPr>
        <w:t xml:space="preserve">have an average maturity of </w:t>
      </w:r>
      <w:r w:rsidR="000D2D29" w:rsidRPr="00735726">
        <w:rPr>
          <w:rFonts w:ascii="Arial" w:eastAsia="Times New Roman" w:hAnsi="Arial" w:cs="DINOT-Light"/>
          <w:color w:val="000000"/>
          <w:sz w:val="18"/>
          <w:szCs w:val="18"/>
        </w:rPr>
        <w:t xml:space="preserve">76 </w:t>
      </w:r>
      <w:r w:rsidRPr="00735726">
        <w:rPr>
          <w:rFonts w:ascii="Arial" w:eastAsia="Times New Roman" w:hAnsi="Arial" w:cs="DINOT-Light"/>
          <w:color w:val="000000"/>
          <w:sz w:val="18"/>
          <w:szCs w:val="18"/>
        </w:rPr>
        <w:t>days (2025: 92 days).</w:t>
      </w:r>
    </w:p>
    <w:p w14:paraId="22B0E7FE"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7C0C8F9" w14:textId="4AB5E78D"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Restricted funds comprise £46.2 million (2025: £46.1 million) to settle long-term lease liabilities </w:t>
      </w:r>
      <w:r w:rsidRPr="009A2CAE">
        <w:rPr>
          <w:rFonts w:ascii="Arial" w:eastAsia="Times New Roman" w:hAnsi="Arial" w:cs="DINOT-Light"/>
          <w:color w:val="000000"/>
          <w:sz w:val="18"/>
          <w:szCs w:val="18"/>
        </w:rPr>
        <w:t>(note 2</w:t>
      </w:r>
      <w:r w:rsidR="00DB0609" w:rsidRPr="009A2CAE">
        <w:rPr>
          <w:rFonts w:ascii="Arial" w:eastAsia="Times New Roman" w:hAnsi="Arial" w:cs="DINOT-Light"/>
          <w:color w:val="000000"/>
          <w:sz w:val="18"/>
          <w:szCs w:val="18"/>
        </w:rPr>
        <w:t>3</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Restricted funds are available for access, subject to being replaced by an equivalent valued security.</w:t>
      </w:r>
    </w:p>
    <w:p w14:paraId="39EAE029"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02A6475C"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For the purposes of the cash flow statement, cash and cash equivalents comprise:</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15F106BE" w14:textId="77777777" w:rsidTr="00CE19B2">
        <w:trPr>
          <w:trHeight w:val="60"/>
          <w:tblHeader/>
        </w:trPr>
        <w:tc>
          <w:tcPr>
            <w:tcW w:w="7739" w:type="dxa"/>
            <w:tcMar>
              <w:top w:w="11" w:type="dxa"/>
              <w:left w:w="57" w:type="dxa"/>
              <w:bottom w:w="11" w:type="dxa"/>
              <w:right w:w="57" w:type="dxa"/>
            </w:tcMar>
          </w:tcPr>
          <w:p w14:paraId="400C4C5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32D8AC9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3D624D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7F31475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08B2AA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464556CB" w14:textId="77777777" w:rsidTr="00CE19B2">
        <w:trPr>
          <w:trHeight w:val="226"/>
        </w:trPr>
        <w:tc>
          <w:tcPr>
            <w:tcW w:w="7739" w:type="dxa"/>
            <w:tcMar>
              <w:top w:w="11" w:type="dxa"/>
              <w:left w:w="57" w:type="dxa"/>
              <w:bottom w:w="11" w:type="dxa"/>
              <w:right w:w="57" w:type="dxa"/>
            </w:tcMar>
          </w:tcPr>
          <w:p w14:paraId="5A9C5CF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56" w:name="XMETag_1b3fa875130a4c2e9b8ac5e75031714b" w:colFirst="1" w:colLast="1"/>
            <w:bookmarkStart w:id="857" w:name="XMETag_107442454b0248f1a9394f4c985ddf5a" w:colFirst="2" w:colLast="2"/>
            <w:r w:rsidRPr="00735726">
              <w:rPr>
                <w:rFonts w:ascii="Arial" w:eastAsia="Times New Roman" w:hAnsi="Arial" w:cs="DINOT-Light"/>
                <w:color w:val="000000"/>
                <w:sz w:val="18"/>
                <w:szCs w:val="18"/>
              </w:rPr>
              <w:t>Cash and cash equivalents as above</w:t>
            </w:r>
          </w:p>
        </w:tc>
        <w:tc>
          <w:tcPr>
            <w:tcW w:w="1133" w:type="dxa"/>
            <w:tcMar>
              <w:top w:w="11" w:type="dxa"/>
              <w:left w:w="57" w:type="dxa"/>
              <w:bottom w:w="11" w:type="dxa"/>
              <w:right w:w="57" w:type="dxa"/>
            </w:tcMar>
          </w:tcPr>
          <w:p w14:paraId="3BA78DE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249.7</w:t>
            </w:r>
          </w:p>
        </w:tc>
        <w:tc>
          <w:tcPr>
            <w:tcW w:w="1134" w:type="dxa"/>
            <w:tcMar>
              <w:top w:w="11" w:type="dxa"/>
              <w:left w:w="57" w:type="dxa"/>
              <w:bottom w:w="11" w:type="dxa"/>
              <w:right w:w="57" w:type="dxa"/>
            </w:tcMar>
          </w:tcPr>
          <w:p w14:paraId="25FBC1C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280.6</w:t>
            </w:r>
          </w:p>
        </w:tc>
      </w:tr>
      <w:tr w:rsidR="00646F4F" w:rsidRPr="00735726" w14:paraId="0FF87087" w14:textId="77777777" w:rsidTr="00CE19B2">
        <w:trPr>
          <w:trHeight w:val="226"/>
        </w:trPr>
        <w:tc>
          <w:tcPr>
            <w:tcW w:w="7739" w:type="dxa"/>
            <w:tcMar>
              <w:top w:w="11" w:type="dxa"/>
              <w:left w:w="57" w:type="dxa"/>
              <w:bottom w:w="11" w:type="dxa"/>
              <w:right w:w="57" w:type="dxa"/>
            </w:tcMar>
          </w:tcPr>
          <w:p w14:paraId="5F7BB84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858" w:name="XMETag_17b399a3ed07497490075acea67e64ad" w:colFirst="1" w:colLast="1"/>
            <w:bookmarkStart w:id="859" w:name="XMETag_713440050d404fab8de96f4799ae444e" w:colFirst="2" w:colLast="2"/>
            <w:bookmarkEnd w:id="856"/>
            <w:bookmarkEnd w:id="857"/>
            <w:r w:rsidRPr="00735726">
              <w:rPr>
                <w:rFonts w:ascii="Arial" w:eastAsia="Times New Roman" w:hAnsi="Arial" w:cs="DINOT-Light"/>
                <w:b/>
                <w:color w:val="000000"/>
                <w:sz w:val="18"/>
                <w:szCs w:val="18"/>
              </w:rPr>
              <w:t>Cash and cash equivalents</w:t>
            </w:r>
          </w:p>
        </w:tc>
        <w:tc>
          <w:tcPr>
            <w:tcW w:w="1133" w:type="dxa"/>
            <w:tcBorders>
              <w:top w:val="single" w:sz="4" w:space="0" w:color="auto"/>
              <w:bottom w:val="single" w:sz="4" w:space="0" w:color="auto"/>
            </w:tcBorders>
            <w:tcMar>
              <w:top w:w="11" w:type="dxa"/>
              <w:left w:w="57" w:type="dxa"/>
              <w:bottom w:w="11" w:type="dxa"/>
              <w:right w:w="57" w:type="dxa"/>
            </w:tcMar>
          </w:tcPr>
          <w:p w14:paraId="2859F0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249.7</w:t>
            </w:r>
          </w:p>
        </w:tc>
        <w:tc>
          <w:tcPr>
            <w:tcW w:w="1134" w:type="dxa"/>
            <w:tcBorders>
              <w:top w:val="single" w:sz="4" w:space="0" w:color="auto"/>
              <w:bottom w:val="single" w:sz="4" w:space="0" w:color="auto"/>
            </w:tcBorders>
            <w:tcMar>
              <w:top w:w="11" w:type="dxa"/>
              <w:left w:w="57" w:type="dxa"/>
              <w:bottom w:w="11" w:type="dxa"/>
              <w:right w:w="57" w:type="dxa"/>
            </w:tcMar>
          </w:tcPr>
          <w:p w14:paraId="1D7AED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280.6</w:t>
            </w:r>
          </w:p>
        </w:tc>
      </w:tr>
      <w:bookmarkEnd w:id="858"/>
      <w:bookmarkEnd w:id="859"/>
    </w:tbl>
    <w:p w14:paraId="49019BE5"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5DC68A83" w14:textId="799F9DE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22.</w:t>
      </w:r>
      <w:r w:rsidRPr="00735726">
        <w:rPr>
          <w:rFonts w:ascii="Arial" w:eastAsia="Times New Roman" w:hAnsi="Arial" w:cs="Arial"/>
          <w:b/>
          <w:bCs/>
          <w:caps/>
          <w:color w:val="000000"/>
          <w:sz w:val="18"/>
          <w:szCs w:val="18"/>
        </w:rPr>
        <w:tab/>
        <w:t>Trade and other payables</w:t>
      </w:r>
      <w:r w:rsidR="00C84DB7" w:rsidRPr="00735726">
        <w:rPr>
          <w:rFonts w:ascii="Arial" w:eastAsia="Times New Roman" w:hAnsi="Arial" w:cs="Arial"/>
          <w:b/>
          <w:bCs/>
          <w:caps/>
          <w:color w:val="000000"/>
          <w:sz w:val="18"/>
          <w:szCs w:val="18"/>
        </w:rPr>
        <w:t xml:space="preserve"> - CURRENT</w:t>
      </w:r>
      <w:r w:rsidRPr="00735726">
        <w:rPr>
          <w:rFonts w:ascii="Arial" w:eastAsia="Times New Roman" w:hAnsi="Arial" w:cs="Arial"/>
          <w:b/>
          <w:bCs/>
          <w:caps/>
          <w:color w:val="000000"/>
          <w:sz w:val="18"/>
          <w:szCs w:val="18"/>
        </w:rPr>
        <w:t xml:space="preserve"> </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23589502" w14:textId="77777777" w:rsidTr="00CE19B2">
        <w:trPr>
          <w:trHeight w:val="60"/>
          <w:tblHeader/>
        </w:trPr>
        <w:tc>
          <w:tcPr>
            <w:tcW w:w="7739" w:type="dxa"/>
            <w:tcMar>
              <w:top w:w="11" w:type="dxa"/>
              <w:left w:w="57" w:type="dxa"/>
              <w:bottom w:w="11" w:type="dxa"/>
              <w:right w:w="57" w:type="dxa"/>
            </w:tcMar>
          </w:tcPr>
          <w:p w14:paraId="24BCBA21"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773D451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0490CA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41B03C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10A4D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15C16D79" w14:textId="77777777" w:rsidTr="00CE19B2">
        <w:trPr>
          <w:trHeight w:val="226"/>
        </w:trPr>
        <w:tc>
          <w:tcPr>
            <w:tcW w:w="7739" w:type="dxa"/>
            <w:tcMar>
              <w:top w:w="11" w:type="dxa"/>
              <w:left w:w="57" w:type="dxa"/>
              <w:bottom w:w="11" w:type="dxa"/>
              <w:right w:w="57" w:type="dxa"/>
            </w:tcMar>
          </w:tcPr>
          <w:p w14:paraId="1859432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60" w:name="XMETag_bee9d2576cd24086abb2e2f7d2bbfd68" w:colFirst="1" w:colLast="1"/>
            <w:bookmarkStart w:id="861" w:name="XMETag_2c26f6fa2f2f448eb6c7d65b69a9829e" w:colFirst="2" w:colLast="2"/>
            <w:r w:rsidRPr="00735726">
              <w:rPr>
                <w:rFonts w:ascii="Arial" w:eastAsia="Times New Roman" w:hAnsi="Arial" w:cs="DINOT-Light"/>
                <w:color w:val="000000"/>
                <w:sz w:val="18"/>
                <w:szCs w:val="18"/>
              </w:rPr>
              <w:t>Trade payables</w:t>
            </w:r>
          </w:p>
        </w:tc>
        <w:tc>
          <w:tcPr>
            <w:tcW w:w="1133" w:type="dxa"/>
            <w:tcMar>
              <w:top w:w="11" w:type="dxa"/>
              <w:left w:w="57" w:type="dxa"/>
              <w:bottom w:w="11" w:type="dxa"/>
              <w:right w:w="57" w:type="dxa"/>
            </w:tcMar>
          </w:tcPr>
          <w:p w14:paraId="3371BEF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156.2</w:t>
            </w:r>
          </w:p>
        </w:tc>
        <w:tc>
          <w:tcPr>
            <w:tcW w:w="1134" w:type="dxa"/>
          </w:tcPr>
          <w:p w14:paraId="2DB8632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87.5</w:t>
            </w:r>
          </w:p>
        </w:tc>
      </w:tr>
      <w:tr w:rsidR="00646F4F" w:rsidRPr="00735726" w14:paraId="1B3BF0D7" w14:textId="77777777" w:rsidTr="00CE19B2">
        <w:trPr>
          <w:trHeight w:val="226"/>
        </w:trPr>
        <w:tc>
          <w:tcPr>
            <w:tcW w:w="7739" w:type="dxa"/>
            <w:tcMar>
              <w:top w:w="11" w:type="dxa"/>
              <w:left w:w="57" w:type="dxa"/>
              <w:bottom w:w="11" w:type="dxa"/>
              <w:right w:w="57" w:type="dxa"/>
            </w:tcMar>
          </w:tcPr>
          <w:p w14:paraId="3891704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62" w:name="XMETag_fee33ea7d7b144d39b80aecf01b58730" w:colFirst="1" w:colLast="1"/>
            <w:bookmarkStart w:id="863" w:name="XMETag_80bb37be266c4005ba43966ae1b3e637" w:colFirst="2" w:colLast="2"/>
            <w:bookmarkEnd w:id="860"/>
            <w:bookmarkEnd w:id="861"/>
            <w:r w:rsidRPr="00735726">
              <w:rPr>
                <w:rFonts w:ascii="Arial" w:eastAsia="Times New Roman" w:hAnsi="Arial" w:cs="DINOT-Light"/>
                <w:color w:val="000000"/>
                <w:sz w:val="18"/>
                <w:szCs w:val="18"/>
              </w:rPr>
              <w:t>Amounts owed to subsidiary companies</w:t>
            </w:r>
          </w:p>
        </w:tc>
        <w:tc>
          <w:tcPr>
            <w:tcW w:w="1133" w:type="dxa"/>
            <w:tcMar>
              <w:top w:w="11" w:type="dxa"/>
              <w:left w:w="57" w:type="dxa"/>
              <w:bottom w:w="11" w:type="dxa"/>
              <w:right w:w="57" w:type="dxa"/>
            </w:tcMar>
          </w:tcPr>
          <w:p w14:paraId="3E8E46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38.4</w:t>
            </w:r>
          </w:p>
        </w:tc>
        <w:tc>
          <w:tcPr>
            <w:tcW w:w="1134" w:type="dxa"/>
          </w:tcPr>
          <w:p w14:paraId="733D8C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28.6</w:t>
            </w:r>
          </w:p>
        </w:tc>
      </w:tr>
      <w:tr w:rsidR="00646F4F" w:rsidRPr="00735726" w14:paraId="3546B0CB" w14:textId="77777777" w:rsidTr="00CE19B2">
        <w:trPr>
          <w:trHeight w:val="226"/>
        </w:trPr>
        <w:tc>
          <w:tcPr>
            <w:tcW w:w="7739" w:type="dxa"/>
            <w:tcMar>
              <w:top w:w="11" w:type="dxa"/>
              <w:left w:w="57" w:type="dxa"/>
              <w:bottom w:w="11" w:type="dxa"/>
              <w:right w:w="57" w:type="dxa"/>
            </w:tcMar>
          </w:tcPr>
          <w:p w14:paraId="6593289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64" w:name="XMETag_3d8a23c114464afc97be5b4b85f6cd25" w:colFirst="1" w:colLast="1"/>
            <w:bookmarkStart w:id="865" w:name="XMETag_cafc1aa55bb84f628483b62f5c520c83" w:colFirst="2" w:colLast="2"/>
            <w:bookmarkEnd w:id="862"/>
            <w:bookmarkEnd w:id="863"/>
            <w:r w:rsidRPr="00735726">
              <w:rPr>
                <w:rFonts w:ascii="Arial" w:eastAsia="Times New Roman" w:hAnsi="Arial" w:cs="DINOT-Light"/>
                <w:color w:val="000000"/>
                <w:sz w:val="18"/>
                <w:szCs w:val="18"/>
              </w:rPr>
              <w:t>Amounts owed to parent undertaking</w:t>
            </w:r>
          </w:p>
        </w:tc>
        <w:tc>
          <w:tcPr>
            <w:tcW w:w="1133" w:type="dxa"/>
            <w:tcMar>
              <w:top w:w="11" w:type="dxa"/>
              <w:left w:w="57" w:type="dxa"/>
              <w:bottom w:w="11" w:type="dxa"/>
              <w:right w:w="57" w:type="dxa"/>
            </w:tcMar>
          </w:tcPr>
          <w:p w14:paraId="598A1E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171.5</w:t>
            </w:r>
          </w:p>
        </w:tc>
        <w:tc>
          <w:tcPr>
            <w:tcW w:w="1134" w:type="dxa"/>
          </w:tcPr>
          <w:p w14:paraId="22B92E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48.9</w:t>
            </w:r>
          </w:p>
        </w:tc>
      </w:tr>
      <w:tr w:rsidR="00646F4F" w:rsidRPr="00735726" w14:paraId="40ABF440" w14:textId="77777777" w:rsidTr="00CE19B2">
        <w:trPr>
          <w:trHeight w:val="226"/>
        </w:trPr>
        <w:tc>
          <w:tcPr>
            <w:tcW w:w="7739" w:type="dxa"/>
            <w:tcMar>
              <w:top w:w="11" w:type="dxa"/>
              <w:left w:w="57" w:type="dxa"/>
              <w:bottom w:w="11" w:type="dxa"/>
              <w:right w:w="57" w:type="dxa"/>
            </w:tcMar>
          </w:tcPr>
          <w:p w14:paraId="73F9288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66" w:name="XMETag_ef8bb72ce4014be0b993b31473dec653" w:colFirst="1" w:colLast="1"/>
            <w:bookmarkStart w:id="867" w:name="XMETag_854c2cd124ce45ada809e48c78f4cc16" w:colFirst="2" w:colLast="2"/>
            <w:bookmarkEnd w:id="864"/>
            <w:bookmarkEnd w:id="865"/>
            <w:r w:rsidRPr="00735726">
              <w:rPr>
                <w:rFonts w:ascii="Arial" w:eastAsia="Times New Roman" w:hAnsi="Arial" w:cs="DINOT-Light"/>
                <w:color w:val="000000"/>
                <w:sz w:val="18"/>
                <w:szCs w:val="18"/>
              </w:rPr>
              <w:t>Other tax and social security</w:t>
            </w:r>
          </w:p>
        </w:tc>
        <w:tc>
          <w:tcPr>
            <w:tcW w:w="1133" w:type="dxa"/>
            <w:tcMar>
              <w:top w:w="11" w:type="dxa"/>
              <w:left w:w="57" w:type="dxa"/>
              <w:bottom w:w="11" w:type="dxa"/>
              <w:right w:w="57" w:type="dxa"/>
            </w:tcMar>
          </w:tcPr>
          <w:p w14:paraId="389563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4.7</w:t>
            </w:r>
          </w:p>
        </w:tc>
        <w:tc>
          <w:tcPr>
            <w:tcW w:w="1134" w:type="dxa"/>
          </w:tcPr>
          <w:p w14:paraId="561D64A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3.8</w:t>
            </w:r>
          </w:p>
        </w:tc>
      </w:tr>
      <w:tr w:rsidR="00646F4F" w:rsidRPr="00735726" w14:paraId="11435418" w14:textId="77777777" w:rsidTr="00CE19B2">
        <w:trPr>
          <w:trHeight w:val="226"/>
        </w:trPr>
        <w:tc>
          <w:tcPr>
            <w:tcW w:w="7739" w:type="dxa"/>
            <w:tcMar>
              <w:top w:w="11" w:type="dxa"/>
              <w:left w:w="57" w:type="dxa"/>
              <w:bottom w:w="11" w:type="dxa"/>
              <w:right w:w="57" w:type="dxa"/>
            </w:tcMar>
          </w:tcPr>
          <w:p w14:paraId="1FC605F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68" w:name="XMETag_6356313e0b5341e88c520df59ba77ac4" w:colFirst="1" w:colLast="1"/>
            <w:bookmarkStart w:id="869" w:name="XMETag_3c56512ec73b4c50a8d0ec4673588b27" w:colFirst="2" w:colLast="2"/>
            <w:bookmarkEnd w:id="866"/>
            <w:bookmarkEnd w:id="867"/>
            <w:r w:rsidRPr="00735726">
              <w:rPr>
                <w:rFonts w:ascii="Arial" w:eastAsia="Times New Roman" w:hAnsi="Arial" w:cs="DINOT-Light"/>
                <w:color w:val="000000"/>
                <w:sz w:val="18"/>
                <w:szCs w:val="18"/>
              </w:rPr>
              <w:t>Other payables</w:t>
            </w:r>
          </w:p>
        </w:tc>
        <w:tc>
          <w:tcPr>
            <w:tcW w:w="1133" w:type="dxa"/>
            <w:tcMar>
              <w:top w:w="11" w:type="dxa"/>
              <w:left w:w="57" w:type="dxa"/>
              <w:bottom w:w="11" w:type="dxa"/>
              <w:right w:w="57" w:type="dxa"/>
            </w:tcMar>
          </w:tcPr>
          <w:p w14:paraId="0ADF3F2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16.4</w:t>
            </w:r>
          </w:p>
        </w:tc>
        <w:tc>
          <w:tcPr>
            <w:tcW w:w="1134" w:type="dxa"/>
          </w:tcPr>
          <w:p w14:paraId="3186890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21.7</w:t>
            </w:r>
          </w:p>
        </w:tc>
      </w:tr>
      <w:tr w:rsidR="00646F4F" w:rsidRPr="00735726" w14:paraId="15D38ED4" w14:textId="77777777" w:rsidTr="00CE19B2">
        <w:trPr>
          <w:trHeight w:val="226"/>
        </w:trPr>
        <w:tc>
          <w:tcPr>
            <w:tcW w:w="7739" w:type="dxa"/>
            <w:tcMar>
              <w:top w:w="11" w:type="dxa"/>
              <w:left w:w="57" w:type="dxa"/>
              <w:bottom w:w="11" w:type="dxa"/>
              <w:right w:w="57" w:type="dxa"/>
            </w:tcMar>
          </w:tcPr>
          <w:p w14:paraId="5EFDD6F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70" w:name="XMETag_5adc09b76e214478a676f35d7453c675" w:colFirst="1" w:colLast="1"/>
            <w:bookmarkStart w:id="871" w:name="XMETag_da5379855c5248a4a8cc39b4d062cbc9" w:colFirst="2" w:colLast="2"/>
            <w:bookmarkEnd w:id="868"/>
            <w:bookmarkEnd w:id="869"/>
            <w:r w:rsidRPr="00735726">
              <w:rPr>
                <w:rFonts w:ascii="Arial" w:eastAsia="Times New Roman" w:hAnsi="Arial" w:cs="DINOT-Light"/>
                <w:color w:val="000000"/>
                <w:sz w:val="18"/>
                <w:szCs w:val="18"/>
              </w:rPr>
              <w:t>Accruals</w:t>
            </w:r>
          </w:p>
        </w:tc>
        <w:tc>
          <w:tcPr>
            <w:tcW w:w="1133" w:type="dxa"/>
            <w:tcMar>
              <w:top w:w="11" w:type="dxa"/>
              <w:left w:w="57" w:type="dxa"/>
              <w:bottom w:w="11" w:type="dxa"/>
              <w:right w:w="57" w:type="dxa"/>
            </w:tcMar>
          </w:tcPr>
          <w:p w14:paraId="4B2B94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45.3</w:t>
            </w:r>
          </w:p>
        </w:tc>
        <w:tc>
          <w:tcPr>
            <w:tcW w:w="1134" w:type="dxa"/>
          </w:tcPr>
          <w:p w14:paraId="61E128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35.1</w:t>
            </w:r>
          </w:p>
        </w:tc>
      </w:tr>
      <w:tr w:rsidR="00646F4F" w:rsidRPr="00735726" w14:paraId="76847A95" w14:textId="77777777" w:rsidTr="00CE19B2">
        <w:trPr>
          <w:trHeight w:val="226"/>
        </w:trPr>
        <w:tc>
          <w:tcPr>
            <w:tcW w:w="7739" w:type="dxa"/>
            <w:tcMar>
              <w:top w:w="11" w:type="dxa"/>
              <w:left w:w="57" w:type="dxa"/>
              <w:bottom w:w="11" w:type="dxa"/>
              <w:right w:w="57" w:type="dxa"/>
            </w:tcMar>
          </w:tcPr>
          <w:p w14:paraId="701B1CB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72" w:name="XMETag_d35afaa40d3d4c488bac97099c63a6b9" w:colFirst="1" w:colLast="1"/>
            <w:bookmarkStart w:id="873" w:name="XMETag_137e9f44925845f1ac9b23a1f468f307" w:colFirst="2" w:colLast="2"/>
            <w:bookmarkEnd w:id="870"/>
            <w:bookmarkEnd w:id="871"/>
            <w:r w:rsidRPr="00735726">
              <w:rPr>
                <w:rFonts w:ascii="Arial" w:eastAsia="Times New Roman" w:hAnsi="Arial" w:cs="DINOT-Light"/>
                <w:color w:val="000000"/>
                <w:sz w:val="18"/>
                <w:szCs w:val="18"/>
              </w:rPr>
              <w:t>Contract liabilities</w:t>
            </w:r>
          </w:p>
        </w:tc>
        <w:tc>
          <w:tcPr>
            <w:tcW w:w="1133" w:type="dxa"/>
            <w:tcBorders>
              <w:bottom w:val="single" w:sz="4" w:space="0" w:color="auto"/>
            </w:tcBorders>
            <w:tcMar>
              <w:top w:w="11" w:type="dxa"/>
              <w:left w:w="57" w:type="dxa"/>
              <w:bottom w:w="11" w:type="dxa"/>
              <w:right w:w="57" w:type="dxa"/>
            </w:tcMar>
          </w:tcPr>
          <w:p w14:paraId="5B29F0D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34.9</w:t>
            </w:r>
          </w:p>
        </w:tc>
        <w:tc>
          <w:tcPr>
            <w:tcW w:w="1134" w:type="dxa"/>
            <w:tcBorders>
              <w:bottom w:val="single" w:sz="4" w:space="0" w:color="auto"/>
            </w:tcBorders>
          </w:tcPr>
          <w:p w14:paraId="730A8B0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39.5</w:t>
            </w:r>
          </w:p>
        </w:tc>
      </w:tr>
      <w:tr w:rsidR="00646F4F" w:rsidRPr="00735726" w14:paraId="7D22A16D" w14:textId="77777777" w:rsidTr="00CE19B2">
        <w:trPr>
          <w:trHeight w:val="226"/>
        </w:trPr>
        <w:tc>
          <w:tcPr>
            <w:tcW w:w="7739" w:type="dxa"/>
            <w:tcMar>
              <w:top w:w="11" w:type="dxa"/>
              <w:left w:w="57" w:type="dxa"/>
              <w:bottom w:w="11" w:type="dxa"/>
              <w:right w:w="57" w:type="dxa"/>
            </w:tcMar>
          </w:tcPr>
          <w:p w14:paraId="535FADD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874" w:name="XMETag_8650a93ff3a54f539096ee9de019f636" w:colFirst="1" w:colLast="1"/>
            <w:bookmarkStart w:id="875" w:name="XMETag_f310da3dbe5641f394052b913ad4f2fa" w:colFirst="2" w:colLast="2"/>
            <w:bookmarkEnd w:id="872"/>
            <w:bookmarkEnd w:id="873"/>
          </w:p>
        </w:tc>
        <w:tc>
          <w:tcPr>
            <w:tcW w:w="1133" w:type="dxa"/>
            <w:tcBorders>
              <w:top w:val="single" w:sz="4" w:space="0" w:color="auto"/>
              <w:bottom w:val="single" w:sz="4" w:space="0" w:color="auto"/>
            </w:tcBorders>
            <w:tcMar>
              <w:top w:w="11" w:type="dxa"/>
              <w:left w:w="57" w:type="dxa"/>
              <w:bottom w:w="11" w:type="dxa"/>
              <w:right w:w="57" w:type="dxa"/>
            </w:tcMar>
          </w:tcPr>
          <w:p w14:paraId="189C4FB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467.4</w:t>
            </w:r>
          </w:p>
        </w:tc>
        <w:tc>
          <w:tcPr>
            <w:tcW w:w="1134" w:type="dxa"/>
            <w:tcBorders>
              <w:top w:val="single" w:sz="4" w:space="0" w:color="auto"/>
              <w:bottom w:val="single" w:sz="4" w:space="0" w:color="auto"/>
            </w:tcBorders>
          </w:tcPr>
          <w:p w14:paraId="3FAA238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265.1</w:t>
            </w:r>
          </w:p>
        </w:tc>
      </w:tr>
      <w:bookmarkEnd w:id="874"/>
      <w:bookmarkEnd w:id="875"/>
    </w:tbl>
    <w:p w14:paraId="3497BE3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C6857B6" w14:textId="77777777" w:rsidR="00646F4F" w:rsidRPr="00735726" w:rsidRDefault="00646F4F" w:rsidP="00646F4F">
      <w:pPr>
        <w:widowControl w:val="0"/>
        <w:suppressAutoHyphens/>
        <w:autoSpaceDE w:val="0"/>
        <w:autoSpaceDN w:val="0"/>
        <w:adjustRightInd w:val="0"/>
        <w:spacing w:after="0"/>
        <w:textAlignment w:val="center"/>
        <w:outlineLvl w:val="0"/>
        <w:rPr>
          <w:rFonts w:ascii="Arial" w:eastAsia="Times New Roman" w:hAnsi="Arial" w:cs="DINOT-Light"/>
          <w:color w:val="000000"/>
          <w:sz w:val="18"/>
          <w:szCs w:val="18"/>
        </w:rPr>
      </w:pPr>
      <w:bookmarkStart w:id="876" w:name="XMETag_66774ca87f8b413dbb81435b54c967a0"/>
      <w:r w:rsidRPr="00735726">
        <w:rPr>
          <w:rFonts w:ascii="Arial" w:eastAsia="Times New Roman" w:hAnsi="Arial" w:cs="DINOT-Light"/>
          <w:color w:val="000000"/>
          <w:sz w:val="18"/>
          <w:szCs w:val="18"/>
        </w:rPr>
        <w:t>The Directors consider that the carrying amount of trade and other payables approximates to their fair value.</w:t>
      </w:r>
    </w:p>
    <w:p w14:paraId="09F9A8E7" w14:textId="77777777" w:rsidR="00646F4F" w:rsidRPr="009A2CAE" w:rsidRDefault="00646F4F" w:rsidP="00646F4F">
      <w:pPr>
        <w:widowControl w:val="0"/>
        <w:suppressAutoHyphens/>
        <w:autoSpaceDE w:val="0"/>
        <w:autoSpaceDN w:val="0"/>
        <w:adjustRightInd w:val="0"/>
        <w:spacing w:after="0"/>
        <w:textAlignment w:val="center"/>
        <w:outlineLvl w:val="0"/>
        <w:rPr>
          <w:rFonts w:ascii="Arial" w:eastAsia="Times New Roman" w:hAnsi="Arial" w:cs="DINOT-Light"/>
          <w:color w:val="000000"/>
          <w:sz w:val="18"/>
          <w:szCs w:val="18"/>
        </w:rPr>
      </w:pPr>
    </w:p>
    <w:p w14:paraId="49D159D8" w14:textId="5E070D90" w:rsidR="00646F4F" w:rsidRPr="009A2CAE" w:rsidRDefault="003B49C3" w:rsidP="00646F4F">
      <w:pPr>
        <w:widowControl w:val="0"/>
        <w:suppressAutoHyphens/>
        <w:autoSpaceDE w:val="0"/>
        <w:autoSpaceDN w:val="0"/>
        <w:adjustRightInd w:val="0"/>
        <w:spacing w:after="0"/>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Included within amounts owed to parent undertaking is £170.0 million relating to dividends declared not paid (2024/25: £45.0 million). </w:t>
      </w:r>
      <w:bookmarkEnd w:id="876"/>
      <w:r w:rsidR="00646F4F" w:rsidRPr="00735726">
        <w:rPr>
          <w:rFonts w:ascii="Arial" w:eastAsia="Times New Roman" w:hAnsi="Arial" w:cs="DINOT-Light"/>
          <w:color w:val="000000"/>
          <w:sz w:val="18"/>
          <w:szCs w:val="18"/>
        </w:rPr>
        <w:t xml:space="preserve">Payment of declared dividends will be considered in 2026/27, </w:t>
      </w:r>
      <w:proofErr w:type="gramStart"/>
      <w:r w:rsidR="00646F4F" w:rsidRPr="00735726">
        <w:rPr>
          <w:rFonts w:ascii="Arial" w:eastAsia="Times New Roman" w:hAnsi="Arial" w:cs="DINOT-Light"/>
          <w:color w:val="000000"/>
          <w:sz w:val="18"/>
          <w:szCs w:val="18"/>
        </w:rPr>
        <w:t>taking into account</w:t>
      </w:r>
      <w:proofErr w:type="gramEnd"/>
      <w:r w:rsidR="00646F4F" w:rsidRPr="00735726">
        <w:rPr>
          <w:rFonts w:ascii="Arial" w:eastAsia="Times New Roman" w:hAnsi="Arial" w:cs="DINOT-Light"/>
          <w:color w:val="000000"/>
          <w:sz w:val="18"/>
          <w:szCs w:val="18"/>
        </w:rPr>
        <w:t xml:space="preserve"> the financial resilience of the Company.</w:t>
      </w:r>
    </w:p>
    <w:p w14:paraId="7F708895" w14:textId="77777777" w:rsidR="00646F4F" w:rsidRPr="009A2CAE" w:rsidRDefault="00646F4F" w:rsidP="00646F4F">
      <w:pPr>
        <w:spacing w:after="160" w:line="259" w:lineRule="auto"/>
        <w:rPr>
          <w:rFonts w:ascii="Arial" w:eastAsia="Times New Roman" w:hAnsi="Arial" w:cs="DINOT-Light"/>
          <w:color w:val="000000"/>
          <w:sz w:val="18"/>
          <w:szCs w:val="18"/>
        </w:rPr>
      </w:pPr>
      <w:r w:rsidRPr="009A2CAE">
        <w:rPr>
          <w:rFonts w:ascii="Arial" w:eastAsia="Times New Roman" w:hAnsi="Arial" w:cs="DINOT-Light"/>
          <w:color w:val="000000"/>
          <w:sz w:val="18"/>
          <w:szCs w:val="18"/>
        </w:rPr>
        <w:br w:type="page"/>
      </w:r>
    </w:p>
    <w:p w14:paraId="1B34C985" w14:textId="6D575241"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22.</w:t>
      </w:r>
      <w:r w:rsidRPr="00735726">
        <w:rPr>
          <w:rFonts w:ascii="Arial" w:eastAsia="Times New Roman" w:hAnsi="Arial" w:cs="Arial"/>
          <w:b/>
          <w:bCs/>
          <w:caps/>
          <w:color w:val="000000"/>
          <w:sz w:val="18"/>
          <w:szCs w:val="18"/>
        </w:rPr>
        <w:tab/>
        <w:t>Trade and other payables</w:t>
      </w:r>
      <w:r w:rsidR="00C84DB7" w:rsidRPr="00735726">
        <w:rPr>
          <w:rFonts w:ascii="Arial" w:eastAsia="Times New Roman" w:hAnsi="Arial" w:cs="Arial"/>
          <w:b/>
          <w:bCs/>
          <w:caps/>
          <w:color w:val="000000"/>
          <w:sz w:val="18"/>
          <w:szCs w:val="18"/>
        </w:rPr>
        <w:t xml:space="preserve"> - CURRENT</w:t>
      </w:r>
      <w:r w:rsidRPr="00735726">
        <w:rPr>
          <w:rFonts w:ascii="Arial" w:eastAsia="Times New Roman" w:hAnsi="Arial" w:cs="Arial"/>
          <w:b/>
          <w:bCs/>
          <w:caps/>
          <w:color w:val="000000"/>
          <w:sz w:val="18"/>
          <w:szCs w:val="18"/>
        </w:rPr>
        <w:t xml:space="preserve"> (CONTINUED)</w:t>
      </w:r>
    </w:p>
    <w:p w14:paraId="5323C3DD" w14:textId="77777777" w:rsidR="00646F4F" w:rsidRPr="009A2CAE" w:rsidRDefault="00646F4F" w:rsidP="00646F4F">
      <w:pPr>
        <w:widowControl w:val="0"/>
        <w:suppressAutoHyphens/>
        <w:autoSpaceDE w:val="0"/>
        <w:autoSpaceDN w:val="0"/>
        <w:adjustRightInd w:val="0"/>
        <w:spacing w:after="0"/>
        <w:textAlignment w:val="center"/>
        <w:outlineLvl w:val="0"/>
        <w:rPr>
          <w:rFonts w:ascii="Arial" w:eastAsia="Calibri" w:hAnsi="Arial" w:cs="Arial"/>
          <w:sz w:val="18"/>
          <w:szCs w:val="18"/>
        </w:rPr>
      </w:pPr>
    </w:p>
    <w:p w14:paraId="1E1DD93E" w14:textId="77777777" w:rsidR="00646F4F" w:rsidRPr="00735726" w:rsidRDefault="00646F4F" w:rsidP="00646F4F">
      <w:pPr>
        <w:widowControl w:val="0"/>
        <w:suppressAutoHyphens/>
        <w:autoSpaceDE w:val="0"/>
        <w:autoSpaceDN w:val="0"/>
        <w:adjustRightInd w:val="0"/>
        <w:spacing w:after="0"/>
        <w:textAlignment w:val="center"/>
        <w:outlineLvl w:val="0"/>
        <w:rPr>
          <w:rFonts w:ascii="Arial" w:eastAsia="Calibri" w:hAnsi="Arial" w:cs="Arial"/>
          <w:sz w:val="18"/>
          <w:szCs w:val="18"/>
        </w:rPr>
      </w:pPr>
      <w:r w:rsidRPr="00735726">
        <w:rPr>
          <w:rFonts w:ascii="Arial" w:eastAsia="Calibri" w:hAnsi="Arial" w:cs="Arial"/>
          <w:sz w:val="18"/>
          <w:szCs w:val="18"/>
        </w:rPr>
        <w:t>The movement in the current and non-current contract liabilities was: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4A913BA6" w14:textId="77777777" w:rsidTr="00CE19B2">
        <w:trPr>
          <w:trHeight w:val="60"/>
          <w:tblHeader/>
        </w:trPr>
        <w:tc>
          <w:tcPr>
            <w:tcW w:w="7739" w:type="dxa"/>
            <w:tcMar>
              <w:top w:w="11" w:type="dxa"/>
              <w:left w:w="57" w:type="dxa"/>
              <w:bottom w:w="11" w:type="dxa"/>
              <w:right w:w="57" w:type="dxa"/>
            </w:tcMar>
          </w:tcPr>
          <w:p w14:paraId="7A23DED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p w14:paraId="4D28A43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Contract liabilities</w:t>
            </w:r>
          </w:p>
        </w:tc>
        <w:tc>
          <w:tcPr>
            <w:tcW w:w="1133" w:type="dxa"/>
            <w:tcMar>
              <w:top w:w="11" w:type="dxa"/>
              <w:left w:w="57" w:type="dxa"/>
              <w:bottom w:w="11" w:type="dxa"/>
              <w:right w:w="57" w:type="dxa"/>
            </w:tcMar>
          </w:tcPr>
          <w:p w14:paraId="2B31929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27D1DAA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38BD7E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589797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704EC4CE" w14:textId="77777777" w:rsidTr="00CE19B2">
        <w:trPr>
          <w:trHeight w:val="226"/>
        </w:trPr>
        <w:tc>
          <w:tcPr>
            <w:tcW w:w="7739" w:type="dxa"/>
            <w:tcMar>
              <w:top w:w="11" w:type="dxa"/>
              <w:left w:w="57" w:type="dxa"/>
              <w:bottom w:w="11" w:type="dxa"/>
              <w:right w:w="57" w:type="dxa"/>
            </w:tcMar>
          </w:tcPr>
          <w:p w14:paraId="40AA3642" w14:textId="714642D2"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bCs/>
                <w:color w:val="000000"/>
                <w:sz w:val="18"/>
                <w:szCs w:val="18"/>
              </w:rPr>
            </w:pPr>
            <w:bookmarkStart w:id="877" w:name="XMETag_8604230e23ef4650808ad04d48b3fdf6" w:colFirst="1" w:colLast="1"/>
            <w:bookmarkStart w:id="878" w:name="XMETag_4c9305cca53f41c3a8c388d569c86ba7" w:colFirst="2" w:colLast="2"/>
            <w:proofErr w:type="gramStart"/>
            <w:r w:rsidRPr="00735726">
              <w:rPr>
                <w:rFonts w:ascii="Arial" w:eastAsia="Times New Roman" w:hAnsi="Arial" w:cs="DINOT-Light"/>
                <w:b/>
                <w:bCs/>
                <w:color w:val="000000"/>
                <w:sz w:val="18"/>
                <w:szCs w:val="18"/>
              </w:rPr>
              <w:t>At</w:t>
            </w:r>
            <w:proofErr w:type="gramEnd"/>
            <w:r w:rsidRPr="00735726">
              <w:rPr>
                <w:rFonts w:ascii="Arial" w:eastAsia="Times New Roman" w:hAnsi="Arial" w:cs="DINOT-Light"/>
                <w:b/>
                <w:bCs/>
                <w:color w:val="000000"/>
                <w:sz w:val="18"/>
                <w:szCs w:val="18"/>
              </w:rPr>
              <w:t xml:space="preserve"> 1 April</w:t>
            </w:r>
          </w:p>
        </w:tc>
        <w:tc>
          <w:tcPr>
            <w:tcW w:w="1133" w:type="dxa"/>
            <w:tcMar>
              <w:top w:w="11" w:type="dxa"/>
              <w:left w:w="57" w:type="dxa"/>
              <w:bottom w:w="11" w:type="dxa"/>
              <w:right w:w="57" w:type="dxa"/>
            </w:tcMar>
          </w:tcPr>
          <w:p w14:paraId="5CF04B7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231.2</w:t>
            </w:r>
          </w:p>
        </w:tc>
        <w:tc>
          <w:tcPr>
            <w:tcW w:w="1134" w:type="dxa"/>
          </w:tcPr>
          <w:p w14:paraId="098C8E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180.2</w:t>
            </w:r>
          </w:p>
        </w:tc>
      </w:tr>
      <w:tr w:rsidR="00E74CA1" w:rsidRPr="00735726" w14:paraId="620C3B0F" w14:textId="77777777" w:rsidTr="00CE19B2">
        <w:trPr>
          <w:trHeight w:val="226"/>
        </w:trPr>
        <w:tc>
          <w:tcPr>
            <w:tcW w:w="7739" w:type="dxa"/>
            <w:tcMar>
              <w:top w:w="11" w:type="dxa"/>
              <w:left w:w="57" w:type="dxa"/>
              <w:bottom w:w="11" w:type="dxa"/>
              <w:right w:w="57" w:type="dxa"/>
            </w:tcMar>
          </w:tcPr>
          <w:p w14:paraId="5E2D5E15" w14:textId="6A047666" w:rsidR="00E74CA1" w:rsidRPr="00735726" w:rsidRDefault="00E74CA1"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Revenue recognised in the year</w:t>
            </w:r>
          </w:p>
        </w:tc>
        <w:tc>
          <w:tcPr>
            <w:tcW w:w="1133" w:type="dxa"/>
            <w:tcMar>
              <w:top w:w="11" w:type="dxa"/>
              <w:left w:w="57" w:type="dxa"/>
              <w:bottom w:w="11" w:type="dxa"/>
              <w:right w:w="57" w:type="dxa"/>
            </w:tcMar>
          </w:tcPr>
          <w:p w14:paraId="0D7F4039" w14:textId="760CDDE8" w:rsidR="00E74CA1" w:rsidRPr="00735726" w:rsidRDefault="00E74CA1"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(13.1)</w:t>
            </w:r>
          </w:p>
        </w:tc>
        <w:tc>
          <w:tcPr>
            <w:tcW w:w="1134" w:type="dxa"/>
          </w:tcPr>
          <w:p w14:paraId="65CF7018" w14:textId="2AF38259" w:rsidR="00E74CA1" w:rsidRPr="00735726" w:rsidRDefault="00922550"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(5.1)</w:t>
            </w:r>
          </w:p>
        </w:tc>
      </w:tr>
      <w:tr w:rsidR="00646F4F" w:rsidRPr="00735726" w14:paraId="565C01C4" w14:textId="77777777" w:rsidTr="00CE19B2">
        <w:trPr>
          <w:trHeight w:val="226"/>
        </w:trPr>
        <w:tc>
          <w:tcPr>
            <w:tcW w:w="7739" w:type="dxa"/>
            <w:tcMar>
              <w:top w:w="11" w:type="dxa"/>
              <w:left w:w="57" w:type="dxa"/>
              <w:bottom w:w="11" w:type="dxa"/>
              <w:right w:w="57" w:type="dxa"/>
            </w:tcMar>
          </w:tcPr>
          <w:p w14:paraId="18E1027B" w14:textId="06DF5C7E" w:rsidR="00646F4F" w:rsidRPr="00735726" w:rsidRDefault="00E74CA1"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79" w:name="XMETag_4b41bd7defa3458f86df690357f6bcf4" w:colFirst="1" w:colLast="1"/>
            <w:bookmarkStart w:id="880" w:name="XMETag_c6b043e70d8c4386896a4029e4421054" w:colFirst="2" w:colLast="2"/>
            <w:bookmarkEnd w:id="877"/>
            <w:bookmarkEnd w:id="878"/>
            <w:r w:rsidRPr="00735726">
              <w:rPr>
                <w:rFonts w:ascii="Arial" w:eastAsia="Times New Roman" w:hAnsi="Arial" w:cs="DINOT-Light"/>
                <w:color w:val="000000"/>
                <w:sz w:val="18"/>
                <w:szCs w:val="18"/>
              </w:rPr>
              <w:t>Additions in relation to property developer services (note 2c)</w:t>
            </w:r>
          </w:p>
        </w:tc>
        <w:tc>
          <w:tcPr>
            <w:tcW w:w="1133" w:type="dxa"/>
            <w:tcMar>
              <w:top w:w="11" w:type="dxa"/>
              <w:left w:w="57" w:type="dxa"/>
              <w:bottom w:w="11" w:type="dxa"/>
              <w:right w:w="57" w:type="dxa"/>
            </w:tcMar>
          </w:tcPr>
          <w:p w14:paraId="0B28F50A" w14:textId="26E11CF8" w:rsidR="00646F4F" w:rsidRPr="00735726" w:rsidRDefault="00E74CA1"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23.8</w:t>
            </w:r>
          </w:p>
        </w:tc>
        <w:tc>
          <w:tcPr>
            <w:tcW w:w="1134" w:type="dxa"/>
          </w:tcPr>
          <w:p w14:paraId="3D4D37A1" w14:textId="427269EB" w:rsidR="00646F4F" w:rsidRPr="00735726" w:rsidRDefault="00922550"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33.0</w:t>
            </w:r>
          </w:p>
        </w:tc>
      </w:tr>
      <w:tr w:rsidR="00646F4F" w:rsidRPr="00735726" w14:paraId="21E80B88" w14:textId="77777777" w:rsidTr="00CE19B2">
        <w:trPr>
          <w:trHeight w:val="226"/>
        </w:trPr>
        <w:tc>
          <w:tcPr>
            <w:tcW w:w="7739" w:type="dxa"/>
            <w:tcMar>
              <w:top w:w="11" w:type="dxa"/>
              <w:left w:w="57" w:type="dxa"/>
              <w:bottom w:w="11" w:type="dxa"/>
              <w:right w:w="57" w:type="dxa"/>
            </w:tcMar>
          </w:tcPr>
          <w:p w14:paraId="22BC93B9" w14:textId="7FE07C90" w:rsidR="00646F4F" w:rsidRPr="00735726" w:rsidRDefault="00E74CA1"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81" w:name="XMETag_329e08f1e63a495cba5a7f26e00549e2" w:colFirst="1" w:colLast="1"/>
            <w:bookmarkStart w:id="882" w:name="XMETag_1f15fd75b5494e42af60869e6e269990" w:colFirst="2" w:colLast="2"/>
            <w:bookmarkEnd w:id="879"/>
            <w:bookmarkEnd w:id="880"/>
            <w:r w:rsidRPr="00735726">
              <w:rPr>
                <w:rFonts w:ascii="Arial" w:eastAsia="Times New Roman" w:hAnsi="Arial" w:cs="DINOT-Light"/>
                <w:color w:val="000000"/>
                <w:sz w:val="18"/>
                <w:szCs w:val="18"/>
              </w:rPr>
              <w:t>Net movement in customer overpayments</w:t>
            </w:r>
          </w:p>
        </w:tc>
        <w:tc>
          <w:tcPr>
            <w:tcW w:w="1133" w:type="dxa"/>
            <w:tcMar>
              <w:top w:w="11" w:type="dxa"/>
              <w:left w:w="57" w:type="dxa"/>
              <w:bottom w:w="11" w:type="dxa"/>
              <w:right w:w="57" w:type="dxa"/>
            </w:tcMar>
          </w:tcPr>
          <w:p w14:paraId="377BD9AE" w14:textId="116ACB53" w:rsidR="00646F4F" w:rsidRPr="00735726" w:rsidRDefault="00E74CA1"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(0.9)</w:t>
            </w:r>
          </w:p>
        </w:tc>
        <w:tc>
          <w:tcPr>
            <w:tcW w:w="1134" w:type="dxa"/>
          </w:tcPr>
          <w:p w14:paraId="255AA7E7" w14:textId="094DB538" w:rsidR="00646F4F" w:rsidRPr="00735726" w:rsidRDefault="00922550"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23.1</w:t>
            </w:r>
          </w:p>
        </w:tc>
      </w:tr>
      <w:tr w:rsidR="00646F4F" w:rsidRPr="00735726" w14:paraId="174FF0B2" w14:textId="77777777" w:rsidTr="00CE19B2">
        <w:trPr>
          <w:trHeight w:val="226"/>
        </w:trPr>
        <w:tc>
          <w:tcPr>
            <w:tcW w:w="7739" w:type="dxa"/>
            <w:tcMar>
              <w:top w:w="11" w:type="dxa"/>
              <w:left w:w="57" w:type="dxa"/>
              <w:bottom w:w="11" w:type="dxa"/>
              <w:right w:w="57" w:type="dxa"/>
            </w:tcMar>
          </w:tcPr>
          <w:p w14:paraId="5E0F263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bCs/>
                <w:color w:val="000000"/>
                <w:sz w:val="18"/>
                <w:szCs w:val="18"/>
              </w:rPr>
            </w:pPr>
            <w:bookmarkStart w:id="883" w:name="XMETag_14e84780d55c4f259e3426982ffb2b61" w:colFirst="1" w:colLast="1"/>
            <w:bookmarkStart w:id="884" w:name="XMETag_5f460333b8474268b3633607665d80f1" w:colFirst="2" w:colLast="2"/>
            <w:bookmarkEnd w:id="881"/>
            <w:bookmarkEnd w:id="882"/>
            <w:proofErr w:type="gramStart"/>
            <w:r w:rsidRPr="00735726">
              <w:rPr>
                <w:rFonts w:ascii="Arial" w:eastAsia="Times New Roman" w:hAnsi="Arial" w:cs="DINOT-Light"/>
                <w:b/>
                <w:bCs/>
                <w:color w:val="000000"/>
                <w:sz w:val="18"/>
                <w:szCs w:val="18"/>
              </w:rPr>
              <w:t>At</w:t>
            </w:r>
            <w:proofErr w:type="gramEnd"/>
            <w:r w:rsidRPr="00735726">
              <w:rPr>
                <w:rFonts w:ascii="Arial" w:eastAsia="Times New Roman" w:hAnsi="Arial" w:cs="DINOT-Light"/>
                <w:b/>
                <w:bCs/>
                <w:color w:val="000000"/>
                <w:sz w:val="18"/>
                <w:szCs w:val="18"/>
              </w:rPr>
              <w:t xml:space="preserve"> 31 March</w:t>
            </w:r>
          </w:p>
        </w:tc>
        <w:tc>
          <w:tcPr>
            <w:tcW w:w="1133" w:type="dxa"/>
            <w:tcBorders>
              <w:top w:val="single" w:sz="4" w:space="0" w:color="auto"/>
              <w:bottom w:val="single" w:sz="4" w:space="0" w:color="auto"/>
            </w:tcBorders>
            <w:tcMar>
              <w:top w:w="11" w:type="dxa"/>
              <w:left w:w="57" w:type="dxa"/>
              <w:bottom w:w="11" w:type="dxa"/>
              <w:right w:w="57" w:type="dxa"/>
            </w:tcMar>
          </w:tcPr>
          <w:p w14:paraId="063AD7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241.0</w:t>
            </w:r>
          </w:p>
        </w:tc>
        <w:tc>
          <w:tcPr>
            <w:tcW w:w="1134" w:type="dxa"/>
            <w:tcBorders>
              <w:top w:val="single" w:sz="4" w:space="0" w:color="auto"/>
              <w:bottom w:val="single" w:sz="4" w:space="0" w:color="auto"/>
            </w:tcBorders>
          </w:tcPr>
          <w:p w14:paraId="1A5A5A8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231.2</w:t>
            </w:r>
          </w:p>
        </w:tc>
      </w:tr>
      <w:bookmarkEnd w:id="883"/>
      <w:bookmarkEnd w:id="884"/>
    </w:tbl>
    <w:p w14:paraId="70D1959B" w14:textId="77777777" w:rsidR="00646F4F" w:rsidRPr="009A2CAE" w:rsidRDefault="00646F4F" w:rsidP="00646F4F">
      <w:pPr>
        <w:widowControl w:val="0"/>
        <w:suppressAutoHyphens/>
        <w:autoSpaceDE w:val="0"/>
        <w:autoSpaceDN w:val="0"/>
        <w:adjustRightInd w:val="0"/>
        <w:spacing w:after="0" w:line="220" w:lineRule="atLeast"/>
        <w:textAlignment w:val="center"/>
        <w:outlineLvl w:val="0"/>
        <w:rPr>
          <w:rFonts w:ascii="Arial" w:eastAsia="Calibri" w:hAnsi="Arial" w:cs="Arial"/>
          <w:sz w:val="18"/>
          <w:szCs w:val="18"/>
        </w:rPr>
      </w:pPr>
    </w:p>
    <w:p w14:paraId="33655D4F" w14:textId="77777777" w:rsidR="00646F4F" w:rsidRPr="00735726" w:rsidRDefault="00646F4F" w:rsidP="00646F4F">
      <w:pPr>
        <w:tabs>
          <w:tab w:val="left" w:pos="170"/>
          <w:tab w:val="left" w:pos="340"/>
        </w:tabs>
        <w:suppressAutoHyphens/>
        <w:autoSpaceDE w:val="0"/>
        <w:autoSpaceDN w:val="0"/>
        <w:adjustRightInd w:val="0"/>
        <w:spacing w:after="113" w:line="200" w:lineRule="atLeast"/>
        <w:textAlignment w:val="center"/>
        <w:rPr>
          <w:rFonts w:ascii="Arial" w:eastAsia="Calibri" w:hAnsi="Arial" w:cs="Arial"/>
          <w:spacing w:val="-2"/>
          <w:sz w:val="18"/>
          <w:szCs w:val="18"/>
        </w:rPr>
      </w:pPr>
      <w:r w:rsidRPr="00735726">
        <w:rPr>
          <w:rFonts w:ascii="Arial" w:eastAsia="Calibri" w:hAnsi="Arial" w:cs="Arial"/>
          <w:spacing w:val="-2"/>
          <w:sz w:val="18"/>
          <w:szCs w:val="18"/>
        </w:rPr>
        <w:t>The analysis of contract liabilities between current and non-current is: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4C7AAEBA" w14:textId="77777777" w:rsidTr="00CE19B2">
        <w:trPr>
          <w:trHeight w:val="60"/>
          <w:tblHeader/>
        </w:trPr>
        <w:tc>
          <w:tcPr>
            <w:tcW w:w="7739" w:type="dxa"/>
            <w:tcMar>
              <w:top w:w="11" w:type="dxa"/>
              <w:left w:w="57" w:type="dxa"/>
              <w:bottom w:w="11" w:type="dxa"/>
              <w:right w:w="57" w:type="dxa"/>
            </w:tcMar>
          </w:tcPr>
          <w:p w14:paraId="52B97F3B"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3152EA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550D4BE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7A263A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7A6FE6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7928288E" w14:textId="77777777" w:rsidTr="00CE19B2">
        <w:trPr>
          <w:trHeight w:val="226"/>
        </w:trPr>
        <w:tc>
          <w:tcPr>
            <w:tcW w:w="7739" w:type="dxa"/>
            <w:tcMar>
              <w:top w:w="11" w:type="dxa"/>
              <w:left w:w="57" w:type="dxa"/>
              <w:bottom w:w="11" w:type="dxa"/>
              <w:right w:w="57" w:type="dxa"/>
            </w:tcMar>
          </w:tcPr>
          <w:p w14:paraId="198DF256"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85" w:name="XMETag_b9ed85dc1b754008b1d6ea70070f43dd" w:colFirst="1" w:colLast="1"/>
            <w:bookmarkStart w:id="886" w:name="XMETag_f8e785797c6848df8889dc277cfc89a6" w:colFirst="2" w:colLast="2"/>
            <w:r w:rsidRPr="00735726">
              <w:rPr>
                <w:rFonts w:ascii="Arial" w:eastAsia="Times New Roman" w:hAnsi="Arial" w:cs="DINOT-Light"/>
                <w:color w:val="000000"/>
                <w:sz w:val="18"/>
                <w:szCs w:val="18"/>
              </w:rPr>
              <w:t>Current</w:t>
            </w:r>
          </w:p>
        </w:tc>
        <w:tc>
          <w:tcPr>
            <w:tcW w:w="1133" w:type="dxa"/>
            <w:tcMar>
              <w:top w:w="11" w:type="dxa"/>
              <w:left w:w="57" w:type="dxa"/>
              <w:bottom w:w="11" w:type="dxa"/>
              <w:right w:w="57" w:type="dxa"/>
            </w:tcMar>
          </w:tcPr>
          <w:p w14:paraId="75967BC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34.9</w:t>
            </w:r>
          </w:p>
        </w:tc>
        <w:tc>
          <w:tcPr>
            <w:tcW w:w="1134" w:type="dxa"/>
          </w:tcPr>
          <w:p w14:paraId="29172D0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39.5</w:t>
            </w:r>
          </w:p>
        </w:tc>
      </w:tr>
      <w:tr w:rsidR="00646F4F" w:rsidRPr="00735726" w14:paraId="10E663CE" w14:textId="77777777" w:rsidTr="00CE19B2">
        <w:trPr>
          <w:trHeight w:val="226"/>
        </w:trPr>
        <w:tc>
          <w:tcPr>
            <w:tcW w:w="7739" w:type="dxa"/>
            <w:tcMar>
              <w:top w:w="11" w:type="dxa"/>
              <w:left w:w="57" w:type="dxa"/>
              <w:bottom w:w="11" w:type="dxa"/>
              <w:right w:w="57" w:type="dxa"/>
            </w:tcMar>
          </w:tcPr>
          <w:p w14:paraId="14A8D1D0" w14:textId="4DD33352"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87" w:name="XMETag_2a768dc9769e49278cf9a925fd929456" w:colFirst="1" w:colLast="1"/>
            <w:bookmarkStart w:id="888" w:name="XMETag_8b3054b381c74291ad1fef727b3b167d" w:colFirst="2" w:colLast="2"/>
            <w:bookmarkEnd w:id="885"/>
            <w:bookmarkEnd w:id="886"/>
            <w:r w:rsidRPr="00735726">
              <w:rPr>
                <w:rFonts w:ascii="Arial" w:eastAsia="Times New Roman" w:hAnsi="Arial" w:cs="DINOT-Light"/>
                <w:color w:val="000000"/>
                <w:sz w:val="18"/>
                <w:szCs w:val="18"/>
              </w:rPr>
              <w:t xml:space="preserve">Non-current </w:t>
            </w:r>
            <w:r w:rsidRPr="009A2CAE">
              <w:rPr>
                <w:rFonts w:ascii="Arial" w:eastAsia="Times New Roman" w:hAnsi="Arial" w:cs="DINOT-Light"/>
                <w:color w:val="000000"/>
                <w:sz w:val="18"/>
                <w:szCs w:val="18"/>
              </w:rPr>
              <w:t>(note 2</w:t>
            </w:r>
            <w:r w:rsidR="00DB0609" w:rsidRPr="009A2CAE">
              <w:rPr>
                <w:rFonts w:ascii="Arial" w:eastAsia="Times New Roman" w:hAnsi="Arial" w:cs="DINOT-Light"/>
                <w:color w:val="000000"/>
                <w:sz w:val="18"/>
                <w:szCs w:val="18"/>
              </w:rPr>
              <w:t>4</w:t>
            </w:r>
            <w:r w:rsidRPr="009A2CAE">
              <w:rPr>
                <w:rFonts w:ascii="Arial" w:eastAsia="Times New Roman" w:hAnsi="Arial" w:cs="DINOT-Light"/>
                <w:color w:val="000000"/>
                <w:sz w:val="18"/>
                <w:szCs w:val="18"/>
              </w:rPr>
              <w:t>)</w:t>
            </w:r>
          </w:p>
        </w:tc>
        <w:tc>
          <w:tcPr>
            <w:tcW w:w="1133" w:type="dxa"/>
            <w:tcBorders>
              <w:bottom w:val="single" w:sz="4" w:space="0" w:color="auto"/>
            </w:tcBorders>
            <w:tcMar>
              <w:top w:w="11" w:type="dxa"/>
              <w:left w:w="57" w:type="dxa"/>
              <w:bottom w:w="11" w:type="dxa"/>
              <w:right w:w="57" w:type="dxa"/>
            </w:tcMar>
          </w:tcPr>
          <w:p w14:paraId="2B85E6B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206.1</w:t>
            </w:r>
          </w:p>
        </w:tc>
        <w:tc>
          <w:tcPr>
            <w:tcW w:w="1134" w:type="dxa"/>
            <w:tcBorders>
              <w:bottom w:val="single" w:sz="4" w:space="0" w:color="auto"/>
            </w:tcBorders>
          </w:tcPr>
          <w:p w14:paraId="4AF0BF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191.7</w:t>
            </w:r>
          </w:p>
        </w:tc>
      </w:tr>
      <w:tr w:rsidR="00646F4F" w:rsidRPr="00735726" w14:paraId="43BC2C14" w14:textId="77777777" w:rsidTr="00CE19B2">
        <w:trPr>
          <w:trHeight w:val="226"/>
        </w:trPr>
        <w:tc>
          <w:tcPr>
            <w:tcW w:w="7739" w:type="dxa"/>
            <w:tcMar>
              <w:top w:w="11" w:type="dxa"/>
              <w:left w:w="57" w:type="dxa"/>
              <w:bottom w:w="11" w:type="dxa"/>
              <w:right w:w="57" w:type="dxa"/>
            </w:tcMar>
          </w:tcPr>
          <w:p w14:paraId="718F8FFA"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889" w:name="XMETag_8daf96c677224cd48c0cd1b9b030687f" w:colFirst="1" w:colLast="1"/>
            <w:bookmarkStart w:id="890" w:name="XMETag_41da0a5efee549ed9b6a5bcbbe6b3e6e" w:colFirst="2" w:colLast="2"/>
            <w:bookmarkEnd w:id="887"/>
            <w:bookmarkEnd w:id="888"/>
          </w:p>
        </w:tc>
        <w:tc>
          <w:tcPr>
            <w:tcW w:w="1133" w:type="dxa"/>
            <w:tcBorders>
              <w:top w:val="single" w:sz="4" w:space="0" w:color="auto"/>
              <w:bottom w:val="single" w:sz="4" w:space="0" w:color="auto"/>
            </w:tcBorders>
            <w:tcMar>
              <w:top w:w="11" w:type="dxa"/>
              <w:left w:w="57" w:type="dxa"/>
              <w:bottom w:w="11" w:type="dxa"/>
              <w:right w:w="57" w:type="dxa"/>
            </w:tcMar>
          </w:tcPr>
          <w:p w14:paraId="2B93683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241.0</w:t>
            </w:r>
          </w:p>
        </w:tc>
        <w:tc>
          <w:tcPr>
            <w:tcW w:w="1134" w:type="dxa"/>
            <w:tcBorders>
              <w:top w:val="single" w:sz="4" w:space="0" w:color="auto"/>
              <w:bottom w:val="single" w:sz="4" w:space="0" w:color="auto"/>
            </w:tcBorders>
          </w:tcPr>
          <w:p w14:paraId="51123D0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231.2</w:t>
            </w:r>
          </w:p>
        </w:tc>
      </w:tr>
      <w:bookmarkEnd w:id="889"/>
      <w:bookmarkEnd w:id="890"/>
    </w:tbl>
    <w:p w14:paraId="24F3E2BE" w14:textId="77777777" w:rsidR="00646F4F" w:rsidRPr="009A2CAE" w:rsidRDefault="00646F4F" w:rsidP="00646F4F">
      <w:pPr>
        <w:tabs>
          <w:tab w:val="left" w:pos="170"/>
          <w:tab w:val="left" w:pos="340"/>
        </w:tabs>
        <w:suppressAutoHyphens/>
        <w:autoSpaceDE w:val="0"/>
        <w:autoSpaceDN w:val="0"/>
        <w:adjustRightInd w:val="0"/>
        <w:spacing w:after="113" w:line="200" w:lineRule="atLeast"/>
        <w:textAlignment w:val="center"/>
        <w:rPr>
          <w:rFonts w:ascii="Arial" w:eastAsia="Calibri" w:hAnsi="Arial" w:cs="Arial"/>
          <w:spacing w:val="-2"/>
          <w:sz w:val="18"/>
          <w:szCs w:val="18"/>
        </w:rPr>
      </w:pPr>
    </w:p>
    <w:p w14:paraId="3B4E66F2" w14:textId="734FBABF" w:rsidR="00646F4F" w:rsidRPr="00735726" w:rsidRDefault="00646F4F" w:rsidP="00646F4F">
      <w:pPr>
        <w:widowControl w:val="0"/>
        <w:suppressAutoHyphens/>
        <w:autoSpaceDE w:val="0"/>
        <w:autoSpaceDN w:val="0"/>
        <w:adjustRightInd w:val="0"/>
        <w:spacing w:after="0"/>
        <w:textAlignment w:val="center"/>
        <w:outlineLvl w:val="0"/>
        <w:rPr>
          <w:rFonts w:ascii="Arial" w:eastAsia="Times New Roman" w:hAnsi="Arial" w:cs="DINOT-Light"/>
          <w:color w:val="000000"/>
          <w:sz w:val="18"/>
          <w:szCs w:val="18"/>
        </w:rPr>
      </w:pPr>
      <w:bookmarkStart w:id="891" w:name="XMETag_c708647d2cfd406bb825b5b363685859"/>
      <w:r w:rsidRPr="00735726">
        <w:rPr>
          <w:rFonts w:ascii="Arial" w:eastAsia="Calibri" w:hAnsi="Arial" w:cs="Arial"/>
          <w:sz w:val="18"/>
          <w:szCs w:val="18"/>
        </w:rPr>
        <w:t>Performance obligations related to the current contract liabilities closing balance above are expected to be</w:t>
      </w:r>
      <w:r w:rsidR="00391520" w:rsidRPr="00735726">
        <w:rPr>
          <w:rFonts w:ascii="Arial" w:eastAsia="Calibri" w:hAnsi="Arial" w:cs="Arial"/>
          <w:sz w:val="18"/>
          <w:szCs w:val="18"/>
        </w:rPr>
        <w:t xml:space="preserve"> </w:t>
      </w:r>
      <w:r w:rsidRPr="00735726">
        <w:rPr>
          <w:rFonts w:ascii="Arial" w:eastAsia="Calibri" w:hAnsi="Arial" w:cs="Arial"/>
          <w:sz w:val="18"/>
          <w:szCs w:val="18"/>
        </w:rPr>
        <w:t>satisfied, and revenue will be recognised, within the financial year ended 31 March 2027.</w:t>
      </w:r>
      <w:bookmarkEnd w:id="891"/>
    </w:p>
    <w:p w14:paraId="49D0162C" w14:textId="77777777" w:rsidR="00646F4F" w:rsidRPr="00735726"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p>
    <w:p w14:paraId="3C49CB6E" w14:textId="16511973" w:rsidR="00955316" w:rsidRPr="00735726" w:rsidRDefault="00955316" w:rsidP="00955316">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Included within contract liabilities are amounts received from customers in advance of the satisfying its performance obligations. The current balance includes these customer overpayments and other advance receipts which are expected to be utilised through the delivery of services or offset against customer bills within the ne</w:t>
      </w:r>
      <w:r w:rsidR="00391520" w:rsidRPr="00735726">
        <w:rPr>
          <w:rFonts w:ascii="Arial" w:eastAsia="Times New Roman" w:hAnsi="Arial" w:cs="DINOT-Light"/>
          <w:color w:val="000000"/>
          <w:sz w:val="18"/>
          <w:szCs w:val="18"/>
        </w:rPr>
        <w:t>x</w:t>
      </w:r>
      <w:r w:rsidRPr="00735726">
        <w:rPr>
          <w:rFonts w:ascii="Arial" w:eastAsia="Times New Roman" w:hAnsi="Arial" w:cs="DINOT-Light"/>
          <w:color w:val="000000"/>
          <w:sz w:val="18"/>
          <w:szCs w:val="18"/>
        </w:rPr>
        <w:t>t 12 months.</w:t>
      </w:r>
    </w:p>
    <w:p w14:paraId="4269D83D" w14:textId="77777777" w:rsidR="00955316" w:rsidRPr="00735726" w:rsidRDefault="00955316" w:rsidP="00955316">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p>
    <w:p w14:paraId="4EEF8208" w14:textId="16C57CC4"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23.</w:t>
      </w:r>
      <w:r w:rsidRPr="00735726">
        <w:rPr>
          <w:rFonts w:ascii="Arial" w:eastAsia="Times New Roman" w:hAnsi="Arial" w:cs="Arial"/>
          <w:b/>
          <w:bCs/>
          <w:caps/>
          <w:color w:val="000000"/>
          <w:sz w:val="18"/>
          <w:szCs w:val="18"/>
        </w:rPr>
        <w:tab/>
        <w:t>Borrowings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7D61C961" w14:textId="77777777" w:rsidTr="00CE19B2">
        <w:trPr>
          <w:trHeight w:val="60"/>
          <w:tblHeader/>
        </w:trPr>
        <w:tc>
          <w:tcPr>
            <w:tcW w:w="7739" w:type="dxa"/>
            <w:tcMar>
              <w:top w:w="11" w:type="dxa"/>
              <w:left w:w="57" w:type="dxa"/>
              <w:bottom w:w="11" w:type="dxa"/>
              <w:right w:w="57" w:type="dxa"/>
            </w:tcMar>
          </w:tcPr>
          <w:p w14:paraId="555C43E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4FA5A3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209063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5E58EDA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14A0F19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624957C3" w14:textId="77777777" w:rsidTr="00CE19B2">
        <w:trPr>
          <w:trHeight w:val="226"/>
        </w:trPr>
        <w:tc>
          <w:tcPr>
            <w:tcW w:w="7739" w:type="dxa"/>
            <w:tcMar>
              <w:top w:w="11" w:type="dxa"/>
              <w:left w:w="57" w:type="dxa"/>
              <w:bottom w:w="11" w:type="dxa"/>
              <w:right w:w="57" w:type="dxa"/>
            </w:tcMar>
          </w:tcPr>
          <w:p w14:paraId="2B779B0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Current</w:t>
            </w:r>
          </w:p>
        </w:tc>
        <w:tc>
          <w:tcPr>
            <w:tcW w:w="1133" w:type="dxa"/>
            <w:tcMar>
              <w:top w:w="11" w:type="dxa"/>
              <w:left w:w="57" w:type="dxa"/>
              <w:bottom w:w="11" w:type="dxa"/>
              <w:right w:w="57" w:type="dxa"/>
            </w:tcMar>
          </w:tcPr>
          <w:p w14:paraId="2683411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Pr>
          <w:p w14:paraId="14642E1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E91F70F" w14:textId="77777777" w:rsidTr="00CE19B2">
        <w:trPr>
          <w:trHeight w:val="226"/>
        </w:trPr>
        <w:tc>
          <w:tcPr>
            <w:tcW w:w="7739" w:type="dxa"/>
            <w:tcMar>
              <w:top w:w="11" w:type="dxa"/>
              <w:left w:w="57" w:type="dxa"/>
              <w:bottom w:w="11" w:type="dxa"/>
              <w:right w:w="57" w:type="dxa"/>
            </w:tcMar>
          </w:tcPr>
          <w:p w14:paraId="32B8B62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92" w:name="XMETag_8c0fa573672848e2bdc7caf8974d0994" w:colFirst="1" w:colLast="1"/>
            <w:bookmarkStart w:id="893" w:name="XMETag_b486a561e10c498e8aed725b5a329588" w:colFirst="2" w:colLast="2"/>
            <w:r w:rsidRPr="00735726">
              <w:rPr>
                <w:rFonts w:ascii="Arial" w:eastAsia="Times New Roman" w:hAnsi="Arial" w:cs="DINOT-Light"/>
                <w:color w:val="000000"/>
                <w:sz w:val="18"/>
                <w:szCs w:val="18"/>
              </w:rPr>
              <w:t>Bank and other external loans</w:t>
            </w:r>
          </w:p>
        </w:tc>
        <w:tc>
          <w:tcPr>
            <w:tcW w:w="1133" w:type="dxa"/>
            <w:tcMar>
              <w:top w:w="11" w:type="dxa"/>
              <w:left w:w="57" w:type="dxa"/>
              <w:bottom w:w="11" w:type="dxa"/>
              <w:right w:w="57" w:type="dxa"/>
            </w:tcMar>
          </w:tcPr>
          <w:p w14:paraId="73308F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53.9</w:t>
            </w:r>
          </w:p>
        </w:tc>
        <w:tc>
          <w:tcPr>
            <w:tcW w:w="1134" w:type="dxa"/>
          </w:tcPr>
          <w:p w14:paraId="28F51E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101.3</w:t>
            </w:r>
          </w:p>
        </w:tc>
      </w:tr>
      <w:tr w:rsidR="00646F4F" w:rsidRPr="00735726" w14:paraId="64DC21BA" w14:textId="77777777" w:rsidTr="00CE19B2">
        <w:trPr>
          <w:trHeight w:val="226"/>
        </w:trPr>
        <w:tc>
          <w:tcPr>
            <w:tcW w:w="7739" w:type="dxa"/>
            <w:tcMar>
              <w:top w:w="11" w:type="dxa"/>
              <w:left w:w="57" w:type="dxa"/>
              <w:bottom w:w="11" w:type="dxa"/>
              <w:right w:w="57" w:type="dxa"/>
            </w:tcMar>
          </w:tcPr>
          <w:p w14:paraId="20BFEC3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94" w:name="XMETag_6c7df4794fb4421cac078c7ca994723d" w:colFirst="1" w:colLast="1"/>
            <w:bookmarkStart w:id="895" w:name="XMETag_816a5f7d30a9453ba5c8b9613a2c4abf" w:colFirst="2" w:colLast="2"/>
            <w:bookmarkEnd w:id="892"/>
            <w:bookmarkEnd w:id="893"/>
            <w:r w:rsidRPr="00735726">
              <w:rPr>
                <w:rFonts w:ascii="Arial" w:eastAsia="Times New Roman" w:hAnsi="Arial" w:cs="DINOT-Light"/>
                <w:color w:val="000000"/>
                <w:sz w:val="18"/>
                <w:szCs w:val="18"/>
              </w:rPr>
              <w:t xml:space="preserve">Loan from subsidiary company </w:t>
            </w:r>
          </w:p>
        </w:tc>
        <w:tc>
          <w:tcPr>
            <w:tcW w:w="1133" w:type="dxa"/>
            <w:tcBorders>
              <w:bottom w:val="single" w:sz="4" w:space="0" w:color="auto"/>
            </w:tcBorders>
            <w:tcMar>
              <w:top w:w="11" w:type="dxa"/>
              <w:left w:w="57" w:type="dxa"/>
              <w:bottom w:w="11" w:type="dxa"/>
              <w:right w:w="57" w:type="dxa"/>
            </w:tcMar>
          </w:tcPr>
          <w:p w14:paraId="7DD4E3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3.7</w:t>
            </w:r>
          </w:p>
        </w:tc>
        <w:tc>
          <w:tcPr>
            <w:tcW w:w="1134" w:type="dxa"/>
            <w:tcBorders>
              <w:bottom w:val="single" w:sz="4" w:space="0" w:color="auto"/>
            </w:tcBorders>
          </w:tcPr>
          <w:p w14:paraId="6B20D0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w:t>
            </w:r>
          </w:p>
        </w:tc>
      </w:tr>
      <w:bookmarkEnd w:id="894"/>
      <w:bookmarkEnd w:id="895"/>
      <w:tr w:rsidR="00646F4F" w:rsidRPr="00735726" w14:paraId="4709F7E4" w14:textId="77777777" w:rsidTr="00CE19B2">
        <w:trPr>
          <w:trHeight w:val="226"/>
        </w:trPr>
        <w:tc>
          <w:tcPr>
            <w:tcW w:w="7739" w:type="dxa"/>
            <w:tcMar>
              <w:top w:w="11" w:type="dxa"/>
              <w:left w:w="57" w:type="dxa"/>
              <w:bottom w:w="11" w:type="dxa"/>
              <w:right w:w="57" w:type="dxa"/>
            </w:tcMar>
          </w:tcPr>
          <w:p w14:paraId="6C06C3E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Borders>
              <w:top w:val="single" w:sz="4" w:space="0" w:color="auto"/>
            </w:tcBorders>
            <w:tcMar>
              <w:top w:w="11" w:type="dxa"/>
              <w:left w:w="57" w:type="dxa"/>
              <w:bottom w:w="11" w:type="dxa"/>
              <w:right w:w="57" w:type="dxa"/>
            </w:tcMar>
          </w:tcPr>
          <w:p w14:paraId="5A96148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57.6</w:t>
            </w:r>
          </w:p>
        </w:tc>
        <w:tc>
          <w:tcPr>
            <w:tcW w:w="1134" w:type="dxa"/>
            <w:tcBorders>
              <w:top w:val="single" w:sz="4" w:space="0" w:color="auto"/>
            </w:tcBorders>
          </w:tcPr>
          <w:p w14:paraId="4A9EBEC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104.9</w:t>
            </w:r>
          </w:p>
        </w:tc>
      </w:tr>
      <w:tr w:rsidR="00646F4F" w:rsidRPr="00735726" w14:paraId="2619A6FE" w14:textId="77777777" w:rsidTr="00CE19B2">
        <w:trPr>
          <w:trHeight w:val="226"/>
        </w:trPr>
        <w:tc>
          <w:tcPr>
            <w:tcW w:w="7739" w:type="dxa"/>
            <w:tcMar>
              <w:top w:w="11" w:type="dxa"/>
              <w:left w:w="57" w:type="dxa"/>
              <w:bottom w:w="11" w:type="dxa"/>
              <w:right w:w="57" w:type="dxa"/>
            </w:tcMar>
          </w:tcPr>
          <w:p w14:paraId="6477BB9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896" w:name="XMETag_47a4b3bf2a544ded8c57dea2d59f76b3" w:colFirst="1" w:colLast="1"/>
            <w:bookmarkStart w:id="897" w:name="XMETag_4e871168f4654271b631c521b51f916c" w:colFirst="2" w:colLast="2"/>
            <w:r w:rsidRPr="00735726">
              <w:rPr>
                <w:rFonts w:ascii="Arial" w:eastAsia="Times New Roman" w:hAnsi="Arial" w:cs="DINOT-Light"/>
                <w:color w:val="000000"/>
                <w:sz w:val="18"/>
                <w:szCs w:val="18"/>
              </w:rPr>
              <w:t>Leases</w:t>
            </w:r>
          </w:p>
        </w:tc>
        <w:tc>
          <w:tcPr>
            <w:tcW w:w="1133" w:type="dxa"/>
            <w:tcBorders>
              <w:bottom w:val="single" w:sz="4" w:space="0" w:color="auto"/>
            </w:tcBorders>
            <w:tcMar>
              <w:top w:w="11" w:type="dxa"/>
              <w:left w:w="57" w:type="dxa"/>
              <w:bottom w:w="11" w:type="dxa"/>
              <w:right w:w="57" w:type="dxa"/>
            </w:tcMar>
          </w:tcPr>
          <w:p w14:paraId="60659BC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31.5</w:t>
            </w:r>
          </w:p>
        </w:tc>
        <w:tc>
          <w:tcPr>
            <w:tcW w:w="1134" w:type="dxa"/>
            <w:tcBorders>
              <w:bottom w:val="single" w:sz="4" w:space="0" w:color="auto"/>
            </w:tcBorders>
          </w:tcPr>
          <w:p w14:paraId="3515F3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32.3</w:t>
            </w:r>
          </w:p>
        </w:tc>
      </w:tr>
      <w:tr w:rsidR="00646F4F" w:rsidRPr="00735726" w14:paraId="6F1A3195" w14:textId="77777777" w:rsidTr="00CE19B2">
        <w:trPr>
          <w:trHeight w:val="226"/>
        </w:trPr>
        <w:tc>
          <w:tcPr>
            <w:tcW w:w="7739" w:type="dxa"/>
            <w:tcMar>
              <w:top w:w="11" w:type="dxa"/>
              <w:left w:w="57" w:type="dxa"/>
              <w:bottom w:w="11" w:type="dxa"/>
              <w:right w:w="57" w:type="dxa"/>
            </w:tcMar>
          </w:tcPr>
          <w:p w14:paraId="4128286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898" w:name="XMETag_3a01047ad6ef4200910f05e1c5289874" w:colFirst="1" w:colLast="1"/>
            <w:bookmarkStart w:id="899" w:name="XMETag_9c5289b71b734abfb29e87a71b17787f" w:colFirst="2" w:colLast="2"/>
            <w:bookmarkEnd w:id="896"/>
            <w:bookmarkEnd w:id="897"/>
            <w:r w:rsidRPr="00735726">
              <w:rPr>
                <w:rFonts w:ascii="Arial" w:eastAsia="Times New Roman" w:hAnsi="Arial" w:cs="DINOT-Light"/>
                <w:b/>
                <w:color w:val="000000"/>
                <w:sz w:val="18"/>
                <w:szCs w:val="18"/>
              </w:rPr>
              <w:t>Total current borrowings</w:t>
            </w:r>
          </w:p>
        </w:tc>
        <w:tc>
          <w:tcPr>
            <w:tcW w:w="1133" w:type="dxa"/>
            <w:tcBorders>
              <w:top w:val="single" w:sz="4" w:space="0" w:color="auto"/>
            </w:tcBorders>
            <w:tcMar>
              <w:top w:w="11" w:type="dxa"/>
              <w:left w:w="57" w:type="dxa"/>
              <w:bottom w:w="11" w:type="dxa"/>
              <w:right w:w="57" w:type="dxa"/>
            </w:tcMar>
          </w:tcPr>
          <w:p w14:paraId="3CA1DD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89.1</w:t>
            </w:r>
          </w:p>
        </w:tc>
        <w:tc>
          <w:tcPr>
            <w:tcW w:w="1134" w:type="dxa"/>
            <w:tcBorders>
              <w:top w:val="single" w:sz="4" w:space="0" w:color="auto"/>
            </w:tcBorders>
          </w:tcPr>
          <w:p w14:paraId="28B6279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137.2</w:t>
            </w:r>
          </w:p>
        </w:tc>
      </w:tr>
      <w:bookmarkEnd w:id="898"/>
      <w:bookmarkEnd w:id="899"/>
      <w:tr w:rsidR="00646F4F" w:rsidRPr="00735726" w14:paraId="2A784AD3" w14:textId="77777777" w:rsidTr="00CE19B2">
        <w:trPr>
          <w:trHeight w:val="226"/>
        </w:trPr>
        <w:tc>
          <w:tcPr>
            <w:tcW w:w="7739" w:type="dxa"/>
            <w:tcMar>
              <w:top w:w="11" w:type="dxa"/>
              <w:left w:w="57" w:type="dxa"/>
              <w:bottom w:w="11" w:type="dxa"/>
              <w:right w:w="57" w:type="dxa"/>
            </w:tcMar>
          </w:tcPr>
          <w:p w14:paraId="5AED1DE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55A0519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Pr>
          <w:p w14:paraId="0266528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00E1CE95" w14:textId="77777777" w:rsidTr="00CE19B2">
        <w:trPr>
          <w:trHeight w:val="226"/>
        </w:trPr>
        <w:tc>
          <w:tcPr>
            <w:tcW w:w="7739" w:type="dxa"/>
            <w:tcMar>
              <w:top w:w="11" w:type="dxa"/>
              <w:left w:w="57" w:type="dxa"/>
              <w:bottom w:w="11" w:type="dxa"/>
              <w:right w:w="57" w:type="dxa"/>
            </w:tcMar>
          </w:tcPr>
          <w:p w14:paraId="63DB555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Non-current</w:t>
            </w:r>
          </w:p>
        </w:tc>
        <w:tc>
          <w:tcPr>
            <w:tcW w:w="1133" w:type="dxa"/>
            <w:tcMar>
              <w:top w:w="11" w:type="dxa"/>
              <w:left w:w="57" w:type="dxa"/>
              <w:bottom w:w="11" w:type="dxa"/>
              <w:right w:w="57" w:type="dxa"/>
            </w:tcMar>
          </w:tcPr>
          <w:p w14:paraId="7065255E"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Pr>
          <w:p w14:paraId="73578DA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132C2320" w14:textId="77777777" w:rsidTr="00CE19B2">
        <w:trPr>
          <w:trHeight w:val="226"/>
        </w:trPr>
        <w:tc>
          <w:tcPr>
            <w:tcW w:w="7739" w:type="dxa"/>
            <w:tcMar>
              <w:top w:w="11" w:type="dxa"/>
              <w:left w:w="57" w:type="dxa"/>
              <w:bottom w:w="11" w:type="dxa"/>
              <w:right w:w="57" w:type="dxa"/>
            </w:tcMar>
          </w:tcPr>
          <w:p w14:paraId="71BEE34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00" w:name="XMETag_fae2caf356d34e819b6aa4b1800981c2" w:colFirst="1" w:colLast="1"/>
            <w:bookmarkStart w:id="901" w:name="XMETag_67254c954db14e7c9b2be6f3b1711cb4" w:colFirst="2" w:colLast="2"/>
            <w:r w:rsidRPr="00735726">
              <w:rPr>
                <w:rFonts w:ascii="Arial" w:eastAsia="Times New Roman" w:hAnsi="Arial" w:cs="DINOT-Light"/>
                <w:color w:val="000000"/>
                <w:sz w:val="18"/>
                <w:szCs w:val="18"/>
              </w:rPr>
              <w:t>Bank and other external loans</w:t>
            </w:r>
          </w:p>
        </w:tc>
        <w:tc>
          <w:tcPr>
            <w:tcW w:w="1133" w:type="dxa"/>
            <w:tcMar>
              <w:top w:w="11" w:type="dxa"/>
              <w:left w:w="57" w:type="dxa"/>
              <w:bottom w:w="11" w:type="dxa"/>
              <w:right w:w="57" w:type="dxa"/>
            </w:tcMar>
          </w:tcPr>
          <w:p w14:paraId="4322CB27" w14:textId="2C8DD4D4"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708.1</w:t>
            </w:r>
          </w:p>
        </w:tc>
        <w:tc>
          <w:tcPr>
            <w:tcW w:w="1134" w:type="dxa"/>
          </w:tcPr>
          <w:p w14:paraId="28D875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772.2</w:t>
            </w:r>
          </w:p>
        </w:tc>
      </w:tr>
      <w:bookmarkEnd w:id="900"/>
      <w:bookmarkEnd w:id="901"/>
      <w:tr w:rsidR="00646F4F" w:rsidRPr="00735726" w14:paraId="0BA6C5DF" w14:textId="77777777" w:rsidTr="00CE19B2">
        <w:trPr>
          <w:trHeight w:val="226"/>
        </w:trPr>
        <w:tc>
          <w:tcPr>
            <w:tcW w:w="7739" w:type="dxa"/>
            <w:tcMar>
              <w:top w:w="11" w:type="dxa"/>
              <w:left w:w="57" w:type="dxa"/>
              <w:bottom w:w="11" w:type="dxa"/>
              <w:right w:w="57" w:type="dxa"/>
            </w:tcMar>
          </w:tcPr>
          <w:p w14:paraId="1F4C3A7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Private Placements</w:t>
            </w:r>
          </w:p>
        </w:tc>
        <w:tc>
          <w:tcPr>
            <w:tcW w:w="1133" w:type="dxa"/>
            <w:tcMar>
              <w:top w:w="11" w:type="dxa"/>
              <w:left w:w="57" w:type="dxa"/>
              <w:bottom w:w="11" w:type="dxa"/>
              <w:right w:w="57" w:type="dxa"/>
            </w:tcMar>
          </w:tcPr>
          <w:p w14:paraId="4A6B0D9E" w14:textId="16862A72"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679.4</w:t>
            </w:r>
          </w:p>
        </w:tc>
        <w:tc>
          <w:tcPr>
            <w:tcW w:w="1134" w:type="dxa"/>
          </w:tcPr>
          <w:p w14:paraId="07F636F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656.2</w:t>
            </w:r>
          </w:p>
        </w:tc>
      </w:tr>
      <w:tr w:rsidR="00646F4F" w:rsidRPr="00735726" w14:paraId="286FD115" w14:textId="77777777" w:rsidTr="00CE19B2">
        <w:trPr>
          <w:trHeight w:val="226"/>
        </w:trPr>
        <w:tc>
          <w:tcPr>
            <w:tcW w:w="7739" w:type="dxa"/>
            <w:tcMar>
              <w:top w:w="11" w:type="dxa"/>
              <w:left w:w="57" w:type="dxa"/>
              <w:bottom w:w="11" w:type="dxa"/>
              <w:right w:w="57" w:type="dxa"/>
            </w:tcMar>
          </w:tcPr>
          <w:p w14:paraId="1801BB5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Fixed Rate Bonds</w:t>
            </w:r>
          </w:p>
        </w:tc>
        <w:tc>
          <w:tcPr>
            <w:tcW w:w="1133" w:type="dxa"/>
            <w:tcMar>
              <w:top w:w="11" w:type="dxa"/>
              <w:left w:w="57" w:type="dxa"/>
              <w:bottom w:w="11" w:type="dxa"/>
              <w:right w:w="57" w:type="dxa"/>
            </w:tcMar>
          </w:tcPr>
          <w:p w14:paraId="157C4BA7" w14:textId="1DCCABA4"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58.2</w:t>
            </w:r>
          </w:p>
        </w:tc>
        <w:tc>
          <w:tcPr>
            <w:tcW w:w="1134" w:type="dxa"/>
          </w:tcPr>
          <w:p w14:paraId="5C6EF9B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57.0</w:t>
            </w:r>
          </w:p>
        </w:tc>
      </w:tr>
      <w:tr w:rsidR="00646F4F" w:rsidRPr="00735726" w14:paraId="6E67DF82" w14:textId="77777777" w:rsidTr="00CE19B2">
        <w:trPr>
          <w:trHeight w:val="226"/>
        </w:trPr>
        <w:tc>
          <w:tcPr>
            <w:tcW w:w="7739" w:type="dxa"/>
            <w:tcMar>
              <w:top w:w="11" w:type="dxa"/>
              <w:left w:w="57" w:type="dxa"/>
              <w:bottom w:w="11" w:type="dxa"/>
              <w:right w:w="57" w:type="dxa"/>
            </w:tcMar>
          </w:tcPr>
          <w:p w14:paraId="64B4CB0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02" w:name="XMETag_5e2917eaac014a148b1a538010642912" w:colFirst="1" w:colLast="1"/>
            <w:bookmarkStart w:id="903" w:name="XMETag_0961d5ee27a0420a9129b2ed67789842" w:colFirst="2" w:colLast="2"/>
            <w:r w:rsidRPr="00735726">
              <w:rPr>
                <w:rFonts w:ascii="Arial" w:eastAsia="Times New Roman" w:hAnsi="Arial" w:cs="DINOT-Light"/>
                <w:color w:val="000000"/>
                <w:sz w:val="18"/>
                <w:szCs w:val="18"/>
              </w:rPr>
              <w:t xml:space="preserve">Loan from subsidiary company </w:t>
            </w:r>
          </w:p>
        </w:tc>
        <w:tc>
          <w:tcPr>
            <w:tcW w:w="1133" w:type="dxa"/>
            <w:tcBorders>
              <w:bottom w:val="single" w:sz="4" w:space="0" w:color="auto"/>
            </w:tcBorders>
            <w:tcMar>
              <w:top w:w="11" w:type="dxa"/>
              <w:left w:w="57" w:type="dxa"/>
              <w:bottom w:w="11" w:type="dxa"/>
              <w:right w:w="57" w:type="dxa"/>
            </w:tcMar>
          </w:tcPr>
          <w:p w14:paraId="06DE82F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1,556.4</w:t>
            </w:r>
          </w:p>
        </w:tc>
        <w:tc>
          <w:tcPr>
            <w:tcW w:w="1134" w:type="dxa"/>
            <w:tcBorders>
              <w:bottom w:val="single" w:sz="4" w:space="0" w:color="auto"/>
            </w:tcBorders>
          </w:tcPr>
          <w:p w14:paraId="215253D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1,248.4</w:t>
            </w:r>
          </w:p>
        </w:tc>
      </w:tr>
      <w:bookmarkEnd w:id="902"/>
      <w:bookmarkEnd w:id="903"/>
      <w:tr w:rsidR="00646F4F" w:rsidRPr="00735726" w14:paraId="0EB7C171" w14:textId="77777777" w:rsidTr="00CE19B2">
        <w:trPr>
          <w:trHeight w:val="226"/>
        </w:trPr>
        <w:tc>
          <w:tcPr>
            <w:tcW w:w="7739" w:type="dxa"/>
            <w:tcMar>
              <w:top w:w="11" w:type="dxa"/>
              <w:left w:w="57" w:type="dxa"/>
              <w:bottom w:w="11" w:type="dxa"/>
              <w:right w:w="57" w:type="dxa"/>
            </w:tcMar>
          </w:tcPr>
          <w:p w14:paraId="21F66E1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Borders>
              <w:top w:val="single" w:sz="4" w:space="0" w:color="auto"/>
            </w:tcBorders>
            <w:tcMar>
              <w:top w:w="11" w:type="dxa"/>
              <w:left w:w="57" w:type="dxa"/>
              <w:bottom w:w="11" w:type="dxa"/>
              <w:right w:w="57" w:type="dxa"/>
            </w:tcMar>
          </w:tcPr>
          <w:p w14:paraId="05EA6FE8" w14:textId="6E114CB8"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3,002.1</w:t>
            </w:r>
          </w:p>
        </w:tc>
        <w:tc>
          <w:tcPr>
            <w:tcW w:w="1134" w:type="dxa"/>
            <w:tcBorders>
              <w:top w:val="single" w:sz="4" w:space="0" w:color="auto"/>
            </w:tcBorders>
          </w:tcPr>
          <w:p w14:paraId="0DD3BAF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2,733.8</w:t>
            </w:r>
          </w:p>
        </w:tc>
      </w:tr>
      <w:tr w:rsidR="00646F4F" w:rsidRPr="00735726" w14:paraId="18E7FD5A" w14:textId="77777777" w:rsidTr="00CE19B2">
        <w:trPr>
          <w:trHeight w:val="226"/>
        </w:trPr>
        <w:tc>
          <w:tcPr>
            <w:tcW w:w="7739" w:type="dxa"/>
            <w:tcMar>
              <w:top w:w="11" w:type="dxa"/>
              <w:left w:w="57" w:type="dxa"/>
              <w:bottom w:w="11" w:type="dxa"/>
              <w:right w:w="57" w:type="dxa"/>
            </w:tcMar>
          </w:tcPr>
          <w:p w14:paraId="3A84B24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04" w:name="XMETag_426c39b130b14663b387e8e9cd01421e" w:colFirst="2" w:colLast="2"/>
            <w:bookmarkStart w:id="905" w:name="XMETag_164b0c92fe814f98b432ffd5d2991f8b" w:colFirst="1" w:colLast="1"/>
            <w:r w:rsidRPr="00735726">
              <w:rPr>
                <w:rFonts w:ascii="Arial" w:eastAsia="Times New Roman" w:hAnsi="Arial" w:cs="DINOT-Light"/>
                <w:color w:val="000000"/>
                <w:sz w:val="18"/>
                <w:szCs w:val="18"/>
              </w:rPr>
              <w:t>Leases</w:t>
            </w:r>
          </w:p>
        </w:tc>
        <w:tc>
          <w:tcPr>
            <w:tcW w:w="1133" w:type="dxa"/>
            <w:tcBorders>
              <w:bottom w:val="single" w:sz="4" w:space="0" w:color="auto"/>
            </w:tcBorders>
            <w:tcMar>
              <w:top w:w="11" w:type="dxa"/>
              <w:left w:w="57" w:type="dxa"/>
              <w:bottom w:w="11" w:type="dxa"/>
              <w:right w:w="57" w:type="dxa"/>
            </w:tcMar>
          </w:tcPr>
          <w:p w14:paraId="0FB7A69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1,061.1</w:t>
            </w:r>
          </w:p>
        </w:tc>
        <w:tc>
          <w:tcPr>
            <w:tcW w:w="1134" w:type="dxa"/>
            <w:tcBorders>
              <w:bottom w:val="single" w:sz="4" w:space="0" w:color="auto"/>
            </w:tcBorders>
          </w:tcPr>
          <w:p w14:paraId="137F623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1,013.3</w:t>
            </w:r>
          </w:p>
        </w:tc>
      </w:tr>
      <w:tr w:rsidR="00646F4F" w:rsidRPr="00735726" w14:paraId="1A97FD18" w14:textId="77777777" w:rsidTr="00CE19B2">
        <w:trPr>
          <w:trHeight w:val="226"/>
        </w:trPr>
        <w:tc>
          <w:tcPr>
            <w:tcW w:w="7739" w:type="dxa"/>
            <w:tcMar>
              <w:top w:w="11" w:type="dxa"/>
              <w:left w:w="57" w:type="dxa"/>
              <w:bottom w:w="11" w:type="dxa"/>
              <w:right w:w="57" w:type="dxa"/>
            </w:tcMar>
          </w:tcPr>
          <w:p w14:paraId="16EF149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906" w:name="XMETag_73d043cf8ecf4ffc9ada01d393637237" w:colFirst="1" w:colLast="1"/>
            <w:bookmarkStart w:id="907" w:name="XMETag_764530310b014110ba4f79af5f2ac516" w:colFirst="2" w:colLast="2"/>
            <w:bookmarkEnd w:id="904"/>
            <w:bookmarkEnd w:id="905"/>
            <w:r w:rsidRPr="00735726">
              <w:rPr>
                <w:rFonts w:ascii="Arial" w:eastAsia="Times New Roman" w:hAnsi="Arial" w:cs="DINOT-Light"/>
                <w:b/>
                <w:color w:val="000000"/>
                <w:sz w:val="18"/>
                <w:szCs w:val="18"/>
              </w:rPr>
              <w:t>Total non-current borrowings</w:t>
            </w:r>
          </w:p>
        </w:tc>
        <w:tc>
          <w:tcPr>
            <w:tcW w:w="1133" w:type="dxa"/>
            <w:tcBorders>
              <w:top w:val="single" w:sz="4" w:space="0" w:color="auto"/>
              <w:bottom w:val="single" w:sz="4" w:space="0" w:color="auto"/>
            </w:tcBorders>
            <w:tcMar>
              <w:top w:w="11" w:type="dxa"/>
              <w:left w:w="57" w:type="dxa"/>
              <w:bottom w:w="11" w:type="dxa"/>
              <w:right w:w="57" w:type="dxa"/>
            </w:tcMar>
          </w:tcPr>
          <w:p w14:paraId="6CF6268B" w14:textId="6054B5D6"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4,063.2</w:t>
            </w:r>
          </w:p>
        </w:tc>
        <w:tc>
          <w:tcPr>
            <w:tcW w:w="1134" w:type="dxa"/>
            <w:tcBorders>
              <w:top w:val="single" w:sz="4" w:space="0" w:color="auto"/>
              <w:bottom w:val="single" w:sz="4" w:space="0" w:color="auto"/>
            </w:tcBorders>
          </w:tcPr>
          <w:p w14:paraId="3A3191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3,747.1</w:t>
            </w:r>
          </w:p>
        </w:tc>
      </w:tr>
      <w:tr w:rsidR="00646F4F" w:rsidRPr="00735726" w14:paraId="43959DB5" w14:textId="77777777" w:rsidTr="00CE19B2">
        <w:trPr>
          <w:trHeight w:val="226"/>
        </w:trPr>
        <w:tc>
          <w:tcPr>
            <w:tcW w:w="7739" w:type="dxa"/>
            <w:tcMar>
              <w:top w:w="11" w:type="dxa"/>
              <w:left w:w="57" w:type="dxa"/>
              <w:bottom w:w="11" w:type="dxa"/>
              <w:right w:w="57" w:type="dxa"/>
            </w:tcMar>
          </w:tcPr>
          <w:p w14:paraId="53D53E1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908" w:name="XMETag_4eb37c7458984ea1b1f4f6eb45216ea7" w:colFirst="1" w:colLast="1"/>
            <w:bookmarkStart w:id="909" w:name="XMETag_95aa5dacc4d949489e2dbe5006ca1236" w:colFirst="2" w:colLast="2"/>
            <w:bookmarkEnd w:id="906"/>
            <w:bookmarkEnd w:id="907"/>
            <w:r w:rsidRPr="00735726">
              <w:rPr>
                <w:rFonts w:ascii="Arial" w:eastAsia="Times New Roman" w:hAnsi="Arial" w:cs="DINOT-Light"/>
                <w:b/>
                <w:color w:val="000000"/>
                <w:sz w:val="18"/>
                <w:szCs w:val="18"/>
              </w:rPr>
              <w:t>Total borrowings</w:t>
            </w:r>
          </w:p>
        </w:tc>
        <w:tc>
          <w:tcPr>
            <w:tcW w:w="1133" w:type="dxa"/>
            <w:tcBorders>
              <w:top w:val="single" w:sz="4" w:space="0" w:color="auto"/>
              <w:bottom w:val="single" w:sz="4" w:space="0" w:color="auto"/>
            </w:tcBorders>
            <w:tcMar>
              <w:top w:w="11" w:type="dxa"/>
              <w:left w:w="57" w:type="dxa"/>
              <w:bottom w:w="11" w:type="dxa"/>
              <w:right w:w="57" w:type="dxa"/>
            </w:tcMar>
          </w:tcPr>
          <w:p w14:paraId="36BCA172" w14:textId="4AC23D91"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4,152.3</w:t>
            </w:r>
          </w:p>
        </w:tc>
        <w:tc>
          <w:tcPr>
            <w:tcW w:w="1134" w:type="dxa"/>
            <w:tcBorders>
              <w:top w:val="single" w:sz="4" w:space="0" w:color="auto"/>
              <w:bottom w:val="single" w:sz="4" w:space="0" w:color="auto"/>
            </w:tcBorders>
          </w:tcPr>
          <w:p w14:paraId="7D8A741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3,884.3</w:t>
            </w:r>
          </w:p>
        </w:tc>
      </w:tr>
      <w:bookmarkEnd w:id="908"/>
      <w:bookmarkEnd w:id="909"/>
    </w:tbl>
    <w:p w14:paraId="5DCFF781" w14:textId="77777777" w:rsidR="00646F4F" w:rsidRPr="00735726" w:rsidRDefault="00646F4F" w:rsidP="00646F4F">
      <w:pPr>
        <w:widowControl w:val="0"/>
        <w:suppressAutoHyphens/>
        <w:autoSpaceDE w:val="0"/>
        <w:autoSpaceDN w:val="0"/>
        <w:adjustRightInd w:val="0"/>
        <w:spacing w:after="0" w:line="240" w:lineRule="auto"/>
        <w:textAlignment w:val="center"/>
        <w:rPr>
          <w:rFonts w:ascii="Arial" w:hAnsi="Arial"/>
          <w:color w:val="000000"/>
          <w:sz w:val="18"/>
        </w:rPr>
      </w:pPr>
    </w:p>
    <w:p w14:paraId="65A268E7" w14:textId="7DAD6D18" w:rsidR="002A1355" w:rsidRPr="00735726" w:rsidRDefault="00646F4F" w:rsidP="00646F4F">
      <w:pPr>
        <w:widowControl w:val="0"/>
        <w:suppressAutoHyphens/>
        <w:autoSpaceDE w:val="0"/>
        <w:autoSpaceDN w:val="0"/>
        <w:adjustRightInd w:val="0"/>
        <w:spacing w:after="0"/>
        <w:textAlignment w:val="center"/>
        <w:rPr>
          <w:rFonts w:ascii="Arial" w:hAnsi="Arial"/>
          <w:color w:val="000000"/>
          <w:sz w:val="18"/>
        </w:rPr>
      </w:pPr>
      <w:r w:rsidRPr="00735726">
        <w:rPr>
          <w:rFonts w:ascii="Arial" w:hAnsi="Arial"/>
          <w:color w:val="000000"/>
          <w:sz w:val="18"/>
        </w:rPr>
        <w:t xml:space="preserve">The </w:t>
      </w:r>
      <w:r w:rsidR="002A1355" w:rsidRPr="00735726">
        <w:rPr>
          <w:rFonts w:ascii="Arial" w:hAnsi="Arial"/>
          <w:color w:val="000000"/>
          <w:sz w:val="18"/>
        </w:rPr>
        <w:t xml:space="preserve">current </w:t>
      </w:r>
      <w:r w:rsidRPr="00735726">
        <w:rPr>
          <w:rFonts w:ascii="Arial" w:hAnsi="Arial"/>
          <w:color w:val="000000"/>
          <w:sz w:val="18"/>
        </w:rPr>
        <w:t>loan from subsidiary company represents a loan of £</w:t>
      </w:r>
      <w:r w:rsidR="002A1355" w:rsidRPr="00735726">
        <w:rPr>
          <w:rFonts w:ascii="Arial" w:hAnsi="Arial"/>
          <w:color w:val="000000"/>
          <w:sz w:val="18"/>
        </w:rPr>
        <w:t>3.7 million due within one year.</w:t>
      </w:r>
    </w:p>
    <w:p w14:paraId="6102E8C7" w14:textId="77777777" w:rsidR="002A1355" w:rsidRPr="00735726" w:rsidRDefault="002A1355" w:rsidP="00646F4F">
      <w:pPr>
        <w:widowControl w:val="0"/>
        <w:suppressAutoHyphens/>
        <w:autoSpaceDE w:val="0"/>
        <w:autoSpaceDN w:val="0"/>
        <w:adjustRightInd w:val="0"/>
        <w:spacing w:after="0"/>
        <w:textAlignment w:val="center"/>
        <w:rPr>
          <w:rFonts w:ascii="Arial" w:hAnsi="Arial"/>
          <w:color w:val="000000"/>
          <w:sz w:val="18"/>
        </w:rPr>
      </w:pPr>
    </w:p>
    <w:p w14:paraId="2A90E591" w14:textId="1F974524" w:rsidR="00716CF2" w:rsidRPr="00735726" w:rsidRDefault="00716CF2" w:rsidP="00716CF2">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hAnsi="Arial"/>
          <w:color w:val="000000"/>
          <w:sz w:val="18"/>
        </w:rPr>
        <w:t>Th</w:t>
      </w:r>
      <w:r w:rsidR="0070274C" w:rsidRPr="00735726">
        <w:rPr>
          <w:rFonts w:ascii="Arial" w:hAnsi="Arial"/>
          <w:color w:val="000000"/>
          <w:sz w:val="18"/>
        </w:rPr>
        <w:t>e non-current l</w:t>
      </w:r>
      <w:r w:rsidRPr="00735726">
        <w:rPr>
          <w:rFonts w:ascii="Arial" w:hAnsi="Arial"/>
          <w:color w:val="000000"/>
          <w:sz w:val="18"/>
        </w:rPr>
        <w:t xml:space="preserve">oan from subsidiary company represents a loan from </w:t>
      </w:r>
      <w:proofErr w:type="gramStart"/>
      <w:r w:rsidRPr="00735726">
        <w:rPr>
          <w:rFonts w:ascii="Arial" w:hAnsi="Arial"/>
          <w:color w:val="000000"/>
          <w:sz w:val="18"/>
        </w:rPr>
        <w:t>South West</w:t>
      </w:r>
      <w:proofErr w:type="gramEnd"/>
      <w:r w:rsidRPr="00735726">
        <w:rPr>
          <w:rFonts w:ascii="Arial" w:hAnsi="Arial"/>
          <w:color w:val="000000"/>
          <w:sz w:val="18"/>
        </w:rPr>
        <w:t xml:space="preserve"> Water Finance plc of £1</w:t>
      </w:r>
      <w:r w:rsidR="0070274C" w:rsidRPr="00735726">
        <w:rPr>
          <w:rFonts w:ascii="Arial" w:hAnsi="Arial"/>
          <w:color w:val="000000"/>
          <w:sz w:val="18"/>
        </w:rPr>
        <w:t>,</w:t>
      </w:r>
      <w:r w:rsidRPr="00735726">
        <w:rPr>
          <w:rFonts w:ascii="Arial" w:hAnsi="Arial"/>
          <w:color w:val="000000"/>
          <w:sz w:val="18"/>
        </w:rPr>
        <w:t>5</w:t>
      </w:r>
      <w:r w:rsidR="0070274C" w:rsidRPr="00735726">
        <w:rPr>
          <w:rFonts w:ascii="Arial" w:hAnsi="Arial"/>
          <w:color w:val="000000"/>
          <w:sz w:val="18"/>
        </w:rPr>
        <w:t>29.8 million</w:t>
      </w:r>
      <w:r w:rsidRPr="00735726">
        <w:rPr>
          <w:rFonts w:ascii="Arial" w:hAnsi="Arial"/>
          <w:color w:val="000000"/>
          <w:sz w:val="18"/>
        </w:rPr>
        <w:t xml:space="preserve"> (2025: £1</w:t>
      </w:r>
      <w:r w:rsidR="0070274C" w:rsidRPr="00735726">
        <w:rPr>
          <w:rFonts w:ascii="Arial" w:hAnsi="Arial"/>
          <w:color w:val="000000"/>
          <w:sz w:val="18"/>
        </w:rPr>
        <w:t>,221.8</w:t>
      </w:r>
      <w:r w:rsidRPr="00735726">
        <w:rPr>
          <w:rFonts w:ascii="Arial" w:hAnsi="Arial"/>
          <w:color w:val="000000"/>
          <w:sz w:val="18"/>
        </w:rPr>
        <w:t xml:space="preserve"> </w:t>
      </w:r>
      <w:r w:rsidR="0070274C" w:rsidRPr="00735726">
        <w:rPr>
          <w:rFonts w:ascii="Arial" w:hAnsi="Arial"/>
          <w:color w:val="000000"/>
          <w:sz w:val="18"/>
        </w:rPr>
        <w:t>m</w:t>
      </w:r>
      <w:r w:rsidRPr="00735726">
        <w:rPr>
          <w:rFonts w:ascii="Arial" w:hAnsi="Arial"/>
          <w:color w:val="000000"/>
          <w:sz w:val="18"/>
        </w:rPr>
        <w:t xml:space="preserve">illion), a UK company whose purpose is to raise borrowings for </w:t>
      </w:r>
      <w:proofErr w:type="gramStart"/>
      <w:r w:rsidRPr="00735726">
        <w:rPr>
          <w:rFonts w:ascii="Arial" w:hAnsi="Arial"/>
          <w:color w:val="000000"/>
          <w:sz w:val="18"/>
        </w:rPr>
        <w:t>South West</w:t>
      </w:r>
      <w:proofErr w:type="gramEnd"/>
      <w:r w:rsidRPr="00735726">
        <w:rPr>
          <w:rFonts w:ascii="Arial" w:hAnsi="Arial"/>
          <w:color w:val="000000"/>
          <w:sz w:val="18"/>
        </w:rPr>
        <w:t xml:space="preserve"> Water Limited, and a loan from Bristol Water plc of £26.6 million (2025: £26.6 million).</w:t>
      </w:r>
    </w:p>
    <w:p w14:paraId="60DBD68C" w14:textId="35D05316" w:rsidR="002A1355" w:rsidRPr="00735726" w:rsidRDefault="002A1355" w:rsidP="00646F4F">
      <w:pPr>
        <w:widowControl w:val="0"/>
        <w:suppressAutoHyphens/>
        <w:autoSpaceDE w:val="0"/>
        <w:autoSpaceDN w:val="0"/>
        <w:adjustRightInd w:val="0"/>
        <w:spacing w:after="0"/>
        <w:textAlignment w:val="center"/>
        <w:rPr>
          <w:rFonts w:ascii="Arial" w:hAnsi="Arial"/>
          <w:color w:val="000000"/>
          <w:sz w:val="18"/>
        </w:rPr>
      </w:pPr>
    </w:p>
    <w:p w14:paraId="3D6127E3" w14:textId="62379433" w:rsidR="00716CF2" w:rsidRPr="00735726" w:rsidRDefault="00716CF2" w:rsidP="00646F4F">
      <w:pPr>
        <w:widowControl w:val="0"/>
        <w:suppressAutoHyphens/>
        <w:autoSpaceDE w:val="0"/>
        <w:autoSpaceDN w:val="0"/>
        <w:adjustRightInd w:val="0"/>
        <w:spacing w:after="0"/>
        <w:textAlignment w:val="center"/>
        <w:rPr>
          <w:rFonts w:ascii="Arial" w:hAnsi="Arial"/>
          <w:color w:val="000000"/>
          <w:sz w:val="18"/>
        </w:rPr>
      </w:pPr>
      <w:r w:rsidRPr="00735726">
        <w:rPr>
          <w:rFonts w:ascii="Arial" w:hAnsi="Arial"/>
          <w:color w:val="000000"/>
          <w:sz w:val="18"/>
        </w:rPr>
        <w:t>The non-current loans of £1,154.2 million expire in more than five years and carry interest rates between 2.35% and 6.44%, plus £402.2 million expiring in 2057 at a rate of 1.99% + RPI.</w:t>
      </w:r>
      <w:r w:rsidR="0070274C" w:rsidRPr="00735726">
        <w:rPr>
          <w:rFonts w:ascii="Arial" w:hAnsi="Arial"/>
          <w:color w:val="000000"/>
          <w:sz w:val="18"/>
        </w:rPr>
        <w:br/>
      </w:r>
    </w:p>
    <w:p w14:paraId="14EEB746" w14:textId="77777777" w:rsidR="0070274C" w:rsidRPr="00735726" w:rsidRDefault="0070274C" w:rsidP="00646F4F">
      <w:pPr>
        <w:widowControl w:val="0"/>
        <w:suppressAutoHyphens/>
        <w:autoSpaceDE w:val="0"/>
        <w:autoSpaceDN w:val="0"/>
        <w:adjustRightInd w:val="0"/>
        <w:spacing w:after="0"/>
        <w:textAlignment w:val="center"/>
        <w:rPr>
          <w:rFonts w:ascii="Arial" w:hAnsi="Arial"/>
          <w:color w:val="000000"/>
          <w:sz w:val="18"/>
        </w:rPr>
      </w:pPr>
    </w:p>
    <w:p w14:paraId="397D4C98" w14:textId="77777777" w:rsidR="007370AA" w:rsidRPr="00735726" w:rsidRDefault="007370AA" w:rsidP="00646F4F">
      <w:pPr>
        <w:widowControl w:val="0"/>
        <w:suppressAutoHyphens/>
        <w:autoSpaceDE w:val="0"/>
        <w:autoSpaceDN w:val="0"/>
        <w:adjustRightInd w:val="0"/>
        <w:spacing w:after="0"/>
        <w:textAlignment w:val="center"/>
        <w:rPr>
          <w:rFonts w:ascii="Arial" w:hAnsi="Arial"/>
          <w:color w:val="000000"/>
          <w:sz w:val="18"/>
        </w:rPr>
      </w:pPr>
    </w:p>
    <w:p w14:paraId="4B70E16E" w14:textId="6D6B7EEF" w:rsidR="00411D0A" w:rsidRPr="00735726" w:rsidRDefault="00411D0A"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Arial"/>
          <w:b/>
          <w:bCs/>
          <w:caps/>
          <w:color w:val="000000"/>
          <w:sz w:val="18"/>
          <w:szCs w:val="18"/>
        </w:rPr>
        <w:lastRenderedPageBreak/>
        <w:t>23.</w:t>
      </w:r>
      <w:r w:rsidRPr="00735726">
        <w:rPr>
          <w:rFonts w:ascii="Arial" w:eastAsia="Times New Roman" w:hAnsi="Arial" w:cs="Arial"/>
          <w:b/>
          <w:bCs/>
          <w:caps/>
          <w:color w:val="000000"/>
          <w:sz w:val="18"/>
          <w:szCs w:val="18"/>
        </w:rPr>
        <w:tab/>
        <w:t>Borrowings (CONTINUED)</w:t>
      </w:r>
    </w:p>
    <w:p w14:paraId="7D8EFFDE" w14:textId="4CCD1552"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fair value of the non-current borrowings, valued using level 2 measures </w:t>
      </w:r>
      <w:r w:rsidRPr="009A2CAE">
        <w:rPr>
          <w:rFonts w:ascii="Arial" w:eastAsia="Times New Roman" w:hAnsi="Arial" w:cs="DINOT-Light"/>
          <w:color w:val="000000"/>
          <w:sz w:val="18"/>
          <w:szCs w:val="18"/>
        </w:rPr>
        <w:t>(set out in note 2</w:t>
      </w:r>
      <w:r w:rsidR="00DB0609" w:rsidRPr="009A2CAE">
        <w:rPr>
          <w:rFonts w:ascii="Arial" w:eastAsia="Times New Roman" w:hAnsi="Arial" w:cs="DINOT-Light"/>
          <w:color w:val="000000"/>
          <w:sz w:val="18"/>
          <w:szCs w:val="18"/>
        </w:rPr>
        <w:t>0</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were:</w:t>
      </w:r>
    </w:p>
    <w:p w14:paraId="71FADB09"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10006" w:type="dxa"/>
        <w:tblInd w:w="8" w:type="dxa"/>
        <w:tblLayout w:type="fixed"/>
        <w:tblCellMar>
          <w:left w:w="0" w:type="dxa"/>
          <w:right w:w="0" w:type="dxa"/>
        </w:tblCellMar>
        <w:tblLook w:val="0000" w:firstRow="0" w:lastRow="0" w:firstColumn="0" w:lastColumn="0" w:noHBand="0" w:noVBand="0"/>
      </w:tblPr>
      <w:tblGrid>
        <w:gridCol w:w="5471"/>
        <w:gridCol w:w="1134"/>
        <w:gridCol w:w="1134"/>
        <w:gridCol w:w="1133"/>
        <w:gridCol w:w="1134"/>
      </w:tblGrid>
      <w:tr w:rsidR="00646F4F" w:rsidRPr="00735726" w14:paraId="7A8ADB77" w14:textId="77777777" w:rsidTr="00CE19B2">
        <w:trPr>
          <w:trHeight w:val="60"/>
          <w:tblHeader/>
        </w:trPr>
        <w:tc>
          <w:tcPr>
            <w:tcW w:w="5471" w:type="dxa"/>
            <w:tcMar>
              <w:top w:w="11" w:type="dxa"/>
              <w:left w:w="57" w:type="dxa"/>
              <w:bottom w:w="11" w:type="dxa"/>
              <w:right w:w="57" w:type="dxa"/>
            </w:tcMar>
          </w:tcPr>
          <w:p w14:paraId="3FB1DDFB"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2268" w:type="dxa"/>
            <w:gridSpan w:val="2"/>
            <w:tcMar>
              <w:top w:w="11" w:type="dxa"/>
              <w:left w:w="57" w:type="dxa"/>
              <w:bottom w:w="11" w:type="dxa"/>
              <w:right w:w="57" w:type="dxa"/>
            </w:tcMar>
          </w:tcPr>
          <w:p w14:paraId="259DCDD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2026               2026 </w:t>
            </w:r>
          </w:p>
        </w:tc>
        <w:tc>
          <w:tcPr>
            <w:tcW w:w="2267" w:type="dxa"/>
            <w:gridSpan w:val="2"/>
            <w:tcMar>
              <w:top w:w="11" w:type="dxa"/>
              <w:left w:w="57" w:type="dxa"/>
              <w:bottom w:w="11" w:type="dxa"/>
              <w:right w:w="57" w:type="dxa"/>
            </w:tcMar>
          </w:tcPr>
          <w:p w14:paraId="31ED600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2025               2025</w:t>
            </w:r>
          </w:p>
        </w:tc>
      </w:tr>
      <w:tr w:rsidR="00646F4F" w:rsidRPr="00735726" w14:paraId="714D97D0" w14:textId="77777777" w:rsidTr="00CE19B2">
        <w:trPr>
          <w:trHeight w:val="265"/>
          <w:tblHeader/>
        </w:trPr>
        <w:tc>
          <w:tcPr>
            <w:tcW w:w="5471" w:type="dxa"/>
            <w:tcMar>
              <w:top w:w="11" w:type="dxa"/>
              <w:left w:w="57" w:type="dxa"/>
              <w:bottom w:w="11" w:type="dxa"/>
              <w:right w:w="57" w:type="dxa"/>
            </w:tcMar>
          </w:tcPr>
          <w:p w14:paraId="3C125107"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25BB497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Book</w:t>
            </w:r>
          </w:p>
          <w:p w14:paraId="1CFF395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value</w:t>
            </w:r>
          </w:p>
          <w:p w14:paraId="0647C54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0A6711C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Fair </w:t>
            </w:r>
          </w:p>
          <w:p w14:paraId="2F20C3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value</w:t>
            </w:r>
          </w:p>
          <w:p w14:paraId="16E59F1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3" w:type="dxa"/>
            <w:tcMar>
              <w:top w:w="11" w:type="dxa"/>
              <w:left w:w="57" w:type="dxa"/>
              <w:bottom w:w="11" w:type="dxa"/>
              <w:right w:w="57" w:type="dxa"/>
            </w:tcMar>
          </w:tcPr>
          <w:p w14:paraId="0214B86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Book</w:t>
            </w:r>
          </w:p>
          <w:p w14:paraId="6FF418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value</w:t>
            </w:r>
          </w:p>
          <w:p w14:paraId="026067C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4778E3C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Fair</w:t>
            </w:r>
          </w:p>
          <w:p w14:paraId="03C7178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value</w:t>
            </w:r>
          </w:p>
          <w:p w14:paraId="07DE2C1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48D89D78" w14:textId="77777777" w:rsidTr="00CE19B2">
        <w:trPr>
          <w:trHeight w:val="226"/>
        </w:trPr>
        <w:tc>
          <w:tcPr>
            <w:tcW w:w="5471" w:type="dxa"/>
            <w:tcMar>
              <w:top w:w="11" w:type="dxa"/>
              <w:left w:w="57" w:type="dxa"/>
              <w:bottom w:w="11" w:type="dxa"/>
              <w:right w:w="57" w:type="dxa"/>
            </w:tcMar>
          </w:tcPr>
          <w:p w14:paraId="48C5E84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10" w:name="XMETag_f5cf4b42f1004d84b57eb5c933d56671" w:colFirst="2" w:colLast="2"/>
            <w:bookmarkStart w:id="911" w:name="XMETag_1e1088bf49fb4a70b2a4caee8e4582cd" w:colFirst="3" w:colLast="3"/>
            <w:bookmarkStart w:id="912" w:name="XMETag_5ebd784f0b374624935afef9009645a1" w:colFirst="4" w:colLast="4"/>
            <w:r w:rsidRPr="00735726">
              <w:rPr>
                <w:rFonts w:ascii="Arial" w:eastAsia="Times New Roman" w:hAnsi="Arial" w:cs="DINOT-Light"/>
                <w:b/>
                <w:color w:val="000000"/>
                <w:sz w:val="18"/>
                <w:szCs w:val="18"/>
              </w:rPr>
              <w:t>Current</w:t>
            </w:r>
          </w:p>
        </w:tc>
        <w:tc>
          <w:tcPr>
            <w:tcW w:w="1134" w:type="dxa"/>
            <w:tcMar>
              <w:top w:w="11" w:type="dxa"/>
              <w:left w:w="57" w:type="dxa"/>
              <w:bottom w:w="11" w:type="dxa"/>
              <w:right w:w="57" w:type="dxa"/>
            </w:tcMar>
          </w:tcPr>
          <w:p w14:paraId="6B6C7382"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3A983744"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7C8CFB0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4788094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bookmarkEnd w:id="910"/>
      <w:bookmarkEnd w:id="911"/>
      <w:bookmarkEnd w:id="912"/>
      <w:tr w:rsidR="00646F4F" w:rsidRPr="00735726" w14:paraId="25175D75" w14:textId="77777777" w:rsidTr="00CE19B2">
        <w:trPr>
          <w:trHeight w:val="226"/>
        </w:trPr>
        <w:tc>
          <w:tcPr>
            <w:tcW w:w="5471" w:type="dxa"/>
            <w:tcMar>
              <w:top w:w="11" w:type="dxa"/>
              <w:left w:w="57" w:type="dxa"/>
              <w:bottom w:w="11" w:type="dxa"/>
              <w:right w:w="57" w:type="dxa"/>
            </w:tcMar>
          </w:tcPr>
          <w:p w14:paraId="391DD2A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Bank and other external loans</w:t>
            </w:r>
          </w:p>
        </w:tc>
        <w:tc>
          <w:tcPr>
            <w:tcW w:w="1134" w:type="dxa"/>
            <w:tcMar>
              <w:top w:w="11" w:type="dxa"/>
              <w:left w:w="57" w:type="dxa"/>
              <w:bottom w:w="11" w:type="dxa"/>
              <w:right w:w="57" w:type="dxa"/>
            </w:tcMar>
          </w:tcPr>
          <w:p w14:paraId="4827CE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53.9</w:t>
            </w:r>
          </w:p>
        </w:tc>
        <w:tc>
          <w:tcPr>
            <w:tcW w:w="1134" w:type="dxa"/>
            <w:tcMar>
              <w:top w:w="11" w:type="dxa"/>
              <w:left w:w="57" w:type="dxa"/>
              <w:bottom w:w="11" w:type="dxa"/>
              <w:right w:w="57" w:type="dxa"/>
            </w:tcMar>
          </w:tcPr>
          <w:p w14:paraId="3A223431" w14:textId="52AF4B7D"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53.9</w:t>
            </w:r>
          </w:p>
        </w:tc>
        <w:tc>
          <w:tcPr>
            <w:tcW w:w="1133" w:type="dxa"/>
            <w:tcMar>
              <w:top w:w="11" w:type="dxa"/>
              <w:left w:w="57" w:type="dxa"/>
              <w:bottom w:w="11" w:type="dxa"/>
              <w:right w:w="57" w:type="dxa"/>
            </w:tcMar>
          </w:tcPr>
          <w:p w14:paraId="4D391BE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101.3</w:t>
            </w:r>
          </w:p>
        </w:tc>
        <w:tc>
          <w:tcPr>
            <w:tcW w:w="1134" w:type="dxa"/>
            <w:tcMar>
              <w:top w:w="11" w:type="dxa"/>
              <w:left w:w="57" w:type="dxa"/>
              <w:bottom w:w="11" w:type="dxa"/>
              <w:right w:w="57" w:type="dxa"/>
            </w:tcMar>
          </w:tcPr>
          <w:p w14:paraId="22F17B6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101.3</w:t>
            </w:r>
          </w:p>
        </w:tc>
      </w:tr>
      <w:tr w:rsidR="00646F4F" w:rsidRPr="00735726" w14:paraId="09B32796" w14:textId="77777777" w:rsidTr="00CE19B2">
        <w:trPr>
          <w:trHeight w:val="226"/>
        </w:trPr>
        <w:tc>
          <w:tcPr>
            <w:tcW w:w="5471" w:type="dxa"/>
            <w:tcMar>
              <w:top w:w="11" w:type="dxa"/>
              <w:left w:w="57" w:type="dxa"/>
              <w:bottom w:w="11" w:type="dxa"/>
              <w:right w:w="57" w:type="dxa"/>
            </w:tcMar>
          </w:tcPr>
          <w:p w14:paraId="0C6918D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vertAlign w:val="superscript"/>
              </w:rPr>
            </w:pPr>
            <w:r w:rsidRPr="00735726">
              <w:rPr>
                <w:rFonts w:ascii="Arial" w:eastAsia="Times New Roman" w:hAnsi="Arial" w:cs="DINOT-Light"/>
                <w:color w:val="000000"/>
                <w:sz w:val="18"/>
                <w:szCs w:val="18"/>
              </w:rPr>
              <w:t xml:space="preserve">Loan from subsidiary company </w:t>
            </w:r>
          </w:p>
        </w:tc>
        <w:tc>
          <w:tcPr>
            <w:tcW w:w="1134" w:type="dxa"/>
            <w:tcBorders>
              <w:bottom w:val="single" w:sz="4" w:space="0" w:color="auto"/>
            </w:tcBorders>
            <w:tcMar>
              <w:top w:w="11" w:type="dxa"/>
              <w:left w:w="57" w:type="dxa"/>
              <w:bottom w:w="11" w:type="dxa"/>
              <w:right w:w="57" w:type="dxa"/>
            </w:tcMar>
          </w:tcPr>
          <w:p w14:paraId="36EAA09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3.7</w:t>
            </w:r>
          </w:p>
        </w:tc>
        <w:tc>
          <w:tcPr>
            <w:tcW w:w="1134" w:type="dxa"/>
            <w:tcBorders>
              <w:bottom w:val="single" w:sz="4" w:space="0" w:color="auto"/>
            </w:tcBorders>
            <w:tcMar>
              <w:top w:w="11" w:type="dxa"/>
              <w:left w:w="57" w:type="dxa"/>
              <w:bottom w:w="11" w:type="dxa"/>
              <w:right w:w="57" w:type="dxa"/>
            </w:tcMar>
          </w:tcPr>
          <w:p w14:paraId="621F61F9" w14:textId="6FA03913"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3.7</w:t>
            </w:r>
          </w:p>
        </w:tc>
        <w:tc>
          <w:tcPr>
            <w:tcW w:w="1133" w:type="dxa"/>
            <w:tcBorders>
              <w:bottom w:val="single" w:sz="4" w:space="0" w:color="auto"/>
            </w:tcBorders>
            <w:tcMar>
              <w:top w:w="11" w:type="dxa"/>
              <w:left w:w="57" w:type="dxa"/>
              <w:bottom w:w="11" w:type="dxa"/>
              <w:right w:w="57" w:type="dxa"/>
            </w:tcMar>
          </w:tcPr>
          <w:p w14:paraId="68FE723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w:t>
            </w:r>
          </w:p>
        </w:tc>
        <w:tc>
          <w:tcPr>
            <w:tcW w:w="1134" w:type="dxa"/>
            <w:tcBorders>
              <w:bottom w:val="single" w:sz="4" w:space="0" w:color="auto"/>
            </w:tcBorders>
            <w:tcMar>
              <w:top w:w="11" w:type="dxa"/>
              <w:left w:w="57" w:type="dxa"/>
              <w:bottom w:w="11" w:type="dxa"/>
              <w:right w:w="57" w:type="dxa"/>
            </w:tcMar>
          </w:tcPr>
          <w:p w14:paraId="04714D6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w:t>
            </w:r>
          </w:p>
        </w:tc>
      </w:tr>
      <w:tr w:rsidR="00646F4F" w:rsidRPr="00735726" w14:paraId="1F98E9B5" w14:textId="77777777" w:rsidTr="00CE19B2">
        <w:trPr>
          <w:trHeight w:val="226"/>
        </w:trPr>
        <w:tc>
          <w:tcPr>
            <w:tcW w:w="5471" w:type="dxa"/>
            <w:tcMar>
              <w:top w:w="11" w:type="dxa"/>
              <w:left w:w="57" w:type="dxa"/>
              <w:bottom w:w="11" w:type="dxa"/>
              <w:right w:w="57" w:type="dxa"/>
            </w:tcMar>
          </w:tcPr>
          <w:p w14:paraId="39025DB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Borders>
              <w:top w:val="single" w:sz="4" w:space="0" w:color="auto"/>
              <w:bottom w:val="single" w:sz="4" w:space="0" w:color="auto"/>
            </w:tcBorders>
            <w:tcMar>
              <w:top w:w="11" w:type="dxa"/>
              <w:left w:w="57" w:type="dxa"/>
              <w:bottom w:w="11" w:type="dxa"/>
              <w:right w:w="57" w:type="dxa"/>
            </w:tcMar>
          </w:tcPr>
          <w:p w14:paraId="2AD10B9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57.6</w:t>
            </w:r>
          </w:p>
        </w:tc>
        <w:tc>
          <w:tcPr>
            <w:tcW w:w="1134" w:type="dxa"/>
            <w:tcBorders>
              <w:top w:val="single" w:sz="4" w:space="0" w:color="auto"/>
              <w:bottom w:val="single" w:sz="4" w:space="0" w:color="auto"/>
            </w:tcBorders>
            <w:tcMar>
              <w:top w:w="11" w:type="dxa"/>
              <w:left w:w="57" w:type="dxa"/>
              <w:bottom w:w="11" w:type="dxa"/>
              <w:right w:w="57" w:type="dxa"/>
            </w:tcMar>
          </w:tcPr>
          <w:p w14:paraId="30B78EB5" w14:textId="5DC3D796"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57.6</w:t>
            </w:r>
          </w:p>
        </w:tc>
        <w:tc>
          <w:tcPr>
            <w:tcW w:w="1133" w:type="dxa"/>
            <w:tcBorders>
              <w:top w:val="single" w:sz="4" w:space="0" w:color="auto"/>
              <w:bottom w:val="single" w:sz="4" w:space="0" w:color="auto"/>
            </w:tcBorders>
            <w:tcMar>
              <w:top w:w="11" w:type="dxa"/>
              <w:left w:w="57" w:type="dxa"/>
              <w:bottom w:w="11" w:type="dxa"/>
              <w:right w:w="57" w:type="dxa"/>
            </w:tcMar>
          </w:tcPr>
          <w:p w14:paraId="0CEA75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104.9</w:t>
            </w:r>
          </w:p>
        </w:tc>
        <w:tc>
          <w:tcPr>
            <w:tcW w:w="1134" w:type="dxa"/>
            <w:tcBorders>
              <w:top w:val="single" w:sz="4" w:space="0" w:color="auto"/>
              <w:bottom w:val="single" w:sz="4" w:space="0" w:color="auto"/>
            </w:tcBorders>
            <w:tcMar>
              <w:top w:w="11" w:type="dxa"/>
              <w:left w:w="57" w:type="dxa"/>
              <w:bottom w:w="11" w:type="dxa"/>
              <w:right w:w="57" w:type="dxa"/>
            </w:tcMar>
          </w:tcPr>
          <w:p w14:paraId="199FB96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104.9</w:t>
            </w:r>
          </w:p>
        </w:tc>
      </w:tr>
      <w:tr w:rsidR="00646F4F" w:rsidRPr="00735726" w14:paraId="27602DF7" w14:textId="77777777" w:rsidTr="00CE19B2">
        <w:trPr>
          <w:trHeight w:val="226"/>
        </w:trPr>
        <w:tc>
          <w:tcPr>
            <w:tcW w:w="5471" w:type="dxa"/>
            <w:tcMar>
              <w:top w:w="11" w:type="dxa"/>
              <w:left w:w="57" w:type="dxa"/>
              <w:bottom w:w="11" w:type="dxa"/>
              <w:right w:w="57" w:type="dxa"/>
            </w:tcMar>
          </w:tcPr>
          <w:p w14:paraId="484A823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Leases</w:t>
            </w:r>
          </w:p>
        </w:tc>
        <w:tc>
          <w:tcPr>
            <w:tcW w:w="1134" w:type="dxa"/>
            <w:tcBorders>
              <w:top w:val="single" w:sz="4" w:space="0" w:color="auto"/>
              <w:bottom w:val="single" w:sz="4" w:space="0" w:color="auto"/>
            </w:tcBorders>
            <w:tcMar>
              <w:top w:w="11" w:type="dxa"/>
              <w:left w:w="57" w:type="dxa"/>
              <w:bottom w:w="11" w:type="dxa"/>
              <w:right w:w="57" w:type="dxa"/>
            </w:tcMar>
          </w:tcPr>
          <w:p w14:paraId="6D718F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31.5</w:t>
            </w:r>
          </w:p>
        </w:tc>
        <w:tc>
          <w:tcPr>
            <w:tcW w:w="1134" w:type="dxa"/>
            <w:tcBorders>
              <w:top w:val="single" w:sz="4" w:space="0" w:color="auto"/>
              <w:bottom w:val="single" w:sz="4" w:space="0" w:color="auto"/>
            </w:tcBorders>
            <w:tcMar>
              <w:top w:w="11" w:type="dxa"/>
              <w:left w:w="57" w:type="dxa"/>
              <w:bottom w:w="11" w:type="dxa"/>
              <w:right w:w="57" w:type="dxa"/>
            </w:tcMar>
          </w:tcPr>
          <w:p w14:paraId="38AA85A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Borders>
              <w:top w:val="single" w:sz="4" w:space="0" w:color="auto"/>
              <w:bottom w:val="single" w:sz="4" w:space="0" w:color="auto"/>
            </w:tcBorders>
            <w:tcMar>
              <w:top w:w="11" w:type="dxa"/>
              <w:left w:w="57" w:type="dxa"/>
              <w:bottom w:w="11" w:type="dxa"/>
              <w:right w:w="57" w:type="dxa"/>
            </w:tcMar>
          </w:tcPr>
          <w:p w14:paraId="00D657E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32.3</w:t>
            </w:r>
          </w:p>
        </w:tc>
        <w:tc>
          <w:tcPr>
            <w:tcW w:w="1134" w:type="dxa"/>
            <w:tcBorders>
              <w:top w:val="single" w:sz="4" w:space="0" w:color="auto"/>
              <w:bottom w:val="single" w:sz="4" w:space="0" w:color="auto"/>
            </w:tcBorders>
            <w:tcMar>
              <w:top w:w="11" w:type="dxa"/>
              <w:left w:w="57" w:type="dxa"/>
              <w:bottom w:w="11" w:type="dxa"/>
              <w:right w:w="57" w:type="dxa"/>
            </w:tcMar>
          </w:tcPr>
          <w:p w14:paraId="39F5D7A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tr w:rsidR="00646F4F" w:rsidRPr="00735726" w14:paraId="21A12C5C" w14:textId="77777777" w:rsidTr="00CE19B2">
        <w:trPr>
          <w:trHeight w:val="226"/>
        </w:trPr>
        <w:tc>
          <w:tcPr>
            <w:tcW w:w="5471" w:type="dxa"/>
            <w:tcMar>
              <w:top w:w="11" w:type="dxa"/>
              <w:left w:w="57" w:type="dxa"/>
              <w:bottom w:w="11" w:type="dxa"/>
              <w:right w:w="57" w:type="dxa"/>
            </w:tcMar>
          </w:tcPr>
          <w:p w14:paraId="2FD0366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Total current borrowings</w:t>
            </w:r>
          </w:p>
        </w:tc>
        <w:tc>
          <w:tcPr>
            <w:tcW w:w="1134" w:type="dxa"/>
            <w:tcBorders>
              <w:top w:val="single" w:sz="4" w:space="0" w:color="auto"/>
              <w:bottom w:val="single" w:sz="4" w:space="0" w:color="auto"/>
            </w:tcBorders>
            <w:tcMar>
              <w:top w:w="11" w:type="dxa"/>
              <w:left w:w="57" w:type="dxa"/>
              <w:bottom w:w="11" w:type="dxa"/>
              <w:right w:w="57" w:type="dxa"/>
            </w:tcMar>
          </w:tcPr>
          <w:p w14:paraId="61C490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89.1</w:t>
            </w:r>
          </w:p>
        </w:tc>
        <w:tc>
          <w:tcPr>
            <w:tcW w:w="1134" w:type="dxa"/>
            <w:tcBorders>
              <w:top w:val="single" w:sz="4" w:space="0" w:color="auto"/>
              <w:bottom w:val="single" w:sz="4" w:space="0" w:color="auto"/>
            </w:tcBorders>
            <w:tcMar>
              <w:top w:w="11" w:type="dxa"/>
              <w:left w:w="57" w:type="dxa"/>
              <w:bottom w:w="11" w:type="dxa"/>
              <w:right w:w="57" w:type="dxa"/>
            </w:tcMar>
          </w:tcPr>
          <w:p w14:paraId="4CFA5BBA" w14:textId="541F3374"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57.6</w:t>
            </w:r>
          </w:p>
        </w:tc>
        <w:tc>
          <w:tcPr>
            <w:tcW w:w="1133" w:type="dxa"/>
            <w:tcBorders>
              <w:top w:val="single" w:sz="4" w:space="0" w:color="auto"/>
              <w:bottom w:val="single" w:sz="4" w:space="0" w:color="auto"/>
            </w:tcBorders>
            <w:tcMar>
              <w:top w:w="11" w:type="dxa"/>
              <w:left w:w="57" w:type="dxa"/>
              <w:bottom w:w="11" w:type="dxa"/>
              <w:right w:w="57" w:type="dxa"/>
            </w:tcMar>
          </w:tcPr>
          <w:p w14:paraId="3B9DBC0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color w:val="000000"/>
                <w:sz w:val="18"/>
                <w:szCs w:val="18"/>
              </w:rPr>
              <w:t>137.2</w:t>
            </w:r>
          </w:p>
        </w:tc>
        <w:tc>
          <w:tcPr>
            <w:tcW w:w="1134" w:type="dxa"/>
            <w:tcBorders>
              <w:top w:val="single" w:sz="4" w:space="0" w:color="auto"/>
              <w:bottom w:val="single" w:sz="4" w:space="0" w:color="auto"/>
            </w:tcBorders>
            <w:tcMar>
              <w:top w:w="11" w:type="dxa"/>
              <w:left w:w="57" w:type="dxa"/>
              <w:bottom w:w="11" w:type="dxa"/>
              <w:right w:w="57" w:type="dxa"/>
            </w:tcMar>
          </w:tcPr>
          <w:p w14:paraId="2D43EB2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104.9</w:t>
            </w:r>
          </w:p>
        </w:tc>
      </w:tr>
      <w:tr w:rsidR="00646F4F" w:rsidRPr="00735726" w14:paraId="3CFF49D1" w14:textId="77777777" w:rsidTr="00CE19B2">
        <w:trPr>
          <w:trHeight w:val="226"/>
        </w:trPr>
        <w:tc>
          <w:tcPr>
            <w:tcW w:w="5471" w:type="dxa"/>
            <w:tcMar>
              <w:top w:w="11" w:type="dxa"/>
              <w:left w:w="57" w:type="dxa"/>
              <w:bottom w:w="11" w:type="dxa"/>
              <w:right w:w="57" w:type="dxa"/>
            </w:tcMar>
          </w:tcPr>
          <w:p w14:paraId="3F2F7C3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13" w:name="XMETag_a70002f4e89148109ccfcf496366469b" w:colFirst="1" w:colLast="1"/>
            <w:bookmarkStart w:id="914" w:name="XMETag_0ac20de5e9d9437aa4173916fcfd356c" w:colFirst="2" w:colLast="2"/>
            <w:bookmarkStart w:id="915" w:name="XMETag_90586d034b164a56ad2d4616bd29df80" w:colFirst="3" w:colLast="3"/>
            <w:bookmarkStart w:id="916" w:name="XMETag_ac385edc9e844c71b0d8910b4a501cdb" w:colFirst="4" w:colLast="4"/>
          </w:p>
        </w:tc>
        <w:tc>
          <w:tcPr>
            <w:tcW w:w="1134" w:type="dxa"/>
            <w:tcBorders>
              <w:top w:val="single" w:sz="4" w:space="0" w:color="auto"/>
            </w:tcBorders>
            <w:tcMar>
              <w:top w:w="11" w:type="dxa"/>
              <w:left w:w="57" w:type="dxa"/>
              <w:bottom w:w="11" w:type="dxa"/>
              <w:right w:w="57" w:type="dxa"/>
            </w:tcMar>
          </w:tcPr>
          <w:p w14:paraId="1BBC5B8A"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24107AA7"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3" w:type="dxa"/>
            <w:tcBorders>
              <w:top w:val="single" w:sz="4" w:space="0" w:color="auto"/>
            </w:tcBorders>
            <w:tcMar>
              <w:top w:w="11" w:type="dxa"/>
              <w:left w:w="57" w:type="dxa"/>
              <w:bottom w:w="11" w:type="dxa"/>
              <w:right w:w="57" w:type="dxa"/>
            </w:tcMar>
          </w:tcPr>
          <w:p w14:paraId="273E110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131F90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bookmarkEnd w:id="913"/>
      <w:bookmarkEnd w:id="914"/>
      <w:bookmarkEnd w:id="915"/>
      <w:bookmarkEnd w:id="916"/>
      <w:tr w:rsidR="00646F4F" w:rsidRPr="00735726" w14:paraId="59C2F8A0" w14:textId="77777777" w:rsidTr="00CE19B2">
        <w:trPr>
          <w:trHeight w:val="226"/>
        </w:trPr>
        <w:tc>
          <w:tcPr>
            <w:tcW w:w="5471" w:type="dxa"/>
            <w:tcMar>
              <w:top w:w="11" w:type="dxa"/>
              <w:left w:w="57" w:type="dxa"/>
              <w:bottom w:w="11" w:type="dxa"/>
              <w:right w:w="57" w:type="dxa"/>
            </w:tcMar>
          </w:tcPr>
          <w:p w14:paraId="28BFBD8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b/>
                <w:color w:val="000000"/>
                <w:sz w:val="18"/>
                <w:szCs w:val="18"/>
              </w:rPr>
              <w:t>Non-current</w:t>
            </w:r>
          </w:p>
        </w:tc>
        <w:tc>
          <w:tcPr>
            <w:tcW w:w="1134" w:type="dxa"/>
            <w:tcMar>
              <w:top w:w="11" w:type="dxa"/>
              <w:left w:w="57" w:type="dxa"/>
              <w:bottom w:w="11" w:type="dxa"/>
              <w:right w:w="57" w:type="dxa"/>
            </w:tcMar>
          </w:tcPr>
          <w:p w14:paraId="5ED5CAE3"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4AD55C2D"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763E11E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46417F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48C0EBC5" w14:textId="77777777" w:rsidTr="00CE19B2">
        <w:trPr>
          <w:trHeight w:val="226"/>
        </w:trPr>
        <w:tc>
          <w:tcPr>
            <w:tcW w:w="5471" w:type="dxa"/>
            <w:tcMar>
              <w:top w:w="11" w:type="dxa"/>
              <w:left w:w="57" w:type="dxa"/>
              <w:bottom w:w="11" w:type="dxa"/>
              <w:right w:w="57" w:type="dxa"/>
            </w:tcMar>
          </w:tcPr>
          <w:p w14:paraId="27C9058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Bank and other external loans</w:t>
            </w:r>
          </w:p>
        </w:tc>
        <w:tc>
          <w:tcPr>
            <w:tcW w:w="1134" w:type="dxa"/>
            <w:tcMar>
              <w:top w:w="11" w:type="dxa"/>
              <w:left w:w="57" w:type="dxa"/>
              <w:bottom w:w="11" w:type="dxa"/>
              <w:right w:w="57" w:type="dxa"/>
            </w:tcMar>
          </w:tcPr>
          <w:p w14:paraId="65E5684D" w14:textId="2C9B2B00"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708.1</w:t>
            </w:r>
          </w:p>
        </w:tc>
        <w:tc>
          <w:tcPr>
            <w:tcW w:w="1134" w:type="dxa"/>
            <w:tcMar>
              <w:top w:w="11" w:type="dxa"/>
              <w:left w:w="57" w:type="dxa"/>
              <w:bottom w:w="11" w:type="dxa"/>
              <w:right w:w="57" w:type="dxa"/>
            </w:tcMar>
          </w:tcPr>
          <w:p w14:paraId="2CDF3986" w14:textId="39CE70DB" w:rsidR="00646F4F" w:rsidRPr="00735726" w:rsidRDefault="00EB742E"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708.8</w:t>
            </w:r>
          </w:p>
        </w:tc>
        <w:tc>
          <w:tcPr>
            <w:tcW w:w="1133" w:type="dxa"/>
            <w:tcMar>
              <w:top w:w="11" w:type="dxa"/>
              <w:left w:w="57" w:type="dxa"/>
              <w:bottom w:w="11" w:type="dxa"/>
              <w:right w:w="57" w:type="dxa"/>
            </w:tcMar>
          </w:tcPr>
          <w:p w14:paraId="0AAEA4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772.2</w:t>
            </w:r>
          </w:p>
        </w:tc>
        <w:tc>
          <w:tcPr>
            <w:tcW w:w="1134" w:type="dxa"/>
            <w:tcMar>
              <w:top w:w="11" w:type="dxa"/>
              <w:left w:w="57" w:type="dxa"/>
              <w:bottom w:w="11" w:type="dxa"/>
              <w:right w:w="57" w:type="dxa"/>
            </w:tcMar>
          </w:tcPr>
          <w:p w14:paraId="68EC352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872.8</w:t>
            </w:r>
          </w:p>
        </w:tc>
      </w:tr>
      <w:tr w:rsidR="00646F4F" w:rsidRPr="00735726" w14:paraId="4929643D" w14:textId="77777777" w:rsidTr="00CE19B2">
        <w:trPr>
          <w:trHeight w:val="226"/>
        </w:trPr>
        <w:tc>
          <w:tcPr>
            <w:tcW w:w="5471" w:type="dxa"/>
            <w:tcMar>
              <w:top w:w="11" w:type="dxa"/>
              <w:left w:w="57" w:type="dxa"/>
              <w:bottom w:w="11" w:type="dxa"/>
              <w:right w:w="57" w:type="dxa"/>
            </w:tcMar>
          </w:tcPr>
          <w:p w14:paraId="2C21B80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Private Placements</w:t>
            </w:r>
          </w:p>
        </w:tc>
        <w:tc>
          <w:tcPr>
            <w:tcW w:w="1134" w:type="dxa"/>
            <w:tcMar>
              <w:top w:w="11" w:type="dxa"/>
              <w:left w:w="57" w:type="dxa"/>
              <w:bottom w:w="11" w:type="dxa"/>
              <w:right w:w="57" w:type="dxa"/>
            </w:tcMar>
          </w:tcPr>
          <w:p w14:paraId="249E1873" w14:textId="1341186C"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679.4</w:t>
            </w:r>
          </w:p>
        </w:tc>
        <w:tc>
          <w:tcPr>
            <w:tcW w:w="1134" w:type="dxa"/>
            <w:tcMar>
              <w:top w:w="11" w:type="dxa"/>
              <w:left w:w="57" w:type="dxa"/>
              <w:bottom w:w="11" w:type="dxa"/>
              <w:right w:w="57" w:type="dxa"/>
            </w:tcMar>
          </w:tcPr>
          <w:p w14:paraId="601CABD2" w14:textId="3FCC5FE5" w:rsidR="00646F4F" w:rsidRPr="00735726" w:rsidRDefault="00EB742E"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680.9</w:t>
            </w:r>
          </w:p>
        </w:tc>
        <w:tc>
          <w:tcPr>
            <w:tcW w:w="1133" w:type="dxa"/>
            <w:tcMar>
              <w:top w:w="11" w:type="dxa"/>
              <w:left w:w="57" w:type="dxa"/>
              <w:bottom w:w="11" w:type="dxa"/>
              <w:right w:w="57" w:type="dxa"/>
            </w:tcMar>
          </w:tcPr>
          <w:p w14:paraId="46F892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656.2</w:t>
            </w:r>
          </w:p>
        </w:tc>
        <w:tc>
          <w:tcPr>
            <w:tcW w:w="1134" w:type="dxa"/>
            <w:tcMar>
              <w:top w:w="11" w:type="dxa"/>
              <w:left w:w="57" w:type="dxa"/>
              <w:bottom w:w="11" w:type="dxa"/>
              <w:right w:w="57" w:type="dxa"/>
            </w:tcMar>
          </w:tcPr>
          <w:p w14:paraId="4915173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659.1</w:t>
            </w:r>
          </w:p>
        </w:tc>
      </w:tr>
      <w:tr w:rsidR="00646F4F" w:rsidRPr="00735726" w14:paraId="4455506A" w14:textId="77777777" w:rsidTr="00CE19B2">
        <w:trPr>
          <w:trHeight w:val="226"/>
        </w:trPr>
        <w:tc>
          <w:tcPr>
            <w:tcW w:w="5471" w:type="dxa"/>
            <w:tcMar>
              <w:top w:w="11" w:type="dxa"/>
              <w:left w:w="57" w:type="dxa"/>
              <w:bottom w:w="11" w:type="dxa"/>
              <w:right w:w="57" w:type="dxa"/>
            </w:tcMar>
          </w:tcPr>
          <w:p w14:paraId="53F7534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Fixed Rate Bonds</w:t>
            </w:r>
          </w:p>
        </w:tc>
        <w:tc>
          <w:tcPr>
            <w:tcW w:w="1134" w:type="dxa"/>
            <w:tcMar>
              <w:top w:w="11" w:type="dxa"/>
              <w:left w:w="57" w:type="dxa"/>
              <w:bottom w:w="11" w:type="dxa"/>
              <w:right w:w="57" w:type="dxa"/>
            </w:tcMar>
          </w:tcPr>
          <w:p w14:paraId="52427979" w14:textId="28E0C3E6"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58.2</w:t>
            </w:r>
          </w:p>
        </w:tc>
        <w:tc>
          <w:tcPr>
            <w:tcW w:w="1134" w:type="dxa"/>
            <w:tcMar>
              <w:top w:w="11" w:type="dxa"/>
              <w:left w:w="57" w:type="dxa"/>
              <w:bottom w:w="11" w:type="dxa"/>
              <w:right w:w="57" w:type="dxa"/>
            </w:tcMar>
          </w:tcPr>
          <w:p w14:paraId="5B3AF704" w14:textId="1E87A1F8" w:rsidR="00646F4F" w:rsidRPr="00735726" w:rsidRDefault="00EB742E"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60.8</w:t>
            </w:r>
          </w:p>
        </w:tc>
        <w:tc>
          <w:tcPr>
            <w:tcW w:w="1133" w:type="dxa"/>
            <w:tcMar>
              <w:top w:w="11" w:type="dxa"/>
              <w:left w:w="57" w:type="dxa"/>
              <w:bottom w:w="11" w:type="dxa"/>
              <w:right w:w="57" w:type="dxa"/>
            </w:tcMar>
          </w:tcPr>
          <w:p w14:paraId="0023290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57.0</w:t>
            </w:r>
          </w:p>
        </w:tc>
        <w:tc>
          <w:tcPr>
            <w:tcW w:w="1134" w:type="dxa"/>
            <w:tcMar>
              <w:top w:w="11" w:type="dxa"/>
              <w:left w:w="57" w:type="dxa"/>
              <w:bottom w:w="11" w:type="dxa"/>
              <w:right w:w="57" w:type="dxa"/>
            </w:tcMar>
          </w:tcPr>
          <w:p w14:paraId="5FEA8D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61.6</w:t>
            </w:r>
          </w:p>
        </w:tc>
      </w:tr>
      <w:tr w:rsidR="00646F4F" w:rsidRPr="00735726" w14:paraId="039881C9" w14:textId="77777777" w:rsidTr="00CE19B2">
        <w:trPr>
          <w:trHeight w:val="226"/>
        </w:trPr>
        <w:tc>
          <w:tcPr>
            <w:tcW w:w="5471" w:type="dxa"/>
            <w:tcMar>
              <w:top w:w="11" w:type="dxa"/>
              <w:left w:w="57" w:type="dxa"/>
              <w:bottom w:w="11" w:type="dxa"/>
              <w:right w:w="57" w:type="dxa"/>
            </w:tcMar>
          </w:tcPr>
          <w:p w14:paraId="17FADB4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vertAlign w:val="superscript"/>
              </w:rPr>
            </w:pPr>
            <w:r w:rsidRPr="00735726">
              <w:rPr>
                <w:rFonts w:ascii="Arial" w:eastAsia="Times New Roman" w:hAnsi="Arial" w:cs="DINOT-Light"/>
                <w:color w:val="000000"/>
                <w:sz w:val="18"/>
                <w:szCs w:val="18"/>
              </w:rPr>
              <w:t xml:space="preserve">Loan from subsidiary company </w:t>
            </w:r>
          </w:p>
        </w:tc>
        <w:tc>
          <w:tcPr>
            <w:tcW w:w="1134" w:type="dxa"/>
            <w:tcMar>
              <w:top w:w="11" w:type="dxa"/>
              <w:left w:w="57" w:type="dxa"/>
              <w:bottom w:w="11" w:type="dxa"/>
              <w:right w:w="57" w:type="dxa"/>
            </w:tcMar>
          </w:tcPr>
          <w:p w14:paraId="0DBA4A4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1,556.4</w:t>
            </w:r>
          </w:p>
        </w:tc>
        <w:tc>
          <w:tcPr>
            <w:tcW w:w="1134" w:type="dxa"/>
            <w:tcMar>
              <w:top w:w="11" w:type="dxa"/>
              <w:left w:w="57" w:type="dxa"/>
              <w:bottom w:w="11" w:type="dxa"/>
              <w:right w:w="57" w:type="dxa"/>
            </w:tcMar>
          </w:tcPr>
          <w:p w14:paraId="3EC003FF" w14:textId="545D6F66"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1,3</w:t>
            </w:r>
            <w:r w:rsidR="00EB742E" w:rsidRPr="00735726">
              <w:rPr>
                <w:rFonts w:ascii="Arial" w:eastAsia="Times New Roman" w:hAnsi="Arial" w:cs="DINOT-Light"/>
                <w:color w:val="000000"/>
                <w:sz w:val="18"/>
                <w:szCs w:val="18"/>
              </w:rPr>
              <w:t>60.8</w:t>
            </w:r>
          </w:p>
        </w:tc>
        <w:tc>
          <w:tcPr>
            <w:tcW w:w="1133" w:type="dxa"/>
            <w:tcMar>
              <w:top w:w="11" w:type="dxa"/>
              <w:left w:w="57" w:type="dxa"/>
              <w:bottom w:w="11" w:type="dxa"/>
              <w:right w:w="57" w:type="dxa"/>
            </w:tcMar>
          </w:tcPr>
          <w:p w14:paraId="676619B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1,248.4</w:t>
            </w:r>
          </w:p>
        </w:tc>
        <w:tc>
          <w:tcPr>
            <w:tcW w:w="1134" w:type="dxa"/>
            <w:tcMar>
              <w:top w:w="11" w:type="dxa"/>
              <w:left w:w="57" w:type="dxa"/>
              <w:bottom w:w="11" w:type="dxa"/>
              <w:right w:w="57" w:type="dxa"/>
            </w:tcMar>
          </w:tcPr>
          <w:p w14:paraId="52F45C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1,059.2</w:t>
            </w:r>
          </w:p>
        </w:tc>
      </w:tr>
      <w:tr w:rsidR="00646F4F" w:rsidRPr="00735726" w14:paraId="7FCA3121" w14:textId="77777777" w:rsidTr="00CE19B2">
        <w:trPr>
          <w:trHeight w:val="226"/>
        </w:trPr>
        <w:tc>
          <w:tcPr>
            <w:tcW w:w="5471" w:type="dxa"/>
            <w:tcMar>
              <w:top w:w="11" w:type="dxa"/>
              <w:left w:w="57" w:type="dxa"/>
              <w:bottom w:w="11" w:type="dxa"/>
              <w:right w:w="57" w:type="dxa"/>
            </w:tcMar>
          </w:tcPr>
          <w:p w14:paraId="0CB7ABA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7D41D367" w14:textId="4F68EAA1"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3,002.1</w:t>
            </w:r>
          </w:p>
        </w:tc>
        <w:tc>
          <w:tcPr>
            <w:tcW w:w="1134" w:type="dxa"/>
            <w:tcBorders>
              <w:top w:val="single" w:sz="4" w:space="0" w:color="auto"/>
            </w:tcBorders>
            <w:tcMar>
              <w:top w:w="11" w:type="dxa"/>
              <w:left w:w="57" w:type="dxa"/>
              <w:bottom w:w="11" w:type="dxa"/>
              <w:right w:w="57" w:type="dxa"/>
            </w:tcMar>
          </w:tcPr>
          <w:p w14:paraId="6158022A" w14:textId="2C63711D"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w:t>
            </w:r>
            <w:r w:rsidR="00EB742E" w:rsidRPr="00735726">
              <w:rPr>
                <w:rFonts w:ascii="Arial" w:eastAsia="Times New Roman" w:hAnsi="Arial" w:cs="DINOT-Light"/>
                <w:b/>
                <w:bCs/>
                <w:color w:val="000000"/>
                <w:sz w:val="18"/>
                <w:szCs w:val="18"/>
              </w:rPr>
              <w:t>811.3</w:t>
            </w:r>
          </w:p>
        </w:tc>
        <w:tc>
          <w:tcPr>
            <w:tcW w:w="1133" w:type="dxa"/>
            <w:tcBorders>
              <w:top w:val="single" w:sz="4" w:space="0" w:color="auto"/>
            </w:tcBorders>
            <w:tcMar>
              <w:top w:w="11" w:type="dxa"/>
              <w:left w:w="57" w:type="dxa"/>
              <w:bottom w:w="11" w:type="dxa"/>
              <w:right w:w="57" w:type="dxa"/>
            </w:tcMar>
          </w:tcPr>
          <w:p w14:paraId="0857E6E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2,733.8</w:t>
            </w:r>
          </w:p>
        </w:tc>
        <w:tc>
          <w:tcPr>
            <w:tcW w:w="1134" w:type="dxa"/>
            <w:tcBorders>
              <w:top w:val="single" w:sz="4" w:space="0" w:color="auto"/>
            </w:tcBorders>
            <w:tcMar>
              <w:top w:w="11" w:type="dxa"/>
              <w:left w:w="57" w:type="dxa"/>
              <w:bottom w:w="11" w:type="dxa"/>
              <w:right w:w="57" w:type="dxa"/>
            </w:tcMar>
          </w:tcPr>
          <w:p w14:paraId="2F41864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2,652.7</w:t>
            </w:r>
          </w:p>
        </w:tc>
      </w:tr>
      <w:tr w:rsidR="00646F4F" w:rsidRPr="00735726" w14:paraId="4DF9861F" w14:textId="77777777" w:rsidTr="00CE19B2">
        <w:trPr>
          <w:trHeight w:val="226"/>
        </w:trPr>
        <w:tc>
          <w:tcPr>
            <w:tcW w:w="5471" w:type="dxa"/>
            <w:tcMar>
              <w:top w:w="11" w:type="dxa"/>
              <w:left w:w="57" w:type="dxa"/>
              <w:bottom w:w="11" w:type="dxa"/>
              <w:right w:w="57" w:type="dxa"/>
            </w:tcMar>
          </w:tcPr>
          <w:p w14:paraId="0ACBB42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17" w:name="XMETag_3163fc49e2224ea8880c4fcca68d74a0" w:colFirst="2" w:colLast="2"/>
            <w:bookmarkStart w:id="918" w:name="XMETag_d410c21c281a4232aa94a4ce39d638ea" w:colFirst="3" w:colLast="3"/>
            <w:bookmarkStart w:id="919" w:name="XMETag_9d7ae1a5a74740fdb32e624cf2704599" w:colFirst="4" w:colLast="4"/>
            <w:r w:rsidRPr="00735726">
              <w:rPr>
                <w:rFonts w:ascii="Arial" w:eastAsia="Times New Roman" w:hAnsi="Arial" w:cs="DINOT-Light"/>
                <w:color w:val="000000"/>
                <w:sz w:val="18"/>
                <w:szCs w:val="18"/>
              </w:rPr>
              <w:t>Leases</w:t>
            </w:r>
          </w:p>
        </w:tc>
        <w:tc>
          <w:tcPr>
            <w:tcW w:w="1134" w:type="dxa"/>
            <w:tcBorders>
              <w:bottom w:val="single" w:sz="4" w:space="0" w:color="auto"/>
            </w:tcBorders>
            <w:tcMar>
              <w:top w:w="11" w:type="dxa"/>
              <w:left w:w="57" w:type="dxa"/>
              <w:bottom w:w="11" w:type="dxa"/>
              <w:right w:w="57" w:type="dxa"/>
            </w:tcMar>
          </w:tcPr>
          <w:p w14:paraId="43CBFF7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1,061.1</w:t>
            </w:r>
          </w:p>
        </w:tc>
        <w:tc>
          <w:tcPr>
            <w:tcW w:w="1134" w:type="dxa"/>
            <w:tcBorders>
              <w:bottom w:val="single" w:sz="4" w:space="0" w:color="auto"/>
            </w:tcBorders>
            <w:tcMar>
              <w:top w:w="11" w:type="dxa"/>
              <w:left w:w="57" w:type="dxa"/>
              <w:bottom w:w="11" w:type="dxa"/>
              <w:right w:w="57" w:type="dxa"/>
            </w:tcMar>
          </w:tcPr>
          <w:p w14:paraId="0415096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Borders>
              <w:bottom w:val="single" w:sz="4" w:space="0" w:color="auto"/>
            </w:tcBorders>
            <w:tcMar>
              <w:top w:w="11" w:type="dxa"/>
              <w:left w:w="57" w:type="dxa"/>
              <w:bottom w:w="11" w:type="dxa"/>
              <w:right w:w="57" w:type="dxa"/>
            </w:tcMar>
          </w:tcPr>
          <w:p w14:paraId="361731C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1,013.3</w:t>
            </w:r>
          </w:p>
        </w:tc>
        <w:tc>
          <w:tcPr>
            <w:tcW w:w="1134" w:type="dxa"/>
            <w:tcBorders>
              <w:bottom w:val="single" w:sz="4" w:space="0" w:color="auto"/>
            </w:tcBorders>
            <w:tcMar>
              <w:top w:w="11" w:type="dxa"/>
              <w:left w:w="57" w:type="dxa"/>
              <w:bottom w:w="11" w:type="dxa"/>
              <w:right w:w="57" w:type="dxa"/>
            </w:tcMar>
          </w:tcPr>
          <w:p w14:paraId="32DC71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tr w:rsidR="00646F4F" w:rsidRPr="00735726" w14:paraId="069550E4" w14:textId="77777777" w:rsidTr="00CE19B2">
        <w:trPr>
          <w:trHeight w:val="226"/>
        </w:trPr>
        <w:tc>
          <w:tcPr>
            <w:tcW w:w="5471" w:type="dxa"/>
            <w:tcMar>
              <w:top w:w="11" w:type="dxa"/>
              <w:left w:w="57" w:type="dxa"/>
              <w:bottom w:w="11" w:type="dxa"/>
              <w:right w:w="57" w:type="dxa"/>
            </w:tcMar>
          </w:tcPr>
          <w:p w14:paraId="789B2D5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920" w:name="XMETag_d03019e2e4d840aca93bec0438968867" w:colFirst="1" w:colLast="1"/>
            <w:bookmarkStart w:id="921" w:name="XMETag_4ab443105e6d414896db49b3cbcef231" w:colFirst="2" w:colLast="2"/>
            <w:bookmarkStart w:id="922" w:name="XMETag_f09da0a1ebbf40148484833f21d49b9f" w:colFirst="3" w:colLast="3"/>
            <w:bookmarkStart w:id="923" w:name="XMETag_85fd56893a634adeb4c6140588cb0ef1" w:colFirst="4" w:colLast="4"/>
            <w:bookmarkEnd w:id="917"/>
            <w:bookmarkEnd w:id="918"/>
            <w:bookmarkEnd w:id="919"/>
            <w:r w:rsidRPr="00735726">
              <w:rPr>
                <w:rFonts w:ascii="Arial" w:eastAsia="Times New Roman" w:hAnsi="Arial" w:cs="DINOT-Light"/>
                <w:b/>
                <w:color w:val="000000"/>
                <w:sz w:val="18"/>
                <w:szCs w:val="18"/>
              </w:rPr>
              <w:t>Total non-current borrowings</w:t>
            </w:r>
          </w:p>
        </w:tc>
        <w:tc>
          <w:tcPr>
            <w:tcW w:w="1134" w:type="dxa"/>
            <w:tcBorders>
              <w:top w:val="single" w:sz="4" w:space="0" w:color="auto"/>
              <w:bottom w:val="single" w:sz="4" w:space="0" w:color="auto"/>
            </w:tcBorders>
            <w:tcMar>
              <w:top w:w="11" w:type="dxa"/>
              <w:left w:w="57" w:type="dxa"/>
              <w:bottom w:w="11" w:type="dxa"/>
              <w:right w:w="57" w:type="dxa"/>
            </w:tcMar>
          </w:tcPr>
          <w:p w14:paraId="7426AFBA" w14:textId="2344F904"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4,063.2</w:t>
            </w:r>
          </w:p>
        </w:tc>
        <w:tc>
          <w:tcPr>
            <w:tcW w:w="1134" w:type="dxa"/>
            <w:tcBorders>
              <w:top w:val="single" w:sz="4" w:space="0" w:color="auto"/>
              <w:bottom w:val="single" w:sz="4" w:space="0" w:color="auto"/>
            </w:tcBorders>
            <w:tcMar>
              <w:top w:w="11" w:type="dxa"/>
              <w:left w:w="57" w:type="dxa"/>
              <w:bottom w:w="11" w:type="dxa"/>
              <w:right w:w="57" w:type="dxa"/>
            </w:tcMar>
          </w:tcPr>
          <w:p w14:paraId="0B30660A" w14:textId="0DE5DE7A"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w:t>
            </w:r>
            <w:r w:rsidR="00EB742E" w:rsidRPr="00735726">
              <w:rPr>
                <w:rFonts w:ascii="Arial" w:eastAsia="Times New Roman" w:hAnsi="Arial" w:cs="DINOT-Light"/>
                <w:b/>
                <w:bCs/>
                <w:color w:val="000000"/>
                <w:sz w:val="18"/>
                <w:szCs w:val="18"/>
              </w:rPr>
              <w:t>811.3</w:t>
            </w:r>
          </w:p>
        </w:tc>
        <w:tc>
          <w:tcPr>
            <w:tcW w:w="1133" w:type="dxa"/>
            <w:tcBorders>
              <w:top w:val="single" w:sz="4" w:space="0" w:color="auto"/>
              <w:bottom w:val="single" w:sz="4" w:space="0" w:color="auto"/>
            </w:tcBorders>
            <w:tcMar>
              <w:top w:w="11" w:type="dxa"/>
              <w:left w:w="57" w:type="dxa"/>
              <w:bottom w:w="11" w:type="dxa"/>
              <w:right w:w="57" w:type="dxa"/>
            </w:tcMar>
          </w:tcPr>
          <w:p w14:paraId="5AC73D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3,747.1</w:t>
            </w:r>
          </w:p>
        </w:tc>
        <w:tc>
          <w:tcPr>
            <w:tcW w:w="1134" w:type="dxa"/>
            <w:tcBorders>
              <w:top w:val="single" w:sz="4" w:space="0" w:color="auto"/>
              <w:bottom w:val="single" w:sz="4" w:space="0" w:color="auto"/>
            </w:tcBorders>
            <w:tcMar>
              <w:top w:w="11" w:type="dxa"/>
              <w:left w:w="57" w:type="dxa"/>
              <w:bottom w:w="11" w:type="dxa"/>
              <w:right w:w="57" w:type="dxa"/>
            </w:tcMar>
          </w:tcPr>
          <w:p w14:paraId="289566C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2,652.7</w:t>
            </w:r>
          </w:p>
        </w:tc>
      </w:tr>
      <w:tr w:rsidR="00646F4F" w:rsidRPr="00735726" w14:paraId="4A550C7C" w14:textId="77777777" w:rsidTr="00CE19B2">
        <w:trPr>
          <w:trHeight w:val="226"/>
        </w:trPr>
        <w:tc>
          <w:tcPr>
            <w:tcW w:w="5471" w:type="dxa"/>
            <w:tcMar>
              <w:top w:w="11" w:type="dxa"/>
              <w:left w:w="57" w:type="dxa"/>
              <w:bottom w:w="11" w:type="dxa"/>
              <w:right w:w="57" w:type="dxa"/>
            </w:tcMar>
          </w:tcPr>
          <w:p w14:paraId="294CF7D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 borrowings</w:t>
            </w:r>
          </w:p>
        </w:tc>
        <w:tc>
          <w:tcPr>
            <w:tcW w:w="1134" w:type="dxa"/>
            <w:tcBorders>
              <w:top w:val="single" w:sz="4" w:space="0" w:color="auto"/>
              <w:bottom w:val="single" w:sz="4" w:space="0" w:color="auto"/>
            </w:tcBorders>
            <w:tcMar>
              <w:top w:w="11" w:type="dxa"/>
              <w:left w:w="57" w:type="dxa"/>
              <w:bottom w:w="11" w:type="dxa"/>
              <w:right w:w="57" w:type="dxa"/>
            </w:tcMar>
          </w:tcPr>
          <w:p w14:paraId="08CC0796" w14:textId="72CC46F5"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4,152.3</w:t>
            </w:r>
          </w:p>
        </w:tc>
        <w:tc>
          <w:tcPr>
            <w:tcW w:w="1134" w:type="dxa"/>
            <w:tcBorders>
              <w:top w:val="single" w:sz="4" w:space="0" w:color="auto"/>
              <w:bottom w:val="single" w:sz="4" w:space="0" w:color="auto"/>
            </w:tcBorders>
            <w:tcMar>
              <w:top w:w="11" w:type="dxa"/>
              <w:left w:w="57" w:type="dxa"/>
              <w:bottom w:w="11" w:type="dxa"/>
              <w:right w:w="57" w:type="dxa"/>
            </w:tcMar>
          </w:tcPr>
          <w:p w14:paraId="164BC63C" w14:textId="50ED0B50" w:rsidR="00646F4F" w:rsidRPr="00735726" w:rsidRDefault="000771E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w:t>
            </w:r>
            <w:r w:rsidR="00EB742E" w:rsidRPr="00735726">
              <w:rPr>
                <w:rFonts w:ascii="Arial" w:eastAsia="Times New Roman" w:hAnsi="Arial" w:cs="DINOT-Light"/>
                <w:b/>
                <w:bCs/>
                <w:color w:val="000000"/>
                <w:sz w:val="18"/>
                <w:szCs w:val="18"/>
              </w:rPr>
              <w:t>868.9</w:t>
            </w:r>
          </w:p>
        </w:tc>
        <w:tc>
          <w:tcPr>
            <w:tcW w:w="1133" w:type="dxa"/>
            <w:tcBorders>
              <w:top w:val="single" w:sz="4" w:space="0" w:color="auto"/>
              <w:bottom w:val="single" w:sz="4" w:space="0" w:color="auto"/>
            </w:tcBorders>
            <w:tcMar>
              <w:top w:w="11" w:type="dxa"/>
              <w:left w:w="57" w:type="dxa"/>
              <w:bottom w:w="11" w:type="dxa"/>
              <w:right w:w="57" w:type="dxa"/>
            </w:tcMar>
          </w:tcPr>
          <w:p w14:paraId="74009CD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3,884.3</w:t>
            </w:r>
          </w:p>
        </w:tc>
        <w:tc>
          <w:tcPr>
            <w:tcW w:w="1134" w:type="dxa"/>
            <w:tcBorders>
              <w:top w:val="single" w:sz="4" w:space="0" w:color="auto"/>
              <w:bottom w:val="single" w:sz="4" w:space="0" w:color="auto"/>
            </w:tcBorders>
            <w:tcMar>
              <w:top w:w="11" w:type="dxa"/>
              <w:left w:w="57" w:type="dxa"/>
              <w:bottom w:w="11" w:type="dxa"/>
              <w:right w:w="57" w:type="dxa"/>
            </w:tcMar>
          </w:tcPr>
          <w:p w14:paraId="568F163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2,757.6</w:t>
            </w:r>
          </w:p>
        </w:tc>
      </w:tr>
      <w:bookmarkEnd w:id="920"/>
      <w:bookmarkEnd w:id="921"/>
      <w:bookmarkEnd w:id="922"/>
      <w:bookmarkEnd w:id="923"/>
    </w:tbl>
    <w:p w14:paraId="3BCCC139"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91D68D2"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Under IFRS 7 the disclosure relating to the fair value of leases is not required. </w:t>
      </w:r>
    </w:p>
    <w:p w14:paraId="384B1436"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33531FE1" w14:textId="77777777" w:rsidR="00646F4F"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Where market values are not available, fair values of borrowings have been calculated by discounting expected future cash flows at prevailing interest rates.</w:t>
      </w:r>
    </w:p>
    <w:p w14:paraId="678DA72D" w14:textId="77777777" w:rsidR="000F2058" w:rsidRPr="00FF7818" w:rsidRDefault="000F2058"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CB4C63A" w14:textId="117E9552" w:rsidR="00646F4F" w:rsidRPr="00B318D0" w:rsidRDefault="00646F4F" w:rsidP="00646F4F">
      <w:pPr>
        <w:spacing w:after="160"/>
        <w:rPr>
          <w:rFonts w:ascii="Arial" w:eastAsia="Times New Roman" w:hAnsi="Arial" w:cs="DINOT-Light"/>
          <w:color w:val="000000"/>
          <w:sz w:val="18"/>
          <w:szCs w:val="18"/>
          <w:highlight w:val="yellow"/>
        </w:rPr>
      </w:pPr>
      <w:bookmarkStart w:id="924" w:name="_Hlk167368984"/>
      <w:r w:rsidRPr="00FF7818">
        <w:rPr>
          <w:rFonts w:ascii="Arial" w:eastAsia="Times New Roman" w:hAnsi="Arial" w:cs="DINOT-Light"/>
          <w:color w:val="000000"/>
          <w:sz w:val="18"/>
          <w:szCs w:val="18"/>
        </w:rPr>
        <w:t xml:space="preserve">During the year ended 31 March 2026, as part of an ongoing programme to renew and raise new financing, the </w:t>
      </w:r>
      <w:r w:rsidR="00E37E09">
        <w:rPr>
          <w:rFonts w:ascii="Arial" w:eastAsia="Times New Roman" w:hAnsi="Arial" w:cs="DINOT-Light"/>
          <w:color w:val="000000"/>
          <w:sz w:val="18"/>
          <w:szCs w:val="18"/>
        </w:rPr>
        <w:t>C</w:t>
      </w:r>
      <w:r w:rsidRPr="00FF7818">
        <w:rPr>
          <w:rFonts w:ascii="Arial" w:eastAsia="Times New Roman" w:hAnsi="Arial" w:cs="DINOT-Light"/>
          <w:color w:val="000000"/>
          <w:sz w:val="18"/>
          <w:szCs w:val="18"/>
        </w:rPr>
        <w:t xml:space="preserve">ompany </w:t>
      </w:r>
      <w:proofErr w:type="gramStart"/>
      <w:r w:rsidRPr="002C549B">
        <w:rPr>
          <w:rFonts w:ascii="Arial" w:eastAsia="Times New Roman" w:hAnsi="Arial" w:cs="DINOT-Light"/>
          <w:color w:val="000000"/>
          <w:sz w:val="18"/>
          <w:szCs w:val="18"/>
        </w:rPr>
        <w:t>entered into</w:t>
      </w:r>
      <w:proofErr w:type="gramEnd"/>
      <w:r w:rsidRPr="002C549B">
        <w:rPr>
          <w:rFonts w:ascii="Arial" w:eastAsia="Times New Roman" w:hAnsi="Arial" w:cs="DINOT-Light"/>
          <w:color w:val="000000"/>
          <w:sz w:val="18"/>
          <w:szCs w:val="18"/>
        </w:rPr>
        <w:t xml:space="preserve"> </w:t>
      </w:r>
      <w:r w:rsidR="00E37E09" w:rsidRPr="009A2CAE">
        <w:rPr>
          <w:rFonts w:ascii="Arial" w:eastAsia="Times New Roman" w:hAnsi="Arial" w:cs="DINOT-Light"/>
          <w:color w:val="000000"/>
          <w:sz w:val="18"/>
          <w:szCs w:val="18"/>
        </w:rPr>
        <w:t>£</w:t>
      </w:r>
      <w:r w:rsidR="00886FEC" w:rsidRPr="009A2CAE">
        <w:rPr>
          <w:rFonts w:ascii="Arial" w:eastAsia="Times New Roman" w:hAnsi="Arial" w:cs="DINOT-Light"/>
          <w:color w:val="000000"/>
          <w:sz w:val="18"/>
          <w:szCs w:val="18"/>
        </w:rPr>
        <w:t>1</w:t>
      </w:r>
      <w:r w:rsidR="00E37E09" w:rsidRPr="009A2CAE">
        <w:rPr>
          <w:rFonts w:ascii="Arial" w:eastAsia="Times New Roman" w:hAnsi="Arial" w:cs="DINOT-Light"/>
          <w:color w:val="000000"/>
          <w:sz w:val="18"/>
          <w:szCs w:val="18"/>
        </w:rPr>
        <w:t>90 million</w:t>
      </w:r>
      <w:r w:rsidR="00E37E09" w:rsidRPr="002C549B">
        <w:rPr>
          <w:rFonts w:ascii="Arial" w:eastAsia="Times New Roman" w:hAnsi="Arial" w:cs="DINOT-Light"/>
          <w:color w:val="000000"/>
          <w:sz w:val="18"/>
          <w:szCs w:val="18"/>
        </w:rPr>
        <w:t xml:space="preserve"> of new terms loans and leasing facility arrangements, with an average maturity of </w:t>
      </w:r>
      <w:r w:rsidR="008B7ADC" w:rsidRPr="009A2CAE">
        <w:rPr>
          <w:rFonts w:ascii="Arial" w:eastAsia="Times New Roman" w:hAnsi="Arial" w:cs="DINOT-Light"/>
          <w:color w:val="000000"/>
          <w:sz w:val="18"/>
          <w:szCs w:val="18"/>
        </w:rPr>
        <w:t>seven</w:t>
      </w:r>
      <w:r w:rsidR="00E37E09" w:rsidRPr="009A2CAE">
        <w:rPr>
          <w:rFonts w:ascii="Arial" w:eastAsia="Times New Roman" w:hAnsi="Arial" w:cs="DINOT-Light"/>
          <w:color w:val="000000"/>
          <w:sz w:val="18"/>
          <w:szCs w:val="18"/>
        </w:rPr>
        <w:t xml:space="preserve"> years</w:t>
      </w:r>
      <w:r w:rsidR="003D1D1D" w:rsidRPr="009A2CAE">
        <w:rPr>
          <w:rFonts w:ascii="Arial" w:eastAsia="Times New Roman" w:hAnsi="Arial" w:cs="DINOT-Light"/>
          <w:color w:val="000000"/>
          <w:sz w:val="18"/>
          <w:szCs w:val="18"/>
        </w:rPr>
        <w:t>, as well as £300 million of public bond issuances under our EMTN</w:t>
      </w:r>
      <w:r w:rsidR="003D1D1D" w:rsidRPr="009A2CAE">
        <w:rPr>
          <w:rStyle w:val="FootnoteReference"/>
          <w:rFonts w:ascii="Arial" w:eastAsia="Times New Roman" w:hAnsi="Arial" w:cs="DINOT-Light"/>
          <w:color w:val="000000"/>
          <w:sz w:val="18"/>
          <w:szCs w:val="18"/>
        </w:rPr>
        <w:footnoteReference w:id="21"/>
      </w:r>
      <w:r w:rsidR="003D1D1D" w:rsidRPr="009A2CAE">
        <w:rPr>
          <w:rFonts w:ascii="Arial" w:eastAsia="Times New Roman" w:hAnsi="Arial" w:cs="DINOT-Light"/>
          <w:color w:val="000000"/>
          <w:sz w:val="18"/>
          <w:szCs w:val="18"/>
        </w:rPr>
        <w:t xml:space="preserve"> programme.</w:t>
      </w:r>
    </w:p>
    <w:bookmarkEnd w:id="924"/>
    <w:p w14:paraId="2E25747D" w14:textId="7CC1B031" w:rsidR="00646F4F" w:rsidRPr="00FD121B"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FD121B">
        <w:rPr>
          <w:rFonts w:ascii="Arial" w:eastAsia="Times New Roman" w:hAnsi="Arial" w:cs="DINOT-Light"/>
          <w:color w:val="000000"/>
          <w:sz w:val="18"/>
          <w:szCs w:val="18"/>
        </w:rPr>
        <w:t xml:space="preserve">The maturity of non-current borrowings, </w:t>
      </w:r>
      <w:r w:rsidRPr="00FD121B">
        <w:rPr>
          <w:rFonts w:ascii="Arial" w:eastAsia="Times New Roman" w:hAnsi="Arial" w:cs="DINOT-Light"/>
          <w:sz w:val="18"/>
          <w:szCs w:val="18"/>
        </w:rPr>
        <w:t>excluding leases</w:t>
      </w:r>
      <w:r w:rsidRPr="00FD121B">
        <w:rPr>
          <w:rFonts w:ascii="Arial" w:eastAsia="Times New Roman" w:hAnsi="Arial" w:cs="DINOT-Light"/>
          <w:color w:val="000000"/>
          <w:sz w:val="18"/>
          <w:szCs w:val="18"/>
        </w:rPr>
        <w:t>, was: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B318D0" w14:paraId="45967E4B" w14:textId="77777777" w:rsidTr="00CE19B2">
        <w:trPr>
          <w:trHeight w:val="60"/>
          <w:tblHeader/>
        </w:trPr>
        <w:tc>
          <w:tcPr>
            <w:tcW w:w="7739" w:type="dxa"/>
            <w:tcMar>
              <w:top w:w="11" w:type="dxa"/>
              <w:left w:w="57" w:type="dxa"/>
              <w:bottom w:w="11" w:type="dxa"/>
              <w:right w:w="57" w:type="dxa"/>
            </w:tcMar>
          </w:tcPr>
          <w:p w14:paraId="6DF2BBF2" w14:textId="77777777" w:rsidR="00646F4F" w:rsidRPr="00B318D0"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highlight w:val="yellow"/>
              </w:rPr>
            </w:pPr>
          </w:p>
        </w:tc>
        <w:tc>
          <w:tcPr>
            <w:tcW w:w="1133" w:type="dxa"/>
            <w:tcMar>
              <w:top w:w="11" w:type="dxa"/>
              <w:left w:w="57" w:type="dxa"/>
              <w:bottom w:w="11" w:type="dxa"/>
              <w:right w:w="57" w:type="dxa"/>
            </w:tcMar>
          </w:tcPr>
          <w:p w14:paraId="14211945" w14:textId="77777777" w:rsidR="00646F4F" w:rsidRPr="00FD121B"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FD121B">
              <w:rPr>
                <w:rFonts w:ascii="Arial" w:eastAsia="Times New Roman" w:hAnsi="Arial" w:cs="DINOT-Light"/>
                <w:b/>
                <w:color w:val="000000"/>
                <w:sz w:val="18"/>
                <w:szCs w:val="18"/>
              </w:rPr>
              <w:t>2026</w:t>
            </w:r>
          </w:p>
          <w:p w14:paraId="54D32456" w14:textId="77777777" w:rsidR="00646F4F" w:rsidRPr="00B318D0"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highlight w:val="yellow"/>
              </w:rPr>
            </w:pPr>
            <w:r w:rsidRPr="00FD121B">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4325E0E4" w14:textId="77777777" w:rsidR="00646F4F" w:rsidRPr="00FD121B"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FD121B">
              <w:rPr>
                <w:rFonts w:ascii="Arial" w:eastAsia="Times New Roman" w:hAnsi="Arial" w:cs="DINOT-Light"/>
                <w:b/>
                <w:color w:val="000000"/>
                <w:sz w:val="18"/>
                <w:szCs w:val="18"/>
              </w:rPr>
              <w:t>2025</w:t>
            </w:r>
          </w:p>
          <w:p w14:paraId="1F316904" w14:textId="77777777" w:rsidR="00646F4F" w:rsidRPr="00FD121B"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FD121B">
              <w:rPr>
                <w:rFonts w:ascii="Arial" w:eastAsia="Times New Roman" w:hAnsi="Arial" w:cs="DINOT-Light"/>
                <w:b/>
                <w:color w:val="000000"/>
                <w:sz w:val="18"/>
                <w:szCs w:val="18"/>
              </w:rPr>
              <w:t>£m</w:t>
            </w:r>
          </w:p>
        </w:tc>
      </w:tr>
      <w:tr w:rsidR="00646F4F" w:rsidRPr="00735726" w14:paraId="4268E3E3" w14:textId="77777777" w:rsidTr="00CE19B2">
        <w:trPr>
          <w:trHeight w:val="226"/>
        </w:trPr>
        <w:tc>
          <w:tcPr>
            <w:tcW w:w="7739" w:type="dxa"/>
            <w:tcMar>
              <w:top w:w="11" w:type="dxa"/>
              <w:left w:w="57" w:type="dxa"/>
              <w:bottom w:w="11" w:type="dxa"/>
              <w:right w:w="57" w:type="dxa"/>
            </w:tcMar>
          </w:tcPr>
          <w:p w14:paraId="3977D3C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25" w:name="XMETag_3330adbc8d4b4a35a0ea74cc56b13ade" w:colFirst="1" w:colLast="1"/>
            <w:bookmarkStart w:id="926" w:name="XMETag_451be41bfeab41748e41ed5692ab6c10" w:colFirst="2" w:colLast="2"/>
            <w:r w:rsidRPr="00735726">
              <w:rPr>
                <w:rFonts w:ascii="Arial" w:eastAsia="Times New Roman" w:hAnsi="Arial" w:cs="DINOT-Light"/>
                <w:color w:val="000000"/>
                <w:sz w:val="18"/>
                <w:szCs w:val="18"/>
              </w:rPr>
              <w:t>Between 1 and 2 years</w:t>
            </w:r>
          </w:p>
        </w:tc>
        <w:tc>
          <w:tcPr>
            <w:tcW w:w="1133" w:type="dxa"/>
            <w:tcMar>
              <w:top w:w="11" w:type="dxa"/>
              <w:left w:w="57" w:type="dxa"/>
              <w:bottom w:w="11" w:type="dxa"/>
              <w:right w:w="57" w:type="dxa"/>
            </w:tcMar>
          </w:tcPr>
          <w:p w14:paraId="4504F6B3" w14:textId="0FC92709" w:rsidR="00646F4F" w:rsidRPr="00735726" w:rsidRDefault="0012751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57.8</w:t>
            </w:r>
          </w:p>
        </w:tc>
        <w:tc>
          <w:tcPr>
            <w:tcW w:w="1134" w:type="dxa"/>
            <w:tcMar>
              <w:top w:w="11" w:type="dxa"/>
              <w:left w:w="57" w:type="dxa"/>
              <w:bottom w:w="11" w:type="dxa"/>
              <w:right w:w="57" w:type="dxa"/>
            </w:tcMar>
          </w:tcPr>
          <w:p w14:paraId="6A7916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57.8</w:t>
            </w:r>
          </w:p>
        </w:tc>
      </w:tr>
      <w:tr w:rsidR="00646F4F" w:rsidRPr="00735726" w14:paraId="436757BF" w14:textId="77777777" w:rsidTr="00CE19B2">
        <w:trPr>
          <w:trHeight w:val="226"/>
        </w:trPr>
        <w:tc>
          <w:tcPr>
            <w:tcW w:w="7739" w:type="dxa"/>
            <w:tcMar>
              <w:top w:w="11" w:type="dxa"/>
              <w:left w:w="57" w:type="dxa"/>
              <w:bottom w:w="11" w:type="dxa"/>
              <w:right w:w="57" w:type="dxa"/>
            </w:tcMar>
          </w:tcPr>
          <w:p w14:paraId="4CFB55E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27" w:name="XMETag_ce836a39521348f88d0c61c60b5f0dca" w:colFirst="1" w:colLast="1"/>
            <w:bookmarkStart w:id="928" w:name="XMETag_60872808f6e346e3a2f084dfacbbf5a5" w:colFirst="2" w:colLast="2"/>
            <w:bookmarkEnd w:id="925"/>
            <w:bookmarkEnd w:id="926"/>
            <w:r w:rsidRPr="00735726">
              <w:rPr>
                <w:rFonts w:ascii="Arial" w:eastAsia="Times New Roman" w:hAnsi="Arial" w:cs="DINOT-Light"/>
                <w:color w:val="000000"/>
                <w:sz w:val="18"/>
                <w:szCs w:val="18"/>
              </w:rPr>
              <w:t>Over 2 and less than 5 years</w:t>
            </w:r>
          </w:p>
        </w:tc>
        <w:tc>
          <w:tcPr>
            <w:tcW w:w="1133" w:type="dxa"/>
            <w:tcMar>
              <w:top w:w="11" w:type="dxa"/>
              <w:left w:w="57" w:type="dxa"/>
              <w:bottom w:w="11" w:type="dxa"/>
              <w:right w:w="57" w:type="dxa"/>
            </w:tcMar>
          </w:tcPr>
          <w:p w14:paraId="611B61F9" w14:textId="32EB2DB5" w:rsidR="00646F4F" w:rsidRPr="00735726" w:rsidRDefault="0012751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232.6</w:t>
            </w:r>
          </w:p>
        </w:tc>
        <w:tc>
          <w:tcPr>
            <w:tcW w:w="1134" w:type="dxa"/>
            <w:tcMar>
              <w:top w:w="11" w:type="dxa"/>
              <w:left w:w="57" w:type="dxa"/>
              <w:bottom w:w="11" w:type="dxa"/>
              <w:right w:w="57" w:type="dxa"/>
            </w:tcMar>
          </w:tcPr>
          <w:p w14:paraId="728A6C3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196.7</w:t>
            </w:r>
          </w:p>
        </w:tc>
      </w:tr>
      <w:tr w:rsidR="00646F4F" w:rsidRPr="00735726" w14:paraId="376465EE" w14:textId="77777777" w:rsidTr="00CE19B2">
        <w:trPr>
          <w:trHeight w:val="226"/>
        </w:trPr>
        <w:tc>
          <w:tcPr>
            <w:tcW w:w="7739" w:type="dxa"/>
            <w:tcMar>
              <w:top w:w="11" w:type="dxa"/>
              <w:left w:w="57" w:type="dxa"/>
              <w:bottom w:w="11" w:type="dxa"/>
              <w:right w:w="57" w:type="dxa"/>
            </w:tcMar>
          </w:tcPr>
          <w:p w14:paraId="6E9E105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29" w:name="XMETag_24c4e657ef804cca8c92bba3e3599237" w:colFirst="1" w:colLast="1"/>
            <w:bookmarkStart w:id="930" w:name="XMETag_51d1be3d75ae4e9cba7dbb70936c002d" w:colFirst="2" w:colLast="2"/>
            <w:bookmarkEnd w:id="927"/>
            <w:bookmarkEnd w:id="928"/>
            <w:r w:rsidRPr="00735726">
              <w:rPr>
                <w:rFonts w:ascii="Arial" w:eastAsia="Times New Roman" w:hAnsi="Arial" w:cs="DINOT-Light"/>
                <w:color w:val="000000"/>
                <w:sz w:val="18"/>
                <w:szCs w:val="18"/>
              </w:rPr>
              <w:t>Over 5 years</w:t>
            </w:r>
          </w:p>
        </w:tc>
        <w:tc>
          <w:tcPr>
            <w:tcW w:w="1133" w:type="dxa"/>
            <w:tcBorders>
              <w:bottom w:val="single" w:sz="4" w:space="0" w:color="auto"/>
            </w:tcBorders>
            <w:tcMar>
              <w:top w:w="11" w:type="dxa"/>
              <w:left w:w="57" w:type="dxa"/>
              <w:bottom w:w="11" w:type="dxa"/>
              <w:right w:w="57" w:type="dxa"/>
            </w:tcMar>
          </w:tcPr>
          <w:p w14:paraId="40E54D78" w14:textId="03453D64" w:rsidR="00646F4F" w:rsidRPr="00735726" w:rsidRDefault="0012751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2,711.7</w:t>
            </w:r>
          </w:p>
        </w:tc>
        <w:tc>
          <w:tcPr>
            <w:tcW w:w="1134" w:type="dxa"/>
            <w:tcBorders>
              <w:bottom w:val="single" w:sz="4" w:space="0" w:color="auto"/>
            </w:tcBorders>
            <w:tcMar>
              <w:top w:w="11" w:type="dxa"/>
              <w:left w:w="57" w:type="dxa"/>
              <w:bottom w:w="11" w:type="dxa"/>
              <w:right w:w="57" w:type="dxa"/>
            </w:tcMar>
          </w:tcPr>
          <w:p w14:paraId="37D9BE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2,479.3</w:t>
            </w:r>
          </w:p>
        </w:tc>
      </w:tr>
      <w:tr w:rsidR="00646F4F" w:rsidRPr="00735726" w14:paraId="6DC321F9" w14:textId="77777777" w:rsidTr="00CE19B2">
        <w:trPr>
          <w:trHeight w:val="226"/>
        </w:trPr>
        <w:tc>
          <w:tcPr>
            <w:tcW w:w="7739" w:type="dxa"/>
            <w:tcMar>
              <w:top w:w="11" w:type="dxa"/>
              <w:left w:w="57" w:type="dxa"/>
              <w:bottom w:w="11" w:type="dxa"/>
              <w:right w:w="57" w:type="dxa"/>
            </w:tcMar>
          </w:tcPr>
          <w:p w14:paraId="21A73CA5"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31" w:name="XMETag_a3723211e38a444c93ab89c1c910a2c3" w:colFirst="1" w:colLast="1"/>
            <w:bookmarkStart w:id="932" w:name="XMETag_3e47d8163a9d4877b15ffa42877ba85d" w:colFirst="2" w:colLast="2"/>
            <w:bookmarkEnd w:id="929"/>
            <w:bookmarkEnd w:id="930"/>
          </w:p>
        </w:tc>
        <w:tc>
          <w:tcPr>
            <w:tcW w:w="1133" w:type="dxa"/>
            <w:tcBorders>
              <w:top w:val="single" w:sz="4" w:space="0" w:color="auto"/>
              <w:bottom w:val="single" w:sz="4" w:space="0" w:color="auto"/>
            </w:tcBorders>
            <w:tcMar>
              <w:top w:w="11" w:type="dxa"/>
              <w:left w:w="57" w:type="dxa"/>
              <w:bottom w:w="11" w:type="dxa"/>
              <w:right w:w="57" w:type="dxa"/>
            </w:tcMar>
          </w:tcPr>
          <w:p w14:paraId="27CE4FF9" w14:textId="1250E77E" w:rsidR="00646F4F" w:rsidRPr="00735726" w:rsidRDefault="0012751D"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3,002.1</w:t>
            </w:r>
          </w:p>
        </w:tc>
        <w:tc>
          <w:tcPr>
            <w:tcW w:w="1134" w:type="dxa"/>
            <w:tcBorders>
              <w:top w:val="single" w:sz="4" w:space="0" w:color="auto"/>
              <w:bottom w:val="single" w:sz="4" w:space="0" w:color="auto"/>
            </w:tcBorders>
            <w:tcMar>
              <w:top w:w="11" w:type="dxa"/>
              <w:left w:w="57" w:type="dxa"/>
              <w:bottom w:w="11" w:type="dxa"/>
              <w:right w:w="57" w:type="dxa"/>
            </w:tcMar>
          </w:tcPr>
          <w:p w14:paraId="30DEC89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2,733.8</w:t>
            </w:r>
          </w:p>
        </w:tc>
      </w:tr>
      <w:bookmarkEnd w:id="931"/>
      <w:bookmarkEnd w:id="932"/>
    </w:tbl>
    <w:p w14:paraId="71FB3FB8"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4EC87632" w14:textId="363AAF61"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weighted average maturity of non-current borrowings, excluding leases, was </w:t>
      </w:r>
      <w:r w:rsidR="0012751D" w:rsidRPr="00735726">
        <w:rPr>
          <w:rFonts w:ascii="Arial" w:eastAsia="Times New Roman" w:hAnsi="Arial" w:cs="DINOT-Light"/>
          <w:color w:val="000000"/>
          <w:sz w:val="18"/>
          <w:szCs w:val="18"/>
        </w:rPr>
        <w:t xml:space="preserve">13 </w:t>
      </w:r>
      <w:r w:rsidRPr="00735726">
        <w:rPr>
          <w:rFonts w:ascii="Arial" w:eastAsia="Times New Roman" w:hAnsi="Arial" w:cs="DINOT-Light"/>
          <w:color w:val="000000"/>
          <w:sz w:val="18"/>
          <w:szCs w:val="18"/>
        </w:rPr>
        <w:t>years (2025: 14.0 years).</w:t>
      </w:r>
    </w:p>
    <w:p w14:paraId="7B6B3BD8"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BE3CBF2"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33" w:name="_Hlk8642324"/>
      <w:r w:rsidRPr="00735726">
        <w:rPr>
          <w:rFonts w:ascii="Arial" w:eastAsia="Times New Roman" w:hAnsi="Arial" w:cs="DINOT-Light"/>
          <w:color w:val="000000"/>
          <w:sz w:val="18"/>
          <w:szCs w:val="18"/>
        </w:rPr>
        <w:t>Undrawn committed borrowing facilities at the balance sheet date were:</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17AC9A7E" w14:textId="77777777" w:rsidTr="00CE19B2">
        <w:trPr>
          <w:trHeight w:val="60"/>
          <w:tblHeader/>
        </w:trPr>
        <w:tc>
          <w:tcPr>
            <w:tcW w:w="7739" w:type="dxa"/>
            <w:tcMar>
              <w:top w:w="11" w:type="dxa"/>
              <w:left w:w="57" w:type="dxa"/>
              <w:bottom w:w="11" w:type="dxa"/>
              <w:right w:w="57" w:type="dxa"/>
            </w:tcMar>
          </w:tcPr>
          <w:p w14:paraId="4D13F421"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934" w:name="_Hlk8807072"/>
          </w:p>
        </w:tc>
        <w:tc>
          <w:tcPr>
            <w:tcW w:w="1133" w:type="dxa"/>
            <w:tcMar>
              <w:top w:w="11" w:type="dxa"/>
              <w:left w:w="57" w:type="dxa"/>
              <w:bottom w:w="11" w:type="dxa"/>
              <w:right w:w="57" w:type="dxa"/>
            </w:tcMar>
          </w:tcPr>
          <w:p w14:paraId="1189817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3376B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601C12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3003AA6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5CFEB3E" w14:textId="77777777" w:rsidTr="00CE19B2">
        <w:trPr>
          <w:trHeight w:val="226"/>
        </w:trPr>
        <w:tc>
          <w:tcPr>
            <w:tcW w:w="7739" w:type="dxa"/>
            <w:tcMar>
              <w:top w:w="11" w:type="dxa"/>
              <w:left w:w="57" w:type="dxa"/>
              <w:bottom w:w="11" w:type="dxa"/>
              <w:right w:w="57" w:type="dxa"/>
            </w:tcMar>
          </w:tcPr>
          <w:p w14:paraId="53AF974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Floating rate:</w:t>
            </w:r>
          </w:p>
        </w:tc>
        <w:tc>
          <w:tcPr>
            <w:tcW w:w="1133" w:type="dxa"/>
            <w:tcMar>
              <w:top w:w="11" w:type="dxa"/>
              <w:left w:w="57" w:type="dxa"/>
              <w:bottom w:w="11" w:type="dxa"/>
              <w:right w:w="57" w:type="dxa"/>
            </w:tcMar>
          </w:tcPr>
          <w:p w14:paraId="124B9840"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791C82B9"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07C633AF" w14:textId="77777777" w:rsidTr="00CE19B2">
        <w:trPr>
          <w:trHeight w:val="226"/>
        </w:trPr>
        <w:tc>
          <w:tcPr>
            <w:tcW w:w="7739" w:type="dxa"/>
            <w:tcMar>
              <w:top w:w="11" w:type="dxa"/>
              <w:left w:w="57" w:type="dxa"/>
              <w:bottom w:w="11" w:type="dxa"/>
              <w:right w:w="57" w:type="dxa"/>
            </w:tcMar>
          </w:tcPr>
          <w:p w14:paraId="2480831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35" w:name="XMETag_0c30a52de92c44d693f95a4219b54a36" w:colFirst="1" w:colLast="1"/>
            <w:bookmarkStart w:id="936" w:name="XMETag_2209f139c6ee4eaf86165362c496e49f" w:colFirst="2" w:colLast="2"/>
            <w:r w:rsidRPr="00735726">
              <w:rPr>
                <w:rFonts w:ascii="Arial" w:eastAsia="Times New Roman" w:hAnsi="Arial" w:cs="DINOT-Light"/>
                <w:color w:val="000000"/>
                <w:sz w:val="18"/>
                <w:szCs w:val="18"/>
              </w:rPr>
              <w:t>Expiring within one year:</w:t>
            </w:r>
          </w:p>
        </w:tc>
        <w:tc>
          <w:tcPr>
            <w:tcW w:w="1133" w:type="dxa"/>
            <w:tcMar>
              <w:top w:w="11" w:type="dxa"/>
              <w:left w:w="57" w:type="dxa"/>
              <w:bottom w:w="11" w:type="dxa"/>
              <w:right w:w="57" w:type="dxa"/>
            </w:tcMar>
          </w:tcPr>
          <w:p w14:paraId="7130D8F9" w14:textId="149FF8FE" w:rsidR="00646F4F" w:rsidRPr="00735726" w:rsidRDefault="00083BB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25.0</w:t>
            </w:r>
          </w:p>
        </w:tc>
        <w:tc>
          <w:tcPr>
            <w:tcW w:w="1134" w:type="dxa"/>
            <w:tcMar>
              <w:top w:w="11" w:type="dxa"/>
              <w:left w:w="57" w:type="dxa"/>
              <w:bottom w:w="11" w:type="dxa"/>
              <w:right w:w="57" w:type="dxa"/>
            </w:tcMar>
          </w:tcPr>
          <w:p w14:paraId="7A00B2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tr w:rsidR="00646F4F" w:rsidRPr="00735726" w14:paraId="72331AE9" w14:textId="77777777" w:rsidTr="00CE19B2">
        <w:trPr>
          <w:trHeight w:val="226"/>
        </w:trPr>
        <w:tc>
          <w:tcPr>
            <w:tcW w:w="7739" w:type="dxa"/>
            <w:tcMar>
              <w:top w:w="11" w:type="dxa"/>
              <w:left w:w="57" w:type="dxa"/>
              <w:bottom w:w="11" w:type="dxa"/>
              <w:right w:w="57" w:type="dxa"/>
            </w:tcMar>
          </w:tcPr>
          <w:p w14:paraId="59B97B1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37" w:name="XMETag_2a78f4e3bc73421ea71999b909df7198" w:colFirst="1" w:colLast="1"/>
            <w:bookmarkStart w:id="938" w:name="XMETag_6a57093d28fa48c6a92b2cdc147711de" w:colFirst="2" w:colLast="2"/>
            <w:bookmarkEnd w:id="935"/>
            <w:bookmarkEnd w:id="936"/>
            <w:r w:rsidRPr="00735726">
              <w:rPr>
                <w:rFonts w:ascii="Arial" w:eastAsia="Times New Roman" w:hAnsi="Arial" w:cs="DINOT-Light"/>
                <w:color w:val="000000"/>
                <w:sz w:val="18"/>
                <w:szCs w:val="18"/>
              </w:rPr>
              <w:t>Expiring after one year:</w:t>
            </w:r>
          </w:p>
        </w:tc>
        <w:tc>
          <w:tcPr>
            <w:tcW w:w="1133" w:type="dxa"/>
            <w:tcBorders>
              <w:bottom w:val="single" w:sz="4" w:space="0" w:color="auto"/>
            </w:tcBorders>
            <w:tcMar>
              <w:top w:w="11" w:type="dxa"/>
              <w:left w:w="57" w:type="dxa"/>
              <w:bottom w:w="11" w:type="dxa"/>
              <w:right w:w="57" w:type="dxa"/>
            </w:tcMar>
          </w:tcPr>
          <w:p w14:paraId="3BB41C3D" w14:textId="3D696B0F" w:rsidR="00646F4F" w:rsidRPr="00735726" w:rsidRDefault="00083BB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420.0</w:t>
            </w:r>
          </w:p>
        </w:tc>
        <w:tc>
          <w:tcPr>
            <w:tcW w:w="1134" w:type="dxa"/>
            <w:tcBorders>
              <w:bottom w:val="single" w:sz="4" w:space="0" w:color="auto"/>
            </w:tcBorders>
            <w:tcMar>
              <w:top w:w="11" w:type="dxa"/>
              <w:left w:w="57" w:type="dxa"/>
              <w:bottom w:w="11" w:type="dxa"/>
              <w:right w:w="57" w:type="dxa"/>
            </w:tcMar>
          </w:tcPr>
          <w:p w14:paraId="07AC25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370.0</w:t>
            </w:r>
          </w:p>
        </w:tc>
      </w:tr>
      <w:tr w:rsidR="00646F4F" w:rsidRPr="00735726" w14:paraId="0A7E9E23" w14:textId="77777777" w:rsidTr="00CE19B2">
        <w:trPr>
          <w:trHeight w:val="226"/>
        </w:trPr>
        <w:tc>
          <w:tcPr>
            <w:tcW w:w="7739" w:type="dxa"/>
            <w:tcMar>
              <w:top w:w="11" w:type="dxa"/>
              <w:left w:w="57" w:type="dxa"/>
              <w:bottom w:w="11" w:type="dxa"/>
              <w:right w:w="57" w:type="dxa"/>
            </w:tcMar>
          </w:tcPr>
          <w:p w14:paraId="2D9C5D00"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939" w:name="XMETag_325a378506de49e9b313042d9a66b9e6" w:colFirst="1" w:colLast="1"/>
            <w:bookmarkStart w:id="940" w:name="XMETag_dfc672126e3047718e780573b9848a8b" w:colFirst="2" w:colLast="2"/>
            <w:bookmarkEnd w:id="937"/>
            <w:bookmarkEnd w:id="938"/>
          </w:p>
        </w:tc>
        <w:tc>
          <w:tcPr>
            <w:tcW w:w="1133" w:type="dxa"/>
            <w:tcBorders>
              <w:top w:val="single" w:sz="4" w:space="0" w:color="auto"/>
              <w:bottom w:val="single" w:sz="4" w:space="0" w:color="auto"/>
            </w:tcBorders>
            <w:tcMar>
              <w:top w:w="11" w:type="dxa"/>
              <w:left w:w="57" w:type="dxa"/>
              <w:bottom w:w="11" w:type="dxa"/>
              <w:right w:w="57" w:type="dxa"/>
            </w:tcMar>
          </w:tcPr>
          <w:p w14:paraId="62A88251" w14:textId="32CD9D56" w:rsidR="00646F4F" w:rsidRPr="00735726" w:rsidRDefault="00083BB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445.0</w:t>
            </w:r>
          </w:p>
        </w:tc>
        <w:tc>
          <w:tcPr>
            <w:tcW w:w="1134" w:type="dxa"/>
            <w:tcBorders>
              <w:top w:val="single" w:sz="4" w:space="0" w:color="auto"/>
              <w:bottom w:val="single" w:sz="4" w:space="0" w:color="auto"/>
            </w:tcBorders>
            <w:tcMar>
              <w:top w:w="11" w:type="dxa"/>
              <w:left w:w="57" w:type="dxa"/>
              <w:bottom w:w="11" w:type="dxa"/>
              <w:right w:w="57" w:type="dxa"/>
            </w:tcMar>
          </w:tcPr>
          <w:p w14:paraId="759C5B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370.0</w:t>
            </w:r>
          </w:p>
        </w:tc>
      </w:tr>
      <w:bookmarkEnd w:id="934"/>
      <w:bookmarkEnd w:id="939"/>
      <w:bookmarkEnd w:id="940"/>
    </w:tbl>
    <w:p w14:paraId="368569E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73B82F4"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011B968C" w14:textId="2491ECA0" w:rsidR="00411D0A" w:rsidRPr="009A2CAE" w:rsidRDefault="00411D0A">
      <w:pPr>
        <w:spacing w:after="160" w:line="259" w:lineRule="auto"/>
        <w:rPr>
          <w:rFonts w:ascii="Arial" w:eastAsia="Times New Roman" w:hAnsi="Arial" w:cs="DINOT-Light"/>
          <w:color w:val="000000"/>
          <w:sz w:val="18"/>
          <w:szCs w:val="18"/>
        </w:rPr>
      </w:pPr>
      <w:r w:rsidRPr="009A2CAE">
        <w:rPr>
          <w:rFonts w:ascii="Arial" w:eastAsia="Times New Roman" w:hAnsi="Arial" w:cs="DINOT-Light"/>
          <w:color w:val="000000"/>
          <w:sz w:val="18"/>
          <w:szCs w:val="18"/>
        </w:rPr>
        <w:br w:type="page"/>
      </w:r>
    </w:p>
    <w:p w14:paraId="3657B441" w14:textId="77777777" w:rsidR="00411D0A" w:rsidRPr="00735726" w:rsidRDefault="00411D0A" w:rsidP="00411D0A">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23.</w:t>
      </w:r>
      <w:r w:rsidRPr="00735726">
        <w:rPr>
          <w:rFonts w:ascii="Arial" w:eastAsia="Times New Roman" w:hAnsi="Arial" w:cs="Arial"/>
          <w:b/>
          <w:bCs/>
          <w:caps/>
          <w:color w:val="000000"/>
          <w:sz w:val="18"/>
          <w:szCs w:val="18"/>
        </w:rPr>
        <w:tab/>
        <w:t>Borrowings (CONTINUED)</w:t>
      </w:r>
    </w:p>
    <w:bookmarkEnd w:id="933"/>
    <w:p w14:paraId="3C437088" w14:textId="6B592F6A"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20"/>
          <w:szCs w:val="20"/>
        </w:rPr>
      </w:pPr>
      <w:r w:rsidRPr="00735726">
        <w:rPr>
          <w:rFonts w:ascii="Arial" w:eastAsia="Times New Roman" w:hAnsi="Arial" w:cs="DINOT-Light"/>
          <w:i/>
          <w:iCs/>
          <w:color w:val="000000"/>
          <w:sz w:val="18"/>
          <w:szCs w:val="18"/>
        </w:rPr>
        <w:t>Information on leases</w:t>
      </w:r>
      <w:r w:rsidRPr="00735726">
        <w:rPr>
          <w:rFonts w:ascii="Arial" w:eastAsia="Times New Roman" w:hAnsi="Arial" w:cs="DINOT-Light"/>
          <w:color w:val="000000"/>
          <w:sz w:val="18"/>
          <w:szCs w:val="18"/>
        </w:rPr>
        <w:br/>
        <w:t xml:space="preserve">The Company has leases for various assets as shown in </w:t>
      </w:r>
      <w:r w:rsidRPr="009A2CAE">
        <w:rPr>
          <w:rFonts w:ascii="Arial" w:eastAsia="Times New Roman" w:hAnsi="Arial" w:cs="DINOT-Light"/>
          <w:color w:val="000000"/>
          <w:sz w:val="18"/>
          <w:szCs w:val="18"/>
        </w:rPr>
        <w:t>note 1</w:t>
      </w:r>
      <w:r w:rsidR="006836DD" w:rsidRPr="009A2CAE">
        <w:rPr>
          <w:rFonts w:ascii="Arial" w:eastAsia="Times New Roman" w:hAnsi="Arial" w:cs="DINOT-Light"/>
          <w:color w:val="000000"/>
          <w:sz w:val="18"/>
          <w:szCs w:val="18"/>
        </w:rPr>
        <w:t>5</w:t>
      </w:r>
      <w:r w:rsidRPr="009A2CAE">
        <w:rPr>
          <w:rFonts w:ascii="Arial" w:eastAsia="Times New Roman" w:hAnsi="Arial" w:cs="DINOT-Light"/>
          <w:color w:val="000000"/>
          <w:sz w:val="18"/>
          <w:szCs w:val="18"/>
        </w:rPr>
        <w:t>.</w:t>
      </w:r>
    </w:p>
    <w:p w14:paraId="0240F298"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9A2CAE">
        <w:rPr>
          <w:rFonts w:ascii="Arial" w:eastAsia="Times New Roman" w:hAnsi="Arial" w:cs="DINOT-Light"/>
          <w:color w:val="000000"/>
          <w:sz w:val="18"/>
          <w:szCs w:val="18"/>
        </w:rPr>
        <w:t xml:space="preserve"> </w:t>
      </w:r>
    </w:p>
    <w:p w14:paraId="10A754E3"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maturity of lease liabilities was: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7A8AB398" w14:textId="77777777" w:rsidTr="00CE19B2">
        <w:trPr>
          <w:trHeight w:val="281"/>
          <w:tblHeader/>
        </w:trPr>
        <w:tc>
          <w:tcPr>
            <w:tcW w:w="7739" w:type="dxa"/>
            <w:tcMar>
              <w:top w:w="11" w:type="dxa"/>
              <w:left w:w="57" w:type="dxa"/>
              <w:bottom w:w="11" w:type="dxa"/>
              <w:right w:w="57" w:type="dxa"/>
            </w:tcMar>
          </w:tcPr>
          <w:p w14:paraId="7E704D9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355ED6B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125FA0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79A37B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0FC458A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33E31DB5" w14:textId="77777777" w:rsidTr="00CE19B2">
        <w:trPr>
          <w:trHeight w:val="226"/>
        </w:trPr>
        <w:tc>
          <w:tcPr>
            <w:tcW w:w="7739" w:type="dxa"/>
            <w:tcMar>
              <w:top w:w="11" w:type="dxa"/>
              <w:left w:w="57" w:type="dxa"/>
              <w:bottom w:w="11" w:type="dxa"/>
              <w:right w:w="57" w:type="dxa"/>
            </w:tcMar>
          </w:tcPr>
          <w:p w14:paraId="3618CAC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941" w:name="XMETag_d622dae7c57e4f969b90afca65d759b4" w:colFirst="1" w:colLast="1"/>
            <w:bookmarkStart w:id="942" w:name="XMETag_c2987d96ab9c4ce183dbae9d50e4fd7b" w:colFirst="2" w:colLast="2"/>
            <w:r w:rsidRPr="00735726">
              <w:rPr>
                <w:rFonts w:ascii="Arial" w:eastAsia="Times New Roman" w:hAnsi="Arial" w:cs="DINOT-Light"/>
                <w:sz w:val="18"/>
                <w:szCs w:val="18"/>
              </w:rPr>
              <w:t>Within 1 year</w:t>
            </w:r>
          </w:p>
        </w:tc>
        <w:tc>
          <w:tcPr>
            <w:tcW w:w="1133" w:type="dxa"/>
            <w:tcMar>
              <w:top w:w="11" w:type="dxa"/>
              <w:left w:w="57" w:type="dxa"/>
              <w:bottom w:w="11" w:type="dxa"/>
              <w:right w:w="57" w:type="dxa"/>
            </w:tcMar>
          </w:tcPr>
          <w:p w14:paraId="7026FD64" w14:textId="558BE55C" w:rsidR="00646F4F" w:rsidRPr="00735726" w:rsidRDefault="00083BB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31.5</w:t>
            </w:r>
          </w:p>
        </w:tc>
        <w:tc>
          <w:tcPr>
            <w:tcW w:w="1134" w:type="dxa"/>
          </w:tcPr>
          <w:p w14:paraId="22D3D6C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32.3</w:t>
            </w:r>
          </w:p>
        </w:tc>
      </w:tr>
      <w:tr w:rsidR="00646F4F" w:rsidRPr="00735726" w14:paraId="19178615" w14:textId="77777777" w:rsidTr="00CE19B2">
        <w:trPr>
          <w:trHeight w:val="226"/>
        </w:trPr>
        <w:tc>
          <w:tcPr>
            <w:tcW w:w="7739" w:type="dxa"/>
            <w:tcMar>
              <w:top w:w="11" w:type="dxa"/>
              <w:left w:w="57" w:type="dxa"/>
              <w:bottom w:w="11" w:type="dxa"/>
              <w:right w:w="57" w:type="dxa"/>
            </w:tcMar>
          </w:tcPr>
          <w:p w14:paraId="2AF76FF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943" w:name="XMETag_461ba48c31dd4d40b43773bca549a404" w:colFirst="1" w:colLast="1"/>
            <w:bookmarkStart w:id="944" w:name="XMETag_8bc73713651a473ea6633fa9d58e969b" w:colFirst="2" w:colLast="2"/>
            <w:bookmarkEnd w:id="941"/>
            <w:bookmarkEnd w:id="942"/>
            <w:r w:rsidRPr="00735726">
              <w:rPr>
                <w:rFonts w:ascii="Arial" w:eastAsia="Times New Roman" w:hAnsi="Arial" w:cs="DINOT-Light"/>
                <w:sz w:val="18"/>
                <w:szCs w:val="18"/>
              </w:rPr>
              <w:t>Over 1 year and less than 5 years</w:t>
            </w:r>
          </w:p>
        </w:tc>
        <w:tc>
          <w:tcPr>
            <w:tcW w:w="1133" w:type="dxa"/>
            <w:tcMar>
              <w:top w:w="11" w:type="dxa"/>
              <w:left w:w="57" w:type="dxa"/>
              <w:bottom w:w="11" w:type="dxa"/>
              <w:right w:w="57" w:type="dxa"/>
            </w:tcMar>
          </w:tcPr>
          <w:p w14:paraId="718E1317" w14:textId="3B49373A" w:rsidR="00646F4F" w:rsidRPr="00735726" w:rsidRDefault="00EB742E"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150.8</w:t>
            </w:r>
          </w:p>
        </w:tc>
        <w:tc>
          <w:tcPr>
            <w:tcW w:w="1134" w:type="dxa"/>
          </w:tcPr>
          <w:p w14:paraId="727F4F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168.1</w:t>
            </w:r>
          </w:p>
        </w:tc>
      </w:tr>
      <w:tr w:rsidR="00646F4F" w:rsidRPr="00735726" w14:paraId="6697EA39" w14:textId="77777777" w:rsidTr="00CE19B2">
        <w:trPr>
          <w:trHeight w:val="226"/>
        </w:trPr>
        <w:tc>
          <w:tcPr>
            <w:tcW w:w="7739" w:type="dxa"/>
            <w:tcMar>
              <w:top w:w="11" w:type="dxa"/>
              <w:left w:w="57" w:type="dxa"/>
              <w:bottom w:w="11" w:type="dxa"/>
              <w:right w:w="57" w:type="dxa"/>
            </w:tcMar>
          </w:tcPr>
          <w:p w14:paraId="367F99F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945" w:name="XMETag_f0bbfbf3083149d3b2834f97b8187ec1" w:colFirst="1" w:colLast="1"/>
            <w:bookmarkStart w:id="946" w:name="XMETag_6680ba856a7c4d138de6956e0902f37a" w:colFirst="2" w:colLast="2"/>
            <w:bookmarkEnd w:id="943"/>
            <w:bookmarkEnd w:id="944"/>
            <w:r w:rsidRPr="00735726">
              <w:rPr>
                <w:rFonts w:ascii="Arial" w:eastAsia="Times New Roman" w:hAnsi="Arial" w:cs="DINOT-Light"/>
                <w:sz w:val="18"/>
                <w:szCs w:val="18"/>
              </w:rPr>
              <w:t>Over 5 years</w:t>
            </w:r>
          </w:p>
        </w:tc>
        <w:tc>
          <w:tcPr>
            <w:tcW w:w="1133" w:type="dxa"/>
            <w:tcBorders>
              <w:bottom w:val="single" w:sz="4" w:space="0" w:color="auto"/>
            </w:tcBorders>
            <w:tcMar>
              <w:top w:w="11" w:type="dxa"/>
              <w:left w:w="57" w:type="dxa"/>
              <w:bottom w:w="11" w:type="dxa"/>
              <w:right w:w="57" w:type="dxa"/>
            </w:tcMar>
          </w:tcPr>
          <w:p w14:paraId="584347E4" w14:textId="02D88AEF" w:rsidR="00646F4F" w:rsidRPr="00735726" w:rsidRDefault="00EB742E"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910.3</w:t>
            </w:r>
          </w:p>
        </w:tc>
        <w:tc>
          <w:tcPr>
            <w:tcW w:w="1134" w:type="dxa"/>
            <w:tcBorders>
              <w:bottom w:val="single" w:sz="4" w:space="0" w:color="auto"/>
            </w:tcBorders>
          </w:tcPr>
          <w:p w14:paraId="2829CC8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845.2</w:t>
            </w:r>
          </w:p>
        </w:tc>
      </w:tr>
      <w:tr w:rsidR="00646F4F" w:rsidRPr="00735726" w14:paraId="710B900E" w14:textId="77777777" w:rsidTr="00CE19B2">
        <w:trPr>
          <w:trHeight w:val="226"/>
        </w:trPr>
        <w:tc>
          <w:tcPr>
            <w:tcW w:w="7739" w:type="dxa"/>
            <w:tcMar>
              <w:top w:w="11" w:type="dxa"/>
              <w:left w:w="57" w:type="dxa"/>
              <w:bottom w:w="11" w:type="dxa"/>
              <w:right w:w="57" w:type="dxa"/>
            </w:tcMar>
          </w:tcPr>
          <w:p w14:paraId="6D0179B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bookmarkStart w:id="947" w:name="XMETag_b149d6facfe24e46b3e7808815e0e646" w:colFirst="1" w:colLast="1"/>
            <w:bookmarkStart w:id="948" w:name="XMETag_b245e042548540178c53d0e945d718cc" w:colFirst="2" w:colLast="2"/>
            <w:bookmarkEnd w:id="945"/>
            <w:bookmarkEnd w:id="946"/>
          </w:p>
        </w:tc>
        <w:tc>
          <w:tcPr>
            <w:tcW w:w="1133" w:type="dxa"/>
            <w:tcBorders>
              <w:top w:val="single" w:sz="4" w:space="0" w:color="auto"/>
              <w:bottom w:val="single" w:sz="4" w:space="0" w:color="auto"/>
            </w:tcBorders>
            <w:tcMar>
              <w:top w:w="11" w:type="dxa"/>
              <w:left w:w="57" w:type="dxa"/>
              <w:bottom w:w="11" w:type="dxa"/>
              <w:right w:w="57" w:type="dxa"/>
            </w:tcMar>
          </w:tcPr>
          <w:p w14:paraId="6CA7B96C" w14:textId="32604BC3" w:rsidR="00646F4F" w:rsidRPr="00735726" w:rsidRDefault="00083BB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sz w:val="18"/>
                <w:szCs w:val="18"/>
              </w:rPr>
            </w:pPr>
            <w:r w:rsidRPr="00735726">
              <w:rPr>
                <w:rFonts w:ascii="Arial" w:eastAsia="Times New Roman" w:hAnsi="Arial" w:cs="DINOT-Light"/>
                <w:b/>
                <w:bCs/>
                <w:color w:val="000000"/>
                <w:sz w:val="18"/>
                <w:szCs w:val="18"/>
              </w:rPr>
              <w:t>1,092.6</w:t>
            </w:r>
          </w:p>
        </w:tc>
        <w:tc>
          <w:tcPr>
            <w:tcW w:w="1134" w:type="dxa"/>
            <w:tcBorders>
              <w:top w:val="single" w:sz="4" w:space="0" w:color="auto"/>
              <w:bottom w:val="single" w:sz="4" w:space="0" w:color="auto"/>
            </w:tcBorders>
          </w:tcPr>
          <w:p w14:paraId="798150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bCs/>
                <w:color w:val="000000"/>
                <w:sz w:val="18"/>
                <w:szCs w:val="18"/>
              </w:rPr>
              <w:t>1,045.6</w:t>
            </w:r>
          </w:p>
        </w:tc>
      </w:tr>
      <w:bookmarkEnd w:id="947"/>
      <w:bookmarkEnd w:id="948"/>
    </w:tbl>
    <w:p w14:paraId="63A26D2F"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p w14:paraId="694386E7"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bookmarkStart w:id="949" w:name="_Hlk72136256"/>
      <w:r w:rsidRPr="00735726">
        <w:rPr>
          <w:rFonts w:ascii="Arial" w:eastAsia="Times New Roman" w:hAnsi="Arial" w:cs="DINOT-Light"/>
          <w:sz w:val="18"/>
          <w:szCs w:val="18"/>
        </w:rPr>
        <w:t>Analysed as: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5E0486C8" w14:textId="77777777" w:rsidTr="00CE19B2">
        <w:trPr>
          <w:trHeight w:val="281"/>
          <w:tblHeader/>
        </w:trPr>
        <w:tc>
          <w:tcPr>
            <w:tcW w:w="7739" w:type="dxa"/>
            <w:tcMar>
              <w:top w:w="11" w:type="dxa"/>
              <w:left w:w="57" w:type="dxa"/>
              <w:bottom w:w="11" w:type="dxa"/>
              <w:right w:w="57" w:type="dxa"/>
            </w:tcMar>
          </w:tcPr>
          <w:p w14:paraId="5E9B3C2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045FCE7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A81198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75BC35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504ABB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101D553D" w14:textId="77777777" w:rsidTr="00CE19B2">
        <w:trPr>
          <w:trHeight w:val="226"/>
        </w:trPr>
        <w:tc>
          <w:tcPr>
            <w:tcW w:w="7739" w:type="dxa"/>
            <w:tcMar>
              <w:top w:w="11" w:type="dxa"/>
              <w:left w:w="57" w:type="dxa"/>
              <w:bottom w:w="11" w:type="dxa"/>
              <w:right w:w="57" w:type="dxa"/>
            </w:tcMar>
          </w:tcPr>
          <w:p w14:paraId="6EB3861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Current</w:t>
            </w:r>
          </w:p>
        </w:tc>
        <w:tc>
          <w:tcPr>
            <w:tcW w:w="1133" w:type="dxa"/>
            <w:tcMar>
              <w:top w:w="11" w:type="dxa"/>
              <w:left w:w="57" w:type="dxa"/>
              <w:bottom w:w="11" w:type="dxa"/>
              <w:right w:w="57" w:type="dxa"/>
            </w:tcMar>
          </w:tcPr>
          <w:p w14:paraId="782CF01B" w14:textId="125B0BB9" w:rsidR="00646F4F" w:rsidRPr="00735726" w:rsidRDefault="00083BB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31.5</w:t>
            </w:r>
          </w:p>
        </w:tc>
        <w:tc>
          <w:tcPr>
            <w:tcW w:w="1134" w:type="dxa"/>
          </w:tcPr>
          <w:p w14:paraId="6F0439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32.3</w:t>
            </w:r>
          </w:p>
        </w:tc>
      </w:tr>
      <w:tr w:rsidR="00646F4F" w:rsidRPr="00735726" w14:paraId="39BBFC89" w14:textId="77777777" w:rsidTr="00CE19B2">
        <w:trPr>
          <w:trHeight w:val="226"/>
        </w:trPr>
        <w:tc>
          <w:tcPr>
            <w:tcW w:w="7739" w:type="dxa"/>
            <w:tcMar>
              <w:top w:w="11" w:type="dxa"/>
              <w:left w:w="57" w:type="dxa"/>
              <w:bottom w:w="11" w:type="dxa"/>
              <w:right w:w="57" w:type="dxa"/>
            </w:tcMar>
          </w:tcPr>
          <w:p w14:paraId="505BB1E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Non-current</w:t>
            </w:r>
          </w:p>
        </w:tc>
        <w:tc>
          <w:tcPr>
            <w:tcW w:w="1133" w:type="dxa"/>
            <w:tcMar>
              <w:top w:w="11" w:type="dxa"/>
              <w:left w:w="57" w:type="dxa"/>
              <w:bottom w:w="11" w:type="dxa"/>
              <w:right w:w="57" w:type="dxa"/>
            </w:tcMar>
          </w:tcPr>
          <w:p w14:paraId="68C46286" w14:textId="39CAD3C4" w:rsidR="00646F4F" w:rsidRPr="00735726" w:rsidRDefault="00083BB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1,061.1</w:t>
            </w:r>
          </w:p>
        </w:tc>
        <w:tc>
          <w:tcPr>
            <w:tcW w:w="1134" w:type="dxa"/>
          </w:tcPr>
          <w:p w14:paraId="5104A1B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color w:val="000000"/>
                <w:sz w:val="18"/>
                <w:szCs w:val="18"/>
              </w:rPr>
              <w:t>1,013.3</w:t>
            </w:r>
          </w:p>
        </w:tc>
      </w:tr>
      <w:tr w:rsidR="00646F4F" w:rsidRPr="00735726" w14:paraId="486DD4B3" w14:textId="77777777" w:rsidTr="00CE19B2">
        <w:trPr>
          <w:trHeight w:val="226"/>
        </w:trPr>
        <w:tc>
          <w:tcPr>
            <w:tcW w:w="7739" w:type="dxa"/>
            <w:tcMar>
              <w:top w:w="11" w:type="dxa"/>
              <w:left w:w="57" w:type="dxa"/>
              <w:bottom w:w="11" w:type="dxa"/>
              <w:right w:w="57" w:type="dxa"/>
            </w:tcMar>
          </w:tcPr>
          <w:p w14:paraId="7BD3E98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sz w:val="18"/>
                <w:szCs w:val="18"/>
              </w:rPr>
            </w:pPr>
          </w:p>
        </w:tc>
        <w:tc>
          <w:tcPr>
            <w:tcW w:w="1133" w:type="dxa"/>
            <w:tcBorders>
              <w:top w:val="single" w:sz="4" w:space="0" w:color="auto"/>
              <w:bottom w:val="single" w:sz="4" w:space="0" w:color="auto"/>
            </w:tcBorders>
            <w:tcMar>
              <w:top w:w="11" w:type="dxa"/>
              <w:left w:w="57" w:type="dxa"/>
              <w:bottom w:w="11" w:type="dxa"/>
              <w:right w:w="57" w:type="dxa"/>
            </w:tcMar>
          </w:tcPr>
          <w:p w14:paraId="0BB41255" w14:textId="20DE3E62" w:rsidR="00646F4F" w:rsidRPr="00735726" w:rsidRDefault="00083BBC"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sz w:val="18"/>
                <w:szCs w:val="18"/>
              </w:rPr>
            </w:pPr>
            <w:r w:rsidRPr="00735726">
              <w:rPr>
                <w:rFonts w:ascii="Arial" w:eastAsia="Times New Roman" w:hAnsi="Arial" w:cs="DINOT-Light"/>
                <w:b/>
                <w:bCs/>
                <w:color w:val="000000"/>
                <w:sz w:val="18"/>
                <w:szCs w:val="18"/>
              </w:rPr>
              <w:t>1,092.6</w:t>
            </w:r>
          </w:p>
        </w:tc>
        <w:tc>
          <w:tcPr>
            <w:tcW w:w="1134" w:type="dxa"/>
            <w:tcBorders>
              <w:top w:val="single" w:sz="4" w:space="0" w:color="auto"/>
              <w:bottom w:val="single" w:sz="4" w:space="0" w:color="auto"/>
            </w:tcBorders>
          </w:tcPr>
          <w:p w14:paraId="162FF2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bCs/>
                <w:color w:val="000000"/>
                <w:sz w:val="18"/>
                <w:szCs w:val="18"/>
              </w:rPr>
              <w:t>1,045.6</w:t>
            </w:r>
          </w:p>
        </w:tc>
      </w:tr>
    </w:tbl>
    <w:p w14:paraId="3885A12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p w14:paraId="7983617A" w14:textId="6C19C4D5"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Lease liabilities </w:t>
      </w:r>
      <w:proofErr w:type="gramStart"/>
      <w:r w:rsidRPr="00735726">
        <w:rPr>
          <w:rFonts w:ascii="Arial" w:eastAsia="Times New Roman" w:hAnsi="Arial" w:cs="DINOT-Light"/>
          <w:sz w:val="18"/>
          <w:szCs w:val="18"/>
        </w:rPr>
        <w:t>includes</w:t>
      </w:r>
      <w:proofErr w:type="gramEnd"/>
      <w:r w:rsidRPr="00735726">
        <w:rPr>
          <w:rFonts w:ascii="Arial" w:eastAsia="Times New Roman" w:hAnsi="Arial" w:cs="DINOT-Light"/>
          <w:sz w:val="18"/>
          <w:szCs w:val="18"/>
        </w:rPr>
        <w:t xml:space="preserve"> liabilities of £</w:t>
      </w:r>
      <w:r w:rsidR="00083BBC" w:rsidRPr="00735726">
        <w:rPr>
          <w:rFonts w:ascii="Arial" w:eastAsia="Times New Roman" w:hAnsi="Arial" w:cs="DINOT-Light"/>
          <w:sz w:val="18"/>
          <w:szCs w:val="18"/>
        </w:rPr>
        <w:t>1,057.0</w:t>
      </w:r>
      <w:r w:rsidRPr="00735726">
        <w:rPr>
          <w:rFonts w:ascii="Arial" w:eastAsia="Times New Roman" w:hAnsi="Arial" w:cs="DINOT-Light"/>
          <w:sz w:val="18"/>
          <w:szCs w:val="18"/>
        </w:rPr>
        <w:t xml:space="preserve"> million (2025: £1,007.4 million) that are subject to secured financing arrangements (see </w:t>
      </w:r>
      <w:r w:rsidRPr="009A2CAE">
        <w:rPr>
          <w:rFonts w:ascii="Arial" w:eastAsia="Times New Roman" w:hAnsi="Arial" w:cs="DINOT-Light"/>
          <w:sz w:val="18"/>
          <w:szCs w:val="18"/>
        </w:rPr>
        <w:t>note 1</w:t>
      </w:r>
      <w:r w:rsidR="006836DD" w:rsidRPr="009A2CAE">
        <w:rPr>
          <w:rFonts w:ascii="Arial" w:eastAsia="Times New Roman" w:hAnsi="Arial" w:cs="DINOT-Light"/>
          <w:sz w:val="18"/>
          <w:szCs w:val="18"/>
        </w:rPr>
        <w:t>5</w:t>
      </w:r>
      <w:r w:rsidRPr="009A2CAE">
        <w:rPr>
          <w:rFonts w:ascii="Arial" w:eastAsia="Times New Roman" w:hAnsi="Arial" w:cs="DINOT-Light"/>
          <w:sz w:val="18"/>
          <w:szCs w:val="18"/>
        </w:rPr>
        <w:t xml:space="preserve">) </w:t>
      </w:r>
      <w:r w:rsidRPr="00735726">
        <w:rPr>
          <w:rFonts w:ascii="Arial" w:eastAsia="Times New Roman" w:hAnsi="Arial" w:cs="DINOT-Light"/>
          <w:sz w:val="18"/>
          <w:szCs w:val="18"/>
        </w:rPr>
        <w:t>and lease liabilities under IFRS 16 of £</w:t>
      </w:r>
      <w:r w:rsidR="00083BBC" w:rsidRPr="00735726">
        <w:rPr>
          <w:rFonts w:ascii="Arial" w:eastAsia="Times New Roman" w:hAnsi="Arial" w:cs="DINOT-Light"/>
          <w:sz w:val="18"/>
          <w:szCs w:val="18"/>
        </w:rPr>
        <w:t>35.6</w:t>
      </w:r>
      <w:r w:rsidRPr="00735726">
        <w:rPr>
          <w:rFonts w:ascii="Arial" w:eastAsia="Times New Roman" w:hAnsi="Arial" w:cs="DINOT-Light"/>
          <w:sz w:val="18"/>
          <w:szCs w:val="18"/>
        </w:rPr>
        <w:t xml:space="preserve"> million (2025: £38.2 million).</w:t>
      </w:r>
    </w:p>
    <w:p w14:paraId="403F7424"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5D57556E"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The Company does not face a significant liquidity risk </w:t>
      </w:r>
      <w:proofErr w:type="gramStart"/>
      <w:r w:rsidRPr="00735726">
        <w:rPr>
          <w:rFonts w:ascii="Arial" w:eastAsia="Times New Roman" w:hAnsi="Arial" w:cs="DINOT-Light"/>
          <w:sz w:val="18"/>
          <w:szCs w:val="18"/>
        </w:rPr>
        <w:t>with regard to</w:t>
      </w:r>
      <w:proofErr w:type="gramEnd"/>
      <w:r w:rsidRPr="00735726">
        <w:rPr>
          <w:rFonts w:ascii="Arial" w:eastAsia="Times New Roman" w:hAnsi="Arial" w:cs="DINOT-Light"/>
          <w:sz w:val="18"/>
          <w:szCs w:val="18"/>
        </w:rPr>
        <w:t xml:space="preserve"> its lease liabilities. Lease liabilities are monitored within the treasury function.</w:t>
      </w:r>
    </w:p>
    <w:p w14:paraId="7A753A51"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bookmarkEnd w:id="949"/>
    <w:p w14:paraId="2F440F15" w14:textId="225B6636" w:rsidR="00646F4F" w:rsidRPr="00735726" w:rsidRDefault="000F6414"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The discount rate used to calculate the lease liabilities above involves estimation. Where the Company cannot readily determine the rate implicit in the lease the Company uses an estimated incremental borrowing rate (IBR). </w:t>
      </w:r>
      <w:proofErr w:type="gramStart"/>
      <w:r w:rsidRPr="00735726">
        <w:rPr>
          <w:rFonts w:ascii="Arial" w:eastAsia="Times New Roman" w:hAnsi="Arial" w:cs="DINOT-Light"/>
          <w:sz w:val="18"/>
          <w:szCs w:val="18"/>
        </w:rPr>
        <w:t>At</w:t>
      </w:r>
      <w:proofErr w:type="gramEnd"/>
      <w:r w:rsidRPr="00735726">
        <w:rPr>
          <w:rFonts w:ascii="Arial" w:eastAsia="Times New Roman" w:hAnsi="Arial" w:cs="DINOT-Light"/>
          <w:sz w:val="18"/>
          <w:szCs w:val="18"/>
        </w:rPr>
        <w:t xml:space="preserve"> 31 March 2026 the range of IBRs used was between 5.7% and 7.9% (2025: between 5.1% and 6.9%) and the weighted average IBR across all leases was 6.3% (2025: 6.2%). If the weighted average rate used increased or decreased by 10bps, this would result in a c.0.9% increase or reduction in the present value of lease liabilities recognised </w:t>
      </w:r>
      <w:proofErr w:type="gramStart"/>
      <w:r w:rsidRPr="00735726">
        <w:rPr>
          <w:rFonts w:ascii="Arial" w:eastAsia="Times New Roman" w:hAnsi="Arial" w:cs="DINOT-Light"/>
          <w:sz w:val="18"/>
          <w:szCs w:val="18"/>
        </w:rPr>
        <w:t>at</w:t>
      </w:r>
      <w:proofErr w:type="gramEnd"/>
      <w:r w:rsidRPr="00735726">
        <w:rPr>
          <w:rFonts w:ascii="Arial" w:eastAsia="Times New Roman" w:hAnsi="Arial" w:cs="DINOT-Light"/>
          <w:sz w:val="18"/>
          <w:szCs w:val="18"/>
        </w:rPr>
        <w:t xml:space="preserve"> 31 March 2026 (2025 c.0.9%).</w:t>
      </w:r>
    </w:p>
    <w:p w14:paraId="1A158E40" w14:textId="77777777" w:rsidR="000F6414" w:rsidRPr="009A2CAE" w:rsidRDefault="000F6414"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2A82C43B" w14:textId="2924BB9D" w:rsidR="000F2058" w:rsidRPr="009A2CAE" w:rsidRDefault="00646F4F" w:rsidP="000F2058">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DINOT-Light"/>
          <w:sz w:val="18"/>
          <w:szCs w:val="18"/>
        </w:rPr>
        <w:t>The period for repayment of certain leases includes an agreement to deposit with the lessor group amounts equal to the difference between the original and revised payments due. The accumulated deposits, £</w:t>
      </w:r>
      <w:r w:rsidR="00083BBC" w:rsidRPr="00735726">
        <w:rPr>
          <w:rFonts w:ascii="Arial" w:eastAsia="Times New Roman" w:hAnsi="Arial" w:cs="DINOT-Light"/>
          <w:sz w:val="18"/>
          <w:szCs w:val="18"/>
        </w:rPr>
        <w:t>46.2</w:t>
      </w:r>
      <w:r w:rsidRPr="00735726">
        <w:rPr>
          <w:rFonts w:ascii="Arial" w:eastAsia="Times New Roman" w:hAnsi="Arial" w:cs="DINOT-Light"/>
          <w:sz w:val="18"/>
          <w:szCs w:val="18"/>
        </w:rPr>
        <w:t xml:space="preserve"> million at 31 </w:t>
      </w:r>
    </w:p>
    <w:p w14:paraId="61035B2A" w14:textId="75AED144"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March 2026 (2025: £46.1 million), are currently being held to settle the lease liability subject to rights to release by negotiation with the lessor. The deposits are subject to a registered charge given as security to the lessor for the balance outstanding.</w:t>
      </w:r>
    </w:p>
    <w:p w14:paraId="58CD3F7C"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55096118" w14:textId="6B63E6CB"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Cash outflows in respect of leasing relate to principal repayments of £</w:t>
      </w:r>
      <w:r w:rsidR="00E36B33" w:rsidRPr="00735726">
        <w:rPr>
          <w:rFonts w:ascii="Arial" w:eastAsia="Times New Roman" w:hAnsi="Arial" w:cs="DINOT-Light"/>
          <w:sz w:val="18"/>
          <w:szCs w:val="18"/>
        </w:rPr>
        <w:t>45.3</w:t>
      </w:r>
      <w:r w:rsidRPr="00735726">
        <w:rPr>
          <w:rFonts w:ascii="Arial" w:eastAsia="Times New Roman" w:hAnsi="Arial" w:cs="DINOT-Light"/>
          <w:sz w:val="18"/>
          <w:szCs w:val="18"/>
        </w:rPr>
        <w:t xml:space="preserve"> million (2025: £96.8 million) and interest repayments of £</w:t>
      </w:r>
      <w:r w:rsidR="00E36B33" w:rsidRPr="00735726">
        <w:rPr>
          <w:rFonts w:ascii="Arial" w:eastAsia="Times New Roman" w:hAnsi="Arial" w:cs="DINOT-Light"/>
          <w:sz w:val="18"/>
          <w:szCs w:val="18"/>
        </w:rPr>
        <w:t>51.1</w:t>
      </w:r>
      <w:r w:rsidRPr="00735726">
        <w:rPr>
          <w:rFonts w:ascii="Arial" w:eastAsia="Times New Roman" w:hAnsi="Arial" w:cs="DINOT-Light"/>
          <w:sz w:val="18"/>
          <w:szCs w:val="18"/>
        </w:rPr>
        <w:t xml:space="preserve"> million (2025: £64.3 million), in addition to inflows from lease financing arrangements of </w:t>
      </w:r>
      <w:r w:rsidR="00E36B33" w:rsidRPr="00735726">
        <w:rPr>
          <w:rFonts w:ascii="Arial" w:eastAsia="Times New Roman" w:hAnsi="Arial" w:cs="DINOT-Light"/>
          <w:sz w:val="18"/>
          <w:szCs w:val="18"/>
        </w:rPr>
        <w:t>£90.0</w:t>
      </w:r>
      <w:r w:rsidRPr="00735726">
        <w:rPr>
          <w:rFonts w:ascii="Arial" w:eastAsia="Times New Roman" w:hAnsi="Arial" w:cs="DINOT-Light"/>
          <w:sz w:val="18"/>
          <w:szCs w:val="18"/>
        </w:rPr>
        <w:t xml:space="preserve"> million (2025 £25</w:t>
      </w:r>
      <w:r w:rsidR="00E36B33" w:rsidRPr="00735726">
        <w:rPr>
          <w:rFonts w:ascii="Arial" w:eastAsia="Times New Roman" w:hAnsi="Arial" w:cs="DINOT-Light"/>
          <w:sz w:val="18"/>
          <w:szCs w:val="18"/>
        </w:rPr>
        <w:t>.0</w:t>
      </w:r>
      <w:r w:rsidRPr="00735726">
        <w:rPr>
          <w:rFonts w:ascii="Arial" w:eastAsia="Times New Roman" w:hAnsi="Arial" w:cs="DINOT-Light"/>
          <w:sz w:val="18"/>
          <w:szCs w:val="18"/>
        </w:rPr>
        <w:t xml:space="preserve"> million).</w:t>
      </w:r>
    </w:p>
    <w:p w14:paraId="63DEC8E2"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74CD66E8" w14:textId="0734D732"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Other information required to be disclosed under IFRS 16 is included in </w:t>
      </w:r>
      <w:r w:rsidRPr="009A2CAE">
        <w:rPr>
          <w:rFonts w:ascii="Arial" w:eastAsia="Times New Roman" w:hAnsi="Arial" w:cs="DINOT-Light"/>
          <w:sz w:val="18"/>
          <w:szCs w:val="18"/>
        </w:rPr>
        <w:t>note 1</w:t>
      </w:r>
      <w:r w:rsidR="006836DD" w:rsidRPr="009A2CAE">
        <w:rPr>
          <w:rFonts w:ascii="Arial" w:eastAsia="Times New Roman" w:hAnsi="Arial" w:cs="DINOT-Light"/>
          <w:sz w:val="18"/>
          <w:szCs w:val="18"/>
        </w:rPr>
        <w:t>5</w:t>
      </w:r>
      <w:r w:rsidRPr="009A2CAE">
        <w:rPr>
          <w:rFonts w:ascii="Arial" w:eastAsia="Times New Roman" w:hAnsi="Arial" w:cs="DINOT-Light"/>
          <w:sz w:val="18"/>
          <w:szCs w:val="18"/>
        </w:rPr>
        <w:t>.</w:t>
      </w:r>
    </w:p>
    <w:p w14:paraId="06F1C633"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Arial"/>
          <w:b/>
          <w:bCs/>
          <w:caps/>
          <w:color w:val="000000"/>
          <w:sz w:val="18"/>
          <w:szCs w:val="18"/>
        </w:rPr>
      </w:pPr>
    </w:p>
    <w:p w14:paraId="044D4602"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24.</w:t>
      </w:r>
      <w:r w:rsidRPr="00735726">
        <w:rPr>
          <w:rFonts w:ascii="Arial" w:eastAsia="Times New Roman" w:hAnsi="Arial" w:cs="Arial"/>
          <w:b/>
          <w:bCs/>
          <w:caps/>
          <w:color w:val="000000"/>
          <w:sz w:val="18"/>
          <w:szCs w:val="18"/>
        </w:rPr>
        <w:tab/>
        <w:t>Other non-current liabilities</w:t>
      </w:r>
    </w:p>
    <w:tbl>
      <w:tblPr>
        <w:tblW w:w="0" w:type="auto"/>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0E36CAAB" w14:textId="77777777" w:rsidTr="00CE19B2">
        <w:trPr>
          <w:trHeight w:val="60"/>
          <w:tblHeader/>
        </w:trPr>
        <w:tc>
          <w:tcPr>
            <w:tcW w:w="7739" w:type="dxa"/>
            <w:tcMar>
              <w:top w:w="11" w:type="dxa"/>
              <w:left w:w="57" w:type="dxa"/>
              <w:bottom w:w="11" w:type="dxa"/>
              <w:right w:w="57" w:type="dxa"/>
            </w:tcMar>
          </w:tcPr>
          <w:p w14:paraId="2383660A"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02EE40A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093361A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1334DC8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6DFC96E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10BBFB77" w14:textId="77777777" w:rsidTr="00CE19B2">
        <w:trPr>
          <w:trHeight w:val="226"/>
        </w:trPr>
        <w:tc>
          <w:tcPr>
            <w:tcW w:w="7739" w:type="dxa"/>
            <w:tcMar>
              <w:top w:w="11" w:type="dxa"/>
              <w:left w:w="57" w:type="dxa"/>
              <w:bottom w:w="11" w:type="dxa"/>
              <w:right w:w="57" w:type="dxa"/>
            </w:tcMar>
          </w:tcPr>
          <w:p w14:paraId="6709C5C7"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7CF564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6D166F6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796D58EA" w14:textId="77777777" w:rsidTr="00CE19B2">
        <w:trPr>
          <w:trHeight w:val="226"/>
        </w:trPr>
        <w:tc>
          <w:tcPr>
            <w:tcW w:w="7739" w:type="dxa"/>
            <w:tcMar>
              <w:top w:w="11" w:type="dxa"/>
              <w:left w:w="57" w:type="dxa"/>
              <w:bottom w:w="11" w:type="dxa"/>
              <w:right w:w="57" w:type="dxa"/>
            </w:tcMar>
          </w:tcPr>
          <w:p w14:paraId="16AAB74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50" w:name="XMETag_dad4102dee924b8bb1886e7072562c14" w:colFirst="1" w:colLast="1"/>
            <w:bookmarkStart w:id="951" w:name="XMETag_7f621e9c263a4b26839792a035aefefe" w:colFirst="2" w:colLast="2"/>
            <w:r w:rsidRPr="00735726">
              <w:rPr>
                <w:rFonts w:ascii="Arial" w:eastAsia="Times New Roman" w:hAnsi="Arial" w:cs="DINOT-Light"/>
                <w:color w:val="000000"/>
                <w:sz w:val="18"/>
                <w:szCs w:val="18"/>
              </w:rPr>
              <w:t>Contract liabilities</w:t>
            </w:r>
          </w:p>
        </w:tc>
        <w:tc>
          <w:tcPr>
            <w:tcW w:w="1133" w:type="dxa"/>
            <w:tcBorders>
              <w:bottom w:val="single" w:sz="4" w:space="0" w:color="auto"/>
            </w:tcBorders>
            <w:tcMar>
              <w:top w:w="11" w:type="dxa"/>
              <w:left w:w="57" w:type="dxa"/>
              <w:bottom w:w="11" w:type="dxa"/>
              <w:right w:w="57" w:type="dxa"/>
            </w:tcMar>
          </w:tcPr>
          <w:p w14:paraId="2E452D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206.1</w:t>
            </w:r>
          </w:p>
        </w:tc>
        <w:tc>
          <w:tcPr>
            <w:tcW w:w="1134" w:type="dxa"/>
            <w:tcBorders>
              <w:bottom w:val="single" w:sz="4" w:space="0" w:color="auto"/>
            </w:tcBorders>
            <w:tcMar>
              <w:top w:w="11" w:type="dxa"/>
              <w:left w:w="57" w:type="dxa"/>
              <w:bottom w:w="11" w:type="dxa"/>
              <w:right w:w="57" w:type="dxa"/>
            </w:tcMar>
          </w:tcPr>
          <w:p w14:paraId="2EE3EF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191.7</w:t>
            </w:r>
          </w:p>
        </w:tc>
      </w:tr>
      <w:bookmarkEnd w:id="950"/>
      <w:bookmarkEnd w:id="951"/>
    </w:tbl>
    <w:p w14:paraId="72F9104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57F16235" w14:textId="079F62BC"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Non-current contract liabilities relate to consideration received in advance of the Company performing its performance obligations to customers where performance obligations will not be completed within </w:t>
      </w:r>
      <w:r w:rsidR="009D1FA5" w:rsidRPr="00735726">
        <w:rPr>
          <w:rFonts w:ascii="Arial" w:eastAsia="Times New Roman" w:hAnsi="Arial" w:cs="DINOT-Light"/>
          <w:color w:val="000000"/>
          <w:sz w:val="18"/>
          <w:szCs w:val="18"/>
        </w:rPr>
        <w:t>12</w:t>
      </w:r>
      <w:r w:rsidRPr="00735726">
        <w:rPr>
          <w:rFonts w:ascii="Arial" w:eastAsia="Times New Roman" w:hAnsi="Arial" w:cs="DINOT-Light"/>
          <w:color w:val="000000"/>
          <w:sz w:val="18"/>
          <w:szCs w:val="18"/>
        </w:rPr>
        <w:t xml:space="preserve"> months of the balance sheet date. The overall movement in total contract liabilities is disclosed in </w:t>
      </w:r>
      <w:r w:rsidRPr="009A2CAE">
        <w:rPr>
          <w:rFonts w:ascii="Arial" w:eastAsia="Times New Roman" w:hAnsi="Arial" w:cs="DINOT-Light"/>
          <w:color w:val="000000"/>
          <w:sz w:val="18"/>
          <w:szCs w:val="18"/>
        </w:rPr>
        <w:t xml:space="preserve">note </w:t>
      </w:r>
      <w:r w:rsidR="006836DD" w:rsidRPr="009A2CAE">
        <w:rPr>
          <w:rFonts w:ascii="Arial" w:eastAsia="Times New Roman" w:hAnsi="Arial" w:cs="DINOT-Light"/>
          <w:color w:val="000000"/>
          <w:sz w:val="18"/>
          <w:szCs w:val="18"/>
        </w:rPr>
        <w:t>22</w:t>
      </w:r>
      <w:r w:rsidRPr="009A2CAE">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 xml:space="preserve">Contract liabilities reflect the fair value of assets transferred from customers. </w:t>
      </w:r>
      <w:proofErr w:type="gramStart"/>
      <w:r w:rsidRPr="00735726">
        <w:rPr>
          <w:rFonts w:ascii="Arial" w:eastAsia="Times New Roman" w:hAnsi="Arial" w:cs="DINOT-Light"/>
          <w:color w:val="000000"/>
          <w:sz w:val="18"/>
          <w:szCs w:val="18"/>
        </w:rPr>
        <w:t>The majority of</w:t>
      </w:r>
      <w:proofErr w:type="gramEnd"/>
      <w:r w:rsidRPr="00735726">
        <w:rPr>
          <w:rFonts w:ascii="Arial" w:eastAsia="Times New Roman" w:hAnsi="Arial" w:cs="DINOT-Light"/>
          <w:color w:val="000000"/>
          <w:sz w:val="18"/>
          <w:szCs w:val="18"/>
        </w:rPr>
        <w:t xml:space="preserve"> the contract liabilities included above are expected to unwind after five years.</w:t>
      </w:r>
    </w:p>
    <w:p w14:paraId="625167F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0A9C1430" w14:textId="77777777" w:rsidR="00411D0A" w:rsidRPr="00735726" w:rsidRDefault="00411D0A">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br w:type="page"/>
      </w:r>
    </w:p>
    <w:p w14:paraId="48DADCC6" w14:textId="7525F8F5" w:rsidR="00646F4F" w:rsidRPr="00735726" w:rsidRDefault="00646F4F" w:rsidP="009A6ACA">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25.</w:t>
      </w:r>
      <w:r w:rsidRPr="00735726">
        <w:rPr>
          <w:rFonts w:ascii="Arial" w:eastAsia="Times New Roman" w:hAnsi="Arial" w:cs="Arial"/>
          <w:b/>
          <w:bCs/>
          <w:caps/>
          <w:color w:val="000000"/>
          <w:sz w:val="18"/>
          <w:szCs w:val="18"/>
        </w:rPr>
        <w:tab/>
        <w:t xml:space="preserve">Retirement benefit </w:t>
      </w:r>
      <w:r w:rsidR="0078265F" w:rsidRPr="00735726">
        <w:rPr>
          <w:rFonts w:ascii="Arial" w:eastAsia="Times New Roman" w:hAnsi="Arial" w:cs="Arial"/>
          <w:b/>
          <w:bCs/>
          <w:caps/>
          <w:color w:val="000000"/>
          <w:sz w:val="18"/>
          <w:szCs w:val="18"/>
        </w:rPr>
        <w:t>OBLIGATIONS</w:t>
      </w:r>
    </w:p>
    <w:p w14:paraId="0F547751" w14:textId="6438F960"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Company’s employees are eligible to participate in a defined contribution scheme, operated by the parent </w:t>
      </w:r>
      <w:r w:rsidR="003B36A4"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ompany, Pennon Group plc. The Company is also a member of the Pennon Group defined benefit scheme which was closed to new members on or before 1 April 2008. The principal plan within the Group is the Pennon Group Pensions Scheme (PGPS), which is a funded defined benefit, final salary pensions scheme in the UK.</w:t>
      </w:r>
    </w:p>
    <w:p w14:paraId="36721AAB"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5275ED75"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Pennon Group’s pension schemes are established under trust law and comply with all relevant UK legislation. The assets of the scheme are held in separate trustee-administered funds. The trustees of the funds are required to act in the best interest of the funds’ beneficiaries. The appointment of the schemes’ trustees is determined by the schemes’ trust documentation. The Pennon Group has a policy for the PGPS that one-half of all trustees, other than the Chair, are nominated by members of the schemes, including pensioners. PGPS is closed to future accrual.</w:t>
      </w:r>
    </w:p>
    <w:p w14:paraId="11238B75"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BA9B4D7" w14:textId="332D23DA"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In June 2023, the High Court handed down a decision (Virgin Media Limited v NTL Pension Trustees II Limited and others) which potentially has implications for the validity of amendments made by schemes, including the PGPS and other Group defined benefit schemes, which were contracted-out on a salary-related basis between 6 April 1997 and the abolition of contracting-out in 2016. This decision was upheld by the Court of Appeal in August 2024. The Company has engaged with the relevant Trustee for PGPS and other Group defined benefit schemes who have confirmed that based on the governance processes in place and reviews of significant deed changes during the period in question, these bodies have no reason to believe that the relevant requirements were not complied with in relation to the Schemes with regard to the relevant period in question. Under the Pensions Schemes Act 2026, which came into force on 29 April 2026, the Trustees will be able to retrospectively validate amendments if required. </w:t>
      </w:r>
      <w:r w:rsidR="00991152" w:rsidRPr="00735726">
        <w:rPr>
          <w:rFonts w:ascii="Arial" w:eastAsia="Times New Roman" w:hAnsi="Arial" w:cs="DINOT-Light"/>
          <w:color w:val="000000"/>
          <w:sz w:val="18"/>
          <w:szCs w:val="18"/>
        </w:rPr>
        <w:t>Accordingly,</w:t>
      </w:r>
      <w:r w:rsidRPr="00735726">
        <w:rPr>
          <w:rFonts w:ascii="Arial" w:eastAsia="Times New Roman" w:hAnsi="Arial" w:cs="DINOT-Light"/>
          <w:color w:val="000000"/>
          <w:sz w:val="18"/>
          <w:szCs w:val="18"/>
        </w:rPr>
        <w:t xml:space="preserve"> no additional liabilities have been recognised.</w:t>
      </w:r>
    </w:p>
    <w:p w14:paraId="588B4B75"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72DABFE9"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olor w:val="000000"/>
          <w:sz w:val="18"/>
          <w:szCs w:val="18"/>
        </w:rPr>
      </w:pPr>
      <w:bookmarkStart w:id="952" w:name="XMETag_67e7d177680f4f68b01855eb124e788a"/>
      <w:r w:rsidRPr="00735726">
        <w:rPr>
          <w:rFonts w:ascii="Arial" w:eastAsia="Times New Roman" w:hAnsi="Arial" w:cs="Arial"/>
          <w:b/>
          <w:bCs/>
          <w:color w:val="000000"/>
          <w:sz w:val="18"/>
          <w:szCs w:val="18"/>
        </w:rPr>
        <w:t>Defined contribution schemes</w:t>
      </w:r>
      <w:bookmarkEnd w:id="952"/>
    </w:p>
    <w:p w14:paraId="4D0149E0" w14:textId="181B5E2B" w:rsidR="00646F4F" w:rsidRPr="00735726"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sz w:val="18"/>
          <w:szCs w:val="18"/>
        </w:rPr>
      </w:pPr>
      <w:r w:rsidRPr="00735726">
        <w:rPr>
          <w:rFonts w:ascii="Arial" w:eastAsia="Times New Roman" w:hAnsi="Arial" w:cs="DINOT-Light"/>
          <w:color w:val="000000"/>
          <w:sz w:val="18"/>
          <w:szCs w:val="18"/>
        </w:rPr>
        <w:t xml:space="preserve">Pension costs for defined </w:t>
      </w:r>
      <w:r w:rsidRPr="00735726">
        <w:rPr>
          <w:rFonts w:ascii="Arial" w:eastAsia="Times New Roman" w:hAnsi="Arial" w:cs="DINOT-Light"/>
          <w:sz w:val="18"/>
          <w:szCs w:val="18"/>
        </w:rPr>
        <w:t>contribution schemes were £10.7 million (202</w:t>
      </w:r>
      <w:r w:rsidR="004B6ECD" w:rsidRPr="00735726">
        <w:rPr>
          <w:rFonts w:ascii="Arial" w:eastAsia="Times New Roman" w:hAnsi="Arial" w:cs="DINOT-Light"/>
          <w:sz w:val="18"/>
          <w:szCs w:val="18"/>
        </w:rPr>
        <w:t>5</w:t>
      </w:r>
      <w:r w:rsidRPr="00735726">
        <w:rPr>
          <w:rFonts w:ascii="Arial" w:eastAsia="Times New Roman" w:hAnsi="Arial" w:cs="DINOT-Light"/>
          <w:sz w:val="18"/>
          <w:szCs w:val="18"/>
        </w:rPr>
        <w:t>: £10.3 million).</w:t>
      </w:r>
    </w:p>
    <w:p w14:paraId="457BF68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FACB4CA"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olor w:val="000000"/>
          <w:sz w:val="18"/>
          <w:szCs w:val="18"/>
        </w:rPr>
      </w:pPr>
      <w:bookmarkStart w:id="953" w:name="XMETag_5327c755177844178805a5c23619c4b4"/>
      <w:r w:rsidRPr="00735726">
        <w:rPr>
          <w:rFonts w:ascii="Arial" w:eastAsia="Times New Roman" w:hAnsi="Arial" w:cs="Arial"/>
          <w:b/>
          <w:bCs/>
          <w:color w:val="000000"/>
          <w:sz w:val="18"/>
          <w:szCs w:val="18"/>
        </w:rPr>
        <w:t>Defined benefit schemes</w:t>
      </w:r>
      <w:bookmarkEnd w:id="953"/>
    </w:p>
    <w:p w14:paraId="5FA081DF"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principal actuarial assumptions </w:t>
      </w:r>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31 March were:</w:t>
      </w:r>
    </w:p>
    <w:tbl>
      <w:tblPr>
        <w:tblW w:w="9973" w:type="dxa"/>
        <w:tblInd w:w="8" w:type="dxa"/>
        <w:tblLayout w:type="fixed"/>
        <w:tblCellMar>
          <w:left w:w="0" w:type="dxa"/>
          <w:right w:w="0" w:type="dxa"/>
        </w:tblCellMar>
        <w:tblLook w:val="0000" w:firstRow="0" w:lastRow="0" w:firstColumn="0" w:lastColumn="0" w:noHBand="0" w:noVBand="0"/>
      </w:tblPr>
      <w:tblGrid>
        <w:gridCol w:w="7428"/>
        <w:gridCol w:w="1273"/>
        <w:gridCol w:w="1272"/>
      </w:tblGrid>
      <w:tr w:rsidR="00646F4F" w:rsidRPr="00735726" w14:paraId="5E45A608" w14:textId="77777777" w:rsidTr="00CE19B2">
        <w:trPr>
          <w:trHeight w:val="69"/>
          <w:tblHeader/>
        </w:trPr>
        <w:tc>
          <w:tcPr>
            <w:tcW w:w="7428" w:type="dxa"/>
            <w:tcMar>
              <w:top w:w="11" w:type="dxa"/>
              <w:left w:w="57" w:type="dxa"/>
              <w:bottom w:w="11" w:type="dxa"/>
              <w:right w:w="57" w:type="dxa"/>
            </w:tcMar>
          </w:tcPr>
          <w:p w14:paraId="2BA335B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273" w:type="dxa"/>
            <w:tcMar>
              <w:top w:w="11" w:type="dxa"/>
              <w:left w:w="57" w:type="dxa"/>
              <w:bottom w:w="11" w:type="dxa"/>
              <w:right w:w="57" w:type="dxa"/>
            </w:tcMar>
          </w:tcPr>
          <w:p w14:paraId="2F50379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3371B0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272" w:type="dxa"/>
          </w:tcPr>
          <w:p w14:paraId="2B7C3A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57E098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r>
      <w:tr w:rsidR="00646F4F" w:rsidRPr="00735726" w14:paraId="5943F61B" w14:textId="77777777" w:rsidTr="00CE19B2">
        <w:trPr>
          <w:trHeight w:val="262"/>
        </w:trPr>
        <w:tc>
          <w:tcPr>
            <w:tcW w:w="7428" w:type="dxa"/>
            <w:tcMar>
              <w:top w:w="11" w:type="dxa"/>
              <w:left w:w="57" w:type="dxa"/>
              <w:bottom w:w="11" w:type="dxa"/>
              <w:right w:w="57" w:type="dxa"/>
            </w:tcMar>
          </w:tcPr>
          <w:p w14:paraId="30FF5F7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54" w:name="XMETag_6cd101439b3d47989047008996672829" w:colFirst="1" w:colLast="1"/>
            <w:bookmarkStart w:id="955" w:name="XMETag_e40fc33c9f9344008d4e603b4f8a5274" w:colFirst="2" w:colLast="2"/>
            <w:r w:rsidRPr="00735726">
              <w:rPr>
                <w:rFonts w:ascii="Arial" w:eastAsia="Times New Roman" w:hAnsi="Arial" w:cs="DINOT-Light"/>
                <w:color w:val="000000"/>
                <w:sz w:val="18"/>
                <w:szCs w:val="18"/>
              </w:rPr>
              <w:t>Rate of increase in pensionable pay</w:t>
            </w:r>
          </w:p>
        </w:tc>
        <w:tc>
          <w:tcPr>
            <w:tcW w:w="1273" w:type="dxa"/>
            <w:tcMar>
              <w:top w:w="11" w:type="dxa"/>
              <w:left w:w="57" w:type="dxa"/>
              <w:bottom w:w="11" w:type="dxa"/>
              <w:right w:w="57" w:type="dxa"/>
            </w:tcMar>
          </w:tcPr>
          <w:p w14:paraId="4FFE3AE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w:t>
            </w:r>
          </w:p>
        </w:tc>
        <w:tc>
          <w:tcPr>
            <w:tcW w:w="1272" w:type="dxa"/>
          </w:tcPr>
          <w:p w14:paraId="6726DEF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w:t>
            </w:r>
          </w:p>
        </w:tc>
      </w:tr>
      <w:tr w:rsidR="00646F4F" w:rsidRPr="00735726" w14:paraId="1B3F1E3B" w14:textId="77777777" w:rsidTr="00CE19B2">
        <w:trPr>
          <w:trHeight w:val="262"/>
        </w:trPr>
        <w:tc>
          <w:tcPr>
            <w:tcW w:w="7428" w:type="dxa"/>
            <w:tcMar>
              <w:top w:w="11" w:type="dxa"/>
              <w:left w:w="57" w:type="dxa"/>
              <w:bottom w:w="11" w:type="dxa"/>
              <w:right w:w="57" w:type="dxa"/>
            </w:tcMar>
          </w:tcPr>
          <w:p w14:paraId="1F453DE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56" w:name="XMETag_d9731f6160394c11a26a0b7b00ce42a6" w:colFirst="1" w:colLast="1"/>
            <w:bookmarkStart w:id="957" w:name="XMETag_9595e85a654640c0a810fec74e3dcdbd" w:colFirst="2" w:colLast="2"/>
            <w:bookmarkEnd w:id="954"/>
            <w:bookmarkEnd w:id="955"/>
            <w:r w:rsidRPr="00735726">
              <w:rPr>
                <w:rFonts w:ascii="Arial" w:eastAsia="Times New Roman" w:hAnsi="Arial" w:cs="DINOT-Light"/>
                <w:color w:val="000000"/>
                <w:sz w:val="18"/>
                <w:szCs w:val="18"/>
              </w:rPr>
              <w:t>Rate of increase for current and future pensions</w:t>
            </w:r>
          </w:p>
        </w:tc>
        <w:tc>
          <w:tcPr>
            <w:tcW w:w="1273" w:type="dxa"/>
            <w:tcMar>
              <w:top w:w="11" w:type="dxa"/>
              <w:left w:w="57" w:type="dxa"/>
              <w:bottom w:w="11" w:type="dxa"/>
              <w:right w:w="57" w:type="dxa"/>
            </w:tcMar>
          </w:tcPr>
          <w:p w14:paraId="3E63B2E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w:t>
            </w:r>
          </w:p>
        </w:tc>
        <w:tc>
          <w:tcPr>
            <w:tcW w:w="1272" w:type="dxa"/>
          </w:tcPr>
          <w:p w14:paraId="11D45E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w:t>
            </w:r>
          </w:p>
        </w:tc>
      </w:tr>
      <w:tr w:rsidR="00646F4F" w:rsidRPr="00735726" w14:paraId="1FC7F0F2" w14:textId="77777777" w:rsidTr="00CE19B2">
        <w:trPr>
          <w:trHeight w:val="262"/>
        </w:trPr>
        <w:tc>
          <w:tcPr>
            <w:tcW w:w="7428" w:type="dxa"/>
            <w:tcMar>
              <w:top w:w="11" w:type="dxa"/>
              <w:left w:w="57" w:type="dxa"/>
              <w:bottom w:w="11" w:type="dxa"/>
              <w:right w:w="57" w:type="dxa"/>
            </w:tcMar>
          </w:tcPr>
          <w:p w14:paraId="5F778BC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58" w:name="XMETag_d2d001229bb94795b547fe5839052769" w:colFirst="1" w:colLast="1"/>
            <w:bookmarkStart w:id="959" w:name="XMETag_feabcc879d31461e804556957e712df3" w:colFirst="2" w:colLast="2"/>
            <w:bookmarkEnd w:id="956"/>
            <w:bookmarkEnd w:id="957"/>
            <w:r w:rsidRPr="00735726">
              <w:rPr>
                <w:rFonts w:ascii="Arial" w:eastAsia="Times New Roman" w:hAnsi="Arial" w:cs="DINOT-Light"/>
                <w:color w:val="000000"/>
                <w:sz w:val="18"/>
                <w:szCs w:val="18"/>
              </w:rPr>
              <w:t>Rate used to discount schemes’ liabilities and expected return on scheme assets</w:t>
            </w:r>
          </w:p>
        </w:tc>
        <w:tc>
          <w:tcPr>
            <w:tcW w:w="1273" w:type="dxa"/>
            <w:tcMar>
              <w:top w:w="11" w:type="dxa"/>
              <w:left w:w="57" w:type="dxa"/>
              <w:bottom w:w="11" w:type="dxa"/>
              <w:right w:w="57" w:type="dxa"/>
            </w:tcMar>
          </w:tcPr>
          <w:p w14:paraId="083B5DE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6.1</w:t>
            </w:r>
          </w:p>
        </w:tc>
        <w:tc>
          <w:tcPr>
            <w:tcW w:w="1272" w:type="dxa"/>
          </w:tcPr>
          <w:p w14:paraId="688DB7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5.8</w:t>
            </w:r>
          </w:p>
        </w:tc>
      </w:tr>
      <w:bookmarkEnd w:id="958"/>
      <w:bookmarkEnd w:id="959"/>
      <w:tr w:rsidR="00646F4F" w:rsidRPr="00735726" w14:paraId="130FD6EB" w14:textId="77777777" w:rsidTr="00CE19B2">
        <w:trPr>
          <w:trHeight w:val="262"/>
        </w:trPr>
        <w:tc>
          <w:tcPr>
            <w:tcW w:w="7428" w:type="dxa"/>
            <w:tcMar>
              <w:top w:w="11" w:type="dxa"/>
              <w:left w:w="57" w:type="dxa"/>
              <w:bottom w:w="11" w:type="dxa"/>
              <w:right w:w="57" w:type="dxa"/>
            </w:tcMar>
          </w:tcPr>
          <w:p w14:paraId="5473416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Inflation</w:t>
            </w:r>
          </w:p>
        </w:tc>
        <w:tc>
          <w:tcPr>
            <w:tcW w:w="1273" w:type="dxa"/>
            <w:tcMar>
              <w:top w:w="11" w:type="dxa"/>
              <w:left w:w="57" w:type="dxa"/>
              <w:bottom w:w="11" w:type="dxa"/>
              <w:right w:w="57" w:type="dxa"/>
            </w:tcMar>
          </w:tcPr>
          <w:p w14:paraId="64A06C1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w:t>
            </w:r>
          </w:p>
        </w:tc>
        <w:tc>
          <w:tcPr>
            <w:tcW w:w="1272" w:type="dxa"/>
          </w:tcPr>
          <w:p w14:paraId="7960D6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3.1</w:t>
            </w:r>
          </w:p>
        </w:tc>
      </w:tr>
    </w:tbl>
    <w:p w14:paraId="61B4A074"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97C6CFC" w14:textId="445818E2" w:rsidR="00646F4F" w:rsidRPr="00735726"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Mortality</w:t>
      </w:r>
    </w:p>
    <w:p w14:paraId="656E007F" w14:textId="77777777" w:rsidR="00646F4F" w:rsidRPr="00735726" w:rsidRDefault="00646F4F" w:rsidP="00646F4F">
      <w:pPr>
        <w:widowControl w:val="0"/>
        <w:suppressAutoHyphens/>
        <w:autoSpaceDE w:val="0"/>
        <w:autoSpaceDN w:val="0"/>
        <w:adjustRightInd w:val="0"/>
        <w:spacing w:after="0"/>
        <w:ind w:right="-46"/>
        <w:textAlignment w:val="center"/>
        <w:rPr>
          <w:rFonts w:ascii="Arial" w:eastAsia="Times New Roman" w:hAnsi="Arial" w:cs="DINOT-Light"/>
          <w:color w:val="000000"/>
          <w:sz w:val="18"/>
          <w:szCs w:val="18"/>
        </w:rPr>
      </w:pPr>
      <w:bookmarkStart w:id="960" w:name="XMETag_c7347270c6db418dbf56635c207efb99"/>
      <w:r w:rsidRPr="00735726">
        <w:rPr>
          <w:rFonts w:ascii="Arial" w:eastAsia="Times New Roman" w:hAnsi="Arial" w:cs="DINOT-Light"/>
          <w:color w:val="000000"/>
          <w:sz w:val="18"/>
          <w:szCs w:val="18"/>
        </w:rPr>
        <w:t>Assumptions regarding future mortality experience are set based on actuarial advice in accordance with published statistics and experience. The mortality assumption uses a scheme-specific calculation based on CMI 2024 actuarial tables with an allowance for future longevity improvement.</w:t>
      </w:r>
      <w:bookmarkEnd w:id="960"/>
    </w:p>
    <w:p w14:paraId="4815F92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E033D89"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average life expectancy in years of a member having retired at age 62 on the balance sheet date is projected at:</w:t>
      </w:r>
    </w:p>
    <w:p w14:paraId="2D5C5C61"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10078" w:type="dxa"/>
        <w:tblInd w:w="8" w:type="dxa"/>
        <w:tblLayout w:type="fixed"/>
        <w:tblCellMar>
          <w:left w:w="0" w:type="dxa"/>
          <w:right w:w="0" w:type="dxa"/>
        </w:tblCellMar>
        <w:tblLook w:val="0000" w:firstRow="0" w:lastRow="0" w:firstColumn="0" w:lastColumn="0" w:noHBand="0" w:noVBand="0"/>
      </w:tblPr>
      <w:tblGrid>
        <w:gridCol w:w="7503"/>
        <w:gridCol w:w="1288"/>
        <w:gridCol w:w="1287"/>
      </w:tblGrid>
      <w:tr w:rsidR="00646F4F" w:rsidRPr="00735726" w14:paraId="2C7F2977" w14:textId="77777777" w:rsidTr="00CE19B2">
        <w:trPr>
          <w:trHeight w:val="66"/>
          <w:tblHeader/>
        </w:trPr>
        <w:tc>
          <w:tcPr>
            <w:tcW w:w="7503" w:type="dxa"/>
            <w:tcMar>
              <w:top w:w="11" w:type="dxa"/>
              <w:left w:w="57" w:type="dxa"/>
              <w:bottom w:w="11" w:type="dxa"/>
              <w:right w:w="57" w:type="dxa"/>
            </w:tcMar>
          </w:tcPr>
          <w:p w14:paraId="4B50C42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288" w:type="dxa"/>
            <w:tcMar>
              <w:top w:w="11" w:type="dxa"/>
              <w:left w:w="57" w:type="dxa"/>
              <w:bottom w:w="11" w:type="dxa"/>
              <w:right w:w="57" w:type="dxa"/>
            </w:tcMar>
          </w:tcPr>
          <w:p w14:paraId="748156D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tc>
        <w:tc>
          <w:tcPr>
            <w:tcW w:w="1287" w:type="dxa"/>
            <w:tcMar>
              <w:top w:w="11" w:type="dxa"/>
              <w:left w:w="57" w:type="dxa"/>
              <w:bottom w:w="11" w:type="dxa"/>
              <w:right w:w="57" w:type="dxa"/>
            </w:tcMar>
          </w:tcPr>
          <w:p w14:paraId="20EC838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6D288EA4" w14:textId="77777777" w:rsidTr="00CE19B2">
        <w:trPr>
          <w:trHeight w:val="252"/>
        </w:trPr>
        <w:tc>
          <w:tcPr>
            <w:tcW w:w="7503" w:type="dxa"/>
            <w:tcMar>
              <w:top w:w="11" w:type="dxa"/>
              <w:left w:w="57" w:type="dxa"/>
              <w:bottom w:w="11" w:type="dxa"/>
              <w:right w:w="57" w:type="dxa"/>
            </w:tcMar>
          </w:tcPr>
          <w:p w14:paraId="2566760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Male</w:t>
            </w:r>
          </w:p>
        </w:tc>
        <w:tc>
          <w:tcPr>
            <w:tcW w:w="1288" w:type="dxa"/>
            <w:tcMar>
              <w:top w:w="11" w:type="dxa"/>
              <w:left w:w="57" w:type="dxa"/>
              <w:bottom w:w="11" w:type="dxa"/>
              <w:right w:w="57" w:type="dxa"/>
            </w:tcMar>
          </w:tcPr>
          <w:p w14:paraId="66CA9C1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24.2</w:t>
            </w:r>
          </w:p>
        </w:tc>
        <w:tc>
          <w:tcPr>
            <w:tcW w:w="1287" w:type="dxa"/>
            <w:tcMar>
              <w:top w:w="11" w:type="dxa"/>
              <w:left w:w="57" w:type="dxa"/>
              <w:bottom w:w="11" w:type="dxa"/>
              <w:right w:w="57" w:type="dxa"/>
            </w:tcMar>
          </w:tcPr>
          <w:p w14:paraId="05D23AD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23.6</w:t>
            </w:r>
          </w:p>
        </w:tc>
      </w:tr>
      <w:tr w:rsidR="00646F4F" w:rsidRPr="00735726" w14:paraId="470AD680" w14:textId="77777777" w:rsidTr="00CE19B2">
        <w:trPr>
          <w:trHeight w:val="252"/>
        </w:trPr>
        <w:tc>
          <w:tcPr>
            <w:tcW w:w="7503" w:type="dxa"/>
            <w:tcMar>
              <w:top w:w="11" w:type="dxa"/>
              <w:left w:w="57" w:type="dxa"/>
              <w:bottom w:w="11" w:type="dxa"/>
              <w:right w:w="57" w:type="dxa"/>
            </w:tcMar>
          </w:tcPr>
          <w:p w14:paraId="47F5146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Female</w:t>
            </w:r>
          </w:p>
        </w:tc>
        <w:tc>
          <w:tcPr>
            <w:tcW w:w="1288" w:type="dxa"/>
            <w:tcMar>
              <w:top w:w="11" w:type="dxa"/>
              <w:left w:w="57" w:type="dxa"/>
              <w:bottom w:w="11" w:type="dxa"/>
              <w:right w:w="57" w:type="dxa"/>
            </w:tcMar>
          </w:tcPr>
          <w:p w14:paraId="201D745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26.7</w:t>
            </w:r>
          </w:p>
        </w:tc>
        <w:tc>
          <w:tcPr>
            <w:tcW w:w="1287" w:type="dxa"/>
            <w:tcMar>
              <w:top w:w="11" w:type="dxa"/>
              <w:left w:w="57" w:type="dxa"/>
              <w:bottom w:w="11" w:type="dxa"/>
              <w:right w:w="57" w:type="dxa"/>
            </w:tcMar>
          </w:tcPr>
          <w:p w14:paraId="2504DF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26.4</w:t>
            </w:r>
          </w:p>
        </w:tc>
      </w:tr>
    </w:tbl>
    <w:p w14:paraId="05D3BF3A"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75BB59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average life expectancy in years of a future pensioner retiring at age 62, 20 years after the balance sheet date, is projected as:</w:t>
      </w:r>
    </w:p>
    <w:p w14:paraId="04513693"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10092" w:type="dxa"/>
        <w:tblInd w:w="8" w:type="dxa"/>
        <w:tblLayout w:type="fixed"/>
        <w:tblCellMar>
          <w:left w:w="0" w:type="dxa"/>
          <w:right w:w="0" w:type="dxa"/>
        </w:tblCellMar>
        <w:tblLook w:val="0000" w:firstRow="0" w:lastRow="0" w:firstColumn="0" w:lastColumn="0" w:noHBand="0" w:noVBand="0"/>
      </w:tblPr>
      <w:tblGrid>
        <w:gridCol w:w="7515"/>
        <w:gridCol w:w="1289"/>
        <w:gridCol w:w="1288"/>
      </w:tblGrid>
      <w:tr w:rsidR="00646F4F" w:rsidRPr="00735726" w14:paraId="0127C813" w14:textId="77777777" w:rsidTr="00CE19B2">
        <w:trPr>
          <w:trHeight w:val="76"/>
          <w:tblHeader/>
        </w:trPr>
        <w:tc>
          <w:tcPr>
            <w:tcW w:w="7515" w:type="dxa"/>
            <w:tcMar>
              <w:top w:w="11" w:type="dxa"/>
              <w:left w:w="57" w:type="dxa"/>
              <w:bottom w:w="11" w:type="dxa"/>
              <w:right w:w="57" w:type="dxa"/>
            </w:tcMar>
          </w:tcPr>
          <w:p w14:paraId="3AA7500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289" w:type="dxa"/>
            <w:tcMar>
              <w:top w:w="11" w:type="dxa"/>
              <w:left w:w="57" w:type="dxa"/>
              <w:bottom w:w="11" w:type="dxa"/>
              <w:right w:w="57" w:type="dxa"/>
            </w:tcMar>
          </w:tcPr>
          <w:p w14:paraId="3FB650A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tc>
        <w:tc>
          <w:tcPr>
            <w:tcW w:w="1288" w:type="dxa"/>
            <w:tcMar>
              <w:top w:w="11" w:type="dxa"/>
              <w:left w:w="57" w:type="dxa"/>
              <w:bottom w:w="11" w:type="dxa"/>
              <w:right w:w="57" w:type="dxa"/>
            </w:tcMar>
          </w:tcPr>
          <w:p w14:paraId="5041A36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3018DE06" w14:textId="77777777" w:rsidTr="00CE19B2">
        <w:trPr>
          <w:trHeight w:val="289"/>
        </w:trPr>
        <w:tc>
          <w:tcPr>
            <w:tcW w:w="7515" w:type="dxa"/>
            <w:tcMar>
              <w:top w:w="11" w:type="dxa"/>
              <w:left w:w="57" w:type="dxa"/>
              <w:bottom w:w="11" w:type="dxa"/>
              <w:right w:w="57" w:type="dxa"/>
            </w:tcMar>
          </w:tcPr>
          <w:p w14:paraId="6E331FD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Male</w:t>
            </w:r>
          </w:p>
        </w:tc>
        <w:tc>
          <w:tcPr>
            <w:tcW w:w="1289" w:type="dxa"/>
            <w:tcMar>
              <w:top w:w="11" w:type="dxa"/>
              <w:left w:w="57" w:type="dxa"/>
              <w:bottom w:w="11" w:type="dxa"/>
              <w:right w:w="57" w:type="dxa"/>
            </w:tcMar>
          </w:tcPr>
          <w:p w14:paraId="3A59A25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25.0</w:t>
            </w:r>
          </w:p>
        </w:tc>
        <w:tc>
          <w:tcPr>
            <w:tcW w:w="1288" w:type="dxa"/>
            <w:tcMar>
              <w:top w:w="11" w:type="dxa"/>
              <w:left w:w="57" w:type="dxa"/>
              <w:bottom w:w="11" w:type="dxa"/>
              <w:right w:w="57" w:type="dxa"/>
            </w:tcMar>
          </w:tcPr>
          <w:p w14:paraId="1BB5FF8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24.4</w:t>
            </w:r>
          </w:p>
        </w:tc>
      </w:tr>
      <w:tr w:rsidR="00646F4F" w:rsidRPr="00735726" w14:paraId="218A9307" w14:textId="77777777" w:rsidTr="00CE19B2">
        <w:trPr>
          <w:trHeight w:val="289"/>
        </w:trPr>
        <w:tc>
          <w:tcPr>
            <w:tcW w:w="7515" w:type="dxa"/>
            <w:tcMar>
              <w:top w:w="11" w:type="dxa"/>
              <w:left w:w="57" w:type="dxa"/>
              <w:bottom w:w="11" w:type="dxa"/>
              <w:right w:w="57" w:type="dxa"/>
            </w:tcMar>
          </w:tcPr>
          <w:p w14:paraId="450A48F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Female</w:t>
            </w:r>
          </w:p>
        </w:tc>
        <w:tc>
          <w:tcPr>
            <w:tcW w:w="1289" w:type="dxa"/>
            <w:tcMar>
              <w:top w:w="11" w:type="dxa"/>
              <w:left w:w="57" w:type="dxa"/>
              <w:bottom w:w="11" w:type="dxa"/>
              <w:right w:w="57" w:type="dxa"/>
            </w:tcMar>
          </w:tcPr>
          <w:p w14:paraId="369D51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27.7</w:t>
            </w:r>
          </w:p>
        </w:tc>
        <w:tc>
          <w:tcPr>
            <w:tcW w:w="1288" w:type="dxa"/>
            <w:tcMar>
              <w:top w:w="11" w:type="dxa"/>
              <w:left w:w="57" w:type="dxa"/>
              <w:bottom w:w="11" w:type="dxa"/>
              <w:right w:w="57" w:type="dxa"/>
            </w:tcMar>
          </w:tcPr>
          <w:p w14:paraId="4C52DA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27.4</w:t>
            </w:r>
          </w:p>
        </w:tc>
      </w:tr>
    </w:tbl>
    <w:p w14:paraId="52BFFCE3" w14:textId="77777777" w:rsidR="00B9553C" w:rsidRPr="00735726" w:rsidRDefault="00B9553C" w:rsidP="00646F4F">
      <w:pPr>
        <w:spacing w:after="160" w:line="259" w:lineRule="auto"/>
        <w:rPr>
          <w:rFonts w:ascii="Arial" w:eastAsia="Times New Roman" w:hAnsi="Arial" w:cs="Arial"/>
          <w:b/>
          <w:bCs/>
          <w:caps/>
          <w:color w:val="000000"/>
          <w:sz w:val="18"/>
          <w:szCs w:val="18"/>
        </w:rPr>
      </w:pPr>
    </w:p>
    <w:p w14:paraId="101E8BF6" w14:textId="77777777" w:rsidR="00B9553C" w:rsidRPr="00735726" w:rsidRDefault="00B9553C" w:rsidP="00646F4F">
      <w:pPr>
        <w:spacing w:after="160" w:line="259" w:lineRule="auto"/>
        <w:rPr>
          <w:rFonts w:ascii="Arial" w:eastAsia="Times New Roman" w:hAnsi="Arial" w:cs="Arial"/>
          <w:b/>
          <w:bCs/>
          <w:caps/>
          <w:color w:val="000000"/>
          <w:sz w:val="18"/>
          <w:szCs w:val="18"/>
        </w:rPr>
      </w:pPr>
    </w:p>
    <w:p w14:paraId="2DB2BB7A" w14:textId="77777777" w:rsidR="00411D0A" w:rsidRPr="00735726" w:rsidRDefault="00411D0A" w:rsidP="00411D0A">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25.</w:t>
      </w:r>
      <w:r w:rsidRPr="00735726">
        <w:rPr>
          <w:rFonts w:ascii="Arial" w:eastAsia="Times New Roman" w:hAnsi="Arial" w:cs="Arial"/>
          <w:b/>
          <w:bCs/>
          <w:caps/>
          <w:color w:val="000000"/>
          <w:sz w:val="18"/>
          <w:szCs w:val="18"/>
        </w:rPr>
        <w:tab/>
        <w:t>Retirement benefit OBLIGATIONS (CONTINUEd)</w:t>
      </w:r>
    </w:p>
    <w:p w14:paraId="4C50ABEF"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sensitivities regarding the principal assumptions used to measure the schemes’ liabilities are: </w:t>
      </w:r>
    </w:p>
    <w:tbl>
      <w:tblPr>
        <w:tblW w:w="0" w:type="auto"/>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48E2FB81" w14:textId="77777777" w:rsidTr="00CE19B2">
        <w:trPr>
          <w:trHeight w:val="60"/>
          <w:tblHeader/>
        </w:trPr>
        <w:tc>
          <w:tcPr>
            <w:tcW w:w="7739" w:type="dxa"/>
            <w:tcMar>
              <w:top w:w="11" w:type="dxa"/>
              <w:left w:w="57" w:type="dxa"/>
              <w:bottom w:w="11" w:type="dxa"/>
              <w:right w:w="57" w:type="dxa"/>
            </w:tcMar>
          </w:tcPr>
          <w:p w14:paraId="4DE0D2C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450400A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599DC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Change in assumption</w:t>
            </w:r>
          </w:p>
        </w:tc>
        <w:tc>
          <w:tcPr>
            <w:tcW w:w="1134" w:type="dxa"/>
            <w:tcMar>
              <w:top w:w="11" w:type="dxa"/>
              <w:left w:w="57" w:type="dxa"/>
              <w:bottom w:w="11" w:type="dxa"/>
              <w:right w:w="57" w:type="dxa"/>
            </w:tcMar>
          </w:tcPr>
          <w:p w14:paraId="3A9A34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Impact on schemes’ liabilities</w:t>
            </w:r>
          </w:p>
        </w:tc>
      </w:tr>
      <w:tr w:rsidR="00646F4F" w:rsidRPr="00735726" w14:paraId="60F08BAC" w14:textId="77777777" w:rsidTr="00CE19B2">
        <w:trPr>
          <w:trHeight w:val="226"/>
        </w:trPr>
        <w:tc>
          <w:tcPr>
            <w:tcW w:w="7739" w:type="dxa"/>
            <w:tcMar>
              <w:top w:w="11" w:type="dxa"/>
              <w:left w:w="57" w:type="dxa"/>
              <w:bottom w:w="11" w:type="dxa"/>
              <w:right w:w="57" w:type="dxa"/>
            </w:tcMar>
          </w:tcPr>
          <w:p w14:paraId="46D761F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Rate of increase in current and future pensions</w:t>
            </w:r>
          </w:p>
        </w:tc>
        <w:tc>
          <w:tcPr>
            <w:tcW w:w="1133" w:type="dxa"/>
            <w:tcMar>
              <w:top w:w="11" w:type="dxa"/>
              <w:left w:w="57" w:type="dxa"/>
              <w:bottom w:w="11" w:type="dxa"/>
              <w:right w:w="57" w:type="dxa"/>
            </w:tcMar>
          </w:tcPr>
          <w:p w14:paraId="4FD66CB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+/- 0.5%</w:t>
            </w:r>
          </w:p>
        </w:tc>
        <w:tc>
          <w:tcPr>
            <w:tcW w:w="1134" w:type="dxa"/>
            <w:tcMar>
              <w:top w:w="11" w:type="dxa"/>
              <w:left w:w="57" w:type="dxa"/>
              <w:bottom w:w="11" w:type="dxa"/>
              <w:right w:w="57" w:type="dxa"/>
            </w:tcMar>
          </w:tcPr>
          <w:p w14:paraId="701496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+/-4.6%</w:t>
            </w:r>
          </w:p>
        </w:tc>
      </w:tr>
      <w:tr w:rsidR="00646F4F" w:rsidRPr="00735726" w14:paraId="074F39FF" w14:textId="77777777" w:rsidTr="00CE19B2">
        <w:trPr>
          <w:trHeight w:val="226"/>
        </w:trPr>
        <w:tc>
          <w:tcPr>
            <w:tcW w:w="7739" w:type="dxa"/>
            <w:tcMar>
              <w:top w:w="11" w:type="dxa"/>
              <w:left w:w="57" w:type="dxa"/>
              <w:bottom w:w="11" w:type="dxa"/>
              <w:right w:w="57" w:type="dxa"/>
            </w:tcMar>
          </w:tcPr>
          <w:p w14:paraId="072B2EC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Rate used to discount schemes’ liabilities</w:t>
            </w:r>
          </w:p>
        </w:tc>
        <w:tc>
          <w:tcPr>
            <w:tcW w:w="1133" w:type="dxa"/>
            <w:tcMar>
              <w:top w:w="11" w:type="dxa"/>
              <w:left w:w="57" w:type="dxa"/>
              <w:bottom w:w="11" w:type="dxa"/>
              <w:right w:w="57" w:type="dxa"/>
            </w:tcMar>
          </w:tcPr>
          <w:p w14:paraId="1EADAA2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+/- 0.5%</w:t>
            </w:r>
          </w:p>
        </w:tc>
        <w:tc>
          <w:tcPr>
            <w:tcW w:w="1134" w:type="dxa"/>
            <w:tcMar>
              <w:top w:w="11" w:type="dxa"/>
              <w:left w:w="57" w:type="dxa"/>
              <w:bottom w:w="11" w:type="dxa"/>
              <w:right w:w="57" w:type="dxa"/>
            </w:tcMar>
          </w:tcPr>
          <w:p w14:paraId="0766A18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+/- 5.4%</w:t>
            </w:r>
          </w:p>
        </w:tc>
      </w:tr>
      <w:tr w:rsidR="00646F4F" w:rsidRPr="00735726" w14:paraId="1A418260" w14:textId="77777777" w:rsidTr="00CE19B2">
        <w:trPr>
          <w:trHeight w:val="226"/>
        </w:trPr>
        <w:tc>
          <w:tcPr>
            <w:tcW w:w="7739" w:type="dxa"/>
            <w:tcMar>
              <w:top w:w="11" w:type="dxa"/>
              <w:left w:w="57" w:type="dxa"/>
              <w:bottom w:w="11" w:type="dxa"/>
              <w:right w:w="57" w:type="dxa"/>
            </w:tcMar>
          </w:tcPr>
          <w:p w14:paraId="0570947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Inflation</w:t>
            </w:r>
          </w:p>
        </w:tc>
        <w:tc>
          <w:tcPr>
            <w:tcW w:w="1133" w:type="dxa"/>
            <w:tcMar>
              <w:top w:w="11" w:type="dxa"/>
              <w:left w:w="57" w:type="dxa"/>
              <w:bottom w:w="11" w:type="dxa"/>
              <w:right w:w="57" w:type="dxa"/>
            </w:tcMar>
          </w:tcPr>
          <w:p w14:paraId="4AFCBF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+/- 0.5%</w:t>
            </w:r>
          </w:p>
        </w:tc>
        <w:tc>
          <w:tcPr>
            <w:tcW w:w="1134" w:type="dxa"/>
            <w:tcMar>
              <w:top w:w="11" w:type="dxa"/>
              <w:left w:w="57" w:type="dxa"/>
              <w:bottom w:w="11" w:type="dxa"/>
              <w:right w:w="57" w:type="dxa"/>
            </w:tcMar>
          </w:tcPr>
          <w:p w14:paraId="5D4E272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+/- 3.8%</w:t>
            </w:r>
          </w:p>
        </w:tc>
      </w:tr>
      <w:tr w:rsidR="00646F4F" w:rsidRPr="00735726" w14:paraId="1E1542C8" w14:textId="77777777" w:rsidTr="00CE19B2">
        <w:trPr>
          <w:trHeight w:val="226"/>
        </w:trPr>
        <w:tc>
          <w:tcPr>
            <w:tcW w:w="7739" w:type="dxa"/>
            <w:tcMar>
              <w:top w:w="11" w:type="dxa"/>
              <w:left w:w="57" w:type="dxa"/>
              <w:bottom w:w="11" w:type="dxa"/>
              <w:right w:w="57" w:type="dxa"/>
            </w:tcMar>
          </w:tcPr>
          <w:p w14:paraId="5E3369F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Life expectancy</w:t>
            </w:r>
          </w:p>
        </w:tc>
        <w:tc>
          <w:tcPr>
            <w:tcW w:w="1133" w:type="dxa"/>
            <w:tcMar>
              <w:top w:w="11" w:type="dxa"/>
              <w:left w:w="57" w:type="dxa"/>
              <w:bottom w:w="11" w:type="dxa"/>
              <w:right w:w="57" w:type="dxa"/>
            </w:tcMar>
          </w:tcPr>
          <w:p w14:paraId="757572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+/- 1 year</w:t>
            </w:r>
          </w:p>
        </w:tc>
        <w:tc>
          <w:tcPr>
            <w:tcW w:w="1134" w:type="dxa"/>
            <w:tcMar>
              <w:top w:w="11" w:type="dxa"/>
              <w:left w:w="57" w:type="dxa"/>
              <w:bottom w:w="11" w:type="dxa"/>
              <w:right w:w="57" w:type="dxa"/>
            </w:tcMar>
          </w:tcPr>
          <w:p w14:paraId="35A88C2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+/- 3.5%</w:t>
            </w:r>
          </w:p>
        </w:tc>
      </w:tr>
    </w:tbl>
    <w:p w14:paraId="30AFB63E"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FEF3C37" w14:textId="77777777" w:rsidR="00646F4F" w:rsidRPr="00735726" w:rsidRDefault="00646F4F" w:rsidP="00646F4F">
      <w:pPr>
        <w:autoSpaceDE w:val="0"/>
        <w:autoSpaceDN w:val="0"/>
        <w:adjustRightInd w:val="0"/>
        <w:spacing w:after="0"/>
        <w:rPr>
          <w:rFonts w:ascii="Arial" w:eastAsia="Calibri" w:hAnsi="Arial" w:cs="Arial"/>
          <w:sz w:val="18"/>
          <w:szCs w:val="18"/>
        </w:rPr>
      </w:pPr>
      <w:r w:rsidRPr="00735726">
        <w:rPr>
          <w:rFonts w:ascii="Arial" w:eastAsia="Calibri" w:hAnsi="Arial" w:cs="Arial"/>
          <w:sz w:val="18"/>
          <w:szCs w:val="18"/>
        </w:rPr>
        <w:t xml:space="preserve">The sensitivity analysis shows the effect of changes in the principal assumptions used for the measurement of the pension liability. The method used to calculate the sensitivities is approximate and has been determined </w:t>
      </w:r>
      <w:proofErr w:type="gramStart"/>
      <w:r w:rsidRPr="00735726">
        <w:rPr>
          <w:rFonts w:ascii="Arial" w:eastAsia="Calibri" w:hAnsi="Arial" w:cs="Arial"/>
          <w:sz w:val="18"/>
          <w:szCs w:val="18"/>
        </w:rPr>
        <w:t>taking into account</w:t>
      </w:r>
      <w:proofErr w:type="gramEnd"/>
      <w:r w:rsidRPr="00735726">
        <w:rPr>
          <w:rFonts w:ascii="Arial" w:eastAsia="Calibri" w:hAnsi="Arial" w:cs="Arial"/>
          <w:sz w:val="18"/>
          <w:szCs w:val="18"/>
        </w:rPr>
        <w:t xml:space="preserve"> the duration of the liabilities and the overall profile of each scheme’s membership. This is the same approach as has been adopted in previous years.</w:t>
      </w:r>
      <w:r w:rsidRPr="00735726">
        <w:rPr>
          <w:rFonts w:ascii="Calibri" w:eastAsia="Calibri" w:hAnsi="Calibri" w:cs="Times New Roman"/>
        </w:rPr>
        <w:t xml:space="preserve"> </w:t>
      </w:r>
    </w:p>
    <w:p w14:paraId="77E6060F" w14:textId="77777777" w:rsidR="00646F4F" w:rsidRPr="00735726" w:rsidRDefault="00646F4F" w:rsidP="00646F4F">
      <w:pPr>
        <w:autoSpaceDE w:val="0"/>
        <w:autoSpaceDN w:val="0"/>
        <w:adjustRightInd w:val="0"/>
        <w:spacing w:after="0"/>
        <w:rPr>
          <w:rFonts w:ascii="Arial" w:eastAsia="Calibri" w:hAnsi="Arial" w:cs="DINOT-Light"/>
          <w:color w:val="000000"/>
          <w:sz w:val="18"/>
          <w:szCs w:val="18"/>
        </w:rPr>
      </w:pP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36E7BB72" w14:textId="77777777" w:rsidTr="00CE19B2">
        <w:trPr>
          <w:trHeight w:val="60"/>
          <w:tblHeader/>
        </w:trPr>
        <w:tc>
          <w:tcPr>
            <w:tcW w:w="7739" w:type="dxa"/>
            <w:tcMar>
              <w:top w:w="11" w:type="dxa"/>
              <w:left w:w="57" w:type="dxa"/>
              <w:bottom w:w="11" w:type="dxa"/>
              <w:right w:w="57" w:type="dxa"/>
            </w:tcMar>
          </w:tcPr>
          <w:p w14:paraId="4E8365D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amounts recognised in the balance sheet were: </w:t>
            </w:r>
          </w:p>
          <w:p w14:paraId="21E77ED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48FACB3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5853ACA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1D13D6D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1D26C5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737BA0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68C5354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7098F4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32150726" w14:textId="77777777" w:rsidTr="00CE19B2">
        <w:trPr>
          <w:trHeight w:val="226"/>
        </w:trPr>
        <w:tc>
          <w:tcPr>
            <w:tcW w:w="7739" w:type="dxa"/>
            <w:tcMar>
              <w:top w:w="11" w:type="dxa"/>
              <w:left w:w="57" w:type="dxa"/>
              <w:bottom w:w="11" w:type="dxa"/>
              <w:right w:w="57" w:type="dxa"/>
            </w:tcMar>
          </w:tcPr>
          <w:p w14:paraId="730ED70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61" w:name="XMETag_d7494afa1ee848d9b811cceb1ca47457" w:colFirst="1" w:colLast="1"/>
            <w:bookmarkStart w:id="962" w:name="XMETag_0ed166c960b84e86b650943f424c84c3" w:colFirst="2" w:colLast="2"/>
            <w:r w:rsidRPr="00735726">
              <w:rPr>
                <w:rFonts w:ascii="Arial" w:eastAsia="Times New Roman" w:hAnsi="Arial" w:cs="DINOT-Light"/>
                <w:color w:val="000000"/>
                <w:sz w:val="18"/>
                <w:szCs w:val="18"/>
              </w:rPr>
              <w:t>Present value of financial obligations</w:t>
            </w:r>
          </w:p>
        </w:tc>
        <w:tc>
          <w:tcPr>
            <w:tcW w:w="1133" w:type="dxa"/>
            <w:tcMar>
              <w:top w:w="11" w:type="dxa"/>
              <w:left w:w="57" w:type="dxa"/>
              <w:bottom w:w="11" w:type="dxa"/>
              <w:right w:w="57" w:type="dxa"/>
            </w:tcMar>
          </w:tcPr>
          <w:p w14:paraId="1B5D41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(394.4)</w:t>
            </w:r>
          </w:p>
        </w:tc>
        <w:tc>
          <w:tcPr>
            <w:tcW w:w="1134" w:type="dxa"/>
            <w:tcMar>
              <w:top w:w="11" w:type="dxa"/>
              <w:left w:w="57" w:type="dxa"/>
              <w:bottom w:w="11" w:type="dxa"/>
              <w:right w:w="57" w:type="dxa"/>
            </w:tcMar>
          </w:tcPr>
          <w:p w14:paraId="63AE558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(402.3)</w:t>
            </w:r>
          </w:p>
        </w:tc>
      </w:tr>
      <w:tr w:rsidR="00646F4F" w:rsidRPr="00735726" w14:paraId="552A24EF" w14:textId="77777777" w:rsidTr="00CE19B2">
        <w:trPr>
          <w:trHeight w:val="226"/>
        </w:trPr>
        <w:tc>
          <w:tcPr>
            <w:tcW w:w="7739" w:type="dxa"/>
            <w:tcMar>
              <w:top w:w="11" w:type="dxa"/>
              <w:left w:w="57" w:type="dxa"/>
              <w:bottom w:w="11" w:type="dxa"/>
              <w:right w:w="57" w:type="dxa"/>
            </w:tcMar>
          </w:tcPr>
          <w:p w14:paraId="6BBFF91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63" w:name="XMETag_0d1c88d2bf234084a00ca601c353f61b" w:colFirst="1" w:colLast="1"/>
            <w:bookmarkStart w:id="964" w:name="XMETag_aeddd0132bed48aabcbaebf184e06d06" w:colFirst="2" w:colLast="2"/>
            <w:bookmarkEnd w:id="961"/>
            <w:bookmarkEnd w:id="962"/>
            <w:r w:rsidRPr="00735726">
              <w:rPr>
                <w:rFonts w:ascii="Arial" w:eastAsia="Times New Roman" w:hAnsi="Arial" w:cs="DINOT-Light"/>
                <w:color w:val="000000"/>
                <w:sz w:val="18"/>
                <w:szCs w:val="18"/>
              </w:rPr>
              <w:t>Fair value of plan assets</w:t>
            </w:r>
          </w:p>
        </w:tc>
        <w:tc>
          <w:tcPr>
            <w:tcW w:w="1133" w:type="dxa"/>
            <w:tcBorders>
              <w:bottom w:val="single" w:sz="4" w:space="0" w:color="auto"/>
            </w:tcBorders>
            <w:tcMar>
              <w:top w:w="11" w:type="dxa"/>
              <w:left w:w="57" w:type="dxa"/>
              <w:bottom w:w="11" w:type="dxa"/>
              <w:right w:w="57" w:type="dxa"/>
            </w:tcMar>
          </w:tcPr>
          <w:p w14:paraId="3EC4FC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407.7</w:t>
            </w:r>
          </w:p>
        </w:tc>
        <w:tc>
          <w:tcPr>
            <w:tcW w:w="1134" w:type="dxa"/>
            <w:tcBorders>
              <w:bottom w:val="single" w:sz="4" w:space="0" w:color="auto"/>
            </w:tcBorders>
            <w:tcMar>
              <w:top w:w="11" w:type="dxa"/>
              <w:left w:w="57" w:type="dxa"/>
              <w:bottom w:w="11" w:type="dxa"/>
              <w:right w:w="57" w:type="dxa"/>
            </w:tcMar>
          </w:tcPr>
          <w:p w14:paraId="261A2C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417.0</w:t>
            </w:r>
          </w:p>
        </w:tc>
      </w:tr>
      <w:tr w:rsidR="00646F4F" w:rsidRPr="00735726" w14:paraId="310ED03D" w14:textId="77777777" w:rsidTr="00CE19B2">
        <w:trPr>
          <w:trHeight w:val="226"/>
        </w:trPr>
        <w:tc>
          <w:tcPr>
            <w:tcW w:w="7739" w:type="dxa"/>
            <w:tcMar>
              <w:top w:w="11" w:type="dxa"/>
              <w:left w:w="57" w:type="dxa"/>
              <w:bottom w:w="11" w:type="dxa"/>
              <w:right w:w="57" w:type="dxa"/>
            </w:tcMar>
          </w:tcPr>
          <w:p w14:paraId="4CD7B70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965" w:name="XMETag_afe475f5e43b4764aabdef652b743324" w:colFirst="1" w:colLast="1"/>
            <w:bookmarkStart w:id="966" w:name="XMETag_08f9e279400a4e43bafd8e6509b32f62" w:colFirst="2" w:colLast="2"/>
            <w:bookmarkEnd w:id="963"/>
            <w:bookmarkEnd w:id="964"/>
            <w:r w:rsidRPr="00735726">
              <w:rPr>
                <w:rFonts w:ascii="Arial" w:eastAsia="Times New Roman" w:hAnsi="Arial" w:cs="DINOT-Light"/>
                <w:b/>
                <w:color w:val="000000"/>
                <w:sz w:val="18"/>
                <w:szCs w:val="18"/>
              </w:rPr>
              <w:t>Net asset recognised in the balance sheet</w:t>
            </w:r>
          </w:p>
        </w:tc>
        <w:tc>
          <w:tcPr>
            <w:tcW w:w="1133" w:type="dxa"/>
            <w:tcBorders>
              <w:top w:val="single" w:sz="4" w:space="0" w:color="auto"/>
              <w:bottom w:val="single" w:sz="4" w:space="0" w:color="auto"/>
            </w:tcBorders>
            <w:tcMar>
              <w:top w:w="11" w:type="dxa"/>
              <w:left w:w="57" w:type="dxa"/>
              <w:bottom w:w="11" w:type="dxa"/>
              <w:right w:w="57" w:type="dxa"/>
            </w:tcMar>
          </w:tcPr>
          <w:p w14:paraId="0A951EA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13.3</w:t>
            </w:r>
          </w:p>
        </w:tc>
        <w:tc>
          <w:tcPr>
            <w:tcW w:w="1134" w:type="dxa"/>
            <w:tcBorders>
              <w:top w:val="single" w:sz="4" w:space="0" w:color="auto"/>
              <w:bottom w:val="single" w:sz="4" w:space="0" w:color="auto"/>
            </w:tcBorders>
            <w:tcMar>
              <w:top w:w="11" w:type="dxa"/>
              <w:left w:w="57" w:type="dxa"/>
              <w:bottom w:w="11" w:type="dxa"/>
              <w:right w:w="57" w:type="dxa"/>
            </w:tcMar>
          </w:tcPr>
          <w:p w14:paraId="15C491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sz w:val="18"/>
                <w:szCs w:val="18"/>
              </w:rPr>
            </w:pPr>
            <w:r w:rsidRPr="00735726">
              <w:rPr>
                <w:rFonts w:ascii="Arial" w:eastAsia="Times New Roman" w:hAnsi="Arial" w:cs="DINOT-Light"/>
                <w:b/>
                <w:sz w:val="18"/>
                <w:szCs w:val="18"/>
              </w:rPr>
              <w:t>14.7</w:t>
            </w:r>
          </w:p>
        </w:tc>
      </w:tr>
      <w:bookmarkEnd w:id="965"/>
      <w:bookmarkEnd w:id="966"/>
    </w:tbl>
    <w:p w14:paraId="20578DDA"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9E9A7EE" w14:textId="14C22432"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FF0000"/>
          <w:sz w:val="18"/>
          <w:szCs w:val="18"/>
        </w:rPr>
      </w:pPr>
      <w:r w:rsidRPr="00735726">
        <w:rPr>
          <w:rFonts w:ascii="Arial" w:eastAsia="Times New Roman" w:hAnsi="Arial" w:cs="DINOT-Light"/>
          <w:color w:val="000000"/>
          <w:sz w:val="18"/>
          <w:szCs w:val="18"/>
        </w:rPr>
        <w:t xml:space="preserve">The movement in the net defined benefit obligation over the accounting period is as follows:  </w:t>
      </w:r>
    </w:p>
    <w:p w14:paraId="73DC3717"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23A6131"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10006" w:type="dxa"/>
        <w:tblInd w:w="8" w:type="dxa"/>
        <w:tblLayout w:type="fixed"/>
        <w:tblCellMar>
          <w:left w:w="0" w:type="dxa"/>
          <w:right w:w="0" w:type="dxa"/>
        </w:tblCellMar>
        <w:tblLook w:val="0000" w:firstRow="0" w:lastRow="0" w:firstColumn="0" w:lastColumn="0" w:noHBand="0" w:noVBand="0"/>
      </w:tblPr>
      <w:tblGrid>
        <w:gridCol w:w="3203"/>
        <w:gridCol w:w="1134"/>
        <w:gridCol w:w="1134"/>
        <w:gridCol w:w="1134"/>
        <w:gridCol w:w="1134"/>
        <w:gridCol w:w="1133"/>
        <w:gridCol w:w="1134"/>
      </w:tblGrid>
      <w:tr w:rsidR="00646F4F" w:rsidRPr="00735726" w14:paraId="766FD9B4" w14:textId="77777777" w:rsidTr="00CE19B2">
        <w:trPr>
          <w:trHeight w:val="60"/>
          <w:tblHeader/>
        </w:trPr>
        <w:tc>
          <w:tcPr>
            <w:tcW w:w="3203" w:type="dxa"/>
            <w:tcMar>
              <w:top w:w="11" w:type="dxa"/>
              <w:left w:w="57" w:type="dxa"/>
              <w:bottom w:w="11" w:type="dxa"/>
              <w:right w:w="57" w:type="dxa"/>
            </w:tcMar>
          </w:tcPr>
          <w:p w14:paraId="74AF8E1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3402" w:type="dxa"/>
            <w:gridSpan w:val="3"/>
            <w:tcMar>
              <w:top w:w="11" w:type="dxa"/>
              <w:left w:w="57" w:type="dxa"/>
              <w:bottom w:w="11" w:type="dxa"/>
              <w:right w:w="57" w:type="dxa"/>
            </w:tcMar>
          </w:tcPr>
          <w:p w14:paraId="0DEBA4F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tc>
        <w:tc>
          <w:tcPr>
            <w:tcW w:w="3401" w:type="dxa"/>
            <w:gridSpan w:val="3"/>
            <w:tcMar>
              <w:top w:w="11" w:type="dxa"/>
              <w:left w:w="57" w:type="dxa"/>
              <w:bottom w:w="11" w:type="dxa"/>
              <w:right w:w="57" w:type="dxa"/>
            </w:tcMar>
          </w:tcPr>
          <w:p w14:paraId="242339D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73C9A97B" w14:textId="77777777" w:rsidTr="00CE19B2">
        <w:trPr>
          <w:trHeight w:val="265"/>
          <w:tblHeader/>
        </w:trPr>
        <w:tc>
          <w:tcPr>
            <w:tcW w:w="3203" w:type="dxa"/>
            <w:tcMar>
              <w:top w:w="11" w:type="dxa"/>
              <w:left w:w="57" w:type="dxa"/>
              <w:bottom w:w="11" w:type="dxa"/>
              <w:right w:w="57" w:type="dxa"/>
            </w:tcMar>
            <w:vAlign w:val="bottom"/>
          </w:tcPr>
          <w:p w14:paraId="3BFFC95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vAlign w:val="bottom"/>
          </w:tcPr>
          <w:p w14:paraId="5EDC380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Present value of obligation</w:t>
            </w:r>
          </w:p>
          <w:p w14:paraId="415DE5B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bottom"/>
          </w:tcPr>
          <w:p w14:paraId="4A4380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Fair value of plan assets</w:t>
            </w:r>
          </w:p>
          <w:p w14:paraId="1A9C8D2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bottom"/>
          </w:tcPr>
          <w:p w14:paraId="02E063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755B6D2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p>
          <w:p w14:paraId="4F787F6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bottom"/>
          </w:tcPr>
          <w:p w14:paraId="5CBCE0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Present value</w:t>
            </w:r>
          </w:p>
          <w:p w14:paraId="54EDE9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of obligation</w:t>
            </w:r>
          </w:p>
          <w:p w14:paraId="462BC1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3" w:type="dxa"/>
            <w:tcMar>
              <w:top w:w="11" w:type="dxa"/>
              <w:left w:w="57" w:type="dxa"/>
              <w:bottom w:w="11" w:type="dxa"/>
              <w:right w:w="57" w:type="dxa"/>
            </w:tcMar>
            <w:vAlign w:val="bottom"/>
          </w:tcPr>
          <w:p w14:paraId="17B142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Fair value of plan assets</w:t>
            </w:r>
          </w:p>
          <w:p w14:paraId="064BDF0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vAlign w:val="bottom"/>
          </w:tcPr>
          <w:p w14:paraId="27B8B37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br/>
              <w:t>Total</w:t>
            </w:r>
            <w:r w:rsidRPr="00735726">
              <w:rPr>
                <w:rFonts w:ascii="Arial" w:eastAsia="Times New Roman" w:hAnsi="Arial" w:cs="DINOT-Light"/>
                <w:b/>
                <w:color w:val="000000"/>
                <w:sz w:val="18"/>
                <w:szCs w:val="18"/>
              </w:rPr>
              <w:br/>
              <w:t>£m</w:t>
            </w:r>
          </w:p>
        </w:tc>
      </w:tr>
      <w:tr w:rsidR="00646F4F" w:rsidRPr="00735726" w14:paraId="75882708" w14:textId="77777777" w:rsidTr="00CE19B2">
        <w:trPr>
          <w:trHeight w:val="122"/>
        </w:trPr>
        <w:tc>
          <w:tcPr>
            <w:tcW w:w="3203" w:type="dxa"/>
            <w:tcMar>
              <w:top w:w="11" w:type="dxa"/>
              <w:left w:w="57" w:type="dxa"/>
              <w:bottom w:w="11" w:type="dxa"/>
              <w:right w:w="57" w:type="dxa"/>
            </w:tcMar>
          </w:tcPr>
          <w:p w14:paraId="1A77B7F1"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7DD84D86"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6E22F7A0"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4E82AF55"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068D339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7201B8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470DBFE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62E06C91" w14:textId="77777777" w:rsidTr="00CE19B2">
        <w:trPr>
          <w:trHeight w:val="226"/>
        </w:trPr>
        <w:tc>
          <w:tcPr>
            <w:tcW w:w="3203" w:type="dxa"/>
            <w:tcMar>
              <w:top w:w="11" w:type="dxa"/>
              <w:left w:w="57" w:type="dxa"/>
              <w:bottom w:w="11" w:type="dxa"/>
              <w:right w:w="57" w:type="dxa"/>
            </w:tcMar>
          </w:tcPr>
          <w:p w14:paraId="034E5280" w14:textId="23E801E0"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967" w:name="XMETag_cf2be086d88d442d83c05eec6a4dfe3b" w:colFirst="1" w:colLast="1"/>
            <w:bookmarkStart w:id="968" w:name="XMETag_3339769fcdfe47e7ab6ad45b13560267" w:colFirst="2" w:colLast="2"/>
            <w:bookmarkStart w:id="969" w:name="XMETag_919ba77d145e4808a965e8f2a032312a" w:colFirst="3" w:colLast="3"/>
            <w:bookmarkStart w:id="970" w:name="XMETag_e03dd01247ba4928a92ddf46a460af29" w:colFirst="4" w:colLast="4"/>
            <w:bookmarkStart w:id="971" w:name="XMETag_dfd23440ade348c4abf019f95ffa276e" w:colFirst="5" w:colLast="5"/>
            <w:bookmarkStart w:id="972" w:name="XMETag_16fe5230d4144f4c80145a0283dd4f59" w:colFirst="6" w:colLast="6"/>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w:t>
            </w:r>
          </w:p>
        </w:tc>
        <w:tc>
          <w:tcPr>
            <w:tcW w:w="1134" w:type="dxa"/>
            <w:tcBorders>
              <w:bottom w:val="single" w:sz="4" w:space="0" w:color="auto"/>
            </w:tcBorders>
            <w:tcMar>
              <w:top w:w="11" w:type="dxa"/>
              <w:left w:w="57" w:type="dxa"/>
              <w:bottom w:w="11" w:type="dxa"/>
              <w:right w:w="57" w:type="dxa"/>
            </w:tcMar>
          </w:tcPr>
          <w:p w14:paraId="6EBF9D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(402.3)</w:t>
            </w:r>
          </w:p>
        </w:tc>
        <w:tc>
          <w:tcPr>
            <w:tcW w:w="1134" w:type="dxa"/>
            <w:tcBorders>
              <w:bottom w:val="single" w:sz="4" w:space="0" w:color="auto"/>
            </w:tcBorders>
            <w:tcMar>
              <w:top w:w="11" w:type="dxa"/>
              <w:left w:w="57" w:type="dxa"/>
              <w:bottom w:w="11" w:type="dxa"/>
              <w:right w:w="57" w:type="dxa"/>
            </w:tcMar>
          </w:tcPr>
          <w:p w14:paraId="4818FF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417.0</w:t>
            </w:r>
          </w:p>
        </w:tc>
        <w:tc>
          <w:tcPr>
            <w:tcW w:w="1134" w:type="dxa"/>
            <w:tcBorders>
              <w:bottom w:val="single" w:sz="4" w:space="0" w:color="auto"/>
            </w:tcBorders>
            <w:tcMar>
              <w:top w:w="11" w:type="dxa"/>
              <w:left w:w="57" w:type="dxa"/>
              <w:bottom w:w="11" w:type="dxa"/>
              <w:right w:w="57" w:type="dxa"/>
            </w:tcMar>
          </w:tcPr>
          <w:p w14:paraId="021A79C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14.7</w:t>
            </w:r>
          </w:p>
        </w:tc>
        <w:tc>
          <w:tcPr>
            <w:tcW w:w="1134" w:type="dxa"/>
            <w:tcBorders>
              <w:bottom w:val="single" w:sz="4" w:space="0" w:color="auto"/>
            </w:tcBorders>
            <w:tcMar>
              <w:top w:w="11" w:type="dxa"/>
              <w:left w:w="57" w:type="dxa"/>
              <w:bottom w:w="11" w:type="dxa"/>
              <w:right w:w="57" w:type="dxa"/>
            </w:tcMar>
          </w:tcPr>
          <w:p w14:paraId="4CBF598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(461.2)</w:t>
            </w:r>
          </w:p>
        </w:tc>
        <w:tc>
          <w:tcPr>
            <w:tcW w:w="1133" w:type="dxa"/>
            <w:tcBorders>
              <w:bottom w:val="single" w:sz="4" w:space="0" w:color="auto"/>
            </w:tcBorders>
            <w:tcMar>
              <w:top w:w="11" w:type="dxa"/>
              <w:left w:w="57" w:type="dxa"/>
              <w:bottom w:w="11" w:type="dxa"/>
              <w:right w:w="57" w:type="dxa"/>
            </w:tcMar>
          </w:tcPr>
          <w:p w14:paraId="63DA88C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472.0</w:t>
            </w:r>
          </w:p>
        </w:tc>
        <w:tc>
          <w:tcPr>
            <w:tcW w:w="1134" w:type="dxa"/>
            <w:tcBorders>
              <w:bottom w:val="single" w:sz="4" w:space="0" w:color="auto"/>
            </w:tcBorders>
            <w:tcMar>
              <w:top w:w="11" w:type="dxa"/>
              <w:left w:w="57" w:type="dxa"/>
              <w:bottom w:w="11" w:type="dxa"/>
              <w:right w:w="57" w:type="dxa"/>
            </w:tcMar>
          </w:tcPr>
          <w:p w14:paraId="51BD367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10.8</w:t>
            </w:r>
          </w:p>
        </w:tc>
      </w:tr>
      <w:bookmarkEnd w:id="967"/>
      <w:bookmarkEnd w:id="968"/>
      <w:bookmarkEnd w:id="969"/>
      <w:bookmarkEnd w:id="970"/>
      <w:bookmarkEnd w:id="971"/>
      <w:bookmarkEnd w:id="972"/>
      <w:tr w:rsidR="00646F4F" w:rsidRPr="00735726" w14:paraId="21E6CF7A" w14:textId="77777777" w:rsidTr="00CE19B2">
        <w:trPr>
          <w:trHeight w:val="226"/>
        </w:trPr>
        <w:tc>
          <w:tcPr>
            <w:tcW w:w="3203" w:type="dxa"/>
            <w:tcMar>
              <w:top w:w="11" w:type="dxa"/>
              <w:left w:w="57" w:type="dxa"/>
              <w:bottom w:w="11" w:type="dxa"/>
              <w:right w:w="57" w:type="dxa"/>
            </w:tcMar>
          </w:tcPr>
          <w:p w14:paraId="56B1ECF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02DD787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0563E6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64A07B3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7BA46DA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3" w:type="dxa"/>
            <w:tcBorders>
              <w:top w:val="single" w:sz="4" w:space="0" w:color="auto"/>
            </w:tcBorders>
            <w:tcMar>
              <w:top w:w="11" w:type="dxa"/>
              <w:left w:w="57" w:type="dxa"/>
              <w:bottom w:w="11" w:type="dxa"/>
              <w:right w:w="57" w:type="dxa"/>
            </w:tcMar>
          </w:tcPr>
          <w:p w14:paraId="6E105BF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04A3FB2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40DFE9FE" w14:textId="77777777" w:rsidTr="00CE19B2">
        <w:trPr>
          <w:trHeight w:val="226"/>
        </w:trPr>
        <w:tc>
          <w:tcPr>
            <w:tcW w:w="3203" w:type="dxa"/>
            <w:tcMar>
              <w:top w:w="11" w:type="dxa"/>
              <w:left w:w="57" w:type="dxa"/>
              <w:bottom w:w="11" w:type="dxa"/>
              <w:right w:w="57" w:type="dxa"/>
            </w:tcMar>
          </w:tcPr>
          <w:p w14:paraId="2EB239A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73" w:name="XMETag_2487916fb8c643218052c212f9f5f18a" w:colFirst="1" w:colLast="1"/>
            <w:bookmarkStart w:id="974" w:name="XMETag_687ec94316b149f98952c0bc6b02a7c4" w:colFirst="3" w:colLast="3"/>
            <w:bookmarkStart w:id="975" w:name="XMETag_9eb9e2a014524de2b9ad616e8ad4787a" w:colFirst="4" w:colLast="4"/>
            <w:bookmarkStart w:id="976" w:name="XMETag_9064141bdfbc4e5a9ac4a0af6597a67f" w:colFirst="6" w:colLast="6"/>
            <w:r w:rsidRPr="00735726">
              <w:rPr>
                <w:rFonts w:ascii="Arial" w:eastAsia="Times New Roman" w:hAnsi="Arial" w:cs="DINOT-Light"/>
                <w:color w:val="000000"/>
                <w:sz w:val="18"/>
                <w:szCs w:val="18"/>
              </w:rPr>
              <w:t>Current service cost</w:t>
            </w:r>
          </w:p>
        </w:tc>
        <w:tc>
          <w:tcPr>
            <w:tcW w:w="1134" w:type="dxa"/>
            <w:tcMar>
              <w:top w:w="11" w:type="dxa"/>
              <w:left w:w="57" w:type="dxa"/>
              <w:bottom w:w="11" w:type="dxa"/>
              <w:right w:w="57" w:type="dxa"/>
            </w:tcMar>
          </w:tcPr>
          <w:p w14:paraId="065AE708" w14:textId="66C8E659"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w:t>
            </w:r>
            <w:r w:rsidR="00CF2999" w:rsidRPr="00735726">
              <w:rPr>
                <w:rFonts w:ascii="Arial" w:eastAsia="Times New Roman" w:hAnsi="Arial" w:cs="DINOT-Light"/>
                <w:color w:val="000000"/>
                <w:sz w:val="18"/>
                <w:szCs w:val="18"/>
              </w:rPr>
              <w:t>0</w:t>
            </w: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685DE13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7494F2FC" w14:textId="4439D65F"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w:t>
            </w:r>
            <w:r w:rsidR="00CF2999" w:rsidRPr="00735726">
              <w:rPr>
                <w:rFonts w:ascii="Arial" w:eastAsia="Times New Roman" w:hAnsi="Arial" w:cs="DINOT-Light"/>
                <w:color w:val="000000"/>
                <w:sz w:val="18"/>
                <w:szCs w:val="18"/>
              </w:rPr>
              <w:t>0</w:t>
            </w: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113A93C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c>
          <w:tcPr>
            <w:tcW w:w="1133" w:type="dxa"/>
            <w:tcMar>
              <w:top w:w="11" w:type="dxa"/>
              <w:left w:w="57" w:type="dxa"/>
              <w:bottom w:w="11" w:type="dxa"/>
              <w:right w:w="57" w:type="dxa"/>
            </w:tcMar>
          </w:tcPr>
          <w:p w14:paraId="0F42FD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17FC30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r>
      <w:tr w:rsidR="00646F4F" w:rsidRPr="00735726" w14:paraId="1F778737" w14:textId="77777777" w:rsidTr="00CE19B2">
        <w:trPr>
          <w:trHeight w:val="226"/>
        </w:trPr>
        <w:tc>
          <w:tcPr>
            <w:tcW w:w="3203" w:type="dxa"/>
            <w:tcMar>
              <w:top w:w="11" w:type="dxa"/>
              <w:left w:w="57" w:type="dxa"/>
              <w:bottom w:w="11" w:type="dxa"/>
              <w:right w:w="57" w:type="dxa"/>
            </w:tcMar>
          </w:tcPr>
          <w:p w14:paraId="69207B6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77" w:name="XMETag_9e1fd7f8142746948882cbad52e9d661" w:colFirst="1" w:colLast="1"/>
            <w:bookmarkStart w:id="978" w:name="XMETag_89491a7384e54a73b0848b19281f5570" w:colFirst="2" w:colLast="2"/>
            <w:bookmarkStart w:id="979" w:name="XMETag_b0340117425b4ad38c2e0787eb837f44" w:colFirst="3" w:colLast="3"/>
            <w:bookmarkStart w:id="980" w:name="XMETag_ea131fef6d664d73adeacf1398acfe4c" w:colFirst="4" w:colLast="4"/>
            <w:bookmarkStart w:id="981" w:name="XMETag_b04b39cf9d2a4116a8e77a9dca7a197e" w:colFirst="5" w:colLast="5"/>
            <w:bookmarkStart w:id="982" w:name="XMETag_2f9af88a694e41c890577db42dfbb6d3" w:colFirst="6" w:colLast="6"/>
            <w:bookmarkEnd w:id="973"/>
            <w:bookmarkEnd w:id="974"/>
            <w:bookmarkEnd w:id="975"/>
            <w:bookmarkEnd w:id="976"/>
            <w:r w:rsidRPr="00735726">
              <w:rPr>
                <w:rFonts w:ascii="Arial" w:eastAsia="Times New Roman" w:hAnsi="Arial" w:cs="DINOT-Light"/>
                <w:color w:val="000000"/>
                <w:sz w:val="18"/>
                <w:szCs w:val="18"/>
              </w:rPr>
              <w:t>Interest (expense)/income</w:t>
            </w:r>
          </w:p>
        </w:tc>
        <w:tc>
          <w:tcPr>
            <w:tcW w:w="1134" w:type="dxa"/>
            <w:tcMar>
              <w:top w:w="11" w:type="dxa"/>
              <w:left w:w="57" w:type="dxa"/>
              <w:bottom w:w="11" w:type="dxa"/>
              <w:right w:w="57" w:type="dxa"/>
            </w:tcMar>
          </w:tcPr>
          <w:p w14:paraId="1E2B1F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(22.2)</w:t>
            </w:r>
          </w:p>
        </w:tc>
        <w:tc>
          <w:tcPr>
            <w:tcW w:w="1134" w:type="dxa"/>
            <w:tcMar>
              <w:top w:w="11" w:type="dxa"/>
              <w:left w:w="57" w:type="dxa"/>
              <w:bottom w:w="11" w:type="dxa"/>
              <w:right w:w="57" w:type="dxa"/>
            </w:tcMar>
          </w:tcPr>
          <w:p w14:paraId="77598A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23.0</w:t>
            </w:r>
          </w:p>
        </w:tc>
        <w:tc>
          <w:tcPr>
            <w:tcW w:w="1134" w:type="dxa"/>
            <w:tcMar>
              <w:top w:w="11" w:type="dxa"/>
              <w:left w:w="57" w:type="dxa"/>
              <w:bottom w:w="11" w:type="dxa"/>
              <w:right w:w="57" w:type="dxa"/>
            </w:tcMar>
          </w:tcPr>
          <w:p w14:paraId="411F49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134" w:type="dxa"/>
            <w:tcMar>
              <w:top w:w="11" w:type="dxa"/>
              <w:left w:w="57" w:type="dxa"/>
              <w:bottom w:w="11" w:type="dxa"/>
              <w:right w:w="57" w:type="dxa"/>
            </w:tcMar>
          </w:tcPr>
          <w:p w14:paraId="68608E6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(21.6)</w:t>
            </w:r>
          </w:p>
        </w:tc>
        <w:tc>
          <w:tcPr>
            <w:tcW w:w="1133" w:type="dxa"/>
            <w:tcMar>
              <w:top w:w="11" w:type="dxa"/>
              <w:left w:w="57" w:type="dxa"/>
              <w:bottom w:w="11" w:type="dxa"/>
              <w:right w:w="57" w:type="dxa"/>
            </w:tcMar>
          </w:tcPr>
          <w:p w14:paraId="5B43E2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22.1</w:t>
            </w:r>
          </w:p>
        </w:tc>
        <w:tc>
          <w:tcPr>
            <w:tcW w:w="1134" w:type="dxa"/>
            <w:tcMar>
              <w:top w:w="11" w:type="dxa"/>
              <w:left w:w="57" w:type="dxa"/>
              <w:bottom w:w="11" w:type="dxa"/>
              <w:right w:w="57" w:type="dxa"/>
            </w:tcMar>
          </w:tcPr>
          <w:p w14:paraId="564E935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0.5</w:t>
            </w:r>
          </w:p>
        </w:tc>
      </w:tr>
      <w:tr w:rsidR="00646F4F" w:rsidRPr="00735726" w14:paraId="3CCECFA9" w14:textId="77777777" w:rsidTr="00CE19B2">
        <w:trPr>
          <w:trHeight w:val="226"/>
        </w:trPr>
        <w:tc>
          <w:tcPr>
            <w:tcW w:w="3203" w:type="dxa"/>
            <w:tcMar>
              <w:top w:w="11" w:type="dxa"/>
              <w:left w:w="57" w:type="dxa"/>
              <w:bottom w:w="11" w:type="dxa"/>
              <w:right w:w="57" w:type="dxa"/>
            </w:tcMar>
          </w:tcPr>
          <w:p w14:paraId="478B003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983" w:name="XMETag_3faad57d205e409a9973ddfc3114554d" w:colFirst="1" w:colLast="1"/>
            <w:bookmarkStart w:id="984" w:name="XMETag_b5e073a0ca024656a028433a3c946ec9" w:colFirst="3" w:colLast="3"/>
            <w:bookmarkStart w:id="985" w:name="XMETag_58510245402a4161ad391aa3d8d2ed94" w:colFirst="4" w:colLast="4"/>
            <w:bookmarkStart w:id="986" w:name="XMETag_5e2a0a25a2524aa7adaab4f01c8c2079" w:colFirst="6" w:colLast="6"/>
            <w:bookmarkEnd w:id="977"/>
            <w:bookmarkEnd w:id="978"/>
            <w:bookmarkEnd w:id="979"/>
            <w:bookmarkEnd w:id="980"/>
            <w:bookmarkEnd w:id="981"/>
            <w:bookmarkEnd w:id="982"/>
          </w:p>
        </w:tc>
        <w:tc>
          <w:tcPr>
            <w:tcW w:w="1134" w:type="dxa"/>
            <w:tcBorders>
              <w:top w:val="single" w:sz="4" w:space="0" w:color="auto"/>
            </w:tcBorders>
            <w:tcMar>
              <w:top w:w="11" w:type="dxa"/>
              <w:left w:w="57" w:type="dxa"/>
              <w:bottom w:w="11" w:type="dxa"/>
              <w:right w:w="57" w:type="dxa"/>
            </w:tcMar>
          </w:tcPr>
          <w:p w14:paraId="3A939FB6" w14:textId="79E1E5E1"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(425.</w:t>
            </w:r>
            <w:r w:rsidR="00CF2999" w:rsidRPr="00735726">
              <w:rPr>
                <w:rFonts w:ascii="Arial" w:eastAsia="Times New Roman" w:hAnsi="Arial" w:cs="DINOT-Light"/>
                <w:b/>
                <w:color w:val="000000"/>
                <w:sz w:val="18"/>
                <w:szCs w:val="18"/>
              </w:rPr>
              <w:t>5</w:t>
            </w:r>
            <w:r w:rsidRPr="00735726">
              <w:rPr>
                <w:rFonts w:ascii="Arial" w:eastAsia="Times New Roman" w:hAnsi="Arial" w:cs="DINOT-Light"/>
                <w:b/>
                <w:color w:val="000000"/>
                <w:sz w:val="18"/>
                <w:szCs w:val="18"/>
              </w:rPr>
              <w:t>)</w:t>
            </w:r>
          </w:p>
        </w:tc>
        <w:tc>
          <w:tcPr>
            <w:tcW w:w="1134" w:type="dxa"/>
            <w:tcBorders>
              <w:top w:val="single" w:sz="4" w:space="0" w:color="auto"/>
            </w:tcBorders>
            <w:tcMar>
              <w:top w:w="11" w:type="dxa"/>
              <w:left w:w="57" w:type="dxa"/>
              <w:bottom w:w="11" w:type="dxa"/>
              <w:right w:w="57" w:type="dxa"/>
            </w:tcMar>
          </w:tcPr>
          <w:p w14:paraId="4C62D44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440.0</w:t>
            </w:r>
          </w:p>
        </w:tc>
        <w:tc>
          <w:tcPr>
            <w:tcW w:w="1134" w:type="dxa"/>
            <w:tcBorders>
              <w:top w:val="single" w:sz="4" w:space="0" w:color="auto"/>
            </w:tcBorders>
            <w:tcMar>
              <w:top w:w="11" w:type="dxa"/>
              <w:left w:w="57" w:type="dxa"/>
              <w:bottom w:w="11" w:type="dxa"/>
              <w:right w:w="57" w:type="dxa"/>
            </w:tcMar>
          </w:tcPr>
          <w:p w14:paraId="06763C07" w14:textId="6A3CF41A"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w:t>
            </w:r>
            <w:r w:rsidR="00CF2999" w:rsidRPr="00735726">
              <w:rPr>
                <w:rFonts w:ascii="Arial" w:eastAsia="Times New Roman" w:hAnsi="Arial" w:cs="DINOT-Light"/>
                <w:b/>
                <w:color w:val="000000"/>
                <w:sz w:val="18"/>
                <w:szCs w:val="18"/>
              </w:rPr>
              <w:t>5</w:t>
            </w:r>
          </w:p>
        </w:tc>
        <w:tc>
          <w:tcPr>
            <w:tcW w:w="1134" w:type="dxa"/>
            <w:tcBorders>
              <w:top w:val="single" w:sz="4" w:space="0" w:color="auto"/>
            </w:tcBorders>
            <w:tcMar>
              <w:top w:w="11" w:type="dxa"/>
              <w:left w:w="57" w:type="dxa"/>
              <w:bottom w:w="11" w:type="dxa"/>
              <w:right w:w="57" w:type="dxa"/>
            </w:tcMar>
          </w:tcPr>
          <w:p w14:paraId="00E98DA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(484.1)</w:t>
            </w:r>
          </w:p>
        </w:tc>
        <w:tc>
          <w:tcPr>
            <w:tcW w:w="1133" w:type="dxa"/>
            <w:tcBorders>
              <w:top w:val="single" w:sz="4" w:space="0" w:color="auto"/>
            </w:tcBorders>
            <w:tcMar>
              <w:top w:w="11" w:type="dxa"/>
              <w:left w:w="57" w:type="dxa"/>
              <w:bottom w:w="11" w:type="dxa"/>
              <w:right w:w="57" w:type="dxa"/>
            </w:tcMar>
          </w:tcPr>
          <w:p w14:paraId="1AECAA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494.1</w:t>
            </w:r>
          </w:p>
        </w:tc>
        <w:tc>
          <w:tcPr>
            <w:tcW w:w="1134" w:type="dxa"/>
            <w:tcBorders>
              <w:top w:val="single" w:sz="4" w:space="0" w:color="auto"/>
            </w:tcBorders>
            <w:tcMar>
              <w:top w:w="11" w:type="dxa"/>
              <w:left w:w="57" w:type="dxa"/>
              <w:bottom w:w="11" w:type="dxa"/>
              <w:right w:w="57" w:type="dxa"/>
            </w:tcMar>
          </w:tcPr>
          <w:p w14:paraId="045B476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10.0</w:t>
            </w:r>
          </w:p>
        </w:tc>
      </w:tr>
      <w:bookmarkEnd w:id="983"/>
      <w:bookmarkEnd w:id="984"/>
      <w:bookmarkEnd w:id="985"/>
      <w:bookmarkEnd w:id="986"/>
      <w:tr w:rsidR="00646F4F" w:rsidRPr="00735726" w14:paraId="6B4E7C0E" w14:textId="77777777" w:rsidTr="00CE19B2">
        <w:trPr>
          <w:trHeight w:val="226"/>
        </w:trPr>
        <w:tc>
          <w:tcPr>
            <w:tcW w:w="3203" w:type="dxa"/>
            <w:tcMar>
              <w:top w:w="11" w:type="dxa"/>
              <w:left w:w="57" w:type="dxa"/>
              <w:bottom w:w="11" w:type="dxa"/>
              <w:right w:w="57" w:type="dxa"/>
            </w:tcMar>
          </w:tcPr>
          <w:p w14:paraId="6501600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Remeasurements:</w:t>
            </w:r>
          </w:p>
        </w:tc>
        <w:tc>
          <w:tcPr>
            <w:tcW w:w="1134" w:type="dxa"/>
            <w:tcMar>
              <w:top w:w="11" w:type="dxa"/>
              <w:left w:w="57" w:type="dxa"/>
              <w:bottom w:w="11" w:type="dxa"/>
              <w:right w:w="57" w:type="dxa"/>
            </w:tcMar>
          </w:tcPr>
          <w:p w14:paraId="00CE7FD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0D0ACF3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72BB693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1AC01CD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57201D3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060E3D3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r>
      <w:tr w:rsidR="00646F4F" w:rsidRPr="00735726" w14:paraId="57A87F65" w14:textId="77777777" w:rsidTr="00CE19B2">
        <w:trPr>
          <w:trHeight w:val="226"/>
        </w:trPr>
        <w:tc>
          <w:tcPr>
            <w:tcW w:w="3203" w:type="dxa"/>
            <w:tcMar>
              <w:top w:w="11" w:type="dxa"/>
              <w:left w:w="57" w:type="dxa"/>
              <w:bottom w:w="11" w:type="dxa"/>
              <w:right w:w="57" w:type="dxa"/>
            </w:tcMar>
          </w:tcPr>
          <w:p w14:paraId="3CFA1D9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87" w:name="XMETag_1c37f9f82653431484eed95fd73952ff" w:colFirst="2" w:colLast="2"/>
            <w:bookmarkStart w:id="988" w:name="XMETag_cd104e946d3442ddbf12b6ffd82e397d" w:colFirst="3" w:colLast="3"/>
            <w:bookmarkStart w:id="989" w:name="XMETag_b9d7b12035f746f18a8ae3b6ae597c68" w:colFirst="6" w:colLast="6"/>
            <w:r w:rsidRPr="00735726">
              <w:rPr>
                <w:rFonts w:ascii="Arial" w:eastAsia="Times New Roman" w:hAnsi="Arial" w:cs="DINOT-Light"/>
                <w:color w:val="000000"/>
                <w:sz w:val="18"/>
                <w:szCs w:val="18"/>
              </w:rPr>
              <w:t>Loss on plan assets excluding amounts included in interest expense</w:t>
            </w:r>
          </w:p>
        </w:tc>
        <w:tc>
          <w:tcPr>
            <w:tcW w:w="1134" w:type="dxa"/>
            <w:tcMar>
              <w:top w:w="11" w:type="dxa"/>
              <w:left w:w="57" w:type="dxa"/>
              <w:bottom w:w="11" w:type="dxa"/>
              <w:right w:w="57" w:type="dxa"/>
            </w:tcMar>
          </w:tcPr>
          <w:p w14:paraId="624D46E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49A4DB3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(6.7)</w:t>
            </w:r>
          </w:p>
        </w:tc>
        <w:tc>
          <w:tcPr>
            <w:tcW w:w="1134" w:type="dxa"/>
            <w:tcMar>
              <w:top w:w="11" w:type="dxa"/>
              <w:left w:w="57" w:type="dxa"/>
              <w:bottom w:w="11" w:type="dxa"/>
              <w:right w:w="57" w:type="dxa"/>
            </w:tcMar>
          </w:tcPr>
          <w:p w14:paraId="547B81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(6.7)</w:t>
            </w:r>
          </w:p>
        </w:tc>
        <w:tc>
          <w:tcPr>
            <w:tcW w:w="1134" w:type="dxa"/>
            <w:tcMar>
              <w:top w:w="11" w:type="dxa"/>
              <w:left w:w="57" w:type="dxa"/>
              <w:bottom w:w="11" w:type="dxa"/>
              <w:right w:w="57" w:type="dxa"/>
            </w:tcMar>
          </w:tcPr>
          <w:p w14:paraId="2116DF1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Mar>
              <w:top w:w="11" w:type="dxa"/>
              <w:left w:w="57" w:type="dxa"/>
              <w:bottom w:w="11" w:type="dxa"/>
              <w:right w:w="57" w:type="dxa"/>
            </w:tcMar>
          </w:tcPr>
          <w:p w14:paraId="0579E72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(52.3)</w:t>
            </w:r>
          </w:p>
        </w:tc>
        <w:tc>
          <w:tcPr>
            <w:tcW w:w="1134" w:type="dxa"/>
            <w:tcMar>
              <w:top w:w="11" w:type="dxa"/>
              <w:left w:w="57" w:type="dxa"/>
              <w:bottom w:w="11" w:type="dxa"/>
              <w:right w:w="57" w:type="dxa"/>
            </w:tcMar>
          </w:tcPr>
          <w:p w14:paraId="30A57C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(52.3)</w:t>
            </w:r>
          </w:p>
        </w:tc>
      </w:tr>
      <w:tr w:rsidR="00646F4F" w:rsidRPr="00735726" w14:paraId="586C97B4" w14:textId="77777777" w:rsidTr="00CE19B2">
        <w:trPr>
          <w:trHeight w:val="226"/>
        </w:trPr>
        <w:tc>
          <w:tcPr>
            <w:tcW w:w="3203" w:type="dxa"/>
            <w:tcMar>
              <w:top w:w="11" w:type="dxa"/>
              <w:left w:w="57" w:type="dxa"/>
              <w:bottom w:w="11" w:type="dxa"/>
              <w:right w:w="57" w:type="dxa"/>
            </w:tcMar>
          </w:tcPr>
          <w:p w14:paraId="762C32C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90" w:name="XMETag_574f80a1c3a74a5aa5cadb33144e7dcd" w:colFirst="1" w:colLast="1"/>
            <w:bookmarkStart w:id="991" w:name="XMETag_39be6cd4d3fd4aa7b6cfbceb19ecfcb5" w:colFirst="2" w:colLast="2"/>
            <w:bookmarkStart w:id="992" w:name="XMETag_32435eb874984f1ab9be470967df27db" w:colFirst="3" w:colLast="3"/>
            <w:bookmarkStart w:id="993" w:name="XMETag_36b9327ac9d0430fb2ebf146378d86cd" w:colFirst="4" w:colLast="4"/>
            <w:bookmarkStart w:id="994" w:name="XMETag_2b633dd1817a4e57a29e9305a1384021" w:colFirst="5" w:colLast="5"/>
            <w:bookmarkStart w:id="995" w:name="XMETag_c28fcbcdf9784726b73ac56be4eccd47" w:colFirst="6" w:colLast="6"/>
            <w:bookmarkEnd w:id="987"/>
            <w:bookmarkEnd w:id="988"/>
            <w:bookmarkEnd w:id="989"/>
            <w:r w:rsidRPr="00735726">
              <w:rPr>
                <w:rFonts w:ascii="Arial" w:eastAsia="Times New Roman" w:hAnsi="Arial" w:cs="DINOT-Light"/>
                <w:color w:val="000000"/>
                <w:sz w:val="18"/>
                <w:szCs w:val="18"/>
              </w:rPr>
              <w:t>(Loss)/gain from change in demographic assumptions</w:t>
            </w:r>
          </w:p>
        </w:tc>
        <w:tc>
          <w:tcPr>
            <w:tcW w:w="1134" w:type="dxa"/>
            <w:tcMar>
              <w:top w:w="11" w:type="dxa"/>
              <w:left w:w="57" w:type="dxa"/>
              <w:bottom w:w="11" w:type="dxa"/>
              <w:right w:w="57" w:type="dxa"/>
            </w:tcMar>
          </w:tcPr>
          <w:p w14:paraId="18A534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c>
          <w:tcPr>
            <w:tcW w:w="1134" w:type="dxa"/>
            <w:tcMar>
              <w:top w:w="11" w:type="dxa"/>
              <w:left w:w="57" w:type="dxa"/>
              <w:bottom w:w="11" w:type="dxa"/>
              <w:right w:w="57" w:type="dxa"/>
            </w:tcMar>
          </w:tcPr>
          <w:p w14:paraId="14E904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4A637D3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c>
          <w:tcPr>
            <w:tcW w:w="1134" w:type="dxa"/>
            <w:tcMar>
              <w:top w:w="11" w:type="dxa"/>
              <w:left w:w="57" w:type="dxa"/>
              <w:bottom w:w="11" w:type="dxa"/>
              <w:right w:w="57" w:type="dxa"/>
            </w:tcMar>
          </w:tcPr>
          <w:p w14:paraId="65C8647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w:t>
            </w:r>
          </w:p>
        </w:tc>
        <w:tc>
          <w:tcPr>
            <w:tcW w:w="1133" w:type="dxa"/>
            <w:tcMar>
              <w:top w:w="11" w:type="dxa"/>
              <w:left w:w="57" w:type="dxa"/>
              <w:bottom w:w="11" w:type="dxa"/>
              <w:right w:w="57" w:type="dxa"/>
            </w:tcMar>
          </w:tcPr>
          <w:p w14:paraId="53C2811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67DE5B9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w:t>
            </w:r>
          </w:p>
        </w:tc>
      </w:tr>
      <w:tr w:rsidR="00646F4F" w:rsidRPr="00735726" w14:paraId="57396990" w14:textId="77777777" w:rsidTr="00CE19B2">
        <w:trPr>
          <w:trHeight w:val="226"/>
        </w:trPr>
        <w:tc>
          <w:tcPr>
            <w:tcW w:w="3203" w:type="dxa"/>
            <w:tcMar>
              <w:top w:w="11" w:type="dxa"/>
              <w:left w:w="57" w:type="dxa"/>
              <w:bottom w:w="11" w:type="dxa"/>
              <w:right w:w="57" w:type="dxa"/>
            </w:tcMar>
          </w:tcPr>
          <w:p w14:paraId="5904CB2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996" w:name="XMETag_11e2b3d746f74a208b2db884e44d9d15" w:colFirst="1" w:colLast="1"/>
            <w:bookmarkStart w:id="997" w:name="XMETag_b093fdf8aec843e1a0f2eefcd95e7709" w:colFirst="2" w:colLast="2"/>
            <w:bookmarkStart w:id="998" w:name="XMETag_85e0688108c04d4ca428051196efce8b" w:colFirst="3" w:colLast="3"/>
            <w:bookmarkStart w:id="999" w:name="XMETag_4db2b8424ecb489bbcd66c6df6999702" w:colFirst="4" w:colLast="4"/>
            <w:bookmarkStart w:id="1000" w:name="XMETag_fe8f9ae985ac4168afa7be0c53fa81de" w:colFirst="5" w:colLast="5"/>
            <w:bookmarkStart w:id="1001" w:name="XMETag_894c5d4638c749e1ba54dcc2fc3706f6" w:colFirst="6" w:colLast="6"/>
            <w:bookmarkEnd w:id="990"/>
            <w:bookmarkEnd w:id="991"/>
            <w:bookmarkEnd w:id="992"/>
            <w:bookmarkEnd w:id="993"/>
            <w:bookmarkEnd w:id="994"/>
            <w:bookmarkEnd w:id="995"/>
            <w:r w:rsidRPr="00735726">
              <w:rPr>
                <w:rFonts w:ascii="Arial" w:eastAsia="Times New Roman" w:hAnsi="Arial" w:cs="DINOT-Light"/>
                <w:color w:val="000000"/>
                <w:sz w:val="18"/>
                <w:szCs w:val="18"/>
              </w:rPr>
              <w:t>Gain from change in financial assumptions</w:t>
            </w:r>
          </w:p>
        </w:tc>
        <w:tc>
          <w:tcPr>
            <w:tcW w:w="1134" w:type="dxa"/>
            <w:tcMar>
              <w:top w:w="11" w:type="dxa"/>
              <w:left w:w="57" w:type="dxa"/>
              <w:bottom w:w="11" w:type="dxa"/>
              <w:right w:w="57" w:type="dxa"/>
            </w:tcMar>
          </w:tcPr>
          <w:p w14:paraId="27F26D30" w14:textId="4122C8BB"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w:t>
            </w:r>
            <w:r w:rsidR="00CF2999" w:rsidRPr="00735726">
              <w:rPr>
                <w:rFonts w:ascii="Arial" w:eastAsia="Times New Roman" w:hAnsi="Arial" w:cs="DINOT-Light"/>
                <w:color w:val="000000"/>
                <w:sz w:val="18"/>
                <w:szCs w:val="18"/>
              </w:rPr>
              <w:t>1</w:t>
            </w:r>
          </w:p>
        </w:tc>
        <w:tc>
          <w:tcPr>
            <w:tcW w:w="1134" w:type="dxa"/>
            <w:tcMar>
              <w:top w:w="11" w:type="dxa"/>
              <w:left w:w="57" w:type="dxa"/>
              <w:bottom w:w="11" w:type="dxa"/>
              <w:right w:w="57" w:type="dxa"/>
            </w:tcMar>
          </w:tcPr>
          <w:p w14:paraId="1A5391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1314A906" w14:textId="6E7B96AE"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w:t>
            </w:r>
            <w:r w:rsidR="00CF2999" w:rsidRPr="00735726">
              <w:rPr>
                <w:rFonts w:ascii="Arial" w:eastAsia="Times New Roman" w:hAnsi="Arial" w:cs="DINOT-Light"/>
                <w:color w:val="000000"/>
                <w:sz w:val="18"/>
                <w:szCs w:val="18"/>
              </w:rPr>
              <w:t>1</w:t>
            </w:r>
          </w:p>
        </w:tc>
        <w:tc>
          <w:tcPr>
            <w:tcW w:w="1134" w:type="dxa"/>
            <w:tcMar>
              <w:top w:w="11" w:type="dxa"/>
              <w:left w:w="57" w:type="dxa"/>
              <w:bottom w:w="11" w:type="dxa"/>
              <w:right w:w="57" w:type="dxa"/>
            </w:tcMar>
          </w:tcPr>
          <w:p w14:paraId="1AA506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52.6</w:t>
            </w:r>
          </w:p>
        </w:tc>
        <w:tc>
          <w:tcPr>
            <w:tcW w:w="1133" w:type="dxa"/>
            <w:tcMar>
              <w:top w:w="11" w:type="dxa"/>
              <w:left w:w="57" w:type="dxa"/>
              <w:bottom w:w="11" w:type="dxa"/>
              <w:right w:w="57" w:type="dxa"/>
            </w:tcMar>
          </w:tcPr>
          <w:p w14:paraId="47EF77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48C8B7A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52.6</w:t>
            </w:r>
          </w:p>
        </w:tc>
      </w:tr>
      <w:tr w:rsidR="00646F4F" w:rsidRPr="00735726" w14:paraId="49677FFE" w14:textId="77777777" w:rsidTr="00CE19B2">
        <w:trPr>
          <w:trHeight w:val="226"/>
        </w:trPr>
        <w:tc>
          <w:tcPr>
            <w:tcW w:w="3203" w:type="dxa"/>
            <w:tcMar>
              <w:top w:w="11" w:type="dxa"/>
              <w:left w:w="57" w:type="dxa"/>
              <w:bottom w:w="11" w:type="dxa"/>
              <w:right w:w="57" w:type="dxa"/>
            </w:tcMar>
          </w:tcPr>
          <w:p w14:paraId="50939D7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02" w:name="XMETag_c688f8a655654b898d6773ee6fe2ba49" w:colFirst="1" w:colLast="1"/>
            <w:bookmarkStart w:id="1003" w:name="XMETag_9394f9d58b4f41b4bbaaf122a78f303c" w:colFirst="2" w:colLast="2"/>
            <w:bookmarkStart w:id="1004" w:name="XMETag_92580aa025694cc79c2eacaf90a61df4" w:colFirst="3" w:colLast="3"/>
            <w:bookmarkStart w:id="1005" w:name="XMETag_fa52dcb2f7a54d95b75bd5531ed8655a" w:colFirst="4" w:colLast="4"/>
            <w:bookmarkStart w:id="1006" w:name="XMETag_d03c094fc576427db036a56e0bc3144b" w:colFirst="5" w:colLast="5"/>
            <w:bookmarkStart w:id="1007" w:name="XMETag_69b35993d7cd41fbbc7fe7c334395d87" w:colFirst="6" w:colLast="6"/>
            <w:bookmarkEnd w:id="996"/>
            <w:bookmarkEnd w:id="997"/>
            <w:bookmarkEnd w:id="998"/>
            <w:bookmarkEnd w:id="999"/>
            <w:bookmarkEnd w:id="1000"/>
            <w:bookmarkEnd w:id="1001"/>
            <w:r w:rsidRPr="00735726">
              <w:rPr>
                <w:rFonts w:ascii="Arial" w:eastAsia="Times New Roman" w:hAnsi="Arial" w:cs="DINOT-Light"/>
                <w:color w:val="000000"/>
                <w:sz w:val="18"/>
                <w:szCs w:val="18"/>
              </w:rPr>
              <w:t>Experience loss</w:t>
            </w:r>
          </w:p>
        </w:tc>
        <w:tc>
          <w:tcPr>
            <w:tcW w:w="1134" w:type="dxa"/>
            <w:tcBorders>
              <w:bottom w:val="single" w:sz="4" w:space="0" w:color="auto"/>
            </w:tcBorders>
            <w:tcMar>
              <w:top w:w="11" w:type="dxa"/>
              <w:left w:w="57" w:type="dxa"/>
              <w:bottom w:w="11" w:type="dxa"/>
              <w:right w:w="57" w:type="dxa"/>
            </w:tcMar>
          </w:tcPr>
          <w:p w14:paraId="4A0DBEF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w:t>
            </w:r>
          </w:p>
        </w:tc>
        <w:tc>
          <w:tcPr>
            <w:tcW w:w="1134" w:type="dxa"/>
            <w:tcBorders>
              <w:bottom w:val="single" w:sz="4" w:space="0" w:color="auto"/>
            </w:tcBorders>
            <w:tcMar>
              <w:top w:w="11" w:type="dxa"/>
              <w:left w:w="57" w:type="dxa"/>
              <w:bottom w:w="11" w:type="dxa"/>
              <w:right w:w="57" w:type="dxa"/>
            </w:tcMar>
          </w:tcPr>
          <w:p w14:paraId="0C64F6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184DCF5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w:t>
            </w:r>
          </w:p>
        </w:tc>
        <w:tc>
          <w:tcPr>
            <w:tcW w:w="1134" w:type="dxa"/>
            <w:tcBorders>
              <w:bottom w:val="single" w:sz="4" w:space="0" w:color="auto"/>
            </w:tcBorders>
            <w:tcMar>
              <w:top w:w="11" w:type="dxa"/>
              <w:left w:w="57" w:type="dxa"/>
              <w:bottom w:w="11" w:type="dxa"/>
              <w:right w:w="57" w:type="dxa"/>
            </w:tcMar>
          </w:tcPr>
          <w:p w14:paraId="7C183B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1133" w:type="dxa"/>
            <w:tcBorders>
              <w:bottom w:val="single" w:sz="4" w:space="0" w:color="auto"/>
            </w:tcBorders>
            <w:tcMar>
              <w:top w:w="11" w:type="dxa"/>
              <w:left w:w="57" w:type="dxa"/>
              <w:bottom w:w="11" w:type="dxa"/>
              <w:right w:w="57" w:type="dxa"/>
            </w:tcMar>
          </w:tcPr>
          <w:p w14:paraId="48ADE5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523EAC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r>
      <w:tr w:rsidR="00646F4F" w:rsidRPr="00735726" w14:paraId="720BD2A1" w14:textId="77777777" w:rsidTr="00CE19B2">
        <w:trPr>
          <w:trHeight w:val="226"/>
        </w:trPr>
        <w:tc>
          <w:tcPr>
            <w:tcW w:w="3203" w:type="dxa"/>
            <w:tcMar>
              <w:top w:w="11" w:type="dxa"/>
              <w:left w:w="57" w:type="dxa"/>
              <w:bottom w:w="11" w:type="dxa"/>
              <w:right w:w="57" w:type="dxa"/>
            </w:tcMar>
          </w:tcPr>
          <w:p w14:paraId="22A6180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08" w:name="XMETag_b6ffc640b20c46248f338901ee241399" w:colFirst="1" w:colLast="1"/>
            <w:bookmarkStart w:id="1009" w:name="XMETag_22a65a2934494edbb8b3545b5c503474" w:colFirst="4" w:colLast="4"/>
            <w:bookmarkEnd w:id="1002"/>
            <w:bookmarkEnd w:id="1003"/>
            <w:bookmarkEnd w:id="1004"/>
            <w:bookmarkEnd w:id="1005"/>
            <w:bookmarkEnd w:id="1006"/>
            <w:bookmarkEnd w:id="1007"/>
          </w:p>
        </w:tc>
        <w:tc>
          <w:tcPr>
            <w:tcW w:w="1134" w:type="dxa"/>
            <w:tcBorders>
              <w:top w:val="single" w:sz="4" w:space="0" w:color="auto"/>
            </w:tcBorders>
            <w:tcMar>
              <w:top w:w="11" w:type="dxa"/>
              <w:left w:w="57" w:type="dxa"/>
              <w:bottom w:w="11" w:type="dxa"/>
              <w:right w:w="57" w:type="dxa"/>
            </w:tcMar>
          </w:tcPr>
          <w:p w14:paraId="58F59053" w14:textId="16508EDE"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w:t>
            </w:r>
            <w:r w:rsidR="00CF2999" w:rsidRPr="00735726">
              <w:rPr>
                <w:rFonts w:ascii="Arial" w:eastAsia="Times New Roman" w:hAnsi="Arial" w:cs="DINOT-Light"/>
                <w:b/>
                <w:color w:val="000000"/>
                <w:sz w:val="18"/>
                <w:szCs w:val="18"/>
              </w:rPr>
              <w:t>0</w:t>
            </w:r>
          </w:p>
        </w:tc>
        <w:tc>
          <w:tcPr>
            <w:tcW w:w="1134" w:type="dxa"/>
            <w:tcBorders>
              <w:top w:val="single" w:sz="4" w:space="0" w:color="auto"/>
            </w:tcBorders>
            <w:tcMar>
              <w:top w:w="11" w:type="dxa"/>
              <w:left w:w="57" w:type="dxa"/>
              <w:bottom w:w="11" w:type="dxa"/>
              <w:right w:w="57" w:type="dxa"/>
            </w:tcMar>
          </w:tcPr>
          <w:p w14:paraId="5FAEA5A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(6.7)</w:t>
            </w:r>
          </w:p>
        </w:tc>
        <w:tc>
          <w:tcPr>
            <w:tcW w:w="1134" w:type="dxa"/>
            <w:tcBorders>
              <w:top w:val="single" w:sz="4" w:space="0" w:color="auto"/>
            </w:tcBorders>
            <w:tcMar>
              <w:top w:w="11" w:type="dxa"/>
              <w:left w:w="57" w:type="dxa"/>
              <w:bottom w:w="11" w:type="dxa"/>
              <w:right w:w="57" w:type="dxa"/>
            </w:tcMar>
          </w:tcPr>
          <w:p w14:paraId="4A16E2C5" w14:textId="2B85A5A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w:t>
            </w:r>
            <w:r w:rsidR="00CF2999" w:rsidRPr="00735726">
              <w:rPr>
                <w:rFonts w:ascii="Arial" w:eastAsia="Times New Roman" w:hAnsi="Arial" w:cs="DINOT-Light"/>
                <w:b/>
                <w:color w:val="000000"/>
                <w:sz w:val="18"/>
                <w:szCs w:val="18"/>
              </w:rPr>
              <w:t>7</w:t>
            </w:r>
            <w:r w:rsidRPr="00735726">
              <w:rPr>
                <w:rFonts w:ascii="Arial" w:eastAsia="Times New Roman" w:hAnsi="Arial" w:cs="DINOT-Light"/>
                <w:b/>
                <w:color w:val="000000"/>
                <w:sz w:val="18"/>
                <w:szCs w:val="18"/>
              </w:rPr>
              <w:t>)</w:t>
            </w:r>
          </w:p>
        </w:tc>
        <w:tc>
          <w:tcPr>
            <w:tcW w:w="1134" w:type="dxa"/>
            <w:tcBorders>
              <w:top w:val="single" w:sz="4" w:space="0" w:color="auto"/>
            </w:tcBorders>
            <w:tcMar>
              <w:top w:w="11" w:type="dxa"/>
              <w:left w:w="57" w:type="dxa"/>
              <w:bottom w:w="11" w:type="dxa"/>
              <w:right w:w="57" w:type="dxa"/>
            </w:tcMar>
          </w:tcPr>
          <w:p w14:paraId="6B0682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55.6</w:t>
            </w:r>
          </w:p>
        </w:tc>
        <w:tc>
          <w:tcPr>
            <w:tcW w:w="1133" w:type="dxa"/>
            <w:tcBorders>
              <w:top w:val="single" w:sz="4" w:space="0" w:color="auto"/>
            </w:tcBorders>
            <w:tcMar>
              <w:top w:w="11" w:type="dxa"/>
              <w:left w:w="57" w:type="dxa"/>
              <w:bottom w:w="11" w:type="dxa"/>
              <w:right w:w="57" w:type="dxa"/>
            </w:tcMar>
          </w:tcPr>
          <w:p w14:paraId="73BF8D3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(52.3)</w:t>
            </w:r>
          </w:p>
        </w:tc>
        <w:tc>
          <w:tcPr>
            <w:tcW w:w="1134" w:type="dxa"/>
            <w:tcBorders>
              <w:top w:val="single" w:sz="4" w:space="0" w:color="auto"/>
            </w:tcBorders>
            <w:tcMar>
              <w:top w:w="11" w:type="dxa"/>
              <w:left w:w="57" w:type="dxa"/>
              <w:bottom w:w="11" w:type="dxa"/>
              <w:right w:w="57" w:type="dxa"/>
            </w:tcMar>
          </w:tcPr>
          <w:p w14:paraId="169876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3.3</w:t>
            </w:r>
          </w:p>
        </w:tc>
      </w:tr>
      <w:bookmarkEnd w:id="1008"/>
      <w:bookmarkEnd w:id="1009"/>
      <w:tr w:rsidR="00646F4F" w:rsidRPr="00735726" w14:paraId="2B9C7B72" w14:textId="77777777" w:rsidTr="00CE19B2">
        <w:trPr>
          <w:trHeight w:val="49"/>
        </w:trPr>
        <w:tc>
          <w:tcPr>
            <w:tcW w:w="3203" w:type="dxa"/>
            <w:tcMar>
              <w:top w:w="11" w:type="dxa"/>
              <w:left w:w="57" w:type="dxa"/>
              <w:bottom w:w="11" w:type="dxa"/>
              <w:right w:w="57" w:type="dxa"/>
            </w:tcMar>
          </w:tcPr>
          <w:p w14:paraId="4A9C6A0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Contributions:</w:t>
            </w:r>
          </w:p>
        </w:tc>
        <w:tc>
          <w:tcPr>
            <w:tcW w:w="1134" w:type="dxa"/>
            <w:tcMar>
              <w:top w:w="11" w:type="dxa"/>
              <w:left w:w="57" w:type="dxa"/>
              <w:bottom w:w="11" w:type="dxa"/>
              <w:right w:w="57" w:type="dxa"/>
            </w:tcMar>
          </w:tcPr>
          <w:p w14:paraId="6D9BFB4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1404059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79569B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0A8B6E0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2208DF6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496E681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0F12BF6" w14:textId="77777777" w:rsidTr="00CE19B2">
        <w:trPr>
          <w:trHeight w:val="226"/>
        </w:trPr>
        <w:tc>
          <w:tcPr>
            <w:tcW w:w="3203" w:type="dxa"/>
            <w:tcMar>
              <w:top w:w="11" w:type="dxa"/>
              <w:left w:w="57" w:type="dxa"/>
              <w:bottom w:w="11" w:type="dxa"/>
              <w:right w:w="57" w:type="dxa"/>
            </w:tcMar>
          </w:tcPr>
          <w:p w14:paraId="2D38A1A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10" w:name="XMETag_4bdc9e5bb62345789ead68a031c8422a" w:colFirst="2" w:colLast="2"/>
            <w:bookmarkStart w:id="1011" w:name="XMETag_b139daf573824dcc91bfe80d7947dcc8" w:colFirst="3" w:colLast="3"/>
            <w:bookmarkStart w:id="1012" w:name="XMETag_5b85a95ac3b14c088c565d98afdcf105" w:colFirst="5" w:colLast="5"/>
            <w:bookmarkStart w:id="1013" w:name="XMETag_4f53f579b85441acb20fc84c09e764a4" w:colFirst="6" w:colLast="6"/>
            <w:r w:rsidRPr="00735726">
              <w:rPr>
                <w:rFonts w:ascii="Arial" w:eastAsia="Times New Roman" w:hAnsi="Arial" w:cs="DINOT-Light"/>
                <w:color w:val="000000"/>
                <w:sz w:val="18"/>
                <w:szCs w:val="18"/>
              </w:rPr>
              <w:t>Employers</w:t>
            </w:r>
          </w:p>
        </w:tc>
        <w:tc>
          <w:tcPr>
            <w:tcW w:w="1134" w:type="dxa"/>
            <w:tcMar>
              <w:top w:w="11" w:type="dxa"/>
              <w:left w:w="57" w:type="dxa"/>
              <w:bottom w:w="11" w:type="dxa"/>
              <w:right w:w="57" w:type="dxa"/>
            </w:tcMar>
          </w:tcPr>
          <w:p w14:paraId="709D4F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5DFE67F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w:t>
            </w:r>
          </w:p>
        </w:tc>
        <w:tc>
          <w:tcPr>
            <w:tcW w:w="1134" w:type="dxa"/>
            <w:tcMar>
              <w:top w:w="11" w:type="dxa"/>
              <w:left w:w="57" w:type="dxa"/>
              <w:bottom w:w="11" w:type="dxa"/>
              <w:right w:w="57" w:type="dxa"/>
            </w:tcMar>
          </w:tcPr>
          <w:p w14:paraId="03E8342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w:t>
            </w:r>
          </w:p>
        </w:tc>
        <w:tc>
          <w:tcPr>
            <w:tcW w:w="1134" w:type="dxa"/>
            <w:tcMar>
              <w:top w:w="11" w:type="dxa"/>
              <w:left w:w="57" w:type="dxa"/>
              <w:bottom w:w="11" w:type="dxa"/>
              <w:right w:w="57" w:type="dxa"/>
            </w:tcMar>
          </w:tcPr>
          <w:p w14:paraId="7E25441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3" w:type="dxa"/>
            <w:tcMar>
              <w:top w:w="11" w:type="dxa"/>
              <w:left w:w="57" w:type="dxa"/>
              <w:bottom w:w="11" w:type="dxa"/>
              <w:right w:w="57" w:type="dxa"/>
            </w:tcMar>
          </w:tcPr>
          <w:p w14:paraId="76B2C9C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w:t>
            </w:r>
          </w:p>
        </w:tc>
        <w:tc>
          <w:tcPr>
            <w:tcW w:w="1134" w:type="dxa"/>
            <w:tcMar>
              <w:top w:w="11" w:type="dxa"/>
              <w:left w:w="57" w:type="dxa"/>
              <w:bottom w:w="11" w:type="dxa"/>
              <w:right w:w="57" w:type="dxa"/>
            </w:tcMar>
          </w:tcPr>
          <w:p w14:paraId="43F2B40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w:t>
            </w:r>
          </w:p>
        </w:tc>
      </w:tr>
      <w:bookmarkEnd w:id="1010"/>
      <w:bookmarkEnd w:id="1011"/>
      <w:bookmarkEnd w:id="1012"/>
      <w:bookmarkEnd w:id="1013"/>
      <w:tr w:rsidR="00646F4F" w:rsidRPr="00735726" w14:paraId="034ACA25" w14:textId="77777777" w:rsidTr="00CE19B2">
        <w:trPr>
          <w:trHeight w:val="226"/>
        </w:trPr>
        <w:tc>
          <w:tcPr>
            <w:tcW w:w="3203" w:type="dxa"/>
            <w:tcMar>
              <w:top w:w="11" w:type="dxa"/>
              <w:left w:w="57" w:type="dxa"/>
              <w:bottom w:w="11" w:type="dxa"/>
              <w:right w:w="57" w:type="dxa"/>
            </w:tcMar>
          </w:tcPr>
          <w:p w14:paraId="4F3057C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Payments from plans:</w:t>
            </w:r>
          </w:p>
        </w:tc>
        <w:tc>
          <w:tcPr>
            <w:tcW w:w="1134" w:type="dxa"/>
            <w:tcMar>
              <w:top w:w="11" w:type="dxa"/>
              <w:left w:w="57" w:type="dxa"/>
              <w:bottom w:w="11" w:type="dxa"/>
              <w:right w:w="57" w:type="dxa"/>
            </w:tcMar>
          </w:tcPr>
          <w:p w14:paraId="0CA45E3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18BF0D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7469E6E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1DCBAD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29D42D1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4BD346A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30A2B4F" w14:textId="77777777" w:rsidTr="00CE19B2">
        <w:trPr>
          <w:trHeight w:val="226"/>
        </w:trPr>
        <w:tc>
          <w:tcPr>
            <w:tcW w:w="3203" w:type="dxa"/>
            <w:tcMar>
              <w:top w:w="11" w:type="dxa"/>
              <w:left w:w="57" w:type="dxa"/>
              <w:bottom w:w="11" w:type="dxa"/>
              <w:right w:w="57" w:type="dxa"/>
            </w:tcMar>
          </w:tcPr>
          <w:p w14:paraId="67398D8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14" w:name="XMETag_f8207775a31f44aab5b948d2997866bc" w:colFirst="1" w:colLast="1"/>
            <w:bookmarkStart w:id="1015" w:name="XMETag_569d5eac3add4a18b8419c6b8988369d" w:colFirst="2" w:colLast="2"/>
            <w:bookmarkStart w:id="1016" w:name="XMETag_85cd172bd88a421999103b1d16f37451" w:colFirst="3" w:colLast="3"/>
            <w:bookmarkStart w:id="1017" w:name="XMETag_edf0ec2ab8304e5daf1d8b9b166f3fd5" w:colFirst="4" w:colLast="4"/>
            <w:bookmarkStart w:id="1018" w:name="XMETag_86941ff0f12842b396937a9bee6010c3" w:colFirst="5" w:colLast="5"/>
            <w:bookmarkStart w:id="1019" w:name="XMETag_1462f8465e4d44d397a8d2b75c476604" w:colFirst="6" w:colLast="6"/>
            <w:r w:rsidRPr="00735726">
              <w:rPr>
                <w:rFonts w:ascii="Arial" w:eastAsia="Times New Roman" w:hAnsi="Arial" w:cs="DINOT-Light"/>
                <w:color w:val="000000"/>
                <w:sz w:val="18"/>
                <w:szCs w:val="18"/>
              </w:rPr>
              <w:t>Benefit payments</w:t>
            </w:r>
          </w:p>
        </w:tc>
        <w:tc>
          <w:tcPr>
            <w:tcW w:w="1134" w:type="dxa"/>
            <w:tcMar>
              <w:top w:w="11" w:type="dxa"/>
              <w:left w:w="57" w:type="dxa"/>
              <w:bottom w:w="11" w:type="dxa"/>
              <w:right w:w="57" w:type="dxa"/>
            </w:tcMar>
          </w:tcPr>
          <w:p w14:paraId="25F6AA8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26.1</w:t>
            </w:r>
          </w:p>
        </w:tc>
        <w:tc>
          <w:tcPr>
            <w:tcW w:w="1134" w:type="dxa"/>
            <w:tcMar>
              <w:top w:w="11" w:type="dxa"/>
              <w:left w:w="57" w:type="dxa"/>
              <w:bottom w:w="11" w:type="dxa"/>
              <w:right w:w="57" w:type="dxa"/>
            </w:tcMar>
          </w:tcPr>
          <w:p w14:paraId="02F959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(26.1)</w:t>
            </w:r>
          </w:p>
        </w:tc>
        <w:tc>
          <w:tcPr>
            <w:tcW w:w="1134" w:type="dxa"/>
            <w:tcMar>
              <w:top w:w="11" w:type="dxa"/>
              <w:left w:w="57" w:type="dxa"/>
              <w:bottom w:w="11" w:type="dxa"/>
              <w:right w:w="57" w:type="dxa"/>
            </w:tcMar>
          </w:tcPr>
          <w:p w14:paraId="32F34B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3AB6536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24.9</w:t>
            </w:r>
          </w:p>
        </w:tc>
        <w:tc>
          <w:tcPr>
            <w:tcW w:w="1133" w:type="dxa"/>
            <w:tcMar>
              <w:top w:w="11" w:type="dxa"/>
              <w:left w:w="57" w:type="dxa"/>
              <w:bottom w:w="11" w:type="dxa"/>
              <w:right w:w="57" w:type="dxa"/>
            </w:tcMar>
          </w:tcPr>
          <w:p w14:paraId="7FAB170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(24.9)</w:t>
            </w:r>
          </w:p>
        </w:tc>
        <w:tc>
          <w:tcPr>
            <w:tcW w:w="1134" w:type="dxa"/>
            <w:tcMar>
              <w:top w:w="11" w:type="dxa"/>
              <w:left w:w="57" w:type="dxa"/>
              <w:bottom w:w="11" w:type="dxa"/>
              <w:right w:w="57" w:type="dxa"/>
            </w:tcMar>
          </w:tcPr>
          <w:p w14:paraId="61A005C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tr w:rsidR="00646F4F" w:rsidRPr="00735726" w14:paraId="33C5EB94" w14:textId="77777777" w:rsidTr="00CE19B2">
        <w:trPr>
          <w:trHeight w:val="226"/>
        </w:trPr>
        <w:tc>
          <w:tcPr>
            <w:tcW w:w="3203" w:type="dxa"/>
            <w:tcMar>
              <w:top w:w="11" w:type="dxa"/>
              <w:left w:w="57" w:type="dxa"/>
              <w:bottom w:w="11" w:type="dxa"/>
              <w:right w:w="57" w:type="dxa"/>
            </w:tcMar>
          </w:tcPr>
          <w:p w14:paraId="482C603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20" w:name="XMETag_34475e58c14e4fdb8d2f50c9152a1f5e" w:colFirst="1" w:colLast="1"/>
            <w:bookmarkStart w:id="1021" w:name="XMETag_c194c796903b477ea32737b42e8ef951" w:colFirst="2" w:colLast="2"/>
            <w:bookmarkStart w:id="1022" w:name="XMETag_4189e20f02614d6f970e97c640c9765a" w:colFirst="3" w:colLast="3"/>
            <w:bookmarkStart w:id="1023" w:name="XMETag_3363900ed2334d6380dd5c85d411353d" w:colFirst="4" w:colLast="4"/>
            <w:bookmarkStart w:id="1024" w:name="XMETag_7324d53c9d204e099a6241c8532fb464" w:colFirst="5" w:colLast="5"/>
            <w:bookmarkStart w:id="1025" w:name="XMETag_f0cf094ebb934f859ddecd9bfc094f8b" w:colFirst="6" w:colLast="6"/>
            <w:bookmarkEnd w:id="1014"/>
            <w:bookmarkEnd w:id="1015"/>
            <w:bookmarkEnd w:id="1016"/>
            <w:bookmarkEnd w:id="1017"/>
            <w:bookmarkEnd w:id="1018"/>
            <w:bookmarkEnd w:id="1019"/>
            <w:r w:rsidRPr="00735726">
              <w:rPr>
                <w:rFonts w:ascii="Arial" w:eastAsia="Times New Roman" w:hAnsi="Arial" w:cs="DINOT-Light"/>
                <w:color w:val="000000"/>
                <w:sz w:val="18"/>
                <w:szCs w:val="18"/>
              </w:rPr>
              <w:t>Administration costs</w:t>
            </w:r>
          </w:p>
        </w:tc>
        <w:tc>
          <w:tcPr>
            <w:tcW w:w="1134" w:type="dxa"/>
            <w:tcBorders>
              <w:bottom w:val="single" w:sz="4" w:space="0" w:color="auto"/>
            </w:tcBorders>
            <w:tcMar>
              <w:top w:w="11" w:type="dxa"/>
              <w:left w:w="57" w:type="dxa"/>
              <w:bottom w:w="11" w:type="dxa"/>
              <w:right w:w="57" w:type="dxa"/>
            </w:tcMar>
          </w:tcPr>
          <w:p w14:paraId="697535F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1134" w:type="dxa"/>
            <w:tcBorders>
              <w:bottom w:val="single" w:sz="4" w:space="0" w:color="auto"/>
            </w:tcBorders>
            <w:tcMar>
              <w:top w:w="11" w:type="dxa"/>
              <w:left w:w="57" w:type="dxa"/>
              <w:bottom w:w="11" w:type="dxa"/>
              <w:right w:w="57" w:type="dxa"/>
            </w:tcMar>
          </w:tcPr>
          <w:p w14:paraId="50A41FD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1134" w:type="dxa"/>
            <w:tcBorders>
              <w:bottom w:val="single" w:sz="4" w:space="0" w:color="auto"/>
            </w:tcBorders>
            <w:tcMar>
              <w:top w:w="11" w:type="dxa"/>
              <w:left w:w="57" w:type="dxa"/>
              <w:bottom w:w="11" w:type="dxa"/>
              <w:right w:w="57" w:type="dxa"/>
            </w:tcMar>
          </w:tcPr>
          <w:p w14:paraId="436676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Borders>
              <w:bottom w:val="single" w:sz="4" w:space="0" w:color="auto"/>
            </w:tcBorders>
            <w:tcMar>
              <w:top w:w="11" w:type="dxa"/>
              <w:left w:w="57" w:type="dxa"/>
              <w:bottom w:w="11" w:type="dxa"/>
              <w:right w:w="57" w:type="dxa"/>
            </w:tcMar>
          </w:tcPr>
          <w:p w14:paraId="4CDD5FA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c>
          <w:tcPr>
            <w:tcW w:w="1133" w:type="dxa"/>
            <w:tcBorders>
              <w:bottom w:val="single" w:sz="4" w:space="0" w:color="auto"/>
            </w:tcBorders>
            <w:tcMar>
              <w:top w:w="11" w:type="dxa"/>
              <w:left w:w="57" w:type="dxa"/>
              <w:bottom w:w="11" w:type="dxa"/>
              <w:right w:w="57" w:type="dxa"/>
            </w:tcMar>
          </w:tcPr>
          <w:p w14:paraId="63AB37E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c>
          <w:tcPr>
            <w:tcW w:w="1134" w:type="dxa"/>
            <w:tcBorders>
              <w:bottom w:val="single" w:sz="4" w:space="0" w:color="auto"/>
            </w:tcBorders>
            <w:tcMar>
              <w:top w:w="11" w:type="dxa"/>
              <w:left w:w="57" w:type="dxa"/>
              <w:bottom w:w="11" w:type="dxa"/>
              <w:right w:w="57" w:type="dxa"/>
            </w:tcMar>
          </w:tcPr>
          <w:p w14:paraId="3A8C4F2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bookmarkEnd w:id="1020"/>
      <w:bookmarkEnd w:id="1021"/>
      <w:bookmarkEnd w:id="1022"/>
      <w:bookmarkEnd w:id="1023"/>
      <w:bookmarkEnd w:id="1024"/>
      <w:bookmarkEnd w:id="1025"/>
      <w:tr w:rsidR="00646F4F" w:rsidRPr="00735726" w14:paraId="434B5A58" w14:textId="77777777" w:rsidTr="00CE19B2">
        <w:trPr>
          <w:trHeight w:val="226"/>
        </w:trPr>
        <w:tc>
          <w:tcPr>
            <w:tcW w:w="3203" w:type="dxa"/>
            <w:tcMar>
              <w:top w:w="11" w:type="dxa"/>
              <w:left w:w="57" w:type="dxa"/>
              <w:bottom w:w="11" w:type="dxa"/>
              <w:right w:w="57" w:type="dxa"/>
            </w:tcMar>
          </w:tcPr>
          <w:p w14:paraId="4AEB672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p w14:paraId="43E0391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Borders>
              <w:top w:val="single" w:sz="4" w:space="0" w:color="auto"/>
              <w:bottom w:val="single" w:sz="4" w:space="0" w:color="auto"/>
            </w:tcBorders>
            <w:tcMar>
              <w:top w:w="11" w:type="dxa"/>
              <w:left w:w="57" w:type="dxa"/>
              <w:bottom w:w="11" w:type="dxa"/>
              <w:right w:w="57" w:type="dxa"/>
            </w:tcMar>
          </w:tcPr>
          <w:p w14:paraId="0BFA70D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27.1</w:t>
            </w:r>
          </w:p>
        </w:tc>
        <w:tc>
          <w:tcPr>
            <w:tcW w:w="1134" w:type="dxa"/>
            <w:tcBorders>
              <w:top w:val="single" w:sz="4" w:space="0" w:color="auto"/>
              <w:bottom w:val="single" w:sz="4" w:space="0" w:color="auto"/>
            </w:tcBorders>
            <w:tcMar>
              <w:top w:w="11" w:type="dxa"/>
              <w:left w:w="57" w:type="dxa"/>
              <w:bottom w:w="11" w:type="dxa"/>
              <w:right w:w="57" w:type="dxa"/>
            </w:tcMar>
          </w:tcPr>
          <w:p w14:paraId="21C6860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(25.6)</w:t>
            </w:r>
          </w:p>
        </w:tc>
        <w:tc>
          <w:tcPr>
            <w:tcW w:w="1134" w:type="dxa"/>
            <w:tcBorders>
              <w:top w:val="single" w:sz="4" w:space="0" w:color="auto"/>
              <w:bottom w:val="single" w:sz="4" w:space="0" w:color="auto"/>
            </w:tcBorders>
            <w:tcMar>
              <w:top w:w="11" w:type="dxa"/>
              <w:left w:w="57" w:type="dxa"/>
              <w:bottom w:w="11" w:type="dxa"/>
              <w:right w:w="57" w:type="dxa"/>
            </w:tcMar>
          </w:tcPr>
          <w:p w14:paraId="581153D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1.5</w:t>
            </w:r>
          </w:p>
          <w:p w14:paraId="2BC99AD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top w:val="single" w:sz="4" w:space="0" w:color="auto"/>
              <w:bottom w:val="single" w:sz="4" w:space="0" w:color="auto"/>
            </w:tcBorders>
            <w:tcMar>
              <w:top w:w="11" w:type="dxa"/>
              <w:left w:w="57" w:type="dxa"/>
              <w:bottom w:w="11" w:type="dxa"/>
              <w:right w:w="57" w:type="dxa"/>
            </w:tcMar>
          </w:tcPr>
          <w:p w14:paraId="70463E7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26.2</w:t>
            </w:r>
          </w:p>
        </w:tc>
        <w:tc>
          <w:tcPr>
            <w:tcW w:w="1133" w:type="dxa"/>
            <w:tcBorders>
              <w:top w:val="single" w:sz="4" w:space="0" w:color="auto"/>
              <w:bottom w:val="single" w:sz="4" w:space="0" w:color="auto"/>
            </w:tcBorders>
            <w:tcMar>
              <w:top w:w="11" w:type="dxa"/>
              <w:left w:w="57" w:type="dxa"/>
              <w:bottom w:w="11" w:type="dxa"/>
              <w:right w:w="57" w:type="dxa"/>
            </w:tcMar>
          </w:tcPr>
          <w:p w14:paraId="51D7279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(24.8)</w:t>
            </w:r>
          </w:p>
        </w:tc>
        <w:tc>
          <w:tcPr>
            <w:tcW w:w="1134" w:type="dxa"/>
            <w:tcBorders>
              <w:top w:val="single" w:sz="4" w:space="0" w:color="auto"/>
              <w:bottom w:val="single" w:sz="4" w:space="0" w:color="auto"/>
            </w:tcBorders>
            <w:tcMar>
              <w:top w:w="11" w:type="dxa"/>
              <w:left w:w="57" w:type="dxa"/>
              <w:bottom w:w="11" w:type="dxa"/>
              <w:right w:w="57" w:type="dxa"/>
            </w:tcMar>
          </w:tcPr>
          <w:p w14:paraId="46165C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w:t>
            </w:r>
          </w:p>
          <w:p w14:paraId="62E9ED8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54638F96" w14:textId="77777777" w:rsidTr="00CE19B2">
        <w:trPr>
          <w:trHeight w:val="226"/>
        </w:trPr>
        <w:tc>
          <w:tcPr>
            <w:tcW w:w="3203" w:type="dxa"/>
            <w:tcMar>
              <w:top w:w="11" w:type="dxa"/>
              <w:left w:w="57" w:type="dxa"/>
              <w:bottom w:w="11" w:type="dxa"/>
              <w:right w:w="57" w:type="dxa"/>
            </w:tcMar>
          </w:tcPr>
          <w:p w14:paraId="3CD5C22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26" w:name="XMETag_8a815b2223bd4cf89664d4f40a470e4b" w:colFirst="1" w:colLast="1"/>
            <w:bookmarkStart w:id="1027" w:name="XMETag_110c1be9b6724571a30988986dbeb5f6" w:colFirst="2" w:colLast="2"/>
            <w:bookmarkStart w:id="1028" w:name="XMETag_54e85558a70c410f8dad184578bf7cab" w:colFirst="3" w:colLast="3"/>
            <w:bookmarkStart w:id="1029" w:name="XMETag_72f1b92414ff4863871695288e3147c0" w:colFirst="4" w:colLast="4"/>
            <w:bookmarkStart w:id="1030" w:name="XMETag_dba8d08ee976496fb242bf0057c53c4a" w:colFirst="5" w:colLast="5"/>
            <w:bookmarkStart w:id="1031" w:name="XMETag_eebc23212c184e19a90e24d8bc16e386" w:colFirst="6" w:colLast="6"/>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w:t>
            </w:r>
          </w:p>
        </w:tc>
        <w:tc>
          <w:tcPr>
            <w:tcW w:w="1134" w:type="dxa"/>
            <w:tcBorders>
              <w:top w:val="single" w:sz="4" w:space="0" w:color="auto"/>
              <w:bottom w:val="single" w:sz="4" w:space="0" w:color="auto"/>
            </w:tcBorders>
            <w:tcMar>
              <w:top w:w="11" w:type="dxa"/>
              <w:left w:w="57" w:type="dxa"/>
              <w:bottom w:w="11" w:type="dxa"/>
              <w:right w:w="57" w:type="dxa"/>
            </w:tcMar>
          </w:tcPr>
          <w:p w14:paraId="6F871AE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(394.4)</w:t>
            </w:r>
          </w:p>
        </w:tc>
        <w:tc>
          <w:tcPr>
            <w:tcW w:w="1134" w:type="dxa"/>
            <w:tcBorders>
              <w:top w:val="single" w:sz="4" w:space="0" w:color="auto"/>
              <w:bottom w:val="single" w:sz="4" w:space="0" w:color="auto"/>
            </w:tcBorders>
            <w:tcMar>
              <w:top w:w="11" w:type="dxa"/>
              <w:left w:w="57" w:type="dxa"/>
              <w:bottom w:w="11" w:type="dxa"/>
              <w:right w:w="57" w:type="dxa"/>
            </w:tcMar>
          </w:tcPr>
          <w:p w14:paraId="2D1EFE1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407.7</w:t>
            </w:r>
          </w:p>
        </w:tc>
        <w:tc>
          <w:tcPr>
            <w:tcW w:w="1134" w:type="dxa"/>
            <w:tcBorders>
              <w:top w:val="single" w:sz="4" w:space="0" w:color="auto"/>
              <w:bottom w:val="single" w:sz="4" w:space="0" w:color="auto"/>
            </w:tcBorders>
            <w:tcMar>
              <w:top w:w="11" w:type="dxa"/>
              <w:left w:w="57" w:type="dxa"/>
              <w:bottom w:w="11" w:type="dxa"/>
              <w:right w:w="57" w:type="dxa"/>
            </w:tcMar>
          </w:tcPr>
          <w:p w14:paraId="1907400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13.3</w:t>
            </w:r>
          </w:p>
        </w:tc>
        <w:tc>
          <w:tcPr>
            <w:tcW w:w="1134" w:type="dxa"/>
            <w:tcBorders>
              <w:top w:val="single" w:sz="4" w:space="0" w:color="auto"/>
              <w:bottom w:val="single" w:sz="4" w:space="0" w:color="auto"/>
            </w:tcBorders>
            <w:tcMar>
              <w:top w:w="11" w:type="dxa"/>
              <w:left w:w="57" w:type="dxa"/>
              <w:bottom w:w="11" w:type="dxa"/>
              <w:right w:w="57" w:type="dxa"/>
            </w:tcMar>
          </w:tcPr>
          <w:p w14:paraId="46302DC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(402.3)</w:t>
            </w:r>
          </w:p>
        </w:tc>
        <w:tc>
          <w:tcPr>
            <w:tcW w:w="1133" w:type="dxa"/>
            <w:tcBorders>
              <w:top w:val="single" w:sz="4" w:space="0" w:color="auto"/>
              <w:bottom w:val="single" w:sz="4" w:space="0" w:color="auto"/>
            </w:tcBorders>
            <w:tcMar>
              <w:top w:w="11" w:type="dxa"/>
              <w:left w:w="57" w:type="dxa"/>
              <w:bottom w:w="11" w:type="dxa"/>
              <w:right w:w="57" w:type="dxa"/>
            </w:tcMar>
          </w:tcPr>
          <w:p w14:paraId="4159E2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417.0</w:t>
            </w:r>
          </w:p>
        </w:tc>
        <w:tc>
          <w:tcPr>
            <w:tcW w:w="1134" w:type="dxa"/>
            <w:tcBorders>
              <w:top w:val="single" w:sz="4" w:space="0" w:color="auto"/>
              <w:bottom w:val="single" w:sz="4" w:space="0" w:color="auto"/>
            </w:tcBorders>
            <w:tcMar>
              <w:top w:w="11" w:type="dxa"/>
              <w:left w:w="57" w:type="dxa"/>
              <w:bottom w:w="11" w:type="dxa"/>
              <w:right w:w="57" w:type="dxa"/>
            </w:tcMar>
          </w:tcPr>
          <w:p w14:paraId="3051FC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14.7</w:t>
            </w:r>
          </w:p>
        </w:tc>
      </w:tr>
      <w:bookmarkEnd w:id="1026"/>
      <w:bookmarkEnd w:id="1027"/>
      <w:bookmarkEnd w:id="1028"/>
      <w:bookmarkEnd w:id="1029"/>
      <w:bookmarkEnd w:id="1030"/>
      <w:bookmarkEnd w:id="1031"/>
    </w:tbl>
    <w:p w14:paraId="0A885C3D" w14:textId="77777777" w:rsidR="00646F4F" w:rsidRPr="009A2CAE" w:rsidRDefault="00646F4F" w:rsidP="00646F4F">
      <w:pPr>
        <w:spacing w:after="160" w:line="259" w:lineRule="auto"/>
        <w:rPr>
          <w:rFonts w:ascii="Arial" w:eastAsia="Times New Roman" w:hAnsi="Arial" w:cs="DINOT-Light"/>
          <w:b/>
          <w:bCs/>
          <w:sz w:val="18"/>
          <w:szCs w:val="18"/>
        </w:rPr>
      </w:pPr>
    </w:p>
    <w:p w14:paraId="29AF61B7" w14:textId="77777777" w:rsidR="00411D0A" w:rsidRPr="00735726" w:rsidRDefault="00411D0A" w:rsidP="00411D0A">
      <w:pPr>
        <w:spacing w:after="160" w:line="259" w:lineRule="auto"/>
        <w:rPr>
          <w:rFonts w:ascii="Arial" w:eastAsia="Times New Roman" w:hAnsi="Arial" w:cs="Arial"/>
          <w:b/>
          <w:bCs/>
          <w:caps/>
          <w:color w:val="000000"/>
          <w:sz w:val="18"/>
          <w:szCs w:val="18"/>
        </w:rPr>
      </w:pPr>
    </w:p>
    <w:p w14:paraId="52D56314" w14:textId="5A312042" w:rsidR="00411D0A" w:rsidRPr="00735726" w:rsidRDefault="00411D0A" w:rsidP="00411D0A">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25.</w:t>
      </w:r>
      <w:r w:rsidRPr="00735726">
        <w:rPr>
          <w:rFonts w:ascii="Arial" w:eastAsia="Times New Roman" w:hAnsi="Arial" w:cs="Arial"/>
          <w:b/>
          <w:bCs/>
          <w:caps/>
          <w:color w:val="000000"/>
          <w:sz w:val="18"/>
          <w:szCs w:val="18"/>
        </w:rPr>
        <w:tab/>
        <w:t>Retirement benefit OBLIGATIONS (CONTINUEd)</w:t>
      </w:r>
    </w:p>
    <w:p w14:paraId="61CB70D5" w14:textId="3315DC5D" w:rsidR="00646F4F" w:rsidRPr="00735726" w:rsidRDefault="00646F4F" w:rsidP="00646F4F">
      <w:pPr>
        <w:spacing w:after="160"/>
        <w:rPr>
          <w:rFonts w:ascii="Arial" w:eastAsia="Times New Roman" w:hAnsi="Arial" w:cs="DINOT-Light"/>
          <w:sz w:val="18"/>
          <w:szCs w:val="18"/>
        </w:rPr>
      </w:pPr>
      <w:r w:rsidRPr="00735726">
        <w:rPr>
          <w:rFonts w:ascii="Arial" w:eastAsia="Times New Roman" w:hAnsi="Arial" w:cs="DINOT-Light"/>
          <w:i/>
          <w:iCs/>
          <w:sz w:val="18"/>
          <w:szCs w:val="18"/>
        </w:rPr>
        <w:t>Recognition of surplus on principal pension scheme</w:t>
      </w:r>
      <w:r w:rsidRPr="00735726">
        <w:rPr>
          <w:rFonts w:ascii="Arial" w:eastAsia="Times New Roman" w:hAnsi="Arial" w:cs="DINOT-Light"/>
          <w:i/>
          <w:iCs/>
          <w:sz w:val="18"/>
          <w:szCs w:val="18"/>
        </w:rPr>
        <w:br/>
      </w:r>
      <w:r w:rsidRPr="00735726">
        <w:rPr>
          <w:rFonts w:ascii="Arial" w:eastAsia="Times New Roman" w:hAnsi="Arial" w:cs="DINOT-Light"/>
          <w:sz w:val="18"/>
          <w:szCs w:val="18"/>
        </w:rPr>
        <w:t xml:space="preserve">In accordance with IAS 19 ‘Employee Benefits’, the value of the net pension scheme surplus that can be recognised in the </w:t>
      </w:r>
      <w:r w:rsidR="00486620" w:rsidRPr="00735726">
        <w:rPr>
          <w:rFonts w:ascii="Arial" w:eastAsia="Times New Roman" w:hAnsi="Arial" w:cs="DINOT-Light"/>
          <w:sz w:val="18"/>
          <w:szCs w:val="18"/>
        </w:rPr>
        <w:t>balance sheet</w:t>
      </w:r>
      <w:r w:rsidRPr="00735726">
        <w:rPr>
          <w:rFonts w:ascii="Arial" w:eastAsia="Times New Roman" w:hAnsi="Arial" w:cs="DINOT-Light"/>
          <w:sz w:val="18"/>
          <w:szCs w:val="18"/>
        </w:rPr>
        <w:t xml:space="preserve"> is restricted to the present value of economic benefits available in the form of refunds from the scheme or reductions in future contributions. In respect of the principal pension scheme, PGPS, the surplus has been recognised as the Company believes that ultimately it has an unconditional right to a refund of any surplus assuming the full settlement of the plan’s liabilities in a single event, such as a scheme wind up.</w:t>
      </w:r>
    </w:p>
    <w:p w14:paraId="54B4760B" w14:textId="22D54848"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Employer contributions are made into the scheme by </w:t>
      </w:r>
      <w:proofErr w:type="gramStart"/>
      <w:r w:rsidRPr="00735726">
        <w:rPr>
          <w:rFonts w:ascii="Arial" w:eastAsia="Times New Roman" w:hAnsi="Arial" w:cs="DINOT-Light"/>
          <w:sz w:val="18"/>
          <w:szCs w:val="18"/>
        </w:rPr>
        <w:t>South West</w:t>
      </w:r>
      <w:proofErr w:type="gramEnd"/>
      <w:r w:rsidRPr="00735726">
        <w:rPr>
          <w:rFonts w:ascii="Arial" w:eastAsia="Times New Roman" w:hAnsi="Arial" w:cs="DINOT-Light"/>
          <w:sz w:val="18"/>
          <w:szCs w:val="18"/>
        </w:rPr>
        <w:t xml:space="preserve"> Water and other companies within the Pennon Group based upon pensionable pay of employees in each section of the scheme. Full details of the scheme are included within the Pennon Group plc financial statements </w:t>
      </w:r>
      <w:r w:rsidRPr="009A2CAE">
        <w:rPr>
          <w:rFonts w:ascii="Arial" w:eastAsia="Times New Roman" w:hAnsi="Arial" w:cs="DINOT-Light"/>
          <w:sz w:val="18"/>
          <w:szCs w:val="18"/>
        </w:rPr>
        <w:t>(see note 3</w:t>
      </w:r>
      <w:r w:rsidR="006836DD" w:rsidRPr="009A2CAE">
        <w:rPr>
          <w:rFonts w:ascii="Arial" w:eastAsia="Times New Roman" w:hAnsi="Arial" w:cs="DINOT-Light"/>
          <w:sz w:val="18"/>
          <w:szCs w:val="18"/>
        </w:rPr>
        <w:t>1</w:t>
      </w:r>
      <w:r w:rsidRPr="009A2CAE">
        <w:rPr>
          <w:rFonts w:ascii="Arial" w:eastAsia="Times New Roman" w:hAnsi="Arial" w:cs="DINOT-Light"/>
          <w:sz w:val="18"/>
          <w:szCs w:val="18"/>
        </w:rPr>
        <w:t>).</w:t>
      </w:r>
    </w:p>
    <w:p w14:paraId="2A215598"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p w14:paraId="5BDD7AA3" w14:textId="602E1EC9"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assets in the schemes at year end were:</w:t>
      </w:r>
    </w:p>
    <w:p w14:paraId="5AB6B7EC"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8202" w:type="dxa"/>
        <w:tblInd w:w="8" w:type="dxa"/>
        <w:tblLayout w:type="fixed"/>
        <w:tblCellMar>
          <w:left w:w="0" w:type="dxa"/>
          <w:right w:w="0" w:type="dxa"/>
        </w:tblCellMar>
        <w:tblLook w:val="0000" w:firstRow="0" w:lastRow="0" w:firstColumn="0" w:lastColumn="0" w:noHBand="0" w:noVBand="0"/>
      </w:tblPr>
      <w:tblGrid>
        <w:gridCol w:w="4479"/>
        <w:gridCol w:w="929"/>
        <w:gridCol w:w="931"/>
        <w:gridCol w:w="931"/>
        <w:gridCol w:w="932"/>
      </w:tblGrid>
      <w:tr w:rsidR="00646F4F" w:rsidRPr="00735726" w14:paraId="25AE9A40" w14:textId="77777777" w:rsidTr="00CE19B2">
        <w:trPr>
          <w:trHeight w:val="60"/>
          <w:tblHeader/>
        </w:trPr>
        <w:tc>
          <w:tcPr>
            <w:tcW w:w="4479" w:type="dxa"/>
            <w:tcMar>
              <w:top w:w="11" w:type="dxa"/>
              <w:left w:w="57" w:type="dxa"/>
              <w:bottom w:w="11" w:type="dxa"/>
              <w:right w:w="57" w:type="dxa"/>
            </w:tcMar>
          </w:tcPr>
          <w:p w14:paraId="2EBACA7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i/>
                <w:color w:val="FF0000"/>
                <w:sz w:val="18"/>
                <w:szCs w:val="18"/>
              </w:rPr>
            </w:pPr>
          </w:p>
        </w:tc>
        <w:tc>
          <w:tcPr>
            <w:tcW w:w="929" w:type="dxa"/>
          </w:tcPr>
          <w:p w14:paraId="4EF679D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931" w:type="dxa"/>
            <w:tcMar>
              <w:top w:w="11" w:type="dxa"/>
              <w:left w:w="57" w:type="dxa"/>
              <w:bottom w:w="11" w:type="dxa"/>
              <w:right w:w="57" w:type="dxa"/>
            </w:tcMar>
          </w:tcPr>
          <w:p w14:paraId="60AC3C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2026 </w:t>
            </w:r>
          </w:p>
        </w:tc>
        <w:tc>
          <w:tcPr>
            <w:tcW w:w="931" w:type="dxa"/>
          </w:tcPr>
          <w:p w14:paraId="4A968127" w14:textId="77777777" w:rsidR="00646F4F" w:rsidRPr="00735726" w:rsidRDefault="00646F4F" w:rsidP="00CE19B2">
            <w:pPr>
              <w:widowControl w:val="0"/>
              <w:suppressAutoHyphens/>
              <w:autoSpaceDE w:val="0"/>
              <w:autoSpaceDN w:val="0"/>
              <w:adjustRightInd w:val="0"/>
              <w:spacing w:after="0" w:line="220" w:lineRule="atLeast"/>
              <w:jc w:val="both"/>
              <w:textAlignment w:val="center"/>
              <w:rPr>
                <w:rFonts w:ascii="Arial" w:eastAsia="Times New Roman" w:hAnsi="Arial" w:cs="DINOT-Light"/>
                <w:b/>
                <w:color w:val="000000"/>
                <w:sz w:val="18"/>
                <w:szCs w:val="18"/>
              </w:rPr>
            </w:pPr>
          </w:p>
        </w:tc>
        <w:tc>
          <w:tcPr>
            <w:tcW w:w="932" w:type="dxa"/>
          </w:tcPr>
          <w:p w14:paraId="0AE59C6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015BB877" w14:textId="77777777" w:rsidTr="00CE19B2">
        <w:trPr>
          <w:trHeight w:val="261"/>
          <w:tblHeader/>
        </w:trPr>
        <w:tc>
          <w:tcPr>
            <w:tcW w:w="4479" w:type="dxa"/>
            <w:tcMar>
              <w:top w:w="11" w:type="dxa"/>
              <w:left w:w="57" w:type="dxa"/>
              <w:bottom w:w="11" w:type="dxa"/>
              <w:right w:w="57" w:type="dxa"/>
            </w:tcMar>
          </w:tcPr>
          <w:p w14:paraId="366059E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929" w:type="dxa"/>
            <w:tcMar>
              <w:top w:w="11" w:type="dxa"/>
              <w:left w:w="57" w:type="dxa"/>
              <w:bottom w:w="11" w:type="dxa"/>
              <w:right w:w="57" w:type="dxa"/>
            </w:tcMar>
          </w:tcPr>
          <w:p w14:paraId="2964AAF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Quoted prices in active </w:t>
            </w:r>
          </w:p>
          <w:p w14:paraId="15FE746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market </w:t>
            </w:r>
          </w:p>
          <w:p w14:paraId="5DC39A1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31" w:type="dxa"/>
            <w:tcMar>
              <w:top w:w="11" w:type="dxa"/>
              <w:left w:w="57" w:type="dxa"/>
              <w:bottom w:w="11" w:type="dxa"/>
              <w:right w:w="57" w:type="dxa"/>
            </w:tcMar>
          </w:tcPr>
          <w:p w14:paraId="33FBFB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64DC6F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77BA127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Fund</w:t>
            </w:r>
          </w:p>
          <w:p w14:paraId="386451C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931" w:type="dxa"/>
            <w:tcMar>
              <w:top w:w="11" w:type="dxa"/>
              <w:left w:w="57" w:type="dxa"/>
              <w:bottom w:w="11" w:type="dxa"/>
              <w:right w:w="57" w:type="dxa"/>
            </w:tcMar>
          </w:tcPr>
          <w:p w14:paraId="7BA114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Quoted prices </w:t>
            </w:r>
          </w:p>
          <w:p w14:paraId="6DA900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in active </w:t>
            </w:r>
          </w:p>
          <w:p w14:paraId="077D6A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market </w:t>
            </w:r>
          </w:p>
          <w:p w14:paraId="7167E8E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32" w:type="dxa"/>
            <w:tcMar>
              <w:top w:w="11" w:type="dxa"/>
              <w:left w:w="57" w:type="dxa"/>
              <w:bottom w:w="11" w:type="dxa"/>
              <w:right w:w="57" w:type="dxa"/>
            </w:tcMar>
          </w:tcPr>
          <w:p w14:paraId="3A5FC17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068CAA8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5D7793E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Fund</w:t>
            </w:r>
          </w:p>
          <w:p w14:paraId="4F72C77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r>
      <w:tr w:rsidR="00646F4F" w:rsidRPr="00735726" w14:paraId="21D14B81" w14:textId="77777777" w:rsidTr="00CE19B2">
        <w:trPr>
          <w:trHeight w:val="224"/>
        </w:trPr>
        <w:tc>
          <w:tcPr>
            <w:tcW w:w="4479" w:type="dxa"/>
            <w:tcMar>
              <w:top w:w="11" w:type="dxa"/>
              <w:left w:w="57" w:type="dxa"/>
              <w:bottom w:w="11" w:type="dxa"/>
              <w:right w:w="57" w:type="dxa"/>
            </w:tcMar>
          </w:tcPr>
          <w:p w14:paraId="36C06D9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32" w:name="XMETag_0ff4162c7cf340ca89702412ea0491bb" w:colFirst="1" w:colLast="1"/>
            <w:bookmarkStart w:id="1033" w:name="XMETag_e2180199a67c48cb8be14370f0e2c6f1" w:colFirst="3" w:colLast="3"/>
            <w:r w:rsidRPr="00735726">
              <w:rPr>
                <w:rFonts w:ascii="Arial" w:eastAsia="Times New Roman" w:hAnsi="Arial" w:cs="DINOT-Light"/>
                <w:color w:val="000000"/>
                <w:sz w:val="18"/>
                <w:szCs w:val="18"/>
              </w:rPr>
              <w:t>Equities</w:t>
            </w:r>
          </w:p>
        </w:tc>
        <w:tc>
          <w:tcPr>
            <w:tcW w:w="929" w:type="dxa"/>
            <w:tcMar>
              <w:top w:w="11" w:type="dxa"/>
              <w:left w:w="57" w:type="dxa"/>
              <w:bottom w:w="11" w:type="dxa"/>
              <w:right w:w="57" w:type="dxa"/>
            </w:tcMar>
          </w:tcPr>
          <w:p w14:paraId="0F393B3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67.8</w:t>
            </w:r>
          </w:p>
        </w:tc>
        <w:tc>
          <w:tcPr>
            <w:tcW w:w="931" w:type="dxa"/>
            <w:tcMar>
              <w:top w:w="11" w:type="dxa"/>
              <w:left w:w="57" w:type="dxa"/>
              <w:bottom w:w="11" w:type="dxa"/>
              <w:right w:w="57" w:type="dxa"/>
            </w:tcMar>
          </w:tcPr>
          <w:p w14:paraId="21A04CA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c>
          <w:tcPr>
            <w:tcW w:w="931" w:type="dxa"/>
            <w:tcMar>
              <w:top w:w="11" w:type="dxa"/>
              <w:left w:w="57" w:type="dxa"/>
              <w:bottom w:w="11" w:type="dxa"/>
              <w:right w:w="57" w:type="dxa"/>
            </w:tcMar>
          </w:tcPr>
          <w:p w14:paraId="1DA9363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71.0</w:t>
            </w:r>
          </w:p>
        </w:tc>
        <w:tc>
          <w:tcPr>
            <w:tcW w:w="932" w:type="dxa"/>
            <w:tcMar>
              <w:top w:w="11" w:type="dxa"/>
              <w:left w:w="57" w:type="dxa"/>
              <w:bottom w:w="11" w:type="dxa"/>
              <w:right w:w="57" w:type="dxa"/>
            </w:tcMar>
          </w:tcPr>
          <w:p w14:paraId="7F9212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w:t>
            </w:r>
          </w:p>
        </w:tc>
      </w:tr>
      <w:tr w:rsidR="00646F4F" w:rsidRPr="00735726" w14:paraId="287EA722" w14:textId="77777777" w:rsidTr="00CE19B2">
        <w:trPr>
          <w:trHeight w:val="224"/>
        </w:trPr>
        <w:tc>
          <w:tcPr>
            <w:tcW w:w="4479" w:type="dxa"/>
            <w:tcMar>
              <w:top w:w="11" w:type="dxa"/>
              <w:left w:w="57" w:type="dxa"/>
              <w:bottom w:w="11" w:type="dxa"/>
              <w:right w:w="57" w:type="dxa"/>
            </w:tcMar>
          </w:tcPr>
          <w:p w14:paraId="754A5C0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34" w:name="XMETag_81b850a450534f54b0bf493f2eb4bc36" w:colFirst="1" w:colLast="1"/>
            <w:bookmarkStart w:id="1035" w:name="XMETag_c8174b0cc5134a9da207034ac5ec5248" w:colFirst="3" w:colLast="3"/>
            <w:bookmarkEnd w:id="1032"/>
            <w:bookmarkEnd w:id="1033"/>
            <w:r w:rsidRPr="00735726">
              <w:rPr>
                <w:rFonts w:ascii="Arial" w:eastAsia="Times New Roman" w:hAnsi="Arial" w:cs="DINOT-Light"/>
                <w:color w:val="000000"/>
                <w:sz w:val="18"/>
                <w:szCs w:val="18"/>
              </w:rPr>
              <w:t>Property</w:t>
            </w:r>
          </w:p>
        </w:tc>
        <w:tc>
          <w:tcPr>
            <w:tcW w:w="929" w:type="dxa"/>
            <w:tcMar>
              <w:top w:w="11" w:type="dxa"/>
              <w:left w:w="57" w:type="dxa"/>
              <w:bottom w:w="11" w:type="dxa"/>
              <w:right w:w="57" w:type="dxa"/>
            </w:tcMar>
          </w:tcPr>
          <w:p w14:paraId="40B9029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47.9</w:t>
            </w:r>
          </w:p>
        </w:tc>
        <w:tc>
          <w:tcPr>
            <w:tcW w:w="931" w:type="dxa"/>
            <w:tcMar>
              <w:top w:w="11" w:type="dxa"/>
              <w:left w:w="57" w:type="dxa"/>
              <w:bottom w:w="11" w:type="dxa"/>
              <w:right w:w="57" w:type="dxa"/>
            </w:tcMar>
          </w:tcPr>
          <w:p w14:paraId="14A4F5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w:t>
            </w:r>
          </w:p>
        </w:tc>
        <w:tc>
          <w:tcPr>
            <w:tcW w:w="931" w:type="dxa"/>
            <w:tcMar>
              <w:top w:w="11" w:type="dxa"/>
              <w:left w:w="57" w:type="dxa"/>
              <w:bottom w:w="11" w:type="dxa"/>
              <w:right w:w="57" w:type="dxa"/>
            </w:tcMar>
          </w:tcPr>
          <w:p w14:paraId="175DD00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38.5</w:t>
            </w:r>
          </w:p>
        </w:tc>
        <w:tc>
          <w:tcPr>
            <w:tcW w:w="932" w:type="dxa"/>
            <w:tcMar>
              <w:top w:w="11" w:type="dxa"/>
              <w:left w:w="57" w:type="dxa"/>
              <w:bottom w:w="11" w:type="dxa"/>
              <w:right w:w="57" w:type="dxa"/>
            </w:tcMar>
          </w:tcPr>
          <w:p w14:paraId="050193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w:t>
            </w:r>
          </w:p>
        </w:tc>
      </w:tr>
      <w:tr w:rsidR="00646F4F" w:rsidRPr="00735726" w14:paraId="6B6CB633" w14:textId="77777777" w:rsidTr="00CE19B2">
        <w:trPr>
          <w:trHeight w:val="224"/>
        </w:trPr>
        <w:tc>
          <w:tcPr>
            <w:tcW w:w="4479" w:type="dxa"/>
            <w:tcMar>
              <w:top w:w="11" w:type="dxa"/>
              <w:left w:w="57" w:type="dxa"/>
              <w:bottom w:w="11" w:type="dxa"/>
              <w:right w:w="57" w:type="dxa"/>
            </w:tcMar>
          </w:tcPr>
          <w:p w14:paraId="1DDE891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36" w:name="XMETag_ec86aa37b6044b5f87aa1aba2695a1e5" w:colFirst="1" w:colLast="1"/>
            <w:bookmarkStart w:id="1037" w:name="XMETag_1d12ba22397a49f98306117a91dd506d" w:colFirst="3" w:colLast="3"/>
            <w:bookmarkEnd w:id="1034"/>
            <w:bookmarkEnd w:id="1035"/>
            <w:r w:rsidRPr="00735726">
              <w:rPr>
                <w:rFonts w:ascii="Arial" w:eastAsia="Times New Roman" w:hAnsi="Arial" w:cs="DINOT-Light"/>
                <w:color w:val="000000"/>
                <w:sz w:val="18"/>
                <w:szCs w:val="18"/>
              </w:rPr>
              <w:t>Bonds</w:t>
            </w:r>
          </w:p>
        </w:tc>
        <w:tc>
          <w:tcPr>
            <w:tcW w:w="929" w:type="dxa"/>
            <w:tcMar>
              <w:top w:w="11" w:type="dxa"/>
              <w:left w:w="57" w:type="dxa"/>
              <w:bottom w:w="11" w:type="dxa"/>
              <w:right w:w="57" w:type="dxa"/>
            </w:tcMar>
          </w:tcPr>
          <w:p w14:paraId="7D3ED52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214.2</w:t>
            </w:r>
          </w:p>
        </w:tc>
        <w:tc>
          <w:tcPr>
            <w:tcW w:w="931" w:type="dxa"/>
            <w:tcMar>
              <w:top w:w="11" w:type="dxa"/>
              <w:left w:w="57" w:type="dxa"/>
              <w:bottom w:w="11" w:type="dxa"/>
              <w:right w:w="57" w:type="dxa"/>
            </w:tcMar>
          </w:tcPr>
          <w:p w14:paraId="6E834A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53</w:t>
            </w:r>
          </w:p>
        </w:tc>
        <w:tc>
          <w:tcPr>
            <w:tcW w:w="931" w:type="dxa"/>
            <w:tcMar>
              <w:top w:w="11" w:type="dxa"/>
              <w:left w:w="57" w:type="dxa"/>
              <w:bottom w:w="11" w:type="dxa"/>
              <w:right w:w="57" w:type="dxa"/>
            </w:tcMar>
          </w:tcPr>
          <w:p w14:paraId="3DD39F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192.8</w:t>
            </w:r>
          </w:p>
        </w:tc>
        <w:tc>
          <w:tcPr>
            <w:tcW w:w="932" w:type="dxa"/>
            <w:tcMar>
              <w:top w:w="11" w:type="dxa"/>
              <w:left w:w="57" w:type="dxa"/>
              <w:bottom w:w="11" w:type="dxa"/>
              <w:right w:w="57" w:type="dxa"/>
            </w:tcMar>
          </w:tcPr>
          <w:p w14:paraId="7A92C3C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47</w:t>
            </w:r>
          </w:p>
        </w:tc>
      </w:tr>
      <w:tr w:rsidR="00646F4F" w:rsidRPr="00735726" w14:paraId="70AD475D" w14:textId="77777777" w:rsidTr="00CE19B2">
        <w:trPr>
          <w:trHeight w:val="224"/>
        </w:trPr>
        <w:tc>
          <w:tcPr>
            <w:tcW w:w="4479" w:type="dxa"/>
            <w:tcMar>
              <w:top w:w="11" w:type="dxa"/>
              <w:left w:w="57" w:type="dxa"/>
              <w:bottom w:w="11" w:type="dxa"/>
              <w:right w:w="57" w:type="dxa"/>
            </w:tcMar>
          </w:tcPr>
          <w:p w14:paraId="4496C2B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38" w:name="XMETag_6361a7501ff34f278b7b5eb21aea70d0" w:colFirst="1" w:colLast="1"/>
            <w:bookmarkStart w:id="1039" w:name="XMETag_d84d1225b7024926aefe79b4bbdb300d" w:colFirst="3" w:colLast="3"/>
            <w:bookmarkEnd w:id="1036"/>
            <w:bookmarkEnd w:id="1037"/>
            <w:r w:rsidRPr="00735726">
              <w:rPr>
                <w:rFonts w:ascii="Arial" w:eastAsia="Times New Roman" w:hAnsi="Arial" w:cs="DINOT-Light"/>
                <w:color w:val="000000"/>
                <w:sz w:val="18"/>
                <w:szCs w:val="18"/>
              </w:rPr>
              <w:t>Diversified Growth Fund</w:t>
            </w:r>
          </w:p>
        </w:tc>
        <w:tc>
          <w:tcPr>
            <w:tcW w:w="929" w:type="dxa"/>
            <w:tcMar>
              <w:top w:w="11" w:type="dxa"/>
              <w:left w:w="57" w:type="dxa"/>
              <w:bottom w:w="11" w:type="dxa"/>
              <w:right w:w="57" w:type="dxa"/>
            </w:tcMar>
          </w:tcPr>
          <w:p w14:paraId="66B951A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32.9</w:t>
            </w:r>
          </w:p>
        </w:tc>
        <w:tc>
          <w:tcPr>
            <w:tcW w:w="931" w:type="dxa"/>
            <w:tcMar>
              <w:top w:w="11" w:type="dxa"/>
              <w:left w:w="57" w:type="dxa"/>
              <w:bottom w:w="11" w:type="dxa"/>
              <w:right w:w="57" w:type="dxa"/>
            </w:tcMar>
          </w:tcPr>
          <w:p w14:paraId="6E7F60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w:t>
            </w:r>
          </w:p>
        </w:tc>
        <w:tc>
          <w:tcPr>
            <w:tcW w:w="931" w:type="dxa"/>
            <w:tcMar>
              <w:top w:w="11" w:type="dxa"/>
              <w:left w:w="57" w:type="dxa"/>
              <w:bottom w:w="11" w:type="dxa"/>
              <w:right w:w="57" w:type="dxa"/>
            </w:tcMar>
          </w:tcPr>
          <w:p w14:paraId="27A88B2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12.6</w:t>
            </w:r>
          </w:p>
        </w:tc>
        <w:tc>
          <w:tcPr>
            <w:tcW w:w="932" w:type="dxa"/>
            <w:tcMar>
              <w:top w:w="11" w:type="dxa"/>
              <w:left w:w="57" w:type="dxa"/>
              <w:bottom w:w="11" w:type="dxa"/>
              <w:right w:w="57" w:type="dxa"/>
            </w:tcMar>
          </w:tcPr>
          <w:p w14:paraId="07EED6A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w:t>
            </w:r>
          </w:p>
        </w:tc>
      </w:tr>
      <w:tr w:rsidR="00646F4F" w:rsidRPr="00735726" w14:paraId="0E79E68D" w14:textId="77777777" w:rsidTr="00CE19B2">
        <w:trPr>
          <w:trHeight w:val="224"/>
        </w:trPr>
        <w:tc>
          <w:tcPr>
            <w:tcW w:w="4479" w:type="dxa"/>
            <w:tcMar>
              <w:top w:w="11" w:type="dxa"/>
              <w:left w:w="57" w:type="dxa"/>
              <w:bottom w:w="11" w:type="dxa"/>
              <w:right w:w="57" w:type="dxa"/>
            </w:tcMar>
          </w:tcPr>
          <w:p w14:paraId="4297A94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40" w:name="XMETag_922c2006830a45a58804b330bf97dd75" w:colFirst="1" w:colLast="1"/>
            <w:bookmarkStart w:id="1041" w:name="XMETag_14690a8517b841cfb97e3a82c771ab70" w:colFirst="3" w:colLast="3"/>
            <w:bookmarkEnd w:id="1038"/>
            <w:bookmarkEnd w:id="1039"/>
            <w:r w:rsidRPr="00735726">
              <w:rPr>
                <w:rFonts w:ascii="Arial" w:eastAsia="Times New Roman" w:hAnsi="Arial" w:cs="DINOT-Light"/>
                <w:color w:val="000000"/>
                <w:sz w:val="18"/>
                <w:szCs w:val="18"/>
              </w:rPr>
              <w:t xml:space="preserve">Insurance linked securities </w:t>
            </w:r>
          </w:p>
        </w:tc>
        <w:tc>
          <w:tcPr>
            <w:tcW w:w="929" w:type="dxa"/>
            <w:tcMar>
              <w:top w:w="11" w:type="dxa"/>
              <w:left w:w="57" w:type="dxa"/>
              <w:bottom w:w="11" w:type="dxa"/>
              <w:right w:w="57" w:type="dxa"/>
            </w:tcMar>
          </w:tcPr>
          <w:p w14:paraId="4F46EC2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42.8</w:t>
            </w:r>
          </w:p>
        </w:tc>
        <w:tc>
          <w:tcPr>
            <w:tcW w:w="931" w:type="dxa"/>
            <w:tcMar>
              <w:top w:w="11" w:type="dxa"/>
              <w:left w:w="57" w:type="dxa"/>
              <w:bottom w:w="11" w:type="dxa"/>
              <w:right w:w="57" w:type="dxa"/>
            </w:tcMar>
          </w:tcPr>
          <w:p w14:paraId="6EDF683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931" w:type="dxa"/>
            <w:tcMar>
              <w:top w:w="11" w:type="dxa"/>
              <w:left w:w="57" w:type="dxa"/>
              <w:bottom w:w="11" w:type="dxa"/>
              <w:right w:w="57" w:type="dxa"/>
            </w:tcMar>
          </w:tcPr>
          <w:p w14:paraId="0BAD049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88.0</w:t>
            </w:r>
          </w:p>
        </w:tc>
        <w:tc>
          <w:tcPr>
            <w:tcW w:w="932" w:type="dxa"/>
            <w:tcMar>
              <w:top w:w="11" w:type="dxa"/>
              <w:left w:w="57" w:type="dxa"/>
              <w:bottom w:w="11" w:type="dxa"/>
              <w:right w:w="57" w:type="dxa"/>
            </w:tcMar>
          </w:tcPr>
          <w:p w14:paraId="079587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w:t>
            </w:r>
          </w:p>
        </w:tc>
      </w:tr>
      <w:tr w:rsidR="00646F4F" w:rsidRPr="00735726" w14:paraId="0363EA45" w14:textId="77777777" w:rsidTr="00CE19B2">
        <w:trPr>
          <w:trHeight w:val="224"/>
        </w:trPr>
        <w:tc>
          <w:tcPr>
            <w:tcW w:w="4479" w:type="dxa"/>
            <w:tcMar>
              <w:top w:w="11" w:type="dxa"/>
              <w:left w:w="57" w:type="dxa"/>
              <w:bottom w:w="11" w:type="dxa"/>
              <w:right w:w="57" w:type="dxa"/>
            </w:tcMar>
          </w:tcPr>
          <w:p w14:paraId="758E634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42" w:name="XMETag_3a27f6893b5140e1ba9afb277da58da2" w:colFirst="1" w:colLast="1"/>
            <w:bookmarkStart w:id="1043" w:name="XMETag_87a4338759b548e2842e6632dc05ba38" w:colFirst="3" w:colLast="3"/>
            <w:bookmarkEnd w:id="1040"/>
            <w:bookmarkEnd w:id="1041"/>
            <w:r w:rsidRPr="00735726">
              <w:rPr>
                <w:rFonts w:ascii="Arial" w:eastAsia="Times New Roman" w:hAnsi="Arial" w:cs="DINOT-Light"/>
                <w:color w:val="000000"/>
                <w:sz w:val="18"/>
                <w:szCs w:val="18"/>
              </w:rPr>
              <w:t>Other</w:t>
            </w:r>
          </w:p>
        </w:tc>
        <w:tc>
          <w:tcPr>
            <w:tcW w:w="929" w:type="dxa"/>
            <w:tcBorders>
              <w:bottom w:val="single" w:sz="4" w:space="0" w:color="auto"/>
            </w:tcBorders>
            <w:tcMar>
              <w:top w:w="11" w:type="dxa"/>
              <w:left w:w="57" w:type="dxa"/>
              <w:bottom w:w="11" w:type="dxa"/>
              <w:right w:w="57" w:type="dxa"/>
            </w:tcMar>
          </w:tcPr>
          <w:p w14:paraId="72843D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2.1</w:t>
            </w:r>
          </w:p>
        </w:tc>
        <w:tc>
          <w:tcPr>
            <w:tcW w:w="931" w:type="dxa"/>
            <w:tcBorders>
              <w:bottom w:val="single" w:sz="4" w:space="0" w:color="auto"/>
            </w:tcBorders>
            <w:tcMar>
              <w:top w:w="11" w:type="dxa"/>
              <w:left w:w="57" w:type="dxa"/>
              <w:bottom w:w="11" w:type="dxa"/>
              <w:right w:w="57" w:type="dxa"/>
            </w:tcMar>
          </w:tcPr>
          <w:p w14:paraId="563E81B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w:t>
            </w:r>
          </w:p>
        </w:tc>
        <w:tc>
          <w:tcPr>
            <w:tcW w:w="931" w:type="dxa"/>
            <w:tcBorders>
              <w:bottom w:val="single" w:sz="4" w:space="0" w:color="auto"/>
            </w:tcBorders>
            <w:tcMar>
              <w:top w:w="11" w:type="dxa"/>
              <w:left w:w="57" w:type="dxa"/>
              <w:bottom w:w="11" w:type="dxa"/>
              <w:right w:w="57" w:type="dxa"/>
            </w:tcMar>
          </w:tcPr>
          <w:p w14:paraId="3702428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14.1</w:t>
            </w:r>
          </w:p>
        </w:tc>
        <w:tc>
          <w:tcPr>
            <w:tcW w:w="932" w:type="dxa"/>
            <w:tcBorders>
              <w:bottom w:val="single" w:sz="4" w:space="0" w:color="auto"/>
            </w:tcBorders>
            <w:tcMar>
              <w:top w:w="11" w:type="dxa"/>
              <w:left w:w="57" w:type="dxa"/>
              <w:bottom w:w="11" w:type="dxa"/>
              <w:right w:w="57" w:type="dxa"/>
            </w:tcMar>
          </w:tcPr>
          <w:p w14:paraId="6CBF567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w:t>
            </w:r>
          </w:p>
        </w:tc>
      </w:tr>
      <w:tr w:rsidR="00646F4F" w:rsidRPr="00735726" w14:paraId="2A1A3C3C" w14:textId="77777777" w:rsidTr="00CE19B2">
        <w:trPr>
          <w:trHeight w:val="224"/>
        </w:trPr>
        <w:tc>
          <w:tcPr>
            <w:tcW w:w="4479" w:type="dxa"/>
            <w:tcMar>
              <w:top w:w="11" w:type="dxa"/>
              <w:left w:w="57" w:type="dxa"/>
              <w:bottom w:w="11" w:type="dxa"/>
              <w:right w:w="57" w:type="dxa"/>
            </w:tcMar>
          </w:tcPr>
          <w:p w14:paraId="2B1F1BF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44" w:name="XMETag_5a934e9aa42a487a8a3b9e0bbc134740" w:colFirst="1" w:colLast="1"/>
            <w:bookmarkStart w:id="1045" w:name="XMETag_0d0a563697cd459f8f00ab71db5e8917" w:colFirst="3" w:colLast="3"/>
            <w:bookmarkEnd w:id="1042"/>
            <w:bookmarkEnd w:id="1043"/>
          </w:p>
        </w:tc>
        <w:tc>
          <w:tcPr>
            <w:tcW w:w="929" w:type="dxa"/>
            <w:tcBorders>
              <w:top w:val="single" w:sz="4" w:space="0" w:color="auto"/>
              <w:bottom w:val="single" w:sz="4" w:space="0" w:color="auto"/>
            </w:tcBorders>
            <w:tcMar>
              <w:top w:w="11" w:type="dxa"/>
              <w:left w:w="57" w:type="dxa"/>
              <w:bottom w:w="11" w:type="dxa"/>
              <w:right w:w="57" w:type="dxa"/>
            </w:tcMar>
          </w:tcPr>
          <w:p w14:paraId="6381278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407.7</w:t>
            </w:r>
          </w:p>
        </w:tc>
        <w:tc>
          <w:tcPr>
            <w:tcW w:w="931" w:type="dxa"/>
            <w:tcBorders>
              <w:top w:val="single" w:sz="4" w:space="0" w:color="auto"/>
              <w:bottom w:val="single" w:sz="4" w:space="0" w:color="auto"/>
            </w:tcBorders>
            <w:tcMar>
              <w:top w:w="11" w:type="dxa"/>
              <w:left w:w="57" w:type="dxa"/>
              <w:bottom w:w="11" w:type="dxa"/>
              <w:right w:w="57" w:type="dxa"/>
            </w:tcMar>
          </w:tcPr>
          <w:p w14:paraId="6CD63A7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100</w:t>
            </w:r>
          </w:p>
        </w:tc>
        <w:tc>
          <w:tcPr>
            <w:tcW w:w="931" w:type="dxa"/>
            <w:tcBorders>
              <w:top w:val="single" w:sz="4" w:space="0" w:color="auto"/>
              <w:bottom w:val="single" w:sz="4" w:space="0" w:color="auto"/>
            </w:tcBorders>
            <w:tcMar>
              <w:top w:w="11" w:type="dxa"/>
              <w:left w:w="57" w:type="dxa"/>
              <w:bottom w:w="11" w:type="dxa"/>
              <w:right w:w="57" w:type="dxa"/>
            </w:tcMar>
          </w:tcPr>
          <w:p w14:paraId="718E9C1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417.0</w:t>
            </w:r>
          </w:p>
        </w:tc>
        <w:tc>
          <w:tcPr>
            <w:tcW w:w="932" w:type="dxa"/>
            <w:tcBorders>
              <w:top w:val="single" w:sz="4" w:space="0" w:color="auto"/>
              <w:bottom w:val="single" w:sz="4" w:space="0" w:color="auto"/>
            </w:tcBorders>
            <w:tcMar>
              <w:top w:w="11" w:type="dxa"/>
              <w:left w:w="57" w:type="dxa"/>
              <w:bottom w:w="11" w:type="dxa"/>
              <w:right w:w="57" w:type="dxa"/>
            </w:tcMar>
          </w:tcPr>
          <w:p w14:paraId="0706C75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100</w:t>
            </w:r>
          </w:p>
        </w:tc>
      </w:tr>
      <w:bookmarkEnd w:id="1044"/>
      <w:bookmarkEnd w:id="1045"/>
    </w:tbl>
    <w:p w14:paraId="4B85854A"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C574A4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Through the Pennon Group defined benefit pension plan, the Company is exposed to </w:t>
      </w:r>
      <w:proofErr w:type="gramStart"/>
      <w:r w:rsidRPr="00735726">
        <w:rPr>
          <w:rFonts w:ascii="Arial" w:eastAsia="Times New Roman" w:hAnsi="Arial" w:cs="DINOT-Light"/>
          <w:color w:val="000000"/>
          <w:sz w:val="18"/>
          <w:szCs w:val="18"/>
        </w:rPr>
        <w:t>a number of</w:t>
      </w:r>
      <w:proofErr w:type="gramEnd"/>
      <w:r w:rsidRPr="00735726">
        <w:rPr>
          <w:rFonts w:ascii="Arial" w:eastAsia="Times New Roman" w:hAnsi="Arial" w:cs="DINOT-Light"/>
          <w:color w:val="000000"/>
          <w:sz w:val="18"/>
          <w:szCs w:val="18"/>
        </w:rPr>
        <w:t xml:space="preserve"> risks, the most significant of which are detailed below:</w:t>
      </w:r>
    </w:p>
    <w:p w14:paraId="1BC8D923"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33EE3AB" w14:textId="523A2210" w:rsidR="00646F4F" w:rsidRPr="00735726" w:rsidRDefault="00646F4F" w:rsidP="00646F4F">
      <w:pPr>
        <w:widowControl w:val="0"/>
        <w:suppressAutoHyphens/>
        <w:autoSpaceDE w:val="0"/>
        <w:autoSpaceDN w:val="0"/>
        <w:adjustRightInd w:val="0"/>
        <w:spacing w:after="0"/>
        <w:textAlignment w:val="center"/>
        <w:rPr>
          <w:rFonts w:cs="Calibre Light"/>
          <w:color w:val="000000"/>
          <w:sz w:val="16"/>
          <w:szCs w:val="16"/>
        </w:rPr>
      </w:pPr>
      <w:r w:rsidRPr="00735726">
        <w:rPr>
          <w:rFonts w:ascii="Arial" w:eastAsia="Times New Roman" w:hAnsi="Arial" w:cs="DINOT-Light"/>
          <w:b/>
          <w:color w:val="000000"/>
          <w:sz w:val="18"/>
          <w:szCs w:val="18"/>
        </w:rPr>
        <w:t>Asset volatility:</w:t>
      </w:r>
      <w:r w:rsidRPr="00735726">
        <w:rPr>
          <w:rFonts w:ascii="Arial" w:eastAsia="Times New Roman" w:hAnsi="Arial" w:cs="DINOT-Light"/>
          <w:color w:val="000000"/>
          <w:sz w:val="18"/>
          <w:szCs w:val="18"/>
        </w:rPr>
        <w:t xml:space="preserve"> The liabilities are calculated using a discount rate set with reference to corporate bond yields; if assets underperform this yield, this will create a deficit. The schemes hold a proportion of growth assets (equities and diversified growth funds) which are expected to outperform corporate bonds in the </w:t>
      </w:r>
      <w:r w:rsidR="00486620" w:rsidRPr="00735726">
        <w:rPr>
          <w:rFonts w:ascii="Arial" w:eastAsia="Times New Roman" w:hAnsi="Arial" w:cs="DINOT-Light"/>
          <w:color w:val="000000"/>
          <w:sz w:val="18"/>
          <w:szCs w:val="18"/>
        </w:rPr>
        <w:t>long-term but</w:t>
      </w:r>
      <w:r w:rsidRPr="00735726">
        <w:rPr>
          <w:rFonts w:ascii="Arial" w:eastAsia="Times New Roman" w:hAnsi="Arial" w:cs="DINOT-Light"/>
          <w:color w:val="000000"/>
          <w:sz w:val="18"/>
          <w:szCs w:val="18"/>
        </w:rPr>
        <w:t xml:space="preserve"> can give rise to volatility and risk in the short-term. As the funding of the schemes improves, an increasing proportion of the schemes’ assets are invested in less volatile asset classes such as cash and bonds which more closely reflect market movements in the schemes’ liabilities. The allocation to growth assets is monitored such that it is suitable with the schemes’ long-term objectives.</w:t>
      </w:r>
    </w:p>
    <w:p w14:paraId="1EB0C355"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E424DCC"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b/>
          <w:color w:val="000000"/>
          <w:sz w:val="18"/>
          <w:szCs w:val="18"/>
        </w:rPr>
        <w:t>Changes in bond yields:</w:t>
      </w:r>
      <w:r w:rsidRPr="00735726">
        <w:rPr>
          <w:rFonts w:ascii="Arial" w:eastAsia="Times New Roman" w:hAnsi="Arial" w:cs="DINOT-Light"/>
          <w:color w:val="000000"/>
          <w:sz w:val="18"/>
          <w:szCs w:val="18"/>
        </w:rPr>
        <w:t xml:space="preserve"> A decrease in corporate bond yields will increase the value placed on the scheme’s liabilities, although this will be partially offset by an increase in the value of the scheme’s bond holdings.</w:t>
      </w:r>
    </w:p>
    <w:p w14:paraId="50AF8B9C"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798BCD4A"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r w:rsidRPr="00735726">
        <w:rPr>
          <w:rFonts w:ascii="Arial" w:eastAsia="Times New Roman" w:hAnsi="Arial" w:cs="DINOT-Light"/>
          <w:b/>
          <w:color w:val="000000"/>
          <w:sz w:val="18"/>
          <w:szCs w:val="18"/>
        </w:rPr>
        <w:t>Inflation risk:</w:t>
      </w:r>
      <w:r w:rsidRPr="00735726">
        <w:rPr>
          <w:rFonts w:ascii="Arial" w:eastAsia="Times New Roman" w:hAnsi="Arial" w:cs="DINOT-Light"/>
          <w:color w:val="000000"/>
          <w:sz w:val="18"/>
          <w:szCs w:val="18"/>
        </w:rPr>
        <w:t xml:space="preserve"> The majority of the scheme’s benefit obligations are linked to inflation, and higher inflation will lead to higher liabilities (although, in most cases, caps on the level of inflationary increases are in place to protect against extreme inflation).The scheme uses LDI’s (‘Liability Driven Investment Funds’) within the asset portfolios to hedge against the value of liabilities changing as a result of movements in long-term interest rate and inflation expectations. The structure allows the scheme to both hedge against the risks and retain capital investment in </w:t>
      </w:r>
    </w:p>
    <w:p w14:paraId="034F8620"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assets that are expected to generate higher returns. Whilst LDI’s are an integral part of the hedging strategy, risk management and monitoring strategies are in place to ensure that the collateral requirements to maintain these structures are closely managed. </w:t>
      </w:r>
    </w:p>
    <w:p w14:paraId="1CD91F04"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5087A86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b/>
          <w:color w:val="000000"/>
          <w:sz w:val="18"/>
          <w:szCs w:val="18"/>
        </w:rPr>
        <w:t>Life expectancy:</w:t>
      </w:r>
      <w:r w:rsidRPr="00735726">
        <w:rPr>
          <w:rFonts w:ascii="Arial" w:eastAsia="Times New Roman" w:hAnsi="Arial" w:cs="DINOT-Light"/>
          <w:color w:val="000000"/>
          <w:sz w:val="18"/>
          <w:szCs w:val="18"/>
        </w:rPr>
        <w:t xml:space="preserve"> </w:t>
      </w:r>
      <w:proofErr w:type="gramStart"/>
      <w:r w:rsidRPr="00735726">
        <w:rPr>
          <w:rFonts w:ascii="Arial" w:eastAsia="Times New Roman" w:hAnsi="Arial" w:cs="DINOT-Light"/>
          <w:color w:val="000000"/>
          <w:sz w:val="18"/>
          <w:szCs w:val="18"/>
        </w:rPr>
        <w:t>The majority of</w:t>
      </w:r>
      <w:proofErr w:type="gramEnd"/>
      <w:r w:rsidRPr="00735726">
        <w:rPr>
          <w:rFonts w:ascii="Arial" w:eastAsia="Times New Roman" w:hAnsi="Arial" w:cs="DINOT-Light"/>
          <w:color w:val="000000"/>
          <w:sz w:val="18"/>
          <w:szCs w:val="18"/>
        </w:rPr>
        <w:t xml:space="preserve"> the scheme’s obligations are to provide benefits for the life of the member, so increases in life expectancy will result in an increase in the liabilities.</w:t>
      </w:r>
    </w:p>
    <w:p w14:paraId="7F557BD8"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0D7CFF4A" w14:textId="77777777" w:rsidR="00646F4F" w:rsidRPr="009A2CAE" w:rsidRDefault="00646F4F" w:rsidP="00646F4F">
      <w:pPr>
        <w:spacing w:after="160" w:line="259" w:lineRule="auto"/>
        <w:rPr>
          <w:rFonts w:ascii="Arial" w:eastAsia="Times New Roman" w:hAnsi="Arial" w:cs="Arial"/>
          <w:b/>
          <w:bCs/>
          <w:caps/>
          <w:color w:val="000000"/>
          <w:sz w:val="18"/>
          <w:szCs w:val="18"/>
        </w:rPr>
      </w:pPr>
      <w:r w:rsidRPr="009A2CAE">
        <w:rPr>
          <w:rFonts w:ascii="Arial" w:eastAsia="Times New Roman" w:hAnsi="Arial" w:cs="Arial"/>
          <w:b/>
          <w:bCs/>
          <w:caps/>
          <w:color w:val="000000"/>
          <w:sz w:val="18"/>
          <w:szCs w:val="18"/>
        </w:rPr>
        <w:br w:type="page"/>
      </w:r>
    </w:p>
    <w:p w14:paraId="0F5A6A11" w14:textId="7E5B21FF"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b/>
          <w:bCs/>
          <w:color w:val="000000"/>
          <w:sz w:val="18"/>
          <w:szCs w:val="18"/>
        </w:rPr>
      </w:pPr>
      <w:r w:rsidRPr="00735726">
        <w:rPr>
          <w:rFonts w:ascii="Arial" w:eastAsia="Times New Roman" w:hAnsi="Arial" w:cs="Arial"/>
          <w:b/>
          <w:bCs/>
          <w:caps/>
          <w:color w:val="000000"/>
          <w:sz w:val="18"/>
          <w:szCs w:val="18"/>
        </w:rPr>
        <w:lastRenderedPageBreak/>
        <w:t xml:space="preserve">25.   Retirement benefit </w:t>
      </w:r>
      <w:r w:rsidR="0078265F" w:rsidRPr="00735726">
        <w:rPr>
          <w:rFonts w:ascii="Arial" w:eastAsia="Times New Roman" w:hAnsi="Arial" w:cs="Arial"/>
          <w:b/>
          <w:bCs/>
          <w:caps/>
          <w:color w:val="000000"/>
          <w:sz w:val="18"/>
          <w:szCs w:val="18"/>
        </w:rPr>
        <w:t>OBLIGATIONS</w:t>
      </w:r>
      <w:r w:rsidR="004B6ECD" w:rsidRPr="00735726">
        <w:rPr>
          <w:rFonts w:ascii="Arial" w:eastAsia="Times New Roman" w:hAnsi="Arial" w:cs="DINOT-Light"/>
          <w:color w:val="000000"/>
          <w:sz w:val="18"/>
          <w:szCs w:val="18"/>
        </w:rPr>
        <w:t xml:space="preserve"> </w:t>
      </w:r>
      <w:r w:rsidRPr="00735726">
        <w:rPr>
          <w:rFonts w:ascii="Arial" w:eastAsia="Times New Roman" w:hAnsi="Arial" w:cs="DINOT-Light"/>
          <w:b/>
          <w:bCs/>
          <w:color w:val="000000"/>
          <w:sz w:val="18"/>
          <w:szCs w:val="18"/>
        </w:rPr>
        <w:t>(CONTINUED)</w:t>
      </w:r>
    </w:p>
    <w:p w14:paraId="1AA3B9C9"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 conjunction with its investment advisors, the trustees have structured the scheme’s investments with the objectives of balancing investment returns and levels of risk. The asset allocation has three principal elements:</w:t>
      </w:r>
    </w:p>
    <w:p w14:paraId="161B22EC"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A17757A" w14:textId="77777777" w:rsidR="00646F4F" w:rsidRPr="00735726" w:rsidRDefault="00646F4F" w:rsidP="00646F4F">
      <w:pPr>
        <w:widowControl w:val="0"/>
        <w:numPr>
          <w:ilvl w:val="0"/>
          <w:numId w:val="2"/>
        </w:numPr>
        <w:tabs>
          <w:tab w:val="left" w:pos="340"/>
        </w:tabs>
        <w:suppressAutoHyphens/>
        <w:autoSpaceDE w:val="0"/>
        <w:autoSpaceDN w:val="0"/>
        <w:adjustRightInd w:val="0"/>
        <w:spacing w:after="0"/>
        <w:ind w:left="284" w:hanging="284"/>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Holding of cash funds and bonds which is expected to be less volatile than most other asset classes and reflects market movements in the scheme’s liabilities</w:t>
      </w:r>
    </w:p>
    <w:p w14:paraId="61029692" w14:textId="77777777" w:rsidR="00646F4F" w:rsidRPr="00735726" w:rsidRDefault="00646F4F" w:rsidP="00646F4F">
      <w:pPr>
        <w:widowControl w:val="0"/>
        <w:numPr>
          <w:ilvl w:val="0"/>
          <w:numId w:val="2"/>
        </w:numPr>
        <w:tabs>
          <w:tab w:val="left" w:pos="340"/>
        </w:tabs>
        <w:suppressAutoHyphens/>
        <w:autoSpaceDE w:val="0"/>
        <w:autoSpaceDN w:val="0"/>
        <w:adjustRightInd w:val="0"/>
        <w:spacing w:after="0"/>
        <w:ind w:left="284" w:hanging="284"/>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 proportion of assets with fund managers having freedom in making investment decisions to maximise returns, and</w:t>
      </w:r>
    </w:p>
    <w:p w14:paraId="3B57434B" w14:textId="77777777" w:rsidR="00646F4F" w:rsidRPr="00735726" w:rsidRDefault="00646F4F" w:rsidP="00646F4F">
      <w:pPr>
        <w:widowControl w:val="0"/>
        <w:numPr>
          <w:ilvl w:val="0"/>
          <w:numId w:val="2"/>
        </w:numPr>
        <w:tabs>
          <w:tab w:val="left" w:pos="340"/>
        </w:tabs>
        <w:suppressAutoHyphens/>
        <w:autoSpaceDE w:val="0"/>
        <w:autoSpaceDN w:val="0"/>
        <w:adjustRightInd w:val="0"/>
        <w:spacing w:after="0"/>
        <w:ind w:left="284" w:hanging="284"/>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Investment of a proportion of the schemes’ assets in alternative asset classes which give the potential for diversification (currently property, insurance linked securities and diversified growth).</w:t>
      </w:r>
    </w:p>
    <w:p w14:paraId="1DBD6F70" w14:textId="77777777" w:rsidR="00646F4F" w:rsidRPr="009A2CAE" w:rsidRDefault="00646F4F" w:rsidP="00646F4F">
      <w:pPr>
        <w:widowControl w:val="0"/>
        <w:tabs>
          <w:tab w:val="left" w:pos="340"/>
        </w:tabs>
        <w:suppressAutoHyphens/>
        <w:autoSpaceDE w:val="0"/>
        <w:autoSpaceDN w:val="0"/>
        <w:adjustRightInd w:val="0"/>
        <w:spacing w:after="0"/>
        <w:ind w:left="284"/>
        <w:textAlignment w:val="center"/>
        <w:rPr>
          <w:rFonts w:ascii="Arial" w:eastAsia="Times New Roman" w:hAnsi="Arial" w:cs="DINOT-Light"/>
          <w:color w:val="000000"/>
          <w:sz w:val="18"/>
          <w:szCs w:val="18"/>
        </w:rPr>
      </w:pPr>
    </w:p>
    <w:p w14:paraId="0768D157"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liabilities of the defined benefit schemes are measured by using the projected unit credit method which is an accrued benefits valuation method in which the scheme liabilities make allowance for projected increases in pensionable pay. </w:t>
      </w:r>
    </w:p>
    <w:p w14:paraId="5B33AC2E"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86135AD" w14:textId="77777777"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As funding of our principal pension scheme has improved the investment portfolio has been de-risked through increasing the scheme’s real gilts hedging position through LDIs (Liability Driven Investments), which are commonly used by UK pension schemes.</w:t>
      </w:r>
    </w:p>
    <w:p w14:paraId="74552D4C" w14:textId="77777777" w:rsidR="00646F4F" w:rsidRPr="009A2CAE" w:rsidRDefault="00646F4F" w:rsidP="00646F4F">
      <w:pPr>
        <w:autoSpaceDE w:val="0"/>
        <w:autoSpaceDN w:val="0"/>
        <w:adjustRightInd w:val="0"/>
        <w:spacing w:after="0"/>
        <w:rPr>
          <w:rFonts w:ascii="Arial" w:eastAsia="Times New Roman" w:hAnsi="Arial" w:cs="DINOT-Light"/>
          <w:color w:val="000000"/>
          <w:sz w:val="18"/>
          <w:szCs w:val="18"/>
        </w:rPr>
      </w:pPr>
    </w:p>
    <w:p w14:paraId="02B7BBB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weighted average duration of the defined benefit obligation is 11 years (2025: 10 to 12 years).</w:t>
      </w:r>
    </w:p>
    <w:p w14:paraId="5DA82B2C"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b/>
          <w:bCs/>
          <w:color w:val="000000"/>
          <w:sz w:val="18"/>
          <w:szCs w:val="18"/>
        </w:rPr>
      </w:pPr>
    </w:p>
    <w:p w14:paraId="178D27D5" w14:textId="0C32C88F"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2025 triennial actuarial valuation of the principal defined benefit scheme was agreed in 2025 with an actuarial valuation surplus of £14.0 million. No deficit recovery contributions are required </w:t>
      </w:r>
      <w:proofErr w:type="gramStart"/>
      <w:r w:rsidRPr="00735726">
        <w:rPr>
          <w:rFonts w:ascii="Arial" w:eastAsia="Times New Roman" w:hAnsi="Arial" w:cs="DINOT-Light"/>
          <w:color w:val="000000"/>
          <w:sz w:val="18"/>
          <w:szCs w:val="18"/>
        </w:rPr>
        <w:t>as a result of</w:t>
      </w:r>
      <w:proofErr w:type="gramEnd"/>
      <w:r w:rsidRPr="00735726">
        <w:rPr>
          <w:rFonts w:ascii="Arial" w:eastAsia="Times New Roman" w:hAnsi="Arial" w:cs="DINOT-Light"/>
          <w:color w:val="000000"/>
          <w:sz w:val="18"/>
          <w:szCs w:val="18"/>
        </w:rPr>
        <w:t xml:space="preserve"> the 2025 valuation. Additional contributions of £1.5 million were paid into the scheme in respect of scheme expenses (2025: £1.4 million). Pennon Group plc monitors funding levels on an annual basis, the Company expects to pay total contributions of around £1.5 million during the year ending 31 March 202</w:t>
      </w:r>
      <w:r w:rsidR="00486620" w:rsidRPr="00735726">
        <w:rPr>
          <w:rFonts w:ascii="Arial" w:eastAsia="Times New Roman" w:hAnsi="Arial" w:cs="DINOT-Light"/>
          <w:color w:val="000000"/>
          <w:sz w:val="18"/>
          <w:szCs w:val="18"/>
        </w:rPr>
        <w:t>7</w:t>
      </w:r>
      <w:r w:rsidRPr="00735726">
        <w:rPr>
          <w:rFonts w:ascii="Arial" w:eastAsia="Times New Roman" w:hAnsi="Arial" w:cs="DINOT-Light"/>
          <w:color w:val="000000"/>
          <w:sz w:val="18"/>
          <w:szCs w:val="18"/>
        </w:rPr>
        <w:t xml:space="preserve">.  </w:t>
      </w:r>
    </w:p>
    <w:p w14:paraId="1D3DCFA0"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6752FE45"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75F19267" w14:textId="09343BDC"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bookmarkStart w:id="1046" w:name="_Hlk71549968"/>
      <w:r w:rsidRPr="00735726">
        <w:rPr>
          <w:rFonts w:ascii="Arial" w:eastAsia="Times New Roman" w:hAnsi="Arial" w:cs="Arial"/>
          <w:b/>
          <w:bCs/>
          <w:caps/>
          <w:color w:val="000000"/>
          <w:sz w:val="18"/>
          <w:szCs w:val="18"/>
        </w:rPr>
        <w:t xml:space="preserve">26. CURRENT TAX </w:t>
      </w:r>
      <w:r w:rsidR="005677FA" w:rsidRPr="00735726">
        <w:rPr>
          <w:rFonts w:ascii="Arial" w:eastAsia="Times New Roman" w:hAnsi="Arial" w:cs="Arial"/>
          <w:b/>
          <w:bCs/>
          <w:caps/>
          <w:color w:val="000000"/>
          <w:sz w:val="18"/>
          <w:szCs w:val="18"/>
        </w:rPr>
        <w:t>RECEIVABLES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00EC74F6" w14:textId="77777777" w:rsidTr="00CE19B2">
        <w:trPr>
          <w:trHeight w:val="60"/>
          <w:tblHeader/>
        </w:trPr>
        <w:tc>
          <w:tcPr>
            <w:tcW w:w="7739" w:type="dxa"/>
            <w:tcMar>
              <w:top w:w="11" w:type="dxa"/>
              <w:left w:w="57" w:type="dxa"/>
              <w:bottom w:w="11" w:type="dxa"/>
              <w:right w:w="57" w:type="dxa"/>
            </w:tcMar>
          </w:tcPr>
          <w:p w14:paraId="4F8A647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0B3DFEF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46BA86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1128E46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68CFA4A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2EFE0332" w14:textId="77777777" w:rsidTr="00CE19B2">
        <w:trPr>
          <w:trHeight w:val="226"/>
        </w:trPr>
        <w:tc>
          <w:tcPr>
            <w:tcW w:w="7739" w:type="dxa"/>
            <w:tcMar>
              <w:top w:w="11" w:type="dxa"/>
              <w:left w:w="57" w:type="dxa"/>
              <w:bottom w:w="11" w:type="dxa"/>
              <w:right w:w="57" w:type="dxa"/>
            </w:tcMar>
          </w:tcPr>
          <w:p w14:paraId="0A4FB02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Current year asset</w:t>
            </w:r>
          </w:p>
        </w:tc>
        <w:tc>
          <w:tcPr>
            <w:tcW w:w="1133" w:type="dxa"/>
            <w:tcMar>
              <w:top w:w="11" w:type="dxa"/>
              <w:left w:w="57" w:type="dxa"/>
              <w:bottom w:w="11" w:type="dxa"/>
              <w:right w:w="57" w:type="dxa"/>
            </w:tcMar>
          </w:tcPr>
          <w:p w14:paraId="2E247C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48C0FED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w:t>
            </w:r>
          </w:p>
        </w:tc>
      </w:tr>
      <w:tr w:rsidR="00646F4F" w:rsidRPr="00735726" w14:paraId="01646337" w14:textId="77777777" w:rsidTr="00CE19B2">
        <w:trPr>
          <w:trHeight w:val="226"/>
        </w:trPr>
        <w:tc>
          <w:tcPr>
            <w:tcW w:w="7739" w:type="dxa"/>
            <w:tcMar>
              <w:top w:w="11" w:type="dxa"/>
              <w:left w:w="57" w:type="dxa"/>
              <w:bottom w:w="11" w:type="dxa"/>
              <w:right w:w="57" w:type="dxa"/>
            </w:tcMar>
          </w:tcPr>
          <w:p w14:paraId="61CD590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47" w:name="XMETag_e6ce3d3ba68b49af8212e04645833d9c" w:colFirst="1" w:colLast="1"/>
            <w:bookmarkStart w:id="1048" w:name="XMETag_ebe07bca0d214146a58d75d58b4d7eda" w:colFirst="2" w:colLast="2"/>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w:t>
            </w:r>
          </w:p>
        </w:tc>
        <w:tc>
          <w:tcPr>
            <w:tcW w:w="1133" w:type="dxa"/>
            <w:tcBorders>
              <w:top w:val="single" w:sz="4" w:space="0" w:color="auto"/>
              <w:bottom w:val="single" w:sz="4" w:space="0" w:color="auto"/>
            </w:tcBorders>
            <w:tcMar>
              <w:top w:w="11" w:type="dxa"/>
              <w:left w:w="57" w:type="dxa"/>
              <w:bottom w:w="11" w:type="dxa"/>
              <w:right w:w="57" w:type="dxa"/>
            </w:tcMar>
          </w:tcPr>
          <w:p w14:paraId="1DDE10EE" w14:textId="3324DAA3" w:rsidR="00646F4F" w:rsidRPr="00735726" w:rsidRDefault="004169C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134" w:type="dxa"/>
            <w:tcBorders>
              <w:top w:val="single" w:sz="4" w:space="0" w:color="auto"/>
              <w:bottom w:val="single" w:sz="4" w:space="0" w:color="auto"/>
            </w:tcBorders>
            <w:tcMar>
              <w:top w:w="11" w:type="dxa"/>
              <w:left w:w="57" w:type="dxa"/>
              <w:bottom w:w="11" w:type="dxa"/>
              <w:right w:w="57" w:type="dxa"/>
            </w:tcMar>
          </w:tcPr>
          <w:p w14:paraId="6B3C3FB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3.2</w:t>
            </w:r>
          </w:p>
        </w:tc>
      </w:tr>
      <w:bookmarkEnd w:id="1047"/>
      <w:bookmarkEnd w:id="1048"/>
    </w:tbl>
    <w:p w14:paraId="033ED67A"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24"/>
          <w:szCs w:val="24"/>
        </w:rPr>
      </w:pPr>
    </w:p>
    <w:bookmarkEnd w:id="1046"/>
    <w:p w14:paraId="1CB6C138" w14:textId="3BD13294"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27.</w:t>
      </w:r>
      <w:r w:rsidRPr="00735726">
        <w:rPr>
          <w:rFonts w:ascii="Arial" w:eastAsia="Times New Roman" w:hAnsi="Arial" w:cs="Arial"/>
          <w:b/>
          <w:bCs/>
          <w:caps/>
          <w:color w:val="000000"/>
          <w:sz w:val="18"/>
          <w:szCs w:val="18"/>
        </w:rPr>
        <w:tab/>
        <w:t xml:space="preserve">Deferred tax </w:t>
      </w:r>
      <w:r w:rsidR="00002D94" w:rsidRPr="00735726">
        <w:rPr>
          <w:rFonts w:ascii="Arial" w:eastAsia="Times New Roman" w:hAnsi="Arial" w:cs="Arial"/>
          <w:b/>
          <w:bCs/>
          <w:caps/>
          <w:color w:val="000000"/>
          <w:sz w:val="18"/>
          <w:szCs w:val="18"/>
        </w:rPr>
        <w:t>liabilities</w:t>
      </w:r>
    </w:p>
    <w:p w14:paraId="2A1F377B"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0AA0225F"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Deferred tax is provided in full on temporary differences under the liability method using enacted tax rates. </w:t>
      </w:r>
    </w:p>
    <w:p w14:paraId="3C53469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br/>
        <w:t>Movements on deferred tax were:</w:t>
      </w:r>
    </w:p>
    <w:p w14:paraId="61C77677" w14:textId="77777777" w:rsidR="00646F4F" w:rsidRPr="00735726" w:rsidRDefault="00646F4F" w:rsidP="00646F4F">
      <w:pPr>
        <w:widowControl w:val="0"/>
        <w:tabs>
          <w:tab w:val="left" w:pos="1047"/>
        </w:tabs>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b/>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1104379D" w14:textId="77777777" w:rsidTr="00CE19B2">
        <w:trPr>
          <w:trHeight w:val="60"/>
          <w:tblHeader/>
        </w:trPr>
        <w:tc>
          <w:tcPr>
            <w:tcW w:w="7739" w:type="dxa"/>
            <w:tcMar>
              <w:top w:w="11" w:type="dxa"/>
              <w:left w:w="57" w:type="dxa"/>
              <w:bottom w:w="11" w:type="dxa"/>
              <w:right w:w="57" w:type="dxa"/>
            </w:tcMar>
          </w:tcPr>
          <w:p w14:paraId="3C189B88"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1713844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2C56E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4B3C841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6BA4169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05255E6D" w14:textId="77777777" w:rsidTr="00CE19B2">
        <w:trPr>
          <w:trHeight w:val="226"/>
        </w:trPr>
        <w:tc>
          <w:tcPr>
            <w:tcW w:w="7739" w:type="dxa"/>
            <w:tcMar>
              <w:top w:w="11" w:type="dxa"/>
              <w:left w:w="57" w:type="dxa"/>
              <w:bottom w:w="11" w:type="dxa"/>
              <w:right w:w="57" w:type="dxa"/>
            </w:tcMar>
          </w:tcPr>
          <w:p w14:paraId="69D64CE3" w14:textId="20D1C96C"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49" w:name="XMETag_2c802930fdbb45979e1ec103abe1df7f" w:colFirst="1" w:colLast="1"/>
            <w:bookmarkStart w:id="1050" w:name="XMETag_196f7ec05d06407883f6bc2748cb31be" w:colFirst="2" w:colLast="2"/>
            <w:r w:rsidRPr="00735726">
              <w:rPr>
                <w:rFonts w:ascii="Arial" w:eastAsia="Times New Roman" w:hAnsi="Arial" w:cs="DINOT-Light"/>
                <w:b/>
                <w:color w:val="000000"/>
                <w:sz w:val="18"/>
                <w:szCs w:val="18"/>
              </w:rPr>
              <w:t xml:space="preserve">Net liabilities after offsetting </w:t>
            </w: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w:t>
            </w:r>
          </w:p>
        </w:tc>
        <w:tc>
          <w:tcPr>
            <w:tcW w:w="1133" w:type="dxa"/>
            <w:tcMar>
              <w:top w:w="11" w:type="dxa"/>
              <w:left w:w="57" w:type="dxa"/>
              <w:bottom w:w="11" w:type="dxa"/>
              <w:right w:w="57" w:type="dxa"/>
            </w:tcMar>
          </w:tcPr>
          <w:p w14:paraId="5D508BE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453.3</w:t>
            </w:r>
          </w:p>
        </w:tc>
        <w:tc>
          <w:tcPr>
            <w:tcW w:w="1134" w:type="dxa"/>
            <w:tcMar>
              <w:top w:w="11" w:type="dxa"/>
              <w:left w:w="57" w:type="dxa"/>
              <w:bottom w:w="11" w:type="dxa"/>
              <w:right w:w="57" w:type="dxa"/>
            </w:tcMar>
          </w:tcPr>
          <w:p w14:paraId="7614559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466.0</w:t>
            </w:r>
          </w:p>
        </w:tc>
      </w:tr>
      <w:tr w:rsidR="00646F4F" w:rsidRPr="00735726" w14:paraId="5AA0BE29" w14:textId="77777777" w:rsidTr="00CE19B2">
        <w:trPr>
          <w:trHeight w:val="226"/>
        </w:trPr>
        <w:tc>
          <w:tcPr>
            <w:tcW w:w="7739" w:type="dxa"/>
            <w:tcMar>
              <w:top w:w="11" w:type="dxa"/>
              <w:left w:w="57" w:type="dxa"/>
              <w:bottom w:w="11" w:type="dxa"/>
              <w:right w:w="57" w:type="dxa"/>
            </w:tcMar>
          </w:tcPr>
          <w:p w14:paraId="05A42EC7" w14:textId="2CCC11B1" w:rsidR="00646F4F" w:rsidRPr="00735726" w:rsidRDefault="00486620"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51" w:name="XMETag_9dc0d6394128493e8ba5cee04d8bf935" w:colFirst="1" w:colLast="1"/>
            <w:bookmarkStart w:id="1052" w:name="XMETag_77b748a52e86420aac41b7007b0e2859" w:colFirst="2" w:colLast="2"/>
            <w:bookmarkEnd w:id="1049"/>
            <w:bookmarkEnd w:id="1050"/>
            <w:r w:rsidRPr="00735726">
              <w:rPr>
                <w:rFonts w:ascii="Arial" w:eastAsia="Times New Roman" w:hAnsi="Arial" w:cs="DINOT-Light"/>
                <w:color w:val="000000"/>
                <w:sz w:val="18"/>
                <w:szCs w:val="18"/>
              </w:rPr>
              <w:t>C</w:t>
            </w:r>
            <w:r w:rsidR="00646F4F" w:rsidRPr="00735726">
              <w:rPr>
                <w:rFonts w:ascii="Arial" w:eastAsia="Times New Roman" w:hAnsi="Arial" w:cs="DINOT-Light"/>
                <w:color w:val="000000"/>
                <w:sz w:val="18"/>
                <w:szCs w:val="18"/>
              </w:rPr>
              <w:t>harge/(credit) to the statement of profit or loss</w:t>
            </w:r>
          </w:p>
        </w:tc>
        <w:tc>
          <w:tcPr>
            <w:tcW w:w="1133" w:type="dxa"/>
            <w:tcMar>
              <w:top w:w="11" w:type="dxa"/>
              <w:left w:w="57" w:type="dxa"/>
              <w:bottom w:w="11" w:type="dxa"/>
              <w:right w:w="57" w:type="dxa"/>
            </w:tcMar>
          </w:tcPr>
          <w:p w14:paraId="06A33E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33.3</w:t>
            </w:r>
          </w:p>
        </w:tc>
        <w:tc>
          <w:tcPr>
            <w:tcW w:w="1134" w:type="dxa"/>
            <w:tcMar>
              <w:top w:w="11" w:type="dxa"/>
              <w:left w:w="57" w:type="dxa"/>
              <w:bottom w:w="11" w:type="dxa"/>
              <w:right w:w="57" w:type="dxa"/>
            </w:tcMar>
          </w:tcPr>
          <w:p w14:paraId="3F91E23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r>
      <w:bookmarkEnd w:id="1051"/>
      <w:bookmarkEnd w:id="1052"/>
      <w:tr w:rsidR="00646F4F" w:rsidRPr="00735726" w14:paraId="63303345" w14:textId="77777777" w:rsidTr="00CE19B2">
        <w:trPr>
          <w:trHeight w:val="226"/>
        </w:trPr>
        <w:tc>
          <w:tcPr>
            <w:tcW w:w="7739" w:type="dxa"/>
            <w:tcMar>
              <w:top w:w="11" w:type="dxa"/>
              <w:left w:w="57" w:type="dxa"/>
              <w:bottom w:w="11" w:type="dxa"/>
              <w:right w:w="57" w:type="dxa"/>
            </w:tcMar>
          </w:tcPr>
          <w:p w14:paraId="63AC04B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Non underlying credit to the statement of profit or loss</w:t>
            </w:r>
          </w:p>
        </w:tc>
        <w:tc>
          <w:tcPr>
            <w:tcW w:w="1133" w:type="dxa"/>
            <w:tcMar>
              <w:top w:w="11" w:type="dxa"/>
              <w:left w:w="57" w:type="dxa"/>
              <w:bottom w:w="11" w:type="dxa"/>
              <w:right w:w="57" w:type="dxa"/>
            </w:tcMar>
          </w:tcPr>
          <w:p w14:paraId="593E71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c>
          <w:tcPr>
            <w:tcW w:w="1134" w:type="dxa"/>
            <w:tcMar>
              <w:top w:w="11" w:type="dxa"/>
              <w:left w:w="57" w:type="dxa"/>
              <w:bottom w:w="11" w:type="dxa"/>
              <w:right w:w="57" w:type="dxa"/>
            </w:tcMar>
          </w:tcPr>
          <w:p w14:paraId="4BA7107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(8.1)</w:t>
            </w:r>
          </w:p>
        </w:tc>
      </w:tr>
      <w:tr w:rsidR="00646F4F" w:rsidRPr="00735726" w14:paraId="168294E8" w14:textId="77777777" w:rsidTr="00CE19B2">
        <w:trPr>
          <w:trHeight w:val="255"/>
        </w:trPr>
        <w:tc>
          <w:tcPr>
            <w:tcW w:w="7739" w:type="dxa"/>
            <w:tcMar>
              <w:top w:w="11" w:type="dxa"/>
              <w:left w:w="57" w:type="dxa"/>
              <w:bottom w:w="11" w:type="dxa"/>
              <w:right w:w="57" w:type="dxa"/>
            </w:tcMar>
          </w:tcPr>
          <w:p w14:paraId="4B2BD02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53" w:name="XMETag_990d381828e04b8299e73c7f79acd438" w:colFirst="1" w:colLast="1"/>
            <w:bookmarkStart w:id="1054" w:name="XMETag_45b6fe76c86c4e5aab4c1322e24784af" w:colFirst="2" w:colLast="2"/>
            <w:r w:rsidRPr="00735726">
              <w:rPr>
                <w:rFonts w:ascii="Arial" w:eastAsia="Times New Roman" w:hAnsi="Arial" w:cs="DINOT-Light"/>
                <w:color w:val="000000"/>
                <w:sz w:val="18"/>
                <w:szCs w:val="18"/>
              </w:rPr>
              <w:t>Credited to equity/other comprehensive income</w:t>
            </w:r>
          </w:p>
        </w:tc>
        <w:tc>
          <w:tcPr>
            <w:tcW w:w="1133" w:type="dxa"/>
            <w:tcMar>
              <w:top w:w="11" w:type="dxa"/>
              <w:left w:w="57" w:type="dxa"/>
              <w:bottom w:w="11" w:type="dxa"/>
              <w:right w:w="57" w:type="dxa"/>
            </w:tcMar>
          </w:tcPr>
          <w:p w14:paraId="6ADE670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(0.6)</w:t>
            </w:r>
          </w:p>
        </w:tc>
        <w:tc>
          <w:tcPr>
            <w:tcW w:w="1134" w:type="dxa"/>
            <w:tcMar>
              <w:top w:w="11" w:type="dxa"/>
              <w:left w:w="57" w:type="dxa"/>
              <w:bottom w:w="11" w:type="dxa"/>
              <w:right w:w="57" w:type="dxa"/>
            </w:tcMar>
          </w:tcPr>
          <w:p w14:paraId="71243E9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r>
      <w:tr w:rsidR="00646F4F" w:rsidRPr="00735726" w14:paraId="280ADE19" w14:textId="77777777" w:rsidTr="00CE19B2">
        <w:trPr>
          <w:trHeight w:val="226"/>
        </w:trPr>
        <w:tc>
          <w:tcPr>
            <w:tcW w:w="7739" w:type="dxa"/>
            <w:tcMar>
              <w:top w:w="11" w:type="dxa"/>
              <w:left w:w="57" w:type="dxa"/>
              <w:bottom w:w="11" w:type="dxa"/>
              <w:right w:w="57" w:type="dxa"/>
            </w:tcMar>
          </w:tcPr>
          <w:p w14:paraId="2A973E9B"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55" w:name="XMETag_79842178162d4354b09b07b60cf7329f" w:colFirst="1" w:colLast="1"/>
            <w:bookmarkStart w:id="1056" w:name="XMETag_282e7c2684fc4c2794249c2953b75364" w:colFirst="2" w:colLast="2"/>
            <w:bookmarkEnd w:id="1053"/>
            <w:bookmarkEnd w:id="1054"/>
            <w:r w:rsidRPr="00735726">
              <w:rPr>
                <w:rFonts w:ascii="Arial" w:eastAsia="Times New Roman" w:hAnsi="Arial" w:cs="DINOT-Light"/>
                <w:b/>
                <w:color w:val="000000"/>
                <w:sz w:val="18"/>
                <w:szCs w:val="18"/>
              </w:rPr>
              <w:t xml:space="preserve">Net liabilities after offsetting </w:t>
            </w: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w:t>
            </w:r>
          </w:p>
        </w:tc>
        <w:tc>
          <w:tcPr>
            <w:tcW w:w="1133" w:type="dxa"/>
            <w:tcBorders>
              <w:top w:val="single" w:sz="4" w:space="0" w:color="auto"/>
              <w:bottom w:val="single" w:sz="4" w:space="0" w:color="auto"/>
            </w:tcBorders>
            <w:tcMar>
              <w:top w:w="11" w:type="dxa"/>
              <w:left w:w="57" w:type="dxa"/>
              <w:bottom w:w="11" w:type="dxa"/>
              <w:right w:w="57" w:type="dxa"/>
            </w:tcMar>
          </w:tcPr>
          <w:p w14:paraId="07498E3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483.0</w:t>
            </w:r>
          </w:p>
        </w:tc>
        <w:tc>
          <w:tcPr>
            <w:tcW w:w="1134" w:type="dxa"/>
            <w:tcBorders>
              <w:top w:val="single" w:sz="4" w:space="0" w:color="auto"/>
              <w:bottom w:val="single" w:sz="4" w:space="0" w:color="auto"/>
            </w:tcBorders>
            <w:tcMar>
              <w:top w:w="11" w:type="dxa"/>
              <w:left w:w="57" w:type="dxa"/>
              <w:bottom w:w="11" w:type="dxa"/>
              <w:right w:w="57" w:type="dxa"/>
            </w:tcMar>
          </w:tcPr>
          <w:p w14:paraId="2BE26A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453.3</w:t>
            </w:r>
          </w:p>
        </w:tc>
      </w:tr>
      <w:bookmarkEnd w:id="1055"/>
      <w:bookmarkEnd w:id="1056"/>
    </w:tbl>
    <w:p w14:paraId="43F71E1A"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7A4AAE0C" w14:textId="06320C89"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Deferred tax assets have been recognised in respect of all temporary differences where it is probable that these assets will be recovered. </w:t>
      </w:r>
      <w:proofErr w:type="gramStart"/>
      <w:r w:rsidRPr="00735726">
        <w:rPr>
          <w:rFonts w:ascii="Arial" w:eastAsia="Times New Roman" w:hAnsi="Arial" w:cs="DINOT-Light"/>
          <w:color w:val="000000"/>
          <w:sz w:val="18"/>
          <w:szCs w:val="18"/>
        </w:rPr>
        <w:t>The majority of</w:t>
      </w:r>
      <w:proofErr w:type="gramEnd"/>
      <w:r w:rsidRPr="00735726">
        <w:rPr>
          <w:rFonts w:ascii="Arial" w:eastAsia="Times New Roman" w:hAnsi="Arial" w:cs="DINOT-Light"/>
          <w:color w:val="000000"/>
          <w:sz w:val="18"/>
          <w:szCs w:val="18"/>
        </w:rPr>
        <w:t xml:space="preserve"> the </w:t>
      </w:r>
      <w:r w:rsidR="00A82FEF"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 xml:space="preserve">ompany’s deferred tax assets and liabilities are expected to be recovered over more than one year. All deferred tax assets and liabilities within the same jurisdiction are offset where it is appropriate to do so. </w:t>
      </w:r>
    </w:p>
    <w:p w14:paraId="1E040410"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B1C9D7A" w14:textId="77777777"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The Company has applied the exemption from recognising and disclosing information about deferred tax assets and liabilities related to Pillar Two income taxes as required by the amendments to IAS 12 “International Tax Reform - Pillar Two Model Rules”.</w:t>
      </w:r>
    </w:p>
    <w:p w14:paraId="33D2059F" w14:textId="77777777" w:rsidR="00646F4F" w:rsidRPr="009A2CAE" w:rsidRDefault="00646F4F" w:rsidP="00646F4F">
      <w:pPr>
        <w:autoSpaceDE w:val="0"/>
        <w:autoSpaceDN w:val="0"/>
        <w:adjustRightInd w:val="0"/>
        <w:spacing w:after="0"/>
        <w:rPr>
          <w:rFonts w:ascii="Arial" w:eastAsia="Times New Roman" w:hAnsi="Arial" w:cs="DINOT-Light"/>
          <w:color w:val="000000"/>
          <w:sz w:val="18"/>
          <w:szCs w:val="18"/>
        </w:rPr>
      </w:pPr>
    </w:p>
    <w:p w14:paraId="1B2E765C" w14:textId="77777777" w:rsidR="00646F4F" w:rsidRPr="009A2CAE" w:rsidRDefault="00646F4F" w:rsidP="00646F4F">
      <w:pPr>
        <w:autoSpaceDE w:val="0"/>
        <w:autoSpaceDN w:val="0"/>
        <w:adjustRightInd w:val="0"/>
        <w:spacing w:after="0"/>
        <w:rPr>
          <w:rFonts w:ascii="Arial" w:eastAsia="Times New Roman" w:hAnsi="Arial" w:cs="Arial"/>
          <w:b/>
          <w:bCs/>
          <w:caps/>
          <w:color w:val="000000"/>
          <w:sz w:val="18"/>
          <w:szCs w:val="18"/>
        </w:rPr>
      </w:pPr>
    </w:p>
    <w:p w14:paraId="607F79D7" w14:textId="77777777" w:rsidR="00646F4F" w:rsidRPr="009A2CAE" w:rsidRDefault="00646F4F" w:rsidP="00646F4F">
      <w:pPr>
        <w:autoSpaceDE w:val="0"/>
        <w:autoSpaceDN w:val="0"/>
        <w:adjustRightInd w:val="0"/>
        <w:spacing w:after="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27.</w:t>
      </w:r>
      <w:r w:rsidRPr="00735726">
        <w:rPr>
          <w:rFonts w:ascii="Arial" w:eastAsia="Times New Roman" w:hAnsi="Arial" w:cs="Arial"/>
          <w:b/>
          <w:bCs/>
          <w:caps/>
          <w:color w:val="000000"/>
          <w:sz w:val="18"/>
          <w:szCs w:val="18"/>
        </w:rPr>
        <w:tab/>
        <w:t>Deferred tax liabilities (continued)</w:t>
      </w:r>
    </w:p>
    <w:p w14:paraId="157225D1"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57218E4D"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movements in deferred tax assets and liabilities were:</w:t>
      </w:r>
    </w:p>
    <w:p w14:paraId="3D5D15D6"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71B81DE"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Deferred tax liabilities</w:t>
      </w:r>
    </w:p>
    <w:p w14:paraId="3551F44C"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olor w:val="000000"/>
          <w:sz w:val="18"/>
          <w:szCs w:val="18"/>
        </w:rPr>
      </w:pPr>
    </w:p>
    <w:tbl>
      <w:tblPr>
        <w:tblW w:w="9993" w:type="dxa"/>
        <w:tblInd w:w="8" w:type="dxa"/>
        <w:tblLayout w:type="fixed"/>
        <w:tblCellMar>
          <w:left w:w="0" w:type="dxa"/>
          <w:right w:w="0" w:type="dxa"/>
        </w:tblCellMar>
        <w:tblLook w:val="0000" w:firstRow="0" w:lastRow="0" w:firstColumn="0" w:lastColumn="0" w:noHBand="0" w:noVBand="0"/>
      </w:tblPr>
      <w:tblGrid>
        <w:gridCol w:w="4882"/>
        <w:gridCol w:w="1325"/>
        <w:gridCol w:w="1262"/>
        <w:gridCol w:w="1262"/>
        <w:gridCol w:w="1262"/>
      </w:tblGrid>
      <w:tr w:rsidR="00646F4F" w:rsidRPr="00735726" w14:paraId="08BAFC55" w14:textId="77777777" w:rsidTr="00CE19B2">
        <w:trPr>
          <w:trHeight w:val="794"/>
          <w:tblHeader/>
        </w:trPr>
        <w:tc>
          <w:tcPr>
            <w:tcW w:w="4882" w:type="dxa"/>
            <w:tcMar>
              <w:top w:w="11" w:type="dxa"/>
              <w:left w:w="57" w:type="dxa"/>
              <w:bottom w:w="11" w:type="dxa"/>
              <w:right w:w="57" w:type="dxa"/>
            </w:tcMar>
          </w:tcPr>
          <w:p w14:paraId="2415C88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325" w:type="dxa"/>
            <w:tcBorders>
              <w:bottom w:val="single" w:sz="4" w:space="0" w:color="auto"/>
            </w:tcBorders>
            <w:tcMar>
              <w:top w:w="11" w:type="dxa"/>
              <w:left w:w="57" w:type="dxa"/>
              <w:bottom w:w="11" w:type="dxa"/>
              <w:right w:w="57" w:type="dxa"/>
            </w:tcMar>
            <w:vAlign w:val="bottom"/>
          </w:tcPr>
          <w:p w14:paraId="72B995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Property, plant and equipment</w:t>
            </w:r>
            <w:r w:rsidRPr="00735726">
              <w:rPr>
                <w:rFonts w:ascii="Arial" w:eastAsia="Times New Roman" w:hAnsi="Arial" w:cs="DINOT-Light"/>
                <w:b/>
                <w:color w:val="000000"/>
                <w:sz w:val="18"/>
                <w:szCs w:val="18"/>
              </w:rPr>
              <w:br/>
              <w:t>£m</w:t>
            </w:r>
          </w:p>
        </w:tc>
        <w:tc>
          <w:tcPr>
            <w:tcW w:w="1262" w:type="dxa"/>
            <w:tcBorders>
              <w:bottom w:val="single" w:sz="4" w:space="0" w:color="auto"/>
            </w:tcBorders>
            <w:tcMar>
              <w:top w:w="11" w:type="dxa"/>
              <w:left w:w="57" w:type="dxa"/>
              <w:bottom w:w="11" w:type="dxa"/>
              <w:right w:w="57" w:type="dxa"/>
            </w:tcMar>
            <w:vAlign w:val="bottom"/>
          </w:tcPr>
          <w:p w14:paraId="54A9B99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Retirement benefit obligations</w:t>
            </w:r>
          </w:p>
          <w:p w14:paraId="0E4127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62" w:type="dxa"/>
            <w:tcBorders>
              <w:bottom w:val="single" w:sz="4" w:space="0" w:color="auto"/>
            </w:tcBorders>
          </w:tcPr>
          <w:p w14:paraId="748E7CB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195318A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23E4891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116D19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Derivatives</w:t>
            </w:r>
          </w:p>
          <w:p w14:paraId="217114F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62" w:type="dxa"/>
            <w:tcBorders>
              <w:bottom w:val="single" w:sz="4" w:space="0" w:color="auto"/>
            </w:tcBorders>
            <w:tcMar>
              <w:top w:w="11" w:type="dxa"/>
              <w:left w:w="57" w:type="dxa"/>
              <w:bottom w:w="11" w:type="dxa"/>
              <w:right w:w="57" w:type="dxa"/>
            </w:tcMar>
            <w:vAlign w:val="bottom"/>
          </w:tcPr>
          <w:p w14:paraId="0A3E07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Total </w:t>
            </w:r>
            <w:r w:rsidRPr="00735726">
              <w:rPr>
                <w:rFonts w:ascii="Arial" w:eastAsia="Times New Roman" w:hAnsi="Arial" w:cs="DINOT-Light"/>
                <w:b/>
                <w:color w:val="000000"/>
                <w:sz w:val="18"/>
                <w:szCs w:val="18"/>
              </w:rPr>
              <w:br/>
              <w:t>£m</w:t>
            </w:r>
          </w:p>
        </w:tc>
      </w:tr>
      <w:tr w:rsidR="00646F4F" w:rsidRPr="00735726" w14:paraId="6044F1E9" w14:textId="77777777" w:rsidTr="00CE19B2">
        <w:trPr>
          <w:trHeight w:val="226"/>
        </w:trPr>
        <w:tc>
          <w:tcPr>
            <w:tcW w:w="4882" w:type="dxa"/>
            <w:tcMar>
              <w:top w:w="11" w:type="dxa"/>
              <w:left w:w="57" w:type="dxa"/>
              <w:bottom w:w="11" w:type="dxa"/>
              <w:right w:w="57" w:type="dxa"/>
            </w:tcMar>
          </w:tcPr>
          <w:p w14:paraId="086EFE3B" w14:textId="0265096A"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57" w:name="XMETag_6a4530d4c60e42329057ae0284bce35b" w:colFirst="1" w:colLast="1"/>
            <w:bookmarkStart w:id="1058" w:name="XMETag_396be251bf8e4abcade001a7a1775d29" w:colFirst="3" w:colLast="3"/>
            <w:bookmarkStart w:id="1059" w:name="XMETag_5a0d1b57924a4fbbb2c076603f3270c1" w:colFirst="4" w:colLast="4"/>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1325" w:type="dxa"/>
            <w:tcBorders>
              <w:top w:val="single" w:sz="4" w:space="0" w:color="auto"/>
            </w:tcBorders>
            <w:tcMar>
              <w:top w:w="11" w:type="dxa"/>
              <w:left w:w="57" w:type="dxa"/>
              <w:bottom w:w="11" w:type="dxa"/>
              <w:right w:w="57" w:type="dxa"/>
            </w:tcMar>
          </w:tcPr>
          <w:p w14:paraId="251BDD8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480.1</w:t>
            </w:r>
          </w:p>
        </w:tc>
        <w:tc>
          <w:tcPr>
            <w:tcW w:w="1262" w:type="dxa"/>
            <w:tcBorders>
              <w:top w:val="single" w:sz="4" w:space="0" w:color="auto"/>
            </w:tcBorders>
            <w:tcMar>
              <w:top w:w="11" w:type="dxa"/>
              <w:left w:w="57" w:type="dxa"/>
              <w:bottom w:w="11" w:type="dxa"/>
              <w:right w:w="57" w:type="dxa"/>
            </w:tcMar>
          </w:tcPr>
          <w:p w14:paraId="390D369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2.5</w:t>
            </w:r>
          </w:p>
        </w:tc>
        <w:tc>
          <w:tcPr>
            <w:tcW w:w="1262" w:type="dxa"/>
            <w:tcBorders>
              <w:top w:val="single" w:sz="4" w:space="0" w:color="auto"/>
            </w:tcBorders>
          </w:tcPr>
          <w:p w14:paraId="4AF416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7.8</w:t>
            </w:r>
          </w:p>
        </w:tc>
        <w:tc>
          <w:tcPr>
            <w:tcW w:w="1262" w:type="dxa"/>
            <w:tcBorders>
              <w:top w:val="single" w:sz="4" w:space="0" w:color="auto"/>
            </w:tcBorders>
            <w:tcMar>
              <w:top w:w="11" w:type="dxa"/>
              <w:left w:w="57" w:type="dxa"/>
              <w:bottom w:w="11" w:type="dxa"/>
              <w:right w:w="57" w:type="dxa"/>
            </w:tcMar>
          </w:tcPr>
          <w:p w14:paraId="110DFA3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490.4</w:t>
            </w:r>
          </w:p>
        </w:tc>
      </w:tr>
      <w:tr w:rsidR="00646F4F" w:rsidRPr="00735726" w14:paraId="4F63A570" w14:textId="77777777" w:rsidTr="00CE19B2">
        <w:trPr>
          <w:trHeight w:val="255"/>
        </w:trPr>
        <w:tc>
          <w:tcPr>
            <w:tcW w:w="4882" w:type="dxa"/>
            <w:tcMar>
              <w:top w:w="11" w:type="dxa"/>
              <w:left w:w="57" w:type="dxa"/>
              <w:bottom w:w="11" w:type="dxa"/>
              <w:right w:w="57" w:type="dxa"/>
            </w:tcMar>
          </w:tcPr>
          <w:p w14:paraId="500160F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60" w:name="XMETag_f92450f4b4664f0b82f83fe9d923a1ad" w:colFirst="1" w:colLast="1"/>
            <w:bookmarkStart w:id="1061" w:name="XMETag_a7e12efd8225435cbfea1a4e9051435b" w:colFirst="2" w:colLast="2"/>
            <w:bookmarkStart w:id="1062" w:name="XMETag_fd7398125591460f8bcc7c5a4ded83a1" w:colFirst="3" w:colLast="3"/>
            <w:bookmarkStart w:id="1063" w:name="XMETag_e78744289b8a4385a1edf0a6d2ee5f5c" w:colFirst="4" w:colLast="4"/>
            <w:bookmarkEnd w:id="1057"/>
            <w:bookmarkEnd w:id="1058"/>
            <w:bookmarkEnd w:id="1059"/>
            <w:r w:rsidRPr="00735726">
              <w:rPr>
                <w:rFonts w:ascii="Arial" w:eastAsia="Times New Roman" w:hAnsi="Arial" w:cs="DINOT-Light"/>
                <w:color w:val="000000"/>
                <w:sz w:val="18"/>
                <w:szCs w:val="18"/>
              </w:rPr>
              <w:t>Underlying charged to the statement of profit or loss</w:t>
            </w:r>
          </w:p>
        </w:tc>
        <w:tc>
          <w:tcPr>
            <w:tcW w:w="1325" w:type="dxa"/>
            <w:tcMar>
              <w:top w:w="11" w:type="dxa"/>
              <w:left w:w="57" w:type="dxa"/>
              <w:bottom w:w="11" w:type="dxa"/>
              <w:right w:w="57" w:type="dxa"/>
            </w:tcMar>
          </w:tcPr>
          <w:p w14:paraId="5FF2D8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40.6</w:t>
            </w:r>
          </w:p>
        </w:tc>
        <w:tc>
          <w:tcPr>
            <w:tcW w:w="1262" w:type="dxa"/>
            <w:tcMar>
              <w:top w:w="11" w:type="dxa"/>
              <w:left w:w="57" w:type="dxa"/>
              <w:bottom w:w="11" w:type="dxa"/>
              <w:right w:w="57" w:type="dxa"/>
            </w:tcMar>
          </w:tcPr>
          <w:p w14:paraId="0279B29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0.1</w:t>
            </w:r>
          </w:p>
        </w:tc>
        <w:tc>
          <w:tcPr>
            <w:tcW w:w="1262" w:type="dxa"/>
          </w:tcPr>
          <w:p w14:paraId="11C58C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0.1</w:t>
            </w:r>
          </w:p>
        </w:tc>
        <w:tc>
          <w:tcPr>
            <w:tcW w:w="1262" w:type="dxa"/>
            <w:tcMar>
              <w:top w:w="11" w:type="dxa"/>
              <w:left w:w="57" w:type="dxa"/>
              <w:bottom w:w="11" w:type="dxa"/>
              <w:right w:w="57" w:type="dxa"/>
            </w:tcMar>
          </w:tcPr>
          <w:p w14:paraId="62BEDE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40.8</w:t>
            </w:r>
          </w:p>
        </w:tc>
      </w:tr>
      <w:bookmarkEnd w:id="1060"/>
      <w:bookmarkEnd w:id="1061"/>
      <w:bookmarkEnd w:id="1062"/>
      <w:bookmarkEnd w:id="1063"/>
      <w:tr w:rsidR="00646F4F" w:rsidRPr="00735726" w14:paraId="54E2FE5D" w14:textId="77777777" w:rsidTr="00CE19B2">
        <w:trPr>
          <w:trHeight w:val="255"/>
        </w:trPr>
        <w:tc>
          <w:tcPr>
            <w:tcW w:w="4882" w:type="dxa"/>
            <w:tcMar>
              <w:top w:w="11" w:type="dxa"/>
              <w:left w:w="57" w:type="dxa"/>
              <w:bottom w:w="11" w:type="dxa"/>
              <w:right w:w="57" w:type="dxa"/>
            </w:tcMar>
          </w:tcPr>
          <w:p w14:paraId="3CCE95A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Charged/(credited) to other comprehensive income/equity</w:t>
            </w:r>
          </w:p>
        </w:tc>
        <w:tc>
          <w:tcPr>
            <w:tcW w:w="1325" w:type="dxa"/>
            <w:tcMar>
              <w:top w:w="11" w:type="dxa"/>
              <w:left w:w="57" w:type="dxa"/>
              <w:bottom w:w="11" w:type="dxa"/>
              <w:right w:w="57" w:type="dxa"/>
            </w:tcMar>
          </w:tcPr>
          <w:p w14:paraId="5C4EF0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262" w:type="dxa"/>
            <w:tcMar>
              <w:top w:w="11" w:type="dxa"/>
              <w:left w:w="57" w:type="dxa"/>
              <w:bottom w:w="11" w:type="dxa"/>
              <w:right w:w="57" w:type="dxa"/>
            </w:tcMar>
          </w:tcPr>
          <w:p w14:paraId="5B5DA1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262" w:type="dxa"/>
          </w:tcPr>
          <w:p w14:paraId="32155AE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w:t>
            </w:r>
          </w:p>
        </w:tc>
        <w:tc>
          <w:tcPr>
            <w:tcW w:w="1262" w:type="dxa"/>
            <w:tcMar>
              <w:top w:w="11" w:type="dxa"/>
              <w:left w:w="57" w:type="dxa"/>
              <w:bottom w:w="11" w:type="dxa"/>
              <w:right w:w="57" w:type="dxa"/>
            </w:tcMar>
          </w:tcPr>
          <w:p w14:paraId="784D9F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r>
      <w:tr w:rsidR="00646F4F" w:rsidRPr="00735726" w14:paraId="4BF7258F" w14:textId="77777777" w:rsidTr="00CE19B2">
        <w:trPr>
          <w:trHeight w:val="226"/>
        </w:trPr>
        <w:tc>
          <w:tcPr>
            <w:tcW w:w="4882" w:type="dxa"/>
            <w:tcMar>
              <w:top w:w="11" w:type="dxa"/>
              <w:left w:w="57" w:type="dxa"/>
              <w:bottom w:w="11" w:type="dxa"/>
              <w:right w:w="57" w:type="dxa"/>
            </w:tcMar>
          </w:tcPr>
          <w:p w14:paraId="234524E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64" w:name="XMETag_85a980c37d67489ab6dc653d9db77e51" w:colFirst="1" w:colLast="1"/>
            <w:bookmarkStart w:id="1065" w:name="XMETag_2e636a82214f47eb94c66fc14e29c4c4" w:colFirst="2" w:colLast="2"/>
            <w:bookmarkStart w:id="1066" w:name="XMETag_70ce14584ce8422abf6632c86642c79b" w:colFirst="3" w:colLast="3"/>
            <w:bookmarkStart w:id="1067" w:name="XMETag_a9f74e7059eb45e6a3fd1f070d5aaf7f" w:colFirst="4" w:colLast="4"/>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1325" w:type="dxa"/>
            <w:tcBorders>
              <w:top w:val="single" w:sz="4" w:space="0" w:color="auto"/>
              <w:bottom w:val="single" w:sz="4" w:space="0" w:color="auto"/>
            </w:tcBorders>
            <w:tcMar>
              <w:top w:w="11" w:type="dxa"/>
              <w:left w:w="57" w:type="dxa"/>
              <w:bottom w:w="11" w:type="dxa"/>
              <w:right w:w="57" w:type="dxa"/>
            </w:tcMar>
          </w:tcPr>
          <w:p w14:paraId="2EA59A1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520.7</w:t>
            </w:r>
          </w:p>
        </w:tc>
        <w:tc>
          <w:tcPr>
            <w:tcW w:w="1262" w:type="dxa"/>
            <w:tcBorders>
              <w:top w:val="single" w:sz="4" w:space="0" w:color="auto"/>
              <w:bottom w:val="single" w:sz="4" w:space="0" w:color="auto"/>
            </w:tcBorders>
            <w:tcMar>
              <w:top w:w="11" w:type="dxa"/>
              <w:left w:w="57" w:type="dxa"/>
              <w:bottom w:w="11" w:type="dxa"/>
              <w:right w:w="57" w:type="dxa"/>
            </w:tcMar>
          </w:tcPr>
          <w:p w14:paraId="22146A7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3.4</w:t>
            </w:r>
          </w:p>
        </w:tc>
        <w:tc>
          <w:tcPr>
            <w:tcW w:w="1262" w:type="dxa"/>
            <w:tcBorders>
              <w:top w:val="single" w:sz="4" w:space="0" w:color="auto"/>
              <w:bottom w:val="single" w:sz="4" w:space="0" w:color="auto"/>
            </w:tcBorders>
          </w:tcPr>
          <w:p w14:paraId="044483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5.5</w:t>
            </w:r>
          </w:p>
        </w:tc>
        <w:tc>
          <w:tcPr>
            <w:tcW w:w="1262" w:type="dxa"/>
            <w:tcBorders>
              <w:top w:val="single" w:sz="4" w:space="0" w:color="auto"/>
              <w:bottom w:val="single" w:sz="4" w:space="0" w:color="auto"/>
            </w:tcBorders>
            <w:tcMar>
              <w:top w:w="11" w:type="dxa"/>
              <w:left w:w="57" w:type="dxa"/>
              <w:bottom w:w="11" w:type="dxa"/>
              <w:right w:w="57" w:type="dxa"/>
            </w:tcMar>
          </w:tcPr>
          <w:p w14:paraId="536E5D1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529.6</w:t>
            </w:r>
          </w:p>
        </w:tc>
      </w:tr>
      <w:tr w:rsidR="00646F4F" w:rsidRPr="00735726" w14:paraId="0AB22B95" w14:textId="77777777" w:rsidTr="00CE19B2">
        <w:trPr>
          <w:trHeight w:val="255"/>
        </w:trPr>
        <w:tc>
          <w:tcPr>
            <w:tcW w:w="4882" w:type="dxa"/>
            <w:tcMar>
              <w:top w:w="11" w:type="dxa"/>
              <w:left w:w="57" w:type="dxa"/>
              <w:bottom w:w="11" w:type="dxa"/>
              <w:right w:w="57" w:type="dxa"/>
            </w:tcMar>
          </w:tcPr>
          <w:p w14:paraId="6368BAB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68" w:name="XMETag_a53619a5ec444a4fae732c332032f4eb" w:colFirst="1" w:colLast="1"/>
            <w:bookmarkStart w:id="1069" w:name="XMETag_086eb0c490694f19a37332136d66266c" w:colFirst="2" w:colLast="2"/>
            <w:bookmarkStart w:id="1070" w:name="XMETag_f82e03cefe1842b286dbaa497e4fd386" w:colFirst="3" w:colLast="3"/>
            <w:bookmarkStart w:id="1071" w:name="XMETag_b2cff94e769e467083a4fddb557c2c41" w:colFirst="4" w:colLast="4"/>
            <w:bookmarkEnd w:id="1064"/>
            <w:bookmarkEnd w:id="1065"/>
            <w:bookmarkEnd w:id="1066"/>
            <w:bookmarkEnd w:id="1067"/>
            <w:r w:rsidRPr="00735726">
              <w:rPr>
                <w:rFonts w:ascii="Arial" w:eastAsia="Times New Roman" w:hAnsi="Arial" w:cs="DINOT-Light"/>
                <w:color w:val="000000"/>
                <w:sz w:val="18"/>
                <w:szCs w:val="18"/>
              </w:rPr>
              <w:t>Underlying charged to the statement of profit or loss</w:t>
            </w:r>
          </w:p>
        </w:tc>
        <w:tc>
          <w:tcPr>
            <w:tcW w:w="1325" w:type="dxa"/>
            <w:tcMar>
              <w:top w:w="11" w:type="dxa"/>
              <w:left w:w="57" w:type="dxa"/>
              <w:bottom w:w="11" w:type="dxa"/>
              <w:right w:w="57" w:type="dxa"/>
            </w:tcMar>
          </w:tcPr>
          <w:p w14:paraId="43D0ABB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44.5</w:t>
            </w:r>
          </w:p>
        </w:tc>
        <w:tc>
          <w:tcPr>
            <w:tcW w:w="1262" w:type="dxa"/>
            <w:tcMar>
              <w:top w:w="11" w:type="dxa"/>
              <w:left w:w="57" w:type="dxa"/>
              <w:bottom w:w="11" w:type="dxa"/>
              <w:right w:w="57" w:type="dxa"/>
            </w:tcMar>
          </w:tcPr>
          <w:p w14:paraId="375786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0.5</w:t>
            </w:r>
          </w:p>
        </w:tc>
        <w:tc>
          <w:tcPr>
            <w:tcW w:w="1262" w:type="dxa"/>
          </w:tcPr>
          <w:p w14:paraId="33D4CCD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w:t>
            </w:r>
          </w:p>
        </w:tc>
        <w:tc>
          <w:tcPr>
            <w:tcW w:w="1262" w:type="dxa"/>
            <w:tcMar>
              <w:top w:w="11" w:type="dxa"/>
              <w:left w:w="57" w:type="dxa"/>
              <w:bottom w:w="11" w:type="dxa"/>
              <w:right w:w="57" w:type="dxa"/>
            </w:tcMar>
          </w:tcPr>
          <w:p w14:paraId="05C2513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46.4</w:t>
            </w:r>
          </w:p>
        </w:tc>
      </w:tr>
      <w:tr w:rsidR="00646F4F" w:rsidRPr="00735726" w14:paraId="055B08F2" w14:textId="77777777" w:rsidTr="00CE19B2">
        <w:trPr>
          <w:trHeight w:val="255"/>
        </w:trPr>
        <w:tc>
          <w:tcPr>
            <w:tcW w:w="4882" w:type="dxa"/>
            <w:tcMar>
              <w:top w:w="11" w:type="dxa"/>
              <w:left w:w="57" w:type="dxa"/>
              <w:bottom w:w="11" w:type="dxa"/>
              <w:right w:w="57" w:type="dxa"/>
            </w:tcMar>
          </w:tcPr>
          <w:p w14:paraId="703EB7F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72" w:name="XMETag_498c09cf75364e8193a6ba6f29bc645d" w:colFirst="1" w:colLast="1"/>
            <w:bookmarkStart w:id="1073" w:name="XMETag_736fbcb692554546a2271e5b5fb49c21" w:colFirst="2" w:colLast="2"/>
            <w:bookmarkStart w:id="1074" w:name="XMETag_c943c310961c4193bfcb79921dd5f3a8" w:colFirst="3" w:colLast="3"/>
            <w:bookmarkStart w:id="1075" w:name="XMETag_fd4b488ad60d46a6bd9cfb3f2dd62c19" w:colFirst="4" w:colLast="4"/>
            <w:bookmarkEnd w:id="1068"/>
            <w:bookmarkEnd w:id="1069"/>
            <w:bookmarkEnd w:id="1070"/>
            <w:bookmarkEnd w:id="1071"/>
            <w:r w:rsidRPr="00735726">
              <w:rPr>
                <w:rFonts w:ascii="Arial" w:eastAsia="Times New Roman" w:hAnsi="Arial" w:cs="DINOT-Light"/>
                <w:color w:val="000000"/>
                <w:sz w:val="18"/>
                <w:szCs w:val="18"/>
              </w:rPr>
              <w:t>(Credited)/charged to other comprehensive income/equity</w:t>
            </w:r>
          </w:p>
        </w:tc>
        <w:tc>
          <w:tcPr>
            <w:tcW w:w="1325" w:type="dxa"/>
            <w:tcMar>
              <w:top w:w="11" w:type="dxa"/>
              <w:left w:w="57" w:type="dxa"/>
              <w:bottom w:w="11" w:type="dxa"/>
              <w:right w:w="57" w:type="dxa"/>
            </w:tcMar>
          </w:tcPr>
          <w:p w14:paraId="31253B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262" w:type="dxa"/>
            <w:tcMar>
              <w:top w:w="11" w:type="dxa"/>
              <w:left w:w="57" w:type="dxa"/>
              <w:bottom w:w="11" w:type="dxa"/>
              <w:right w:w="57" w:type="dxa"/>
            </w:tcMar>
          </w:tcPr>
          <w:p w14:paraId="7C7AC2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262" w:type="dxa"/>
          </w:tcPr>
          <w:p w14:paraId="0C7F036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262" w:type="dxa"/>
            <w:tcMar>
              <w:top w:w="11" w:type="dxa"/>
              <w:left w:w="57" w:type="dxa"/>
              <w:bottom w:w="11" w:type="dxa"/>
              <w:right w:w="57" w:type="dxa"/>
            </w:tcMar>
          </w:tcPr>
          <w:p w14:paraId="7FB2B1C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(0.6)</w:t>
            </w:r>
          </w:p>
        </w:tc>
      </w:tr>
      <w:tr w:rsidR="00646F4F" w:rsidRPr="00735726" w14:paraId="25B1E30C" w14:textId="77777777" w:rsidTr="00CE19B2">
        <w:trPr>
          <w:trHeight w:val="226"/>
        </w:trPr>
        <w:tc>
          <w:tcPr>
            <w:tcW w:w="4882" w:type="dxa"/>
            <w:tcMar>
              <w:top w:w="11" w:type="dxa"/>
              <w:left w:w="57" w:type="dxa"/>
              <w:bottom w:w="11" w:type="dxa"/>
              <w:right w:w="57" w:type="dxa"/>
            </w:tcMar>
          </w:tcPr>
          <w:p w14:paraId="1072E3E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76" w:name="XMETag_766168d0d9de4148a8f311e45cb0b640" w:colFirst="1" w:colLast="1"/>
            <w:bookmarkStart w:id="1077" w:name="XMETag_1f0ab3d9012d4d47a8c5a004bfc691f0" w:colFirst="2" w:colLast="2"/>
            <w:bookmarkStart w:id="1078" w:name="XMETag_205062a4db76485e8b5f8ed8539320f5" w:colFirst="3" w:colLast="3"/>
            <w:bookmarkStart w:id="1079" w:name="XMETag_0ed262d79f7d46929b3f8b991a709edc" w:colFirst="4" w:colLast="4"/>
            <w:bookmarkEnd w:id="1072"/>
            <w:bookmarkEnd w:id="1073"/>
            <w:bookmarkEnd w:id="1074"/>
            <w:bookmarkEnd w:id="1075"/>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1325" w:type="dxa"/>
            <w:tcBorders>
              <w:top w:val="single" w:sz="4" w:space="0" w:color="auto"/>
              <w:bottom w:val="single" w:sz="4" w:space="0" w:color="auto"/>
            </w:tcBorders>
            <w:tcMar>
              <w:top w:w="11" w:type="dxa"/>
              <w:left w:w="57" w:type="dxa"/>
              <w:bottom w:w="11" w:type="dxa"/>
              <w:right w:w="57" w:type="dxa"/>
            </w:tcMar>
          </w:tcPr>
          <w:p w14:paraId="229D493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565.2</w:t>
            </w:r>
          </w:p>
        </w:tc>
        <w:tc>
          <w:tcPr>
            <w:tcW w:w="1262" w:type="dxa"/>
            <w:tcBorders>
              <w:top w:val="single" w:sz="4" w:space="0" w:color="auto"/>
              <w:bottom w:val="single" w:sz="4" w:space="0" w:color="auto"/>
            </w:tcBorders>
            <w:tcMar>
              <w:top w:w="11" w:type="dxa"/>
              <w:left w:w="57" w:type="dxa"/>
              <w:bottom w:w="11" w:type="dxa"/>
              <w:right w:w="57" w:type="dxa"/>
            </w:tcMar>
          </w:tcPr>
          <w:p w14:paraId="070F97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3.1</w:t>
            </w:r>
          </w:p>
        </w:tc>
        <w:tc>
          <w:tcPr>
            <w:tcW w:w="1262" w:type="dxa"/>
            <w:tcBorders>
              <w:top w:val="single" w:sz="4" w:space="0" w:color="auto"/>
              <w:bottom w:val="single" w:sz="4" w:space="0" w:color="auto"/>
            </w:tcBorders>
          </w:tcPr>
          <w:p w14:paraId="7C4084B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7.1</w:t>
            </w:r>
          </w:p>
        </w:tc>
        <w:tc>
          <w:tcPr>
            <w:tcW w:w="1262" w:type="dxa"/>
            <w:tcBorders>
              <w:top w:val="single" w:sz="4" w:space="0" w:color="auto"/>
              <w:bottom w:val="single" w:sz="4" w:space="0" w:color="auto"/>
            </w:tcBorders>
            <w:tcMar>
              <w:top w:w="11" w:type="dxa"/>
              <w:left w:w="57" w:type="dxa"/>
              <w:bottom w:w="11" w:type="dxa"/>
              <w:right w:w="57" w:type="dxa"/>
            </w:tcMar>
          </w:tcPr>
          <w:p w14:paraId="5230657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575.4</w:t>
            </w:r>
          </w:p>
        </w:tc>
      </w:tr>
      <w:bookmarkEnd w:id="1076"/>
      <w:bookmarkEnd w:id="1077"/>
      <w:bookmarkEnd w:id="1078"/>
      <w:bookmarkEnd w:id="1079"/>
    </w:tbl>
    <w:p w14:paraId="34600226"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olor w:val="000000"/>
          <w:sz w:val="18"/>
          <w:szCs w:val="18"/>
        </w:rPr>
      </w:pPr>
    </w:p>
    <w:p w14:paraId="623F4DE2"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Deferred tax (assets)</w:t>
      </w:r>
    </w:p>
    <w:p w14:paraId="319BCE63"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olor w:val="000000"/>
          <w:sz w:val="18"/>
          <w:szCs w:val="18"/>
        </w:rPr>
      </w:pPr>
    </w:p>
    <w:tbl>
      <w:tblPr>
        <w:tblW w:w="10045" w:type="dxa"/>
        <w:tblInd w:w="8" w:type="dxa"/>
        <w:tblLayout w:type="fixed"/>
        <w:tblCellMar>
          <w:left w:w="0" w:type="dxa"/>
          <w:right w:w="0" w:type="dxa"/>
        </w:tblCellMar>
        <w:tblLook w:val="0000" w:firstRow="0" w:lastRow="0" w:firstColumn="0" w:lastColumn="0" w:noHBand="0" w:noVBand="0"/>
      </w:tblPr>
      <w:tblGrid>
        <w:gridCol w:w="5017"/>
        <w:gridCol w:w="1212"/>
        <w:gridCol w:w="1276"/>
        <w:gridCol w:w="1209"/>
        <w:gridCol w:w="1331"/>
      </w:tblGrid>
      <w:tr w:rsidR="00646F4F" w:rsidRPr="00735726" w14:paraId="5CBD990F" w14:textId="77777777" w:rsidTr="00CE19B2">
        <w:trPr>
          <w:trHeight w:val="636"/>
          <w:tblHeader/>
        </w:trPr>
        <w:tc>
          <w:tcPr>
            <w:tcW w:w="5017" w:type="dxa"/>
            <w:tcMar>
              <w:top w:w="11" w:type="dxa"/>
              <w:left w:w="57" w:type="dxa"/>
              <w:bottom w:w="11" w:type="dxa"/>
              <w:right w:w="57" w:type="dxa"/>
            </w:tcMar>
          </w:tcPr>
          <w:p w14:paraId="41498C6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212" w:type="dxa"/>
            <w:tcBorders>
              <w:bottom w:val="single" w:sz="4" w:space="0" w:color="auto"/>
            </w:tcBorders>
            <w:vAlign w:val="bottom"/>
          </w:tcPr>
          <w:p w14:paraId="3D9BF62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Provisions</w:t>
            </w:r>
          </w:p>
          <w:p w14:paraId="233E17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76" w:type="dxa"/>
            <w:tcBorders>
              <w:bottom w:val="single" w:sz="4" w:space="0" w:color="auto"/>
            </w:tcBorders>
          </w:tcPr>
          <w:p w14:paraId="202B5A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Tax Losses and corporate interest restriction </w:t>
            </w:r>
          </w:p>
          <w:p w14:paraId="3A3A76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09" w:type="dxa"/>
            <w:tcBorders>
              <w:bottom w:val="single" w:sz="4" w:space="0" w:color="auto"/>
            </w:tcBorders>
            <w:tcMar>
              <w:top w:w="11" w:type="dxa"/>
              <w:left w:w="57" w:type="dxa"/>
              <w:bottom w:w="11" w:type="dxa"/>
              <w:right w:w="57" w:type="dxa"/>
            </w:tcMar>
            <w:vAlign w:val="bottom"/>
          </w:tcPr>
          <w:p w14:paraId="6FDB1C7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Share based payments</w:t>
            </w:r>
          </w:p>
          <w:p w14:paraId="43E086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331" w:type="dxa"/>
            <w:tcBorders>
              <w:bottom w:val="single" w:sz="4" w:space="0" w:color="auto"/>
            </w:tcBorders>
            <w:tcMar>
              <w:top w:w="11" w:type="dxa"/>
              <w:left w:w="57" w:type="dxa"/>
              <w:bottom w:w="11" w:type="dxa"/>
              <w:right w:w="57" w:type="dxa"/>
            </w:tcMar>
            <w:vAlign w:val="bottom"/>
          </w:tcPr>
          <w:p w14:paraId="17A62A9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Total </w:t>
            </w:r>
            <w:r w:rsidRPr="00735726">
              <w:rPr>
                <w:rFonts w:ascii="Arial" w:eastAsia="Times New Roman" w:hAnsi="Arial" w:cs="DINOT-Light"/>
                <w:b/>
                <w:color w:val="000000"/>
                <w:sz w:val="18"/>
                <w:szCs w:val="18"/>
              </w:rPr>
              <w:br/>
              <w:t>£m</w:t>
            </w:r>
          </w:p>
        </w:tc>
      </w:tr>
      <w:tr w:rsidR="00646F4F" w:rsidRPr="00735726" w14:paraId="78083C4A" w14:textId="77777777" w:rsidTr="00CE19B2">
        <w:trPr>
          <w:trHeight w:val="238"/>
        </w:trPr>
        <w:tc>
          <w:tcPr>
            <w:tcW w:w="5017" w:type="dxa"/>
            <w:tcMar>
              <w:top w:w="11" w:type="dxa"/>
              <w:left w:w="57" w:type="dxa"/>
              <w:bottom w:w="11" w:type="dxa"/>
              <w:right w:w="57" w:type="dxa"/>
            </w:tcMar>
          </w:tcPr>
          <w:p w14:paraId="70A5ADFC" w14:textId="74A5CD28"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80" w:name="XMETag_af9b6dc01490414e85e61eff8277a982" w:colFirst="1" w:colLast="1"/>
            <w:bookmarkStart w:id="1081" w:name="XMETag_42ef7261a1fb4b60b8d2c544b5985e7f" w:colFirst="2" w:colLast="2"/>
            <w:bookmarkStart w:id="1082" w:name="XMETag_59fcb7bd93d84fb1bc1c9670b59435b6" w:colFirst="3" w:colLast="3"/>
            <w:bookmarkStart w:id="1083" w:name="XMETag_157de248a29243cd91135e3670f0a7e4" w:colFirst="4" w:colLast="4"/>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1212" w:type="dxa"/>
            <w:tcBorders>
              <w:top w:val="single" w:sz="4" w:space="0" w:color="auto"/>
            </w:tcBorders>
          </w:tcPr>
          <w:p w14:paraId="1F109F1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(0.3)</w:t>
            </w:r>
          </w:p>
        </w:tc>
        <w:tc>
          <w:tcPr>
            <w:tcW w:w="1276" w:type="dxa"/>
            <w:tcBorders>
              <w:top w:val="single" w:sz="4" w:space="0" w:color="auto"/>
            </w:tcBorders>
          </w:tcPr>
          <w:p w14:paraId="5BB35F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(24.0)</w:t>
            </w:r>
          </w:p>
        </w:tc>
        <w:tc>
          <w:tcPr>
            <w:tcW w:w="1209" w:type="dxa"/>
            <w:tcBorders>
              <w:top w:val="single" w:sz="4" w:space="0" w:color="auto"/>
            </w:tcBorders>
            <w:tcMar>
              <w:top w:w="11" w:type="dxa"/>
              <w:left w:w="57" w:type="dxa"/>
              <w:bottom w:w="11" w:type="dxa"/>
              <w:right w:w="57" w:type="dxa"/>
            </w:tcMar>
          </w:tcPr>
          <w:p w14:paraId="0B65F1F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(0.1)</w:t>
            </w:r>
          </w:p>
        </w:tc>
        <w:tc>
          <w:tcPr>
            <w:tcW w:w="1331" w:type="dxa"/>
            <w:tcBorders>
              <w:top w:val="single" w:sz="4" w:space="0" w:color="auto"/>
            </w:tcBorders>
            <w:tcMar>
              <w:top w:w="11" w:type="dxa"/>
              <w:left w:w="57" w:type="dxa"/>
              <w:bottom w:w="11" w:type="dxa"/>
              <w:right w:w="57" w:type="dxa"/>
            </w:tcMar>
          </w:tcPr>
          <w:p w14:paraId="6100D56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(24.4)</w:t>
            </w:r>
          </w:p>
        </w:tc>
      </w:tr>
      <w:tr w:rsidR="00646F4F" w:rsidRPr="00735726" w14:paraId="421A5D4D" w14:textId="77777777" w:rsidTr="00CE19B2">
        <w:trPr>
          <w:trHeight w:val="256"/>
        </w:trPr>
        <w:tc>
          <w:tcPr>
            <w:tcW w:w="5017" w:type="dxa"/>
            <w:tcMar>
              <w:top w:w="11" w:type="dxa"/>
              <w:left w:w="57" w:type="dxa"/>
              <w:bottom w:w="11" w:type="dxa"/>
              <w:right w:w="57" w:type="dxa"/>
            </w:tcMar>
          </w:tcPr>
          <w:p w14:paraId="6EFDDB9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84" w:name="XMETag_eec1abc32fd94ee7824f7c9848a073db" w:colFirst="1" w:colLast="1"/>
            <w:bookmarkStart w:id="1085" w:name="XMETag_a542aa1af5754b1180ba0471c13b3297" w:colFirst="2" w:colLast="2"/>
            <w:bookmarkStart w:id="1086" w:name="XMETag_8e31d86b12304f168254093e465d8109" w:colFirst="3" w:colLast="3"/>
            <w:bookmarkStart w:id="1087" w:name="XMETag_97622fdb7bcf40bca2f97adf171f4f5f" w:colFirst="4" w:colLast="4"/>
            <w:bookmarkEnd w:id="1080"/>
            <w:bookmarkEnd w:id="1081"/>
            <w:bookmarkEnd w:id="1082"/>
            <w:bookmarkEnd w:id="1083"/>
            <w:r w:rsidRPr="00735726">
              <w:rPr>
                <w:rFonts w:ascii="Arial" w:eastAsia="Times New Roman" w:hAnsi="Arial" w:cs="DINOT-Light"/>
                <w:color w:val="000000"/>
                <w:sz w:val="18"/>
                <w:szCs w:val="18"/>
              </w:rPr>
              <w:t>Underlying charged/(credited) to the statement of profit or loss</w:t>
            </w:r>
          </w:p>
        </w:tc>
        <w:tc>
          <w:tcPr>
            <w:tcW w:w="1212" w:type="dxa"/>
          </w:tcPr>
          <w:p w14:paraId="1BDE21A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0.1</w:t>
            </w:r>
          </w:p>
        </w:tc>
        <w:tc>
          <w:tcPr>
            <w:tcW w:w="1276" w:type="dxa"/>
          </w:tcPr>
          <w:p w14:paraId="33BE9A0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(43.9)</w:t>
            </w:r>
          </w:p>
        </w:tc>
        <w:tc>
          <w:tcPr>
            <w:tcW w:w="1209" w:type="dxa"/>
            <w:tcMar>
              <w:top w:w="11" w:type="dxa"/>
              <w:left w:w="57" w:type="dxa"/>
              <w:bottom w:w="11" w:type="dxa"/>
              <w:right w:w="57" w:type="dxa"/>
            </w:tcMar>
          </w:tcPr>
          <w:p w14:paraId="3227D08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331" w:type="dxa"/>
            <w:tcMar>
              <w:top w:w="11" w:type="dxa"/>
              <w:left w:w="57" w:type="dxa"/>
              <w:bottom w:w="11" w:type="dxa"/>
              <w:right w:w="57" w:type="dxa"/>
            </w:tcMar>
          </w:tcPr>
          <w:p w14:paraId="3C7726D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(43.8)</w:t>
            </w:r>
          </w:p>
        </w:tc>
      </w:tr>
      <w:bookmarkEnd w:id="1084"/>
      <w:bookmarkEnd w:id="1085"/>
      <w:bookmarkEnd w:id="1086"/>
      <w:bookmarkEnd w:id="1087"/>
      <w:tr w:rsidR="00646F4F" w:rsidRPr="00735726" w14:paraId="31A4495C" w14:textId="77777777" w:rsidTr="00CE19B2">
        <w:trPr>
          <w:trHeight w:val="238"/>
        </w:trPr>
        <w:tc>
          <w:tcPr>
            <w:tcW w:w="5017" w:type="dxa"/>
            <w:tcMar>
              <w:top w:w="11" w:type="dxa"/>
              <w:left w:w="57" w:type="dxa"/>
              <w:bottom w:w="11" w:type="dxa"/>
              <w:right w:w="57" w:type="dxa"/>
            </w:tcMar>
          </w:tcPr>
          <w:p w14:paraId="087A203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color w:val="000000"/>
                <w:sz w:val="18"/>
                <w:szCs w:val="18"/>
              </w:rPr>
              <w:t>Non-underlying credited to the statement of profit or loss</w:t>
            </w:r>
          </w:p>
        </w:tc>
        <w:tc>
          <w:tcPr>
            <w:tcW w:w="1212" w:type="dxa"/>
          </w:tcPr>
          <w:p w14:paraId="50330EF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w:t>
            </w:r>
          </w:p>
        </w:tc>
        <w:tc>
          <w:tcPr>
            <w:tcW w:w="1276" w:type="dxa"/>
          </w:tcPr>
          <w:p w14:paraId="51D1CE8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(8.1)</w:t>
            </w:r>
          </w:p>
        </w:tc>
        <w:tc>
          <w:tcPr>
            <w:tcW w:w="1209" w:type="dxa"/>
            <w:tcMar>
              <w:top w:w="11" w:type="dxa"/>
              <w:left w:w="57" w:type="dxa"/>
              <w:bottom w:w="11" w:type="dxa"/>
              <w:right w:w="57" w:type="dxa"/>
            </w:tcMar>
          </w:tcPr>
          <w:p w14:paraId="78EDF9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w:t>
            </w:r>
          </w:p>
        </w:tc>
        <w:tc>
          <w:tcPr>
            <w:tcW w:w="1331" w:type="dxa"/>
            <w:tcMar>
              <w:top w:w="11" w:type="dxa"/>
              <w:left w:w="57" w:type="dxa"/>
              <w:bottom w:w="11" w:type="dxa"/>
              <w:right w:w="57" w:type="dxa"/>
            </w:tcMar>
          </w:tcPr>
          <w:p w14:paraId="5C8D3E8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(8.1)</w:t>
            </w:r>
          </w:p>
        </w:tc>
      </w:tr>
      <w:tr w:rsidR="00646F4F" w:rsidRPr="00735726" w14:paraId="39F72044" w14:textId="77777777" w:rsidTr="00CE19B2">
        <w:trPr>
          <w:trHeight w:val="238"/>
        </w:trPr>
        <w:tc>
          <w:tcPr>
            <w:tcW w:w="5017" w:type="dxa"/>
            <w:tcMar>
              <w:top w:w="11" w:type="dxa"/>
              <w:left w:w="57" w:type="dxa"/>
              <w:bottom w:w="11" w:type="dxa"/>
              <w:right w:w="57" w:type="dxa"/>
            </w:tcMar>
          </w:tcPr>
          <w:p w14:paraId="069F2E7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1212" w:type="dxa"/>
            <w:tcBorders>
              <w:top w:val="single" w:sz="4" w:space="0" w:color="auto"/>
              <w:bottom w:val="single" w:sz="4" w:space="0" w:color="auto"/>
            </w:tcBorders>
          </w:tcPr>
          <w:p w14:paraId="23C6F9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(0.2)</w:t>
            </w:r>
          </w:p>
        </w:tc>
        <w:tc>
          <w:tcPr>
            <w:tcW w:w="1276" w:type="dxa"/>
            <w:tcBorders>
              <w:top w:val="single" w:sz="4" w:space="0" w:color="auto"/>
              <w:bottom w:val="single" w:sz="4" w:space="0" w:color="auto"/>
            </w:tcBorders>
          </w:tcPr>
          <w:p w14:paraId="2355F56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(76.0)</w:t>
            </w:r>
          </w:p>
        </w:tc>
        <w:tc>
          <w:tcPr>
            <w:tcW w:w="1209" w:type="dxa"/>
            <w:tcBorders>
              <w:top w:val="single" w:sz="4" w:space="0" w:color="auto"/>
              <w:bottom w:val="single" w:sz="4" w:space="0" w:color="auto"/>
            </w:tcBorders>
            <w:tcMar>
              <w:top w:w="11" w:type="dxa"/>
              <w:left w:w="57" w:type="dxa"/>
              <w:bottom w:w="11" w:type="dxa"/>
              <w:right w:w="57" w:type="dxa"/>
            </w:tcMar>
          </w:tcPr>
          <w:p w14:paraId="33B45DB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(0.1)</w:t>
            </w:r>
          </w:p>
        </w:tc>
        <w:tc>
          <w:tcPr>
            <w:tcW w:w="1331" w:type="dxa"/>
            <w:tcBorders>
              <w:top w:val="single" w:sz="4" w:space="0" w:color="auto"/>
              <w:bottom w:val="single" w:sz="4" w:space="0" w:color="auto"/>
            </w:tcBorders>
            <w:tcMar>
              <w:top w:w="11" w:type="dxa"/>
              <w:left w:w="57" w:type="dxa"/>
              <w:bottom w:w="11" w:type="dxa"/>
              <w:right w:w="57" w:type="dxa"/>
            </w:tcMar>
          </w:tcPr>
          <w:p w14:paraId="297CF60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(76.3)</w:t>
            </w:r>
          </w:p>
        </w:tc>
      </w:tr>
      <w:tr w:rsidR="00646F4F" w:rsidRPr="00735726" w14:paraId="1E608B5F" w14:textId="77777777" w:rsidTr="00CE19B2">
        <w:trPr>
          <w:trHeight w:val="238"/>
        </w:trPr>
        <w:tc>
          <w:tcPr>
            <w:tcW w:w="5017" w:type="dxa"/>
            <w:tcMar>
              <w:top w:w="11" w:type="dxa"/>
              <w:left w:w="57" w:type="dxa"/>
              <w:bottom w:w="11" w:type="dxa"/>
              <w:right w:w="57" w:type="dxa"/>
            </w:tcMar>
          </w:tcPr>
          <w:p w14:paraId="589DB39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88" w:name="XMETag_2d3fb522a4a54547826f592e0d5c9c56" w:colFirst="1" w:colLast="1"/>
            <w:bookmarkStart w:id="1089" w:name="XMETag_fe7f370459af476a9c48f7d89345b3e1" w:colFirst="2" w:colLast="2"/>
            <w:bookmarkStart w:id="1090" w:name="XMETag_f78f479a7342492786f6ff148289e801" w:colFirst="3" w:colLast="3"/>
            <w:bookmarkStart w:id="1091" w:name="XMETag_0d87ac2eb4af418380bc024003bfb15f" w:colFirst="4" w:colLast="4"/>
            <w:r w:rsidRPr="00735726">
              <w:rPr>
                <w:rFonts w:ascii="Arial" w:eastAsia="Times New Roman" w:hAnsi="Arial" w:cs="DINOT-Light"/>
                <w:color w:val="000000"/>
                <w:sz w:val="18"/>
                <w:szCs w:val="18"/>
              </w:rPr>
              <w:t xml:space="preserve">Underlying credited to the statement of profit or loss </w:t>
            </w:r>
          </w:p>
        </w:tc>
        <w:tc>
          <w:tcPr>
            <w:tcW w:w="1212" w:type="dxa"/>
            <w:tcBorders>
              <w:top w:val="single" w:sz="4" w:space="0" w:color="auto"/>
            </w:tcBorders>
          </w:tcPr>
          <w:p w14:paraId="3500388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276" w:type="dxa"/>
            <w:tcBorders>
              <w:top w:val="single" w:sz="4" w:space="0" w:color="auto"/>
            </w:tcBorders>
          </w:tcPr>
          <w:p w14:paraId="64851FC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(12.9)</w:t>
            </w:r>
          </w:p>
        </w:tc>
        <w:tc>
          <w:tcPr>
            <w:tcW w:w="1209" w:type="dxa"/>
            <w:tcBorders>
              <w:top w:val="single" w:sz="4" w:space="0" w:color="auto"/>
            </w:tcBorders>
            <w:tcMar>
              <w:top w:w="11" w:type="dxa"/>
              <w:left w:w="57" w:type="dxa"/>
              <w:bottom w:w="11" w:type="dxa"/>
              <w:right w:w="57" w:type="dxa"/>
            </w:tcMar>
          </w:tcPr>
          <w:p w14:paraId="622110D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331" w:type="dxa"/>
            <w:tcBorders>
              <w:top w:val="single" w:sz="4" w:space="0" w:color="auto"/>
            </w:tcBorders>
            <w:tcMar>
              <w:top w:w="11" w:type="dxa"/>
              <w:left w:w="57" w:type="dxa"/>
              <w:bottom w:w="11" w:type="dxa"/>
              <w:right w:w="57" w:type="dxa"/>
            </w:tcMar>
          </w:tcPr>
          <w:p w14:paraId="299042D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(13.1)</w:t>
            </w:r>
          </w:p>
        </w:tc>
      </w:tr>
      <w:tr w:rsidR="00646F4F" w:rsidRPr="00735726" w14:paraId="05F01A09" w14:textId="77777777" w:rsidTr="00CE19B2">
        <w:trPr>
          <w:trHeight w:val="238"/>
        </w:trPr>
        <w:tc>
          <w:tcPr>
            <w:tcW w:w="5017" w:type="dxa"/>
            <w:tcMar>
              <w:top w:w="11" w:type="dxa"/>
              <w:left w:w="57" w:type="dxa"/>
              <w:bottom w:w="11" w:type="dxa"/>
              <w:right w:w="57" w:type="dxa"/>
            </w:tcMar>
          </w:tcPr>
          <w:p w14:paraId="78CF728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092" w:name="XMETag_41dba006c599456fbfcd9e5e30d9551b" w:colFirst="1" w:colLast="1"/>
            <w:bookmarkStart w:id="1093" w:name="XMETag_1c8b9d1ba7f246d8b733cce772f11d94" w:colFirst="2" w:colLast="2"/>
            <w:bookmarkStart w:id="1094" w:name="XMETag_013e4075e21d4618a32e62f714c149f1" w:colFirst="3" w:colLast="3"/>
            <w:bookmarkStart w:id="1095" w:name="XMETag_e0ef67fba0bc41069602e0fa46b8835f" w:colFirst="4" w:colLast="4"/>
            <w:bookmarkEnd w:id="1088"/>
            <w:bookmarkEnd w:id="1089"/>
            <w:bookmarkEnd w:id="1090"/>
            <w:bookmarkEnd w:id="1091"/>
            <w:r w:rsidRPr="00735726">
              <w:rPr>
                <w:rFonts w:ascii="Arial" w:eastAsia="Times New Roman" w:hAnsi="Arial" w:cs="DINOT-Light"/>
                <w:color w:val="000000"/>
                <w:sz w:val="18"/>
                <w:szCs w:val="18"/>
              </w:rPr>
              <w:t>Non-underlying credited to the statement of profit or loss</w:t>
            </w:r>
          </w:p>
        </w:tc>
        <w:tc>
          <w:tcPr>
            <w:tcW w:w="1212" w:type="dxa"/>
            <w:tcBorders>
              <w:bottom w:val="single" w:sz="4" w:space="0" w:color="auto"/>
            </w:tcBorders>
          </w:tcPr>
          <w:p w14:paraId="4968CB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276" w:type="dxa"/>
            <w:tcBorders>
              <w:bottom w:val="single" w:sz="4" w:space="0" w:color="auto"/>
            </w:tcBorders>
          </w:tcPr>
          <w:p w14:paraId="5453EB7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c>
          <w:tcPr>
            <w:tcW w:w="1209" w:type="dxa"/>
            <w:tcBorders>
              <w:bottom w:val="single" w:sz="4" w:space="0" w:color="auto"/>
            </w:tcBorders>
            <w:tcMar>
              <w:top w:w="11" w:type="dxa"/>
              <w:left w:w="57" w:type="dxa"/>
              <w:bottom w:w="11" w:type="dxa"/>
              <w:right w:w="57" w:type="dxa"/>
            </w:tcMar>
          </w:tcPr>
          <w:p w14:paraId="327CA7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331" w:type="dxa"/>
            <w:tcBorders>
              <w:bottom w:val="single" w:sz="4" w:space="0" w:color="auto"/>
            </w:tcBorders>
            <w:tcMar>
              <w:top w:w="11" w:type="dxa"/>
              <w:left w:w="57" w:type="dxa"/>
              <w:bottom w:w="11" w:type="dxa"/>
              <w:right w:w="57" w:type="dxa"/>
            </w:tcMar>
          </w:tcPr>
          <w:p w14:paraId="7343AA7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(3.0)</w:t>
            </w:r>
          </w:p>
        </w:tc>
      </w:tr>
      <w:tr w:rsidR="00646F4F" w:rsidRPr="00735726" w14:paraId="1F02D51F" w14:textId="77777777" w:rsidTr="00CE19B2">
        <w:trPr>
          <w:trHeight w:val="238"/>
        </w:trPr>
        <w:tc>
          <w:tcPr>
            <w:tcW w:w="5017" w:type="dxa"/>
            <w:tcMar>
              <w:top w:w="11" w:type="dxa"/>
              <w:left w:w="57" w:type="dxa"/>
              <w:bottom w:w="11" w:type="dxa"/>
              <w:right w:w="57" w:type="dxa"/>
            </w:tcMar>
          </w:tcPr>
          <w:p w14:paraId="67238DB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096" w:name="XMETag_31b53807c3e14a0da3f68518a2bf66b9" w:colFirst="1" w:colLast="1"/>
            <w:bookmarkStart w:id="1097" w:name="XMETag_0b0c734ed3df4302bd9d9178e417c723" w:colFirst="2" w:colLast="2"/>
            <w:bookmarkStart w:id="1098" w:name="XMETag_18248a0af62341afb95fda18ca576f78" w:colFirst="3" w:colLast="3"/>
            <w:bookmarkStart w:id="1099" w:name="XMETag_d0b0c0462af2417e8095ecdb13fedcb9" w:colFirst="4" w:colLast="4"/>
            <w:bookmarkEnd w:id="1092"/>
            <w:bookmarkEnd w:id="1093"/>
            <w:bookmarkEnd w:id="1094"/>
            <w:bookmarkEnd w:id="1095"/>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1212" w:type="dxa"/>
            <w:tcBorders>
              <w:top w:val="single" w:sz="4" w:space="0" w:color="auto"/>
              <w:bottom w:val="single" w:sz="4" w:space="0" w:color="auto"/>
            </w:tcBorders>
          </w:tcPr>
          <w:p w14:paraId="5A011D3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(0.2)</w:t>
            </w:r>
          </w:p>
        </w:tc>
        <w:tc>
          <w:tcPr>
            <w:tcW w:w="1276" w:type="dxa"/>
            <w:tcBorders>
              <w:top w:val="single" w:sz="4" w:space="0" w:color="auto"/>
              <w:bottom w:val="single" w:sz="4" w:space="0" w:color="auto"/>
            </w:tcBorders>
          </w:tcPr>
          <w:p w14:paraId="77C9CD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(91.9)</w:t>
            </w:r>
          </w:p>
        </w:tc>
        <w:tc>
          <w:tcPr>
            <w:tcW w:w="1209" w:type="dxa"/>
            <w:tcBorders>
              <w:top w:val="single" w:sz="4" w:space="0" w:color="auto"/>
              <w:bottom w:val="single" w:sz="4" w:space="0" w:color="auto"/>
            </w:tcBorders>
            <w:tcMar>
              <w:top w:w="11" w:type="dxa"/>
              <w:left w:w="57" w:type="dxa"/>
              <w:bottom w:w="11" w:type="dxa"/>
              <w:right w:w="57" w:type="dxa"/>
            </w:tcMar>
          </w:tcPr>
          <w:p w14:paraId="13EF95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(0.3)</w:t>
            </w:r>
          </w:p>
        </w:tc>
        <w:tc>
          <w:tcPr>
            <w:tcW w:w="1331" w:type="dxa"/>
            <w:tcBorders>
              <w:top w:val="single" w:sz="4" w:space="0" w:color="auto"/>
              <w:bottom w:val="single" w:sz="4" w:space="0" w:color="auto"/>
            </w:tcBorders>
            <w:tcMar>
              <w:top w:w="11" w:type="dxa"/>
              <w:left w:w="57" w:type="dxa"/>
              <w:bottom w:w="11" w:type="dxa"/>
              <w:right w:w="57" w:type="dxa"/>
            </w:tcMar>
          </w:tcPr>
          <w:p w14:paraId="6955E36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(92.4)</w:t>
            </w:r>
          </w:p>
        </w:tc>
      </w:tr>
      <w:bookmarkEnd w:id="1096"/>
      <w:bookmarkEnd w:id="1097"/>
      <w:bookmarkEnd w:id="1098"/>
      <w:bookmarkEnd w:id="1099"/>
    </w:tbl>
    <w:p w14:paraId="4AB6B7CA"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EB59CB1"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Deferred tax credited to other comprehensive income/equity during the year was: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68BFCD50" w14:textId="77777777" w:rsidTr="00CE19B2">
        <w:trPr>
          <w:trHeight w:val="60"/>
          <w:tblHeader/>
        </w:trPr>
        <w:tc>
          <w:tcPr>
            <w:tcW w:w="7739" w:type="dxa"/>
            <w:tcMar>
              <w:top w:w="11" w:type="dxa"/>
              <w:left w:w="57" w:type="dxa"/>
              <w:bottom w:w="11" w:type="dxa"/>
              <w:right w:w="57" w:type="dxa"/>
            </w:tcMar>
          </w:tcPr>
          <w:p w14:paraId="78492A1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29E15F0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46071D8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1A05A92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66370B7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0B197A58" w14:textId="77777777" w:rsidTr="00CE19B2">
        <w:trPr>
          <w:trHeight w:val="226"/>
        </w:trPr>
        <w:tc>
          <w:tcPr>
            <w:tcW w:w="7739" w:type="dxa"/>
            <w:tcMar>
              <w:top w:w="11" w:type="dxa"/>
              <w:left w:w="57" w:type="dxa"/>
              <w:bottom w:w="11" w:type="dxa"/>
              <w:right w:w="57" w:type="dxa"/>
            </w:tcMar>
          </w:tcPr>
          <w:p w14:paraId="2134644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00" w:name="XMETag_7f13fc9da85d40948ebb8863ff85ef7c" w:colFirst="1" w:colLast="1"/>
            <w:bookmarkStart w:id="1101" w:name="XMETag_bae9df58cf034643abf6de714d932776" w:colFirst="2" w:colLast="2"/>
            <w:r w:rsidRPr="00735726">
              <w:rPr>
                <w:rFonts w:ascii="Arial" w:eastAsia="Times New Roman" w:hAnsi="Arial" w:cs="DINOT-Light"/>
                <w:color w:val="000000"/>
                <w:sz w:val="18"/>
                <w:szCs w:val="18"/>
              </w:rPr>
              <w:t>Remeasurement of defined benefit obligations</w:t>
            </w:r>
          </w:p>
        </w:tc>
        <w:tc>
          <w:tcPr>
            <w:tcW w:w="1133" w:type="dxa"/>
            <w:tcMar>
              <w:top w:w="11" w:type="dxa"/>
              <w:left w:w="57" w:type="dxa"/>
              <w:bottom w:w="11" w:type="dxa"/>
              <w:right w:w="57" w:type="dxa"/>
            </w:tcMar>
          </w:tcPr>
          <w:p w14:paraId="71F7FF6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134" w:type="dxa"/>
            <w:tcMar>
              <w:top w:w="11" w:type="dxa"/>
              <w:left w:w="57" w:type="dxa"/>
              <w:bottom w:w="11" w:type="dxa"/>
              <w:right w:w="57" w:type="dxa"/>
            </w:tcMar>
          </w:tcPr>
          <w:p w14:paraId="520E56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r>
      <w:bookmarkEnd w:id="1100"/>
      <w:bookmarkEnd w:id="1101"/>
      <w:tr w:rsidR="00646F4F" w:rsidRPr="00735726" w14:paraId="71AE76AD" w14:textId="77777777" w:rsidTr="00CE19B2">
        <w:trPr>
          <w:trHeight w:val="226"/>
        </w:trPr>
        <w:tc>
          <w:tcPr>
            <w:tcW w:w="7739" w:type="dxa"/>
            <w:tcMar>
              <w:top w:w="11" w:type="dxa"/>
              <w:left w:w="57" w:type="dxa"/>
              <w:bottom w:w="11" w:type="dxa"/>
              <w:right w:w="57" w:type="dxa"/>
            </w:tcMar>
          </w:tcPr>
          <w:p w14:paraId="6B772F8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Cash-flow hedges</w:t>
            </w:r>
          </w:p>
        </w:tc>
        <w:tc>
          <w:tcPr>
            <w:tcW w:w="1133" w:type="dxa"/>
            <w:tcMar>
              <w:top w:w="11" w:type="dxa"/>
              <w:left w:w="57" w:type="dxa"/>
              <w:bottom w:w="11" w:type="dxa"/>
              <w:right w:w="57" w:type="dxa"/>
            </w:tcMar>
          </w:tcPr>
          <w:p w14:paraId="566712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134" w:type="dxa"/>
            <w:tcMar>
              <w:top w:w="11" w:type="dxa"/>
              <w:left w:w="57" w:type="dxa"/>
              <w:bottom w:w="11" w:type="dxa"/>
              <w:right w:w="57" w:type="dxa"/>
            </w:tcMar>
          </w:tcPr>
          <w:p w14:paraId="4B3600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w:t>
            </w:r>
          </w:p>
        </w:tc>
      </w:tr>
      <w:tr w:rsidR="00646F4F" w:rsidRPr="00735726" w14:paraId="7C0C0DA0" w14:textId="77777777" w:rsidTr="00CE19B2">
        <w:trPr>
          <w:trHeight w:val="226"/>
        </w:trPr>
        <w:tc>
          <w:tcPr>
            <w:tcW w:w="7739" w:type="dxa"/>
            <w:tcMar>
              <w:top w:w="11" w:type="dxa"/>
              <w:left w:w="57" w:type="dxa"/>
              <w:bottom w:w="11" w:type="dxa"/>
              <w:right w:w="57" w:type="dxa"/>
            </w:tcMar>
          </w:tcPr>
          <w:p w14:paraId="4D0BC28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02" w:name="XMETag_3f6cbfa5e7d74890aacbac05cdb26647" w:colFirst="1" w:colLast="1"/>
            <w:bookmarkStart w:id="1103" w:name="XMETag_9ebfcc03009c4efd966d95a90237af49" w:colFirst="2" w:colLast="2"/>
          </w:p>
        </w:tc>
        <w:tc>
          <w:tcPr>
            <w:tcW w:w="1133" w:type="dxa"/>
            <w:tcBorders>
              <w:top w:val="single" w:sz="4" w:space="0" w:color="auto"/>
              <w:bottom w:val="single" w:sz="4" w:space="0" w:color="auto"/>
            </w:tcBorders>
            <w:tcMar>
              <w:top w:w="11" w:type="dxa"/>
              <w:left w:w="57" w:type="dxa"/>
              <w:bottom w:w="11" w:type="dxa"/>
              <w:right w:w="57" w:type="dxa"/>
            </w:tcMar>
          </w:tcPr>
          <w:p w14:paraId="5731D23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0.6</w:t>
            </w:r>
          </w:p>
        </w:tc>
        <w:tc>
          <w:tcPr>
            <w:tcW w:w="1134" w:type="dxa"/>
            <w:tcBorders>
              <w:top w:val="single" w:sz="4" w:space="0" w:color="auto"/>
              <w:bottom w:val="single" w:sz="4" w:space="0" w:color="auto"/>
            </w:tcBorders>
            <w:tcMar>
              <w:top w:w="11" w:type="dxa"/>
              <w:left w:w="57" w:type="dxa"/>
              <w:bottom w:w="11" w:type="dxa"/>
              <w:right w:w="57" w:type="dxa"/>
            </w:tcMar>
          </w:tcPr>
          <w:p w14:paraId="2D5A4B6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1.6</w:t>
            </w:r>
          </w:p>
        </w:tc>
      </w:tr>
      <w:bookmarkEnd w:id="1102"/>
      <w:bookmarkEnd w:id="1103"/>
    </w:tbl>
    <w:p w14:paraId="7573B77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73518839" w14:textId="2CCEC506"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bookmarkStart w:id="1104" w:name="XMETag_89fd31b780564e21a418bbeaeddc555c"/>
      <w:r w:rsidRPr="00735726">
        <w:rPr>
          <w:rFonts w:ascii="Arial" w:eastAsia="Times New Roman" w:hAnsi="Arial" w:cs="DINOT-Light"/>
          <w:color w:val="000000"/>
          <w:sz w:val="18"/>
          <w:szCs w:val="18"/>
        </w:rPr>
        <w:t xml:space="preserve">When a business incurs capital expenditure which is qualifying for tax relief, tax deductions are obtained via the capital allowance regime. The tax relief arising replaces the accounting depreciation of the qualifying expenditure which is not tax deductible. Over the period of ownership of the relevant property, plant and equipment, cumulative depreciation and capital allowances will equalise. Capital allowance rates are set by the UK </w:t>
      </w:r>
      <w:proofErr w:type="gramStart"/>
      <w:r w:rsidRPr="00735726">
        <w:rPr>
          <w:rFonts w:ascii="Arial" w:eastAsia="Times New Roman" w:hAnsi="Arial" w:cs="DINOT-Light"/>
          <w:color w:val="000000"/>
          <w:sz w:val="18"/>
          <w:szCs w:val="18"/>
        </w:rPr>
        <w:t>Government</w:t>
      </w:r>
      <w:proofErr w:type="gramEnd"/>
      <w:r w:rsidRPr="00735726">
        <w:rPr>
          <w:rFonts w:ascii="Arial" w:eastAsia="Times New Roman" w:hAnsi="Arial" w:cs="DINOT-Light"/>
          <w:color w:val="000000"/>
          <w:sz w:val="18"/>
          <w:szCs w:val="18"/>
        </w:rPr>
        <w:t xml:space="preserve"> and every business receives the same rate of allowance. Capital allowance rates typically vary from 3% up to 100%. Depreciation periods vary from 4 to 200 years. Due to the </w:t>
      </w:r>
      <w:r w:rsidR="00141756" w:rsidRPr="00735726">
        <w:rPr>
          <w:rFonts w:ascii="Arial" w:eastAsia="Times New Roman" w:hAnsi="Arial" w:cs="DINOT-Light"/>
          <w:color w:val="000000"/>
          <w:sz w:val="18"/>
          <w:szCs w:val="18"/>
        </w:rPr>
        <w:t xml:space="preserve">company's </w:t>
      </w:r>
      <w:r w:rsidRPr="00735726">
        <w:rPr>
          <w:rFonts w:ascii="Arial" w:eastAsia="Times New Roman" w:hAnsi="Arial" w:cs="DINOT-Light"/>
          <w:color w:val="000000"/>
          <w:sz w:val="18"/>
          <w:szCs w:val="18"/>
        </w:rPr>
        <w:t>continuing capital investment programme, deductions for capital allowances are expected to exceed depreciation in future years.</w:t>
      </w:r>
    </w:p>
    <w:p w14:paraId="19E3DDA2"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p>
    <w:p w14:paraId="55BA4B1E"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different accounting treatment of property, plant and equipment for tax and accounting purposes means that the taxable income of the </w:t>
      </w:r>
      <w:r w:rsidRPr="00735726">
        <w:rPr>
          <w:rFonts w:ascii="Arial" w:eastAsia="Times New Roman" w:hAnsi="Arial" w:cs="DINOT-Light"/>
          <w:sz w:val="18"/>
          <w:szCs w:val="18"/>
        </w:rPr>
        <w:t xml:space="preserve">Company </w:t>
      </w:r>
      <w:r w:rsidRPr="00735726">
        <w:rPr>
          <w:rFonts w:ascii="Arial" w:eastAsia="Times New Roman" w:hAnsi="Arial" w:cs="DINOT-Light"/>
          <w:color w:val="000000"/>
          <w:sz w:val="18"/>
          <w:szCs w:val="18"/>
        </w:rPr>
        <w:t>is not the same as the profit reported in the financial statements. The adjustments for this are reflected in the current tax reconciliation. The Company has benefited from full expensing and 50% first year allowances for certain qualifying expenditure. This provides an increase in current tax relief for the Company with a consequently higher deferred tax liability and charge due to the additional capital allowance deductions.</w:t>
      </w:r>
    </w:p>
    <w:p w14:paraId="66E0B1BC"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550F7274"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4CA6C154"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27.</w:t>
      </w:r>
      <w:r w:rsidRPr="00735726">
        <w:rPr>
          <w:rFonts w:ascii="Arial" w:eastAsia="Times New Roman" w:hAnsi="Arial" w:cs="Arial"/>
          <w:b/>
          <w:bCs/>
          <w:caps/>
          <w:color w:val="000000"/>
          <w:sz w:val="18"/>
          <w:szCs w:val="18"/>
        </w:rPr>
        <w:tab/>
        <w:t>Deferred tax liabilities (continued)</w:t>
      </w:r>
    </w:p>
    <w:bookmarkEnd w:id="1104"/>
    <w:p w14:paraId="345390A7" w14:textId="77777777"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Short term temporary differences arise on items such as derivatives and share based payments because the treatment of such items </w:t>
      </w:r>
      <w:proofErr w:type="gramStart"/>
      <w:r w:rsidRPr="00735726">
        <w:rPr>
          <w:rFonts w:ascii="Arial" w:eastAsia="Times New Roman" w:hAnsi="Arial" w:cs="DINOT-Light"/>
          <w:color w:val="000000"/>
          <w:sz w:val="18"/>
          <w:szCs w:val="18"/>
        </w:rPr>
        <w:t>are</w:t>
      </w:r>
      <w:proofErr w:type="gramEnd"/>
      <w:r w:rsidRPr="00735726">
        <w:rPr>
          <w:rFonts w:ascii="Arial" w:eastAsia="Times New Roman" w:hAnsi="Arial" w:cs="DINOT-Light"/>
          <w:color w:val="000000"/>
          <w:sz w:val="18"/>
          <w:szCs w:val="18"/>
        </w:rPr>
        <w:t xml:space="preserve"> different for tax and accounting purposes creating temporary differences which will unwind </w:t>
      </w:r>
      <w:proofErr w:type="gramStart"/>
      <w:r w:rsidRPr="00735726">
        <w:rPr>
          <w:rFonts w:ascii="Arial" w:eastAsia="Times New Roman" w:hAnsi="Arial" w:cs="DINOT-Light"/>
          <w:color w:val="000000"/>
          <w:sz w:val="18"/>
          <w:szCs w:val="18"/>
        </w:rPr>
        <w:t>in the near future</w:t>
      </w:r>
      <w:proofErr w:type="gramEnd"/>
      <w:r w:rsidRPr="00735726">
        <w:rPr>
          <w:rFonts w:ascii="Arial" w:eastAsia="Times New Roman" w:hAnsi="Arial" w:cs="DINOT-Light"/>
          <w:color w:val="000000"/>
          <w:sz w:val="18"/>
          <w:szCs w:val="18"/>
        </w:rPr>
        <w:t>. Retirement benefit obligations will crystallise over the life of the pension scheme and/or the period when spreading applies (this can be up to three years for spreading purposes).</w:t>
      </w:r>
    </w:p>
    <w:p w14:paraId="04E1280B" w14:textId="77777777" w:rsidR="00646F4F" w:rsidRPr="009A2CAE" w:rsidRDefault="00646F4F" w:rsidP="00646F4F">
      <w:pPr>
        <w:autoSpaceDE w:val="0"/>
        <w:autoSpaceDN w:val="0"/>
        <w:adjustRightInd w:val="0"/>
        <w:spacing w:after="0"/>
        <w:rPr>
          <w:rFonts w:ascii="Arial" w:eastAsia="Times New Roman" w:hAnsi="Arial" w:cs="DINOT-Light"/>
          <w:color w:val="000000"/>
          <w:sz w:val="18"/>
          <w:szCs w:val="18"/>
        </w:rPr>
      </w:pPr>
    </w:p>
    <w:p w14:paraId="4CC9EB83" w14:textId="77777777"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Where interest charges or other costs are capitalised in the accounts, tax relief is either given as the charges are incurred or when the costs are taken to the statement of profit or loss. </w:t>
      </w:r>
    </w:p>
    <w:p w14:paraId="795CDF4C" w14:textId="77777777"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p>
    <w:p w14:paraId="7AEF5739" w14:textId="7E8153BE" w:rsidR="00646F4F" w:rsidRPr="00735726" w:rsidRDefault="00646F4F" w:rsidP="00646F4F">
      <w:pPr>
        <w:autoSpaceDE w:val="0"/>
        <w:autoSpaceDN w:val="0"/>
        <w:adjustRightInd w:val="0"/>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Derivatives reflect the fair value movements on treasury </w:t>
      </w:r>
      <w:r w:rsidR="004169C5" w:rsidRPr="00735726">
        <w:rPr>
          <w:rFonts w:ascii="Arial" w:eastAsia="Times New Roman" w:hAnsi="Arial" w:cs="DINOT-Light"/>
          <w:color w:val="000000"/>
          <w:sz w:val="18"/>
          <w:szCs w:val="18"/>
        </w:rPr>
        <w:t>derivatives;</w:t>
      </w:r>
      <w:r w:rsidRPr="00735726">
        <w:rPr>
          <w:rFonts w:ascii="Arial" w:eastAsia="Times New Roman" w:hAnsi="Arial" w:cs="DINOT-Light"/>
          <w:color w:val="000000"/>
          <w:sz w:val="18"/>
          <w:szCs w:val="18"/>
        </w:rPr>
        <w:t xml:space="preserve"> these can fluctuate considerably each year.  The balance will crystallise when derivative items are either terminated or mature, the life of these items can be up to ten years.</w:t>
      </w:r>
    </w:p>
    <w:p w14:paraId="4AF22635" w14:textId="77777777" w:rsidR="00646F4F" w:rsidRPr="009A2CAE" w:rsidRDefault="00646F4F" w:rsidP="00646F4F">
      <w:pPr>
        <w:autoSpaceDE w:val="0"/>
        <w:autoSpaceDN w:val="0"/>
        <w:adjustRightInd w:val="0"/>
        <w:spacing w:after="0"/>
        <w:rPr>
          <w:rFonts w:ascii="Arial" w:eastAsia="Times New Roman" w:hAnsi="Arial" w:cs="DINOT-Light"/>
          <w:color w:val="000000"/>
          <w:sz w:val="18"/>
          <w:szCs w:val="18"/>
        </w:rPr>
      </w:pPr>
    </w:p>
    <w:p w14:paraId="02E4DD41" w14:textId="5439532B" w:rsidR="00646F4F" w:rsidRPr="00735726" w:rsidRDefault="009942DE" w:rsidP="009942DE">
      <w:pPr>
        <w:spacing w:after="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Tax losses relate to trading losses and capital losses accumulated to date which have not been utilised. The deferred tax on these tax losses is recognised together with the deferred tax on the UK corporate interest restrictions carried forward. These tax attributes are available indefinitely. </w:t>
      </w:r>
    </w:p>
    <w:p w14:paraId="17E19607" w14:textId="77777777" w:rsidR="009942DE" w:rsidRPr="00735726" w:rsidRDefault="009942DE" w:rsidP="009942DE">
      <w:pPr>
        <w:spacing w:after="0"/>
        <w:rPr>
          <w:rFonts w:ascii="Arial" w:eastAsia="Times New Roman" w:hAnsi="Arial" w:cs="DINOT-Light"/>
          <w:color w:val="000000"/>
          <w:sz w:val="18"/>
          <w:szCs w:val="18"/>
        </w:rPr>
      </w:pPr>
    </w:p>
    <w:p w14:paraId="2108ABDB"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28.</w:t>
      </w:r>
      <w:r w:rsidRPr="00735726">
        <w:rPr>
          <w:rFonts w:ascii="Arial" w:eastAsia="Times New Roman" w:hAnsi="Arial" w:cs="Arial"/>
          <w:b/>
          <w:bCs/>
          <w:caps/>
          <w:color w:val="000000"/>
          <w:sz w:val="18"/>
          <w:szCs w:val="18"/>
        </w:rPr>
        <w:tab/>
        <w:t>Provisions</w:t>
      </w:r>
    </w:p>
    <w:tbl>
      <w:tblPr>
        <w:tblW w:w="10083" w:type="dxa"/>
        <w:tblInd w:w="8" w:type="dxa"/>
        <w:tblLayout w:type="fixed"/>
        <w:tblCellMar>
          <w:left w:w="0" w:type="dxa"/>
          <w:right w:w="0" w:type="dxa"/>
        </w:tblCellMar>
        <w:tblLook w:val="0000" w:firstRow="0" w:lastRow="0" w:firstColumn="0" w:lastColumn="0" w:noHBand="0" w:noVBand="0"/>
      </w:tblPr>
      <w:tblGrid>
        <w:gridCol w:w="6152"/>
        <w:gridCol w:w="1495"/>
        <w:gridCol w:w="1276"/>
        <w:gridCol w:w="1160"/>
      </w:tblGrid>
      <w:tr w:rsidR="00646F4F" w:rsidRPr="00735726" w14:paraId="184E8D6E" w14:textId="77777777" w:rsidTr="00CE19B2">
        <w:trPr>
          <w:trHeight w:val="57"/>
          <w:tblHeader/>
        </w:trPr>
        <w:tc>
          <w:tcPr>
            <w:tcW w:w="6152" w:type="dxa"/>
            <w:tcMar>
              <w:top w:w="11" w:type="dxa"/>
              <w:left w:w="57" w:type="dxa"/>
              <w:bottom w:w="11" w:type="dxa"/>
              <w:right w:w="57" w:type="dxa"/>
            </w:tcMar>
          </w:tcPr>
          <w:p w14:paraId="64B5AE9A"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495" w:type="dxa"/>
            <w:tcMar>
              <w:top w:w="11" w:type="dxa"/>
              <w:left w:w="57" w:type="dxa"/>
              <w:bottom w:w="11" w:type="dxa"/>
              <w:right w:w="57" w:type="dxa"/>
            </w:tcMar>
          </w:tcPr>
          <w:p w14:paraId="28F823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Restructuring</w:t>
            </w:r>
          </w:p>
          <w:p w14:paraId="527EC7D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276" w:type="dxa"/>
          </w:tcPr>
          <w:p w14:paraId="64C4A0C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Other</w:t>
            </w:r>
            <w:r w:rsidRPr="00735726">
              <w:rPr>
                <w:rFonts w:ascii="Arial" w:eastAsia="Times New Roman" w:hAnsi="Arial" w:cs="DINOT-Light"/>
                <w:b/>
                <w:color w:val="000000"/>
                <w:sz w:val="18"/>
                <w:szCs w:val="18"/>
              </w:rPr>
              <w:br/>
              <w:t>£m</w:t>
            </w:r>
          </w:p>
        </w:tc>
        <w:tc>
          <w:tcPr>
            <w:tcW w:w="1160" w:type="dxa"/>
            <w:tcMar>
              <w:top w:w="11" w:type="dxa"/>
              <w:left w:w="57" w:type="dxa"/>
              <w:bottom w:w="11" w:type="dxa"/>
              <w:right w:w="57" w:type="dxa"/>
            </w:tcMar>
          </w:tcPr>
          <w:p w14:paraId="6659A6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Total</w:t>
            </w:r>
            <w:r w:rsidRPr="00735726">
              <w:rPr>
                <w:rFonts w:ascii="Arial" w:eastAsia="Times New Roman" w:hAnsi="Arial" w:cs="DINOT-Light"/>
                <w:b/>
                <w:color w:val="000000"/>
                <w:sz w:val="18"/>
                <w:szCs w:val="18"/>
              </w:rPr>
              <w:br/>
              <w:t>£m</w:t>
            </w:r>
          </w:p>
        </w:tc>
      </w:tr>
      <w:tr w:rsidR="00646F4F" w:rsidRPr="00735726" w14:paraId="020E5959" w14:textId="77777777" w:rsidTr="00CE19B2">
        <w:trPr>
          <w:trHeight w:val="214"/>
        </w:trPr>
        <w:tc>
          <w:tcPr>
            <w:tcW w:w="6152" w:type="dxa"/>
            <w:tcMar>
              <w:top w:w="11" w:type="dxa"/>
              <w:left w:w="57" w:type="dxa"/>
              <w:bottom w:w="11" w:type="dxa"/>
              <w:right w:w="57" w:type="dxa"/>
            </w:tcMar>
          </w:tcPr>
          <w:p w14:paraId="18946F2F" w14:textId="72E43EA3"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1495" w:type="dxa"/>
            <w:tcMar>
              <w:top w:w="11" w:type="dxa"/>
              <w:left w:w="57" w:type="dxa"/>
              <w:bottom w:w="11" w:type="dxa"/>
              <w:right w:w="57" w:type="dxa"/>
            </w:tcMar>
          </w:tcPr>
          <w:p w14:paraId="117A16B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
                <w:color w:val="000000"/>
                <w:sz w:val="18"/>
                <w:szCs w:val="18"/>
              </w:rPr>
              <w:t>-</w:t>
            </w:r>
          </w:p>
        </w:tc>
        <w:tc>
          <w:tcPr>
            <w:tcW w:w="1276" w:type="dxa"/>
          </w:tcPr>
          <w:p w14:paraId="13C676F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
                <w:color w:val="000000"/>
                <w:sz w:val="18"/>
                <w:szCs w:val="18"/>
              </w:rPr>
              <w:t>-</w:t>
            </w:r>
          </w:p>
        </w:tc>
        <w:tc>
          <w:tcPr>
            <w:tcW w:w="1160" w:type="dxa"/>
            <w:tcMar>
              <w:top w:w="11" w:type="dxa"/>
              <w:left w:w="57" w:type="dxa"/>
              <w:bottom w:w="11" w:type="dxa"/>
              <w:right w:w="57" w:type="dxa"/>
            </w:tcMar>
          </w:tcPr>
          <w:p w14:paraId="3FCEF80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
                <w:color w:val="000000"/>
                <w:sz w:val="18"/>
                <w:szCs w:val="18"/>
              </w:rPr>
              <w:t>-</w:t>
            </w:r>
          </w:p>
        </w:tc>
      </w:tr>
      <w:tr w:rsidR="00646F4F" w:rsidRPr="00735726" w14:paraId="67219274" w14:textId="77777777" w:rsidTr="00CE19B2">
        <w:trPr>
          <w:trHeight w:val="214"/>
        </w:trPr>
        <w:tc>
          <w:tcPr>
            <w:tcW w:w="6152" w:type="dxa"/>
            <w:tcMar>
              <w:top w:w="11" w:type="dxa"/>
              <w:left w:w="57" w:type="dxa"/>
              <w:bottom w:w="11" w:type="dxa"/>
              <w:right w:w="57" w:type="dxa"/>
            </w:tcMar>
          </w:tcPr>
          <w:p w14:paraId="7B866A4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Cs/>
                <w:color w:val="000000"/>
                <w:sz w:val="18"/>
                <w:szCs w:val="18"/>
              </w:rPr>
              <w:t>Charge</w:t>
            </w:r>
          </w:p>
        </w:tc>
        <w:tc>
          <w:tcPr>
            <w:tcW w:w="1495" w:type="dxa"/>
            <w:tcMar>
              <w:top w:w="11" w:type="dxa"/>
              <w:left w:w="57" w:type="dxa"/>
              <w:bottom w:w="11" w:type="dxa"/>
              <w:right w:w="57" w:type="dxa"/>
            </w:tcMar>
          </w:tcPr>
          <w:p w14:paraId="6EA7C91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8.2</w:t>
            </w:r>
          </w:p>
        </w:tc>
        <w:tc>
          <w:tcPr>
            <w:tcW w:w="1276" w:type="dxa"/>
          </w:tcPr>
          <w:p w14:paraId="35DA30A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0.4</w:t>
            </w:r>
          </w:p>
        </w:tc>
        <w:tc>
          <w:tcPr>
            <w:tcW w:w="1160" w:type="dxa"/>
            <w:tcMar>
              <w:top w:w="11" w:type="dxa"/>
              <w:left w:w="57" w:type="dxa"/>
              <w:bottom w:w="11" w:type="dxa"/>
              <w:right w:w="57" w:type="dxa"/>
            </w:tcMar>
          </w:tcPr>
          <w:p w14:paraId="0E8A350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8.6</w:t>
            </w:r>
          </w:p>
        </w:tc>
      </w:tr>
      <w:tr w:rsidR="00646F4F" w:rsidRPr="00735726" w14:paraId="7968DC08" w14:textId="77777777" w:rsidTr="00CE19B2">
        <w:trPr>
          <w:trHeight w:val="214"/>
        </w:trPr>
        <w:tc>
          <w:tcPr>
            <w:tcW w:w="6152" w:type="dxa"/>
            <w:tcMar>
              <w:top w:w="11" w:type="dxa"/>
              <w:left w:w="57" w:type="dxa"/>
              <w:bottom w:w="11" w:type="dxa"/>
              <w:right w:w="57" w:type="dxa"/>
            </w:tcMar>
          </w:tcPr>
          <w:p w14:paraId="0DFC537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r w:rsidRPr="00735726">
              <w:rPr>
                <w:rFonts w:ascii="Arial" w:eastAsia="Times New Roman" w:hAnsi="Arial" w:cs="DINOT-Light"/>
                <w:color w:val="000000"/>
                <w:sz w:val="18"/>
                <w:szCs w:val="18"/>
              </w:rPr>
              <w:t xml:space="preserve">Utilised </w:t>
            </w:r>
          </w:p>
        </w:tc>
        <w:tc>
          <w:tcPr>
            <w:tcW w:w="1495" w:type="dxa"/>
            <w:tcBorders>
              <w:bottom w:val="single" w:sz="4" w:space="0" w:color="auto"/>
            </w:tcBorders>
            <w:tcMar>
              <w:top w:w="11" w:type="dxa"/>
              <w:left w:w="57" w:type="dxa"/>
              <w:bottom w:w="11" w:type="dxa"/>
              <w:right w:w="57" w:type="dxa"/>
            </w:tcMar>
          </w:tcPr>
          <w:p w14:paraId="241AE89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(3.5)</w:t>
            </w:r>
          </w:p>
        </w:tc>
        <w:tc>
          <w:tcPr>
            <w:tcW w:w="1276" w:type="dxa"/>
            <w:tcBorders>
              <w:bottom w:val="single" w:sz="4" w:space="0" w:color="auto"/>
            </w:tcBorders>
          </w:tcPr>
          <w:p w14:paraId="3759424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160" w:type="dxa"/>
            <w:tcBorders>
              <w:bottom w:val="single" w:sz="4" w:space="0" w:color="auto"/>
            </w:tcBorders>
            <w:tcMar>
              <w:top w:w="11" w:type="dxa"/>
              <w:left w:w="57" w:type="dxa"/>
              <w:bottom w:w="11" w:type="dxa"/>
              <w:right w:w="57" w:type="dxa"/>
            </w:tcMar>
          </w:tcPr>
          <w:p w14:paraId="765015F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(3.5)</w:t>
            </w:r>
          </w:p>
        </w:tc>
      </w:tr>
      <w:tr w:rsidR="00646F4F" w:rsidRPr="00735726" w14:paraId="6D61351E" w14:textId="77777777" w:rsidTr="00CE19B2">
        <w:trPr>
          <w:trHeight w:val="214"/>
        </w:trPr>
        <w:tc>
          <w:tcPr>
            <w:tcW w:w="6152" w:type="dxa"/>
            <w:tcMar>
              <w:top w:w="11" w:type="dxa"/>
              <w:left w:w="57" w:type="dxa"/>
              <w:bottom w:w="11" w:type="dxa"/>
              <w:right w:w="57" w:type="dxa"/>
            </w:tcMar>
          </w:tcPr>
          <w:p w14:paraId="46CE1D9C" w14:textId="2830EEE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05" w:name="XMETag_c7effc307828488fa238dee86a028cc3" w:colFirst="1" w:colLast="1"/>
            <w:bookmarkStart w:id="1106" w:name="XMETag_1fa144ccfcf548e7bc13b054aac64e97" w:colFirst="2" w:colLast="2"/>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w:t>
            </w:r>
            <w:r w:rsidR="00C84DB7" w:rsidRPr="00735726">
              <w:rPr>
                <w:rFonts w:ascii="Arial" w:eastAsia="Times New Roman" w:hAnsi="Arial" w:cs="DINOT-Light"/>
                <w:b/>
                <w:color w:val="000000"/>
                <w:sz w:val="18"/>
                <w:szCs w:val="18"/>
              </w:rPr>
              <w:t>31 March</w:t>
            </w:r>
            <w:r w:rsidRPr="00735726">
              <w:rPr>
                <w:rFonts w:ascii="Arial" w:eastAsia="Times New Roman" w:hAnsi="Arial" w:cs="DINOT-Light"/>
                <w:b/>
                <w:color w:val="000000"/>
                <w:sz w:val="18"/>
                <w:szCs w:val="18"/>
              </w:rPr>
              <w:t xml:space="preserve"> 2025</w:t>
            </w:r>
          </w:p>
        </w:tc>
        <w:tc>
          <w:tcPr>
            <w:tcW w:w="1495" w:type="dxa"/>
            <w:tcBorders>
              <w:top w:val="single" w:sz="4" w:space="0" w:color="auto"/>
            </w:tcBorders>
            <w:tcMar>
              <w:top w:w="11" w:type="dxa"/>
              <w:left w:w="57" w:type="dxa"/>
              <w:bottom w:w="11" w:type="dxa"/>
              <w:right w:w="57" w:type="dxa"/>
            </w:tcMar>
          </w:tcPr>
          <w:p w14:paraId="6C52C9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4.7</w:t>
            </w:r>
          </w:p>
        </w:tc>
        <w:tc>
          <w:tcPr>
            <w:tcW w:w="1276" w:type="dxa"/>
            <w:tcBorders>
              <w:top w:val="single" w:sz="4" w:space="0" w:color="auto"/>
            </w:tcBorders>
          </w:tcPr>
          <w:p w14:paraId="3F093FE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0.4</w:t>
            </w:r>
          </w:p>
        </w:tc>
        <w:tc>
          <w:tcPr>
            <w:tcW w:w="1160" w:type="dxa"/>
            <w:tcBorders>
              <w:top w:val="single" w:sz="4" w:space="0" w:color="auto"/>
            </w:tcBorders>
            <w:tcMar>
              <w:top w:w="11" w:type="dxa"/>
              <w:left w:w="57" w:type="dxa"/>
              <w:bottom w:w="11" w:type="dxa"/>
              <w:right w:w="57" w:type="dxa"/>
            </w:tcMar>
          </w:tcPr>
          <w:p w14:paraId="60E5DD2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5.1</w:t>
            </w:r>
          </w:p>
        </w:tc>
      </w:tr>
      <w:tr w:rsidR="00646F4F" w:rsidRPr="00735726" w14:paraId="4F16E239" w14:textId="77777777" w:rsidTr="00CE19B2">
        <w:trPr>
          <w:trHeight w:val="214"/>
        </w:trPr>
        <w:tc>
          <w:tcPr>
            <w:tcW w:w="6152" w:type="dxa"/>
            <w:tcMar>
              <w:top w:w="11" w:type="dxa"/>
              <w:left w:w="57" w:type="dxa"/>
              <w:bottom w:w="11" w:type="dxa"/>
              <w:right w:w="57" w:type="dxa"/>
            </w:tcMar>
          </w:tcPr>
          <w:p w14:paraId="453FC2F3" w14:textId="77777777" w:rsidR="00646F4F" w:rsidRPr="00735726" w:rsidDel="00C416EB"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Charge</w:t>
            </w:r>
          </w:p>
        </w:tc>
        <w:tc>
          <w:tcPr>
            <w:tcW w:w="1495" w:type="dxa"/>
            <w:tcMar>
              <w:top w:w="11" w:type="dxa"/>
              <w:left w:w="57" w:type="dxa"/>
              <w:bottom w:w="11" w:type="dxa"/>
              <w:right w:w="57" w:type="dxa"/>
            </w:tcMar>
          </w:tcPr>
          <w:p w14:paraId="3A26B24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276" w:type="dxa"/>
          </w:tcPr>
          <w:p w14:paraId="79922B0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5.7</w:t>
            </w:r>
          </w:p>
        </w:tc>
        <w:tc>
          <w:tcPr>
            <w:tcW w:w="1160" w:type="dxa"/>
            <w:tcMar>
              <w:top w:w="11" w:type="dxa"/>
              <w:left w:w="57" w:type="dxa"/>
              <w:bottom w:w="11" w:type="dxa"/>
              <w:right w:w="57" w:type="dxa"/>
            </w:tcMar>
          </w:tcPr>
          <w:p w14:paraId="77889DB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5.7</w:t>
            </w:r>
          </w:p>
        </w:tc>
      </w:tr>
      <w:tr w:rsidR="00646F4F" w:rsidRPr="00735726" w14:paraId="30F0EB83" w14:textId="77777777" w:rsidTr="00CE19B2">
        <w:trPr>
          <w:trHeight w:val="214"/>
        </w:trPr>
        <w:tc>
          <w:tcPr>
            <w:tcW w:w="6152" w:type="dxa"/>
            <w:tcMar>
              <w:top w:w="11" w:type="dxa"/>
              <w:left w:w="57" w:type="dxa"/>
              <w:bottom w:w="11" w:type="dxa"/>
              <w:right w:w="57" w:type="dxa"/>
            </w:tcMar>
          </w:tcPr>
          <w:p w14:paraId="3BF18AD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07" w:name="XMETag_f7d80127a99e4f3387f137f202c75bc8" w:colFirst="1" w:colLast="1"/>
            <w:bookmarkStart w:id="1108" w:name="XMETag_6be35bd2cfad4339b40873f163b8415f" w:colFirst="2" w:colLast="2"/>
            <w:bookmarkEnd w:id="1105"/>
            <w:bookmarkEnd w:id="1106"/>
            <w:r w:rsidRPr="00735726">
              <w:rPr>
                <w:rFonts w:ascii="Arial" w:eastAsia="Times New Roman" w:hAnsi="Arial" w:cs="DINOT-Light"/>
                <w:color w:val="000000"/>
                <w:sz w:val="18"/>
                <w:szCs w:val="18"/>
              </w:rPr>
              <w:t xml:space="preserve">Utilised </w:t>
            </w:r>
          </w:p>
        </w:tc>
        <w:tc>
          <w:tcPr>
            <w:tcW w:w="1495" w:type="dxa"/>
            <w:tcBorders>
              <w:bottom w:val="single" w:sz="4" w:space="0" w:color="auto"/>
            </w:tcBorders>
            <w:tcMar>
              <w:top w:w="11" w:type="dxa"/>
              <w:left w:w="57" w:type="dxa"/>
              <w:bottom w:w="11" w:type="dxa"/>
              <w:right w:w="57" w:type="dxa"/>
            </w:tcMar>
          </w:tcPr>
          <w:p w14:paraId="3C67FD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(4.7)</w:t>
            </w:r>
          </w:p>
        </w:tc>
        <w:tc>
          <w:tcPr>
            <w:tcW w:w="1276" w:type="dxa"/>
            <w:tcBorders>
              <w:bottom w:val="single" w:sz="4" w:space="0" w:color="auto"/>
            </w:tcBorders>
          </w:tcPr>
          <w:p w14:paraId="7C6E1AD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w:t>
            </w:r>
          </w:p>
        </w:tc>
        <w:tc>
          <w:tcPr>
            <w:tcW w:w="1160" w:type="dxa"/>
            <w:tcBorders>
              <w:bottom w:val="single" w:sz="4" w:space="0" w:color="auto"/>
            </w:tcBorders>
            <w:tcMar>
              <w:top w:w="11" w:type="dxa"/>
              <w:left w:w="57" w:type="dxa"/>
              <w:bottom w:w="11" w:type="dxa"/>
              <w:right w:w="57" w:type="dxa"/>
            </w:tcMar>
          </w:tcPr>
          <w:p w14:paraId="2709759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(4.7)</w:t>
            </w:r>
          </w:p>
        </w:tc>
      </w:tr>
      <w:tr w:rsidR="00646F4F" w:rsidRPr="00735726" w14:paraId="53FF3D00" w14:textId="77777777" w:rsidTr="00CE19B2">
        <w:trPr>
          <w:trHeight w:val="214"/>
        </w:trPr>
        <w:tc>
          <w:tcPr>
            <w:tcW w:w="6152" w:type="dxa"/>
            <w:tcMar>
              <w:top w:w="11" w:type="dxa"/>
              <w:left w:w="57" w:type="dxa"/>
              <w:bottom w:w="11" w:type="dxa"/>
              <w:right w:w="57" w:type="dxa"/>
            </w:tcMar>
          </w:tcPr>
          <w:p w14:paraId="2587C94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09" w:name="XMETag_f1c2fe8c7d2540a5adb170c0e3a8ee12" w:colFirst="1" w:colLast="1"/>
            <w:bookmarkStart w:id="1110" w:name="XMETag_49b3dcfb203545259f74242462b2b370" w:colFirst="2" w:colLast="2"/>
            <w:bookmarkEnd w:id="1107"/>
            <w:bookmarkEnd w:id="1108"/>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1495" w:type="dxa"/>
            <w:tcBorders>
              <w:top w:val="single" w:sz="4" w:space="0" w:color="auto"/>
              <w:bottom w:val="single" w:sz="4" w:space="0" w:color="auto"/>
            </w:tcBorders>
            <w:tcMar>
              <w:top w:w="11" w:type="dxa"/>
              <w:left w:w="57" w:type="dxa"/>
              <w:bottom w:w="11" w:type="dxa"/>
              <w:right w:w="57" w:type="dxa"/>
            </w:tcMar>
          </w:tcPr>
          <w:p w14:paraId="65413D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t>
            </w:r>
          </w:p>
        </w:tc>
        <w:tc>
          <w:tcPr>
            <w:tcW w:w="1276" w:type="dxa"/>
            <w:tcBorders>
              <w:top w:val="single" w:sz="4" w:space="0" w:color="auto"/>
              <w:bottom w:val="single" w:sz="4" w:space="0" w:color="auto"/>
            </w:tcBorders>
          </w:tcPr>
          <w:p w14:paraId="12D78A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6.1</w:t>
            </w:r>
          </w:p>
        </w:tc>
        <w:tc>
          <w:tcPr>
            <w:tcW w:w="1160" w:type="dxa"/>
            <w:tcBorders>
              <w:top w:val="single" w:sz="4" w:space="0" w:color="auto"/>
              <w:bottom w:val="single" w:sz="4" w:space="0" w:color="auto"/>
            </w:tcBorders>
            <w:tcMar>
              <w:top w:w="11" w:type="dxa"/>
              <w:left w:w="57" w:type="dxa"/>
              <w:bottom w:w="11" w:type="dxa"/>
              <w:right w:w="57" w:type="dxa"/>
            </w:tcMar>
          </w:tcPr>
          <w:p w14:paraId="71E0B15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6.1</w:t>
            </w:r>
          </w:p>
        </w:tc>
      </w:tr>
      <w:bookmarkEnd w:id="1109"/>
      <w:bookmarkEnd w:id="1110"/>
    </w:tbl>
    <w:p w14:paraId="01D41B6B"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7042ED2" w14:textId="1A0E9D45" w:rsidR="00646F4F" w:rsidRPr="00735726" w:rsidRDefault="009942DE" w:rsidP="009942DE">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bookmarkStart w:id="1111" w:name="XMETag_b39102e879d3442d8e39805f586b6e17"/>
      <w:r w:rsidRPr="00735726">
        <w:rPr>
          <w:rFonts w:ascii="Arial" w:eastAsia="Times New Roman" w:hAnsi="Arial" w:cs="DINOT-Light"/>
          <w:color w:val="000000"/>
          <w:sz w:val="18"/>
          <w:szCs w:val="18"/>
        </w:rPr>
        <w:t>£</w:t>
      </w:r>
      <w:r w:rsidR="00577C27" w:rsidRPr="00735726">
        <w:rPr>
          <w:rFonts w:ascii="Arial" w:eastAsia="Times New Roman" w:hAnsi="Arial" w:cs="DINOT-Light"/>
          <w:color w:val="000000"/>
          <w:sz w:val="18"/>
          <w:szCs w:val="18"/>
        </w:rPr>
        <w:t>6.1</w:t>
      </w:r>
      <w:r w:rsidRPr="00735726">
        <w:rPr>
          <w:rFonts w:ascii="Arial" w:eastAsia="Times New Roman" w:hAnsi="Arial" w:cs="DINOT-Light"/>
          <w:color w:val="000000"/>
          <w:sz w:val="18"/>
          <w:szCs w:val="18"/>
        </w:rPr>
        <w:t xml:space="preserve"> million (2025: £</w:t>
      </w:r>
      <w:r w:rsidR="00577C27" w:rsidRPr="00735726">
        <w:rPr>
          <w:rFonts w:ascii="Arial" w:eastAsia="Times New Roman" w:hAnsi="Arial" w:cs="DINOT-Light"/>
          <w:color w:val="000000"/>
          <w:sz w:val="18"/>
          <w:szCs w:val="18"/>
        </w:rPr>
        <w:t>0.4</w:t>
      </w:r>
      <w:r w:rsidRPr="00735726">
        <w:rPr>
          <w:rFonts w:ascii="Arial" w:eastAsia="Times New Roman" w:hAnsi="Arial" w:cs="DINOT-Light"/>
          <w:color w:val="000000"/>
          <w:sz w:val="18"/>
          <w:szCs w:val="18"/>
        </w:rPr>
        <w:t xml:space="preserve"> million) in relation to ongoing legal and environmental cases. £</w:t>
      </w:r>
      <w:r w:rsidR="00577C27" w:rsidRPr="00735726">
        <w:rPr>
          <w:rFonts w:ascii="Arial" w:eastAsia="Times New Roman" w:hAnsi="Arial" w:cs="DINOT-Light"/>
          <w:color w:val="000000"/>
          <w:sz w:val="18"/>
          <w:szCs w:val="18"/>
        </w:rPr>
        <w:t>6.1</w:t>
      </w:r>
      <w:r w:rsidRPr="00735726">
        <w:rPr>
          <w:rFonts w:ascii="Arial" w:eastAsia="Times New Roman" w:hAnsi="Arial" w:cs="DINOT-Light"/>
          <w:color w:val="000000"/>
          <w:sz w:val="18"/>
          <w:szCs w:val="18"/>
        </w:rPr>
        <w:t xml:space="preserve"> million of these provisions are expected to be utilised within one year.</w:t>
      </w:r>
    </w:p>
    <w:p w14:paraId="754790A0" w14:textId="77777777" w:rsidR="009942DE" w:rsidRPr="009A2CAE" w:rsidRDefault="009942DE" w:rsidP="009942DE">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p>
    <w:bookmarkEnd w:id="1111"/>
    <w:p w14:paraId="26851B50"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29.</w:t>
      </w:r>
      <w:r w:rsidRPr="00735726">
        <w:rPr>
          <w:rFonts w:ascii="Arial" w:eastAsia="Times New Roman" w:hAnsi="Arial" w:cs="Arial"/>
          <w:b/>
          <w:bCs/>
          <w:caps/>
          <w:color w:val="000000"/>
          <w:sz w:val="18"/>
          <w:szCs w:val="18"/>
        </w:rPr>
        <w:tab/>
        <w:t>Called up SHARE CAPITAL</w:t>
      </w:r>
    </w:p>
    <w:p w14:paraId="5B758A8D"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7988F36D" w14:textId="77777777" w:rsidTr="00CE19B2">
        <w:trPr>
          <w:trHeight w:val="60"/>
          <w:tblHeader/>
        </w:trPr>
        <w:tc>
          <w:tcPr>
            <w:tcW w:w="7739" w:type="dxa"/>
            <w:tcMar>
              <w:top w:w="11" w:type="dxa"/>
              <w:left w:w="57" w:type="dxa"/>
              <w:bottom w:w="11" w:type="dxa"/>
              <w:right w:w="57" w:type="dxa"/>
            </w:tcMar>
          </w:tcPr>
          <w:p w14:paraId="47512FC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10A3602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6AC971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062D9F9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1F50CB0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38971E3B" w14:textId="77777777" w:rsidTr="00CE19B2">
        <w:trPr>
          <w:trHeight w:val="226"/>
        </w:trPr>
        <w:tc>
          <w:tcPr>
            <w:tcW w:w="7739" w:type="dxa"/>
            <w:tcMar>
              <w:top w:w="11" w:type="dxa"/>
              <w:left w:w="57" w:type="dxa"/>
              <w:bottom w:w="11" w:type="dxa"/>
              <w:right w:w="57" w:type="dxa"/>
            </w:tcMar>
          </w:tcPr>
          <w:p w14:paraId="15EF856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Authorised</w:t>
            </w:r>
          </w:p>
        </w:tc>
        <w:tc>
          <w:tcPr>
            <w:tcW w:w="1133" w:type="dxa"/>
            <w:tcMar>
              <w:top w:w="11" w:type="dxa"/>
              <w:left w:w="57" w:type="dxa"/>
              <w:bottom w:w="11" w:type="dxa"/>
              <w:right w:w="57" w:type="dxa"/>
            </w:tcMar>
          </w:tcPr>
          <w:p w14:paraId="20DE5E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w:t>
            </w:r>
          </w:p>
        </w:tc>
        <w:tc>
          <w:tcPr>
            <w:tcW w:w="1134" w:type="dxa"/>
            <w:tcMar>
              <w:top w:w="11" w:type="dxa"/>
              <w:left w:w="57" w:type="dxa"/>
              <w:bottom w:w="11" w:type="dxa"/>
              <w:right w:w="57" w:type="dxa"/>
            </w:tcMar>
          </w:tcPr>
          <w:p w14:paraId="0DDED4D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w:t>
            </w:r>
          </w:p>
        </w:tc>
      </w:tr>
      <w:tr w:rsidR="00646F4F" w:rsidRPr="00735726" w14:paraId="53754D5E" w14:textId="77777777" w:rsidTr="00CE19B2">
        <w:trPr>
          <w:trHeight w:val="226"/>
        </w:trPr>
        <w:tc>
          <w:tcPr>
            <w:tcW w:w="7739" w:type="dxa"/>
            <w:tcMar>
              <w:top w:w="11" w:type="dxa"/>
              <w:left w:w="57" w:type="dxa"/>
              <w:bottom w:w="11" w:type="dxa"/>
              <w:right w:w="57" w:type="dxa"/>
            </w:tcMar>
          </w:tcPr>
          <w:p w14:paraId="186FA22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12" w:name="XMETag_d29c81cc2ffe4b55908d6cb303a103b1"/>
            <w:r w:rsidRPr="00735726">
              <w:rPr>
                <w:rFonts w:ascii="Arial" w:eastAsia="Times New Roman" w:hAnsi="Arial" w:cs="DINOT-Light"/>
                <w:color w:val="000000"/>
                <w:sz w:val="18"/>
                <w:szCs w:val="18"/>
              </w:rPr>
              <w:t xml:space="preserve">900,000,000 </w:t>
            </w:r>
            <w:bookmarkEnd w:id="1112"/>
            <w:r w:rsidRPr="00735726">
              <w:rPr>
                <w:rFonts w:ascii="Arial" w:eastAsia="Times New Roman" w:hAnsi="Arial" w:cs="DINOT-Light"/>
                <w:color w:val="000000"/>
                <w:sz w:val="18"/>
                <w:szCs w:val="18"/>
              </w:rPr>
              <w:t>Ordinary shares of £1 each (2025: 900,000,000)</w:t>
            </w:r>
          </w:p>
        </w:tc>
        <w:tc>
          <w:tcPr>
            <w:tcW w:w="1133" w:type="dxa"/>
            <w:tcBorders>
              <w:bottom w:val="single" w:sz="4" w:space="0" w:color="auto"/>
            </w:tcBorders>
            <w:tcMar>
              <w:top w:w="11" w:type="dxa"/>
              <w:left w:w="57" w:type="dxa"/>
              <w:bottom w:w="11" w:type="dxa"/>
              <w:right w:w="57" w:type="dxa"/>
            </w:tcMar>
          </w:tcPr>
          <w:p w14:paraId="0DABF7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900.0</w:t>
            </w:r>
          </w:p>
        </w:tc>
        <w:tc>
          <w:tcPr>
            <w:tcW w:w="1134" w:type="dxa"/>
            <w:tcBorders>
              <w:bottom w:val="single" w:sz="4" w:space="0" w:color="auto"/>
            </w:tcBorders>
            <w:tcMar>
              <w:top w:w="11" w:type="dxa"/>
              <w:left w:w="57" w:type="dxa"/>
              <w:bottom w:w="11" w:type="dxa"/>
              <w:right w:w="57" w:type="dxa"/>
            </w:tcMar>
          </w:tcPr>
          <w:p w14:paraId="193CFAF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900.0</w:t>
            </w:r>
          </w:p>
        </w:tc>
      </w:tr>
      <w:tr w:rsidR="00646F4F" w:rsidRPr="00735726" w14:paraId="27A72200" w14:textId="77777777" w:rsidTr="00CE19B2">
        <w:trPr>
          <w:trHeight w:val="226"/>
        </w:trPr>
        <w:tc>
          <w:tcPr>
            <w:tcW w:w="7739" w:type="dxa"/>
            <w:tcMar>
              <w:top w:w="11" w:type="dxa"/>
              <w:left w:w="57" w:type="dxa"/>
              <w:bottom w:w="11" w:type="dxa"/>
              <w:right w:w="57" w:type="dxa"/>
            </w:tcMar>
          </w:tcPr>
          <w:p w14:paraId="5625F55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Allotted and fully paid</w:t>
            </w:r>
          </w:p>
        </w:tc>
        <w:tc>
          <w:tcPr>
            <w:tcW w:w="1133" w:type="dxa"/>
            <w:tcBorders>
              <w:top w:val="single" w:sz="4" w:space="0" w:color="auto"/>
            </w:tcBorders>
            <w:tcMar>
              <w:top w:w="11" w:type="dxa"/>
              <w:left w:w="57" w:type="dxa"/>
              <w:bottom w:w="11" w:type="dxa"/>
              <w:right w:w="57" w:type="dxa"/>
            </w:tcMar>
          </w:tcPr>
          <w:p w14:paraId="09424E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Borders>
              <w:top w:val="single" w:sz="4" w:space="0" w:color="auto"/>
            </w:tcBorders>
            <w:tcMar>
              <w:top w:w="11" w:type="dxa"/>
              <w:left w:w="57" w:type="dxa"/>
              <w:bottom w:w="11" w:type="dxa"/>
              <w:right w:w="57" w:type="dxa"/>
            </w:tcMar>
          </w:tcPr>
          <w:p w14:paraId="4FC0847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028CD17A" w14:textId="77777777" w:rsidTr="00CE19B2">
        <w:trPr>
          <w:trHeight w:val="226"/>
        </w:trPr>
        <w:tc>
          <w:tcPr>
            <w:tcW w:w="7739" w:type="dxa"/>
            <w:tcMar>
              <w:top w:w="11" w:type="dxa"/>
              <w:left w:w="57" w:type="dxa"/>
              <w:bottom w:w="11" w:type="dxa"/>
              <w:right w:w="57" w:type="dxa"/>
            </w:tcMar>
          </w:tcPr>
          <w:p w14:paraId="51D02022" w14:textId="15C3DA5C"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13" w:name="XMETag_487deaffbc0344e3937e7d64ee833702"/>
            <w:bookmarkStart w:id="1114" w:name="XMETag_9e0c3e25737045b3b2f63ecb039e4634" w:colFirst="1" w:colLast="1"/>
            <w:bookmarkStart w:id="1115" w:name="XMETag_38018d6fa72e48aca3e4682539d2395c" w:colFirst="2" w:colLast="2"/>
            <w:r w:rsidRPr="00735726">
              <w:rPr>
                <w:rFonts w:ascii="Arial" w:eastAsia="Times New Roman" w:hAnsi="Arial" w:cs="DINOT-Light"/>
                <w:color w:val="000000"/>
                <w:sz w:val="18"/>
                <w:szCs w:val="18"/>
              </w:rPr>
              <w:t xml:space="preserve">625,923,001 </w:t>
            </w:r>
            <w:bookmarkStart w:id="1116" w:name="XMETag_f103d465847c43a999b5f5b0b27fc202"/>
            <w:bookmarkEnd w:id="1113"/>
            <w:r w:rsidRPr="00735726">
              <w:rPr>
                <w:rFonts w:ascii="Arial" w:eastAsia="Times New Roman" w:hAnsi="Arial" w:cs="DINOT-Light"/>
                <w:color w:val="000000"/>
                <w:sz w:val="18"/>
                <w:szCs w:val="18"/>
              </w:rPr>
              <w:t xml:space="preserve">Ordinary shares </w:t>
            </w:r>
            <w:bookmarkEnd w:id="1116"/>
            <w:r w:rsidRPr="00735726">
              <w:rPr>
                <w:rFonts w:ascii="Arial" w:eastAsia="Times New Roman" w:hAnsi="Arial" w:cs="DINOT-Light"/>
                <w:color w:val="000000"/>
                <w:sz w:val="18"/>
                <w:szCs w:val="18"/>
              </w:rPr>
              <w:t>of £</w:t>
            </w:r>
            <w:bookmarkStart w:id="1117" w:name="XMETag_62cf86ac417e4d939567fba20fd1d02f"/>
            <w:r w:rsidRPr="00735726">
              <w:rPr>
                <w:rFonts w:ascii="Arial" w:eastAsia="Times New Roman" w:hAnsi="Arial" w:cs="DINOT-Light"/>
                <w:color w:val="000000"/>
                <w:sz w:val="18"/>
                <w:szCs w:val="18"/>
              </w:rPr>
              <w:t xml:space="preserve">1 </w:t>
            </w:r>
            <w:bookmarkEnd w:id="1117"/>
            <w:r w:rsidRPr="00735726">
              <w:rPr>
                <w:rFonts w:ascii="Arial" w:eastAsia="Times New Roman" w:hAnsi="Arial" w:cs="DINOT-Light"/>
                <w:color w:val="000000"/>
                <w:sz w:val="18"/>
                <w:szCs w:val="18"/>
              </w:rPr>
              <w:t xml:space="preserve">each (2025: </w:t>
            </w:r>
            <w:r w:rsidR="00565510" w:rsidRPr="00735726">
              <w:rPr>
                <w:rFonts w:ascii="Arial" w:eastAsia="Times New Roman" w:hAnsi="Arial" w:cs="DINOT-Light"/>
                <w:color w:val="000000"/>
                <w:sz w:val="18"/>
                <w:szCs w:val="18"/>
              </w:rPr>
              <w:t>625</w:t>
            </w:r>
            <w:r w:rsidRPr="00735726">
              <w:rPr>
                <w:rFonts w:ascii="Arial" w:eastAsia="Times New Roman" w:hAnsi="Arial" w:cs="DINOT-Light"/>
                <w:color w:val="000000"/>
                <w:sz w:val="18"/>
                <w:szCs w:val="18"/>
              </w:rPr>
              <w:t>,923,001)</w:t>
            </w:r>
          </w:p>
        </w:tc>
        <w:tc>
          <w:tcPr>
            <w:tcW w:w="1133" w:type="dxa"/>
            <w:tcBorders>
              <w:bottom w:val="single" w:sz="4" w:space="0" w:color="auto"/>
            </w:tcBorders>
            <w:tcMar>
              <w:top w:w="11" w:type="dxa"/>
              <w:left w:w="57" w:type="dxa"/>
              <w:bottom w:w="11" w:type="dxa"/>
              <w:right w:w="57" w:type="dxa"/>
            </w:tcMar>
          </w:tcPr>
          <w:p w14:paraId="386D92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625.9</w:t>
            </w:r>
          </w:p>
        </w:tc>
        <w:tc>
          <w:tcPr>
            <w:tcW w:w="1134" w:type="dxa"/>
            <w:tcBorders>
              <w:bottom w:val="single" w:sz="4" w:space="0" w:color="auto"/>
            </w:tcBorders>
            <w:tcMar>
              <w:top w:w="11" w:type="dxa"/>
              <w:left w:w="57" w:type="dxa"/>
              <w:bottom w:w="11" w:type="dxa"/>
              <w:right w:w="57" w:type="dxa"/>
            </w:tcMar>
          </w:tcPr>
          <w:p w14:paraId="5EA5327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625.9</w:t>
            </w:r>
          </w:p>
        </w:tc>
      </w:tr>
    </w:tbl>
    <w:bookmarkEnd w:id="1114"/>
    <w:bookmarkEnd w:id="1115"/>
    <w:p w14:paraId="6F4CE02D"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b/>
      </w:r>
    </w:p>
    <w:p w14:paraId="73411AA7"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3A876A0"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30.</w:t>
      </w:r>
      <w:r w:rsidRPr="00735726">
        <w:rPr>
          <w:rFonts w:ascii="Arial" w:eastAsia="Times New Roman" w:hAnsi="Arial" w:cs="Arial"/>
          <w:b/>
          <w:bCs/>
          <w:caps/>
          <w:color w:val="000000"/>
          <w:sz w:val="18"/>
          <w:szCs w:val="18"/>
        </w:rPr>
        <w:tab/>
        <w:t>Employee share schemes</w:t>
      </w:r>
    </w:p>
    <w:p w14:paraId="10DB98A4"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537B8E1D"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participates in </w:t>
      </w:r>
      <w:proofErr w:type="gramStart"/>
      <w:r w:rsidRPr="00735726">
        <w:rPr>
          <w:rFonts w:ascii="Arial" w:eastAsia="Times New Roman" w:hAnsi="Arial" w:cs="DINOT-Light"/>
          <w:color w:val="000000"/>
          <w:sz w:val="18"/>
          <w:szCs w:val="18"/>
        </w:rPr>
        <w:t>a number of</w:t>
      </w:r>
      <w:proofErr w:type="gramEnd"/>
      <w:r w:rsidRPr="00735726">
        <w:rPr>
          <w:rFonts w:ascii="Arial" w:eastAsia="Times New Roman" w:hAnsi="Arial" w:cs="DINOT-Light"/>
          <w:color w:val="000000"/>
          <w:sz w:val="18"/>
          <w:szCs w:val="18"/>
        </w:rPr>
        <w:t xml:space="preserve"> share plans for the benefit of employees operated by Pennon Group plc. Details of each plan are: </w:t>
      </w:r>
    </w:p>
    <w:p w14:paraId="4607D3C3"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553C8E4"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outlineLvl w:val="0"/>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i)</w:t>
      </w:r>
      <w:r w:rsidRPr="00735726">
        <w:rPr>
          <w:rFonts w:ascii="Arial" w:eastAsia="Times New Roman" w:hAnsi="Arial" w:cs="Arial"/>
          <w:b/>
          <w:bCs/>
          <w:color w:val="000000"/>
          <w:sz w:val="18"/>
          <w:szCs w:val="18"/>
        </w:rPr>
        <w:tab/>
      </w:r>
      <w:bookmarkStart w:id="1118" w:name="XMETag_b3b893b7561a41189b4667cef71d5be7"/>
      <w:r w:rsidRPr="00735726">
        <w:rPr>
          <w:rFonts w:ascii="Arial" w:eastAsia="Times New Roman" w:hAnsi="Arial" w:cs="Arial"/>
          <w:b/>
          <w:bCs/>
          <w:color w:val="000000"/>
          <w:sz w:val="18"/>
          <w:szCs w:val="18"/>
        </w:rPr>
        <w:t>Sharesave Scheme</w:t>
      </w:r>
      <w:bookmarkEnd w:id="1118"/>
    </w:p>
    <w:p w14:paraId="6A4E9FA1"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1119" w:name="XMETag_8df5ad56edca497e9c0c6561338966d8"/>
      <w:r w:rsidRPr="00735726">
        <w:rPr>
          <w:rFonts w:ascii="Arial" w:eastAsia="Times New Roman" w:hAnsi="Arial" w:cs="DINOT-Light"/>
          <w:color w:val="000000"/>
          <w:sz w:val="18"/>
          <w:szCs w:val="18"/>
        </w:rPr>
        <w:t>An all-employee savings related plan is operated that enables employees, including Executive Directors, to invest up to a maximum of £500 per month for three or five years. These savings can then be used to buy ordinary shares, at a price set at a discount to the market value at the start of the savings period, at the third or fifth anniversary of the option being granted. Options expire six months following the exercise date and, except for certain specific circumstances such as redundancy, lapse if the employee leaves the Pennon Group before the option exercise period commences.</w:t>
      </w:r>
      <w:bookmarkEnd w:id="1119"/>
      <w:r w:rsidRPr="00735726">
        <w:rPr>
          <w:rFonts w:ascii="Arial" w:eastAsia="Times New Roman" w:hAnsi="Arial" w:cs="DINOT-Light"/>
          <w:color w:val="000000"/>
          <w:sz w:val="18"/>
          <w:szCs w:val="18"/>
        </w:rPr>
        <w:t xml:space="preserve">  </w:t>
      </w:r>
    </w:p>
    <w:p w14:paraId="736AF877" w14:textId="77777777" w:rsidR="00B9553C" w:rsidRPr="00735726" w:rsidRDefault="00B9553C">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br w:type="page"/>
      </w:r>
    </w:p>
    <w:p w14:paraId="0395B11A" w14:textId="78586D6D"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30.</w:t>
      </w:r>
      <w:r w:rsidRPr="00735726">
        <w:rPr>
          <w:rFonts w:ascii="Arial" w:eastAsia="Times New Roman" w:hAnsi="Arial" w:cs="Arial"/>
          <w:b/>
          <w:bCs/>
          <w:caps/>
          <w:color w:val="000000"/>
          <w:sz w:val="18"/>
          <w:szCs w:val="18"/>
        </w:rPr>
        <w:tab/>
        <w:t>Employee share schemes (continued)</w:t>
      </w:r>
    </w:p>
    <w:p w14:paraId="20B7E9AB"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Outstanding options to subscribe for ordinary shares of 61.05 pence each under the Company's share option scheme are:</w:t>
      </w:r>
    </w:p>
    <w:p w14:paraId="4A8C19F1"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9980" w:type="dxa"/>
        <w:tblInd w:w="8" w:type="dxa"/>
        <w:tblLayout w:type="fixed"/>
        <w:tblCellMar>
          <w:left w:w="0" w:type="dxa"/>
          <w:right w:w="0" w:type="dxa"/>
        </w:tblCellMar>
        <w:tblLook w:val="0000" w:firstRow="0" w:lastRow="0" w:firstColumn="0" w:lastColumn="0" w:noHBand="0" w:noVBand="0"/>
      </w:tblPr>
      <w:tblGrid>
        <w:gridCol w:w="3402"/>
        <w:gridCol w:w="2155"/>
        <w:gridCol w:w="2155"/>
        <w:gridCol w:w="1134"/>
        <w:gridCol w:w="1134"/>
      </w:tblGrid>
      <w:tr w:rsidR="00646F4F" w:rsidRPr="00735726" w14:paraId="32CE97F3" w14:textId="77777777" w:rsidTr="00CE19B2">
        <w:trPr>
          <w:trHeight w:val="60"/>
          <w:tblHeader/>
        </w:trPr>
        <w:tc>
          <w:tcPr>
            <w:tcW w:w="3402" w:type="dxa"/>
            <w:tcMar>
              <w:top w:w="11" w:type="dxa"/>
              <w:left w:w="57" w:type="dxa"/>
              <w:bottom w:w="11" w:type="dxa"/>
              <w:right w:w="57" w:type="dxa"/>
            </w:tcMar>
          </w:tcPr>
          <w:p w14:paraId="7BCBFDB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Date granted</w:t>
            </w:r>
          </w:p>
        </w:tc>
        <w:tc>
          <w:tcPr>
            <w:tcW w:w="2155" w:type="dxa"/>
            <w:tcMar>
              <w:top w:w="11" w:type="dxa"/>
              <w:left w:w="57" w:type="dxa"/>
              <w:bottom w:w="11" w:type="dxa"/>
              <w:right w:w="57" w:type="dxa"/>
            </w:tcMar>
          </w:tcPr>
          <w:p w14:paraId="5BD0C35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Subscription </w:t>
            </w:r>
            <w:r w:rsidRPr="00735726">
              <w:rPr>
                <w:rFonts w:ascii="Arial" w:eastAsia="Times New Roman" w:hAnsi="Arial" w:cs="DINOT-Light"/>
                <w:b/>
                <w:color w:val="000000"/>
                <w:sz w:val="18"/>
                <w:szCs w:val="18"/>
              </w:rPr>
              <w:br/>
              <w:t>price fully paid</w:t>
            </w:r>
          </w:p>
        </w:tc>
        <w:tc>
          <w:tcPr>
            <w:tcW w:w="2155" w:type="dxa"/>
            <w:tcMar>
              <w:top w:w="11" w:type="dxa"/>
              <w:left w:w="57" w:type="dxa"/>
              <w:bottom w:w="11" w:type="dxa"/>
              <w:right w:w="57" w:type="dxa"/>
            </w:tcMar>
          </w:tcPr>
          <w:p w14:paraId="72E308F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Period when options </w:t>
            </w:r>
            <w:r w:rsidRPr="00735726">
              <w:rPr>
                <w:rFonts w:ascii="Arial" w:eastAsia="Times New Roman" w:hAnsi="Arial" w:cs="DINOT-Light"/>
                <w:b/>
                <w:color w:val="000000"/>
                <w:sz w:val="18"/>
                <w:szCs w:val="18"/>
              </w:rPr>
              <w:br/>
              <w:t>normally exercisable</w:t>
            </w:r>
          </w:p>
        </w:tc>
        <w:tc>
          <w:tcPr>
            <w:tcW w:w="2268" w:type="dxa"/>
            <w:gridSpan w:val="2"/>
            <w:tcMar>
              <w:top w:w="11" w:type="dxa"/>
              <w:left w:w="57" w:type="dxa"/>
              <w:bottom w:w="11" w:type="dxa"/>
              <w:right w:w="57" w:type="dxa"/>
            </w:tcMar>
          </w:tcPr>
          <w:p w14:paraId="0ADBF18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Thousands of shares in respect of which options outstanding </w:t>
            </w: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w:t>
            </w:r>
          </w:p>
        </w:tc>
      </w:tr>
      <w:tr w:rsidR="00646F4F" w:rsidRPr="00735726" w14:paraId="4E0A728D" w14:textId="77777777" w:rsidTr="00CE19B2">
        <w:trPr>
          <w:trHeight w:val="218"/>
          <w:tblHeader/>
        </w:trPr>
        <w:tc>
          <w:tcPr>
            <w:tcW w:w="3402" w:type="dxa"/>
            <w:tcMar>
              <w:top w:w="11" w:type="dxa"/>
              <w:left w:w="57" w:type="dxa"/>
              <w:bottom w:w="11" w:type="dxa"/>
              <w:right w:w="57" w:type="dxa"/>
            </w:tcMar>
          </w:tcPr>
          <w:p w14:paraId="3AA8041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2155" w:type="dxa"/>
            <w:tcMar>
              <w:top w:w="11" w:type="dxa"/>
              <w:left w:w="57" w:type="dxa"/>
              <w:bottom w:w="11" w:type="dxa"/>
              <w:right w:w="57" w:type="dxa"/>
            </w:tcMar>
          </w:tcPr>
          <w:p w14:paraId="5AB0E24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2155" w:type="dxa"/>
            <w:tcMar>
              <w:top w:w="11" w:type="dxa"/>
              <w:left w:w="57" w:type="dxa"/>
              <w:bottom w:w="11" w:type="dxa"/>
              <w:right w:w="57" w:type="dxa"/>
            </w:tcMar>
          </w:tcPr>
          <w:p w14:paraId="4EE4CEE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3AE22DF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tc>
        <w:tc>
          <w:tcPr>
            <w:tcW w:w="1134" w:type="dxa"/>
            <w:tcMar>
              <w:top w:w="11" w:type="dxa"/>
              <w:left w:w="57" w:type="dxa"/>
              <w:bottom w:w="11" w:type="dxa"/>
              <w:right w:w="57" w:type="dxa"/>
            </w:tcMar>
          </w:tcPr>
          <w:p w14:paraId="120B13F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52FFBDA9" w14:textId="77777777" w:rsidTr="00CE19B2">
        <w:trPr>
          <w:trHeight w:val="226"/>
        </w:trPr>
        <w:tc>
          <w:tcPr>
            <w:tcW w:w="3402" w:type="dxa"/>
            <w:tcMar>
              <w:top w:w="11" w:type="dxa"/>
              <w:left w:w="57" w:type="dxa"/>
              <w:bottom w:w="11" w:type="dxa"/>
              <w:right w:w="57" w:type="dxa"/>
            </w:tcMar>
          </w:tcPr>
          <w:p w14:paraId="01D97A6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06 July 2020</w:t>
            </w:r>
          </w:p>
        </w:tc>
        <w:tc>
          <w:tcPr>
            <w:tcW w:w="2155" w:type="dxa"/>
            <w:tcMar>
              <w:top w:w="11" w:type="dxa"/>
              <w:left w:w="57" w:type="dxa"/>
              <w:bottom w:w="11" w:type="dxa"/>
              <w:right w:w="57" w:type="dxa"/>
            </w:tcMar>
          </w:tcPr>
          <w:p w14:paraId="0F3A23A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750p</w:t>
            </w:r>
          </w:p>
        </w:tc>
        <w:tc>
          <w:tcPr>
            <w:tcW w:w="2155" w:type="dxa"/>
            <w:tcMar>
              <w:top w:w="11" w:type="dxa"/>
              <w:left w:w="57" w:type="dxa"/>
              <w:bottom w:w="11" w:type="dxa"/>
              <w:right w:w="57" w:type="dxa"/>
            </w:tcMar>
          </w:tcPr>
          <w:p w14:paraId="44759947" w14:textId="78C3D36E"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2023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2025</w:t>
            </w:r>
          </w:p>
        </w:tc>
        <w:tc>
          <w:tcPr>
            <w:tcW w:w="1134" w:type="dxa"/>
            <w:tcMar>
              <w:top w:w="11" w:type="dxa"/>
              <w:left w:w="57" w:type="dxa"/>
              <w:bottom w:w="11" w:type="dxa"/>
              <w:right w:w="57" w:type="dxa"/>
            </w:tcMar>
          </w:tcPr>
          <w:p w14:paraId="6E8615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28FB7D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23</w:t>
            </w:r>
          </w:p>
        </w:tc>
      </w:tr>
      <w:tr w:rsidR="00646F4F" w:rsidRPr="00735726" w14:paraId="0A5CBA2D" w14:textId="77777777" w:rsidTr="00CE19B2">
        <w:trPr>
          <w:trHeight w:val="226"/>
        </w:trPr>
        <w:tc>
          <w:tcPr>
            <w:tcW w:w="3402" w:type="dxa"/>
            <w:tcMar>
              <w:top w:w="11" w:type="dxa"/>
              <w:left w:w="57" w:type="dxa"/>
              <w:bottom w:w="11" w:type="dxa"/>
              <w:right w:w="57" w:type="dxa"/>
            </w:tcMar>
          </w:tcPr>
          <w:p w14:paraId="381BE0F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06 July 2021</w:t>
            </w:r>
          </w:p>
        </w:tc>
        <w:tc>
          <w:tcPr>
            <w:tcW w:w="2155" w:type="dxa"/>
            <w:tcMar>
              <w:top w:w="11" w:type="dxa"/>
              <w:left w:w="57" w:type="dxa"/>
              <w:bottom w:w="11" w:type="dxa"/>
              <w:right w:w="57" w:type="dxa"/>
            </w:tcMar>
          </w:tcPr>
          <w:p w14:paraId="20919AF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710p</w:t>
            </w:r>
          </w:p>
        </w:tc>
        <w:tc>
          <w:tcPr>
            <w:tcW w:w="2155" w:type="dxa"/>
            <w:tcMar>
              <w:top w:w="11" w:type="dxa"/>
              <w:left w:w="57" w:type="dxa"/>
              <w:bottom w:w="11" w:type="dxa"/>
              <w:right w:w="57" w:type="dxa"/>
            </w:tcMar>
          </w:tcPr>
          <w:p w14:paraId="0CF3345A" w14:textId="0B9310F6"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2024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2026</w:t>
            </w:r>
          </w:p>
        </w:tc>
        <w:tc>
          <w:tcPr>
            <w:tcW w:w="1134" w:type="dxa"/>
            <w:tcMar>
              <w:top w:w="11" w:type="dxa"/>
              <w:left w:w="57" w:type="dxa"/>
              <w:bottom w:w="11" w:type="dxa"/>
              <w:right w:w="57" w:type="dxa"/>
            </w:tcMar>
          </w:tcPr>
          <w:p w14:paraId="692C17C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36</w:t>
            </w:r>
          </w:p>
        </w:tc>
        <w:tc>
          <w:tcPr>
            <w:tcW w:w="1134" w:type="dxa"/>
            <w:tcMar>
              <w:top w:w="11" w:type="dxa"/>
              <w:left w:w="57" w:type="dxa"/>
              <w:bottom w:w="11" w:type="dxa"/>
              <w:right w:w="57" w:type="dxa"/>
            </w:tcMar>
          </w:tcPr>
          <w:p w14:paraId="5B98A7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53</w:t>
            </w:r>
          </w:p>
        </w:tc>
      </w:tr>
      <w:tr w:rsidR="00646F4F" w:rsidRPr="00735726" w14:paraId="2C7FAA65" w14:textId="77777777" w:rsidTr="00CE19B2">
        <w:trPr>
          <w:trHeight w:val="226"/>
        </w:trPr>
        <w:tc>
          <w:tcPr>
            <w:tcW w:w="3402" w:type="dxa"/>
            <w:tcMar>
              <w:top w:w="11" w:type="dxa"/>
              <w:left w:w="57" w:type="dxa"/>
              <w:bottom w:w="11" w:type="dxa"/>
              <w:right w:w="57" w:type="dxa"/>
            </w:tcMar>
          </w:tcPr>
          <w:p w14:paraId="225F0A3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06 July 2022</w:t>
            </w:r>
          </w:p>
        </w:tc>
        <w:tc>
          <w:tcPr>
            <w:tcW w:w="2155" w:type="dxa"/>
            <w:tcMar>
              <w:top w:w="11" w:type="dxa"/>
              <w:left w:w="57" w:type="dxa"/>
              <w:bottom w:w="11" w:type="dxa"/>
              <w:right w:w="57" w:type="dxa"/>
            </w:tcMar>
          </w:tcPr>
          <w:p w14:paraId="3316DC5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669p</w:t>
            </w:r>
          </w:p>
        </w:tc>
        <w:tc>
          <w:tcPr>
            <w:tcW w:w="2155" w:type="dxa"/>
            <w:tcMar>
              <w:top w:w="11" w:type="dxa"/>
              <w:left w:w="57" w:type="dxa"/>
              <w:bottom w:w="11" w:type="dxa"/>
              <w:right w:w="57" w:type="dxa"/>
            </w:tcMar>
          </w:tcPr>
          <w:p w14:paraId="0F0F7D40" w14:textId="23FE535C"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2025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2027</w:t>
            </w:r>
          </w:p>
        </w:tc>
        <w:tc>
          <w:tcPr>
            <w:tcW w:w="1134" w:type="dxa"/>
            <w:tcMar>
              <w:top w:w="11" w:type="dxa"/>
              <w:left w:w="57" w:type="dxa"/>
              <w:bottom w:w="11" w:type="dxa"/>
              <w:right w:w="57" w:type="dxa"/>
            </w:tcMar>
          </w:tcPr>
          <w:p w14:paraId="6044C7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20</w:t>
            </w:r>
          </w:p>
        </w:tc>
        <w:tc>
          <w:tcPr>
            <w:tcW w:w="1134" w:type="dxa"/>
            <w:tcMar>
              <w:top w:w="11" w:type="dxa"/>
              <w:left w:w="57" w:type="dxa"/>
              <w:bottom w:w="11" w:type="dxa"/>
              <w:right w:w="57" w:type="dxa"/>
            </w:tcMar>
          </w:tcPr>
          <w:p w14:paraId="49B7D5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183</w:t>
            </w:r>
          </w:p>
        </w:tc>
      </w:tr>
      <w:tr w:rsidR="00646F4F" w:rsidRPr="00735726" w14:paraId="248919D1" w14:textId="77777777" w:rsidTr="00CE19B2">
        <w:trPr>
          <w:trHeight w:val="226"/>
        </w:trPr>
        <w:tc>
          <w:tcPr>
            <w:tcW w:w="3402" w:type="dxa"/>
            <w:tcMar>
              <w:top w:w="11" w:type="dxa"/>
              <w:left w:w="57" w:type="dxa"/>
              <w:bottom w:w="11" w:type="dxa"/>
              <w:right w:w="57" w:type="dxa"/>
            </w:tcMar>
          </w:tcPr>
          <w:p w14:paraId="38B8A4F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04 July 2023</w:t>
            </w:r>
          </w:p>
        </w:tc>
        <w:tc>
          <w:tcPr>
            <w:tcW w:w="2155" w:type="dxa"/>
            <w:tcMar>
              <w:top w:w="11" w:type="dxa"/>
              <w:left w:w="57" w:type="dxa"/>
              <w:bottom w:w="11" w:type="dxa"/>
              <w:right w:w="57" w:type="dxa"/>
            </w:tcMar>
          </w:tcPr>
          <w:p w14:paraId="1E9E052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536p</w:t>
            </w:r>
          </w:p>
        </w:tc>
        <w:tc>
          <w:tcPr>
            <w:tcW w:w="2155" w:type="dxa"/>
            <w:tcMar>
              <w:top w:w="11" w:type="dxa"/>
              <w:left w:w="57" w:type="dxa"/>
              <w:bottom w:w="11" w:type="dxa"/>
              <w:right w:w="57" w:type="dxa"/>
            </w:tcMar>
          </w:tcPr>
          <w:p w14:paraId="2F3980F1" w14:textId="6ED0A76B"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2026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2028</w:t>
            </w:r>
          </w:p>
        </w:tc>
        <w:tc>
          <w:tcPr>
            <w:tcW w:w="1134" w:type="dxa"/>
            <w:tcMar>
              <w:top w:w="11" w:type="dxa"/>
              <w:left w:w="57" w:type="dxa"/>
              <w:bottom w:w="11" w:type="dxa"/>
              <w:right w:w="57" w:type="dxa"/>
            </w:tcMar>
          </w:tcPr>
          <w:p w14:paraId="4C145F1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290</w:t>
            </w:r>
          </w:p>
        </w:tc>
        <w:tc>
          <w:tcPr>
            <w:tcW w:w="1134" w:type="dxa"/>
            <w:tcMar>
              <w:top w:w="11" w:type="dxa"/>
              <w:left w:w="57" w:type="dxa"/>
              <w:bottom w:w="11" w:type="dxa"/>
              <w:right w:w="57" w:type="dxa"/>
            </w:tcMar>
          </w:tcPr>
          <w:p w14:paraId="4491B2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433</w:t>
            </w:r>
          </w:p>
        </w:tc>
      </w:tr>
      <w:tr w:rsidR="00646F4F" w:rsidRPr="00735726" w14:paraId="53D763D1" w14:textId="77777777" w:rsidTr="00CE19B2">
        <w:trPr>
          <w:trHeight w:val="226"/>
        </w:trPr>
        <w:tc>
          <w:tcPr>
            <w:tcW w:w="3402" w:type="dxa"/>
            <w:tcMar>
              <w:top w:w="11" w:type="dxa"/>
              <w:left w:w="57" w:type="dxa"/>
              <w:bottom w:w="11" w:type="dxa"/>
              <w:right w:w="57" w:type="dxa"/>
            </w:tcMar>
          </w:tcPr>
          <w:p w14:paraId="3AB02ED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 July 2024</w:t>
            </w:r>
          </w:p>
        </w:tc>
        <w:tc>
          <w:tcPr>
            <w:tcW w:w="2155" w:type="dxa"/>
            <w:tcMar>
              <w:top w:w="11" w:type="dxa"/>
              <w:left w:w="57" w:type="dxa"/>
              <w:bottom w:w="11" w:type="dxa"/>
              <w:right w:w="57" w:type="dxa"/>
            </w:tcMar>
          </w:tcPr>
          <w:p w14:paraId="14026FC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406p</w:t>
            </w:r>
          </w:p>
        </w:tc>
        <w:tc>
          <w:tcPr>
            <w:tcW w:w="2155" w:type="dxa"/>
            <w:tcMar>
              <w:top w:w="11" w:type="dxa"/>
              <w:left w:w="57" w:type="dxa"/>
              <w:bottom w:w="11" w:type="dxa"/>
              <w:right w:w="57" w:type="dxa"/>
            </w:tcMar>
          </w:tcPr>
          <w:p w14:paraId="3C873EE6" w14:textId="55B39A26"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2027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2029</w:t>
            </w:r>
          </w:p>
        </w:tc>
        <w:tc>
          <w:tcPr>
            <w:tcW w:w="1134" w:type="dxa"/>
            <w:tcMar>
              <w:top w:w="11" w:type="dxa"/>
              <w:left w:w="57" w:type="dxa"/>
              <w:bottom w:w="11" w:type="dxa"/>
              <w:right w:w="57" w:type="dxa"/>
            </w:tcMar>
          </w:tcPr>
          <w:p w14:paraId="2B84BE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933</w:t>
            </w:r>
          </w:p>
        </w:tc>
        <w:tc>
          <w:tcPr>
            <w:tcW w:w="1134" w:type="dxa"/>
            <w:tcMar>
              <w:top w:w="11" w:type="dxa"/>
              <w:left w:w="57" w:type="dxa"/>
              <w:bottom w:w="11" w:type="dxa"/>
              <w:right w:w="57" w:type="dxa"/>
            </w:tcMar>
          </w:tcPr>
          <w:p w14:paraId="1E9EF98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1,095</w:t>
            </w:r>
          </w:p>
        </w:tc>
      </w:tr>
      <w:tr w:rsidR="00646F4F" w:rsidRPr="00735726" w14:paraId="7923D0DA" w14:textId="77777777" w:rsidTr="00CE19B2">
        <w:trPr>
          <w:trHeight w:val="226"/>
        </w:trPr>
        <w:tc>
          <w:tcPr>
            <w:tcW w:w="3402" w:type="dxa"/>
            <w:tcMar>
              <w:top w:w="11" w:type="dxa"/>
              <w:left w:w="57" w:type="dxa"/>
              <w:bottom w:w="11" w:type="dxa"/>
              <w:right w:w="57" w:type="dxa"/>
            </w:tcMar>
          </w:tcPr>
          <w:p w14:paraId="091D367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 July 2025</w:t>
            </w:r>
          </w:p>
        </w:tc>
        <w:tc>
          <w:tcPr>
            <w:tcW w:w="2155" w:type="dxa"/>
            <w:tcMar>
              <w:top w:w="11" w:type="dxa"/>
              <w:left w:w="57" w:type="dxa"/>
              <w:bottom w:w="11" w:type="dxa"/>
              <w:right w:w="57" w:type="dxa"/>
            </w:tcMar>
          </w:tcPr>
          <w:p w14:paraId="40BF88D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421p</w:t>
            </w:r>
          </w:p>
        </w:tc>
        <w:tc>
          <w:tcPr>
            <w:tcW w:w="2155" w:type="dxa"/>
            <w:tcMar>
              <w:top w:w="11" w:type="dxa"/>
              <w:left w:w="57" w:type="dxa"/>
              <w:bottom w:w="11" w:type="dxa"/>
              <w:right w:w="57" w:type="dxa"/>
            </w:tcMar>
          </w:tcPr>
          <w:p w14:paraId="0EF25603" w14:textId="662D7B65"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2028 </w:t>
            </w:r>
            <w:r w:rsidR="006C1BA9"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2030</w:t>
            </w:r>
          </w:p>
        </w:tc>
        <w:tc>
          <w:tcPr>
            <w:tcW w:w="1134" w:type="dxa"/>
            <w:tcBorders>
              <w:bottom w:val="single" w:sz="4" w:space="0" w:color="auto"/>
            </w:tcBorders>
            <w:tcMar>
              <w:top w:w="11" w:type="dxa"/>
              <w:left w:w="57" w:type="dxa"/>
              <w:bottom w:w="11" w:type="dxa"/>
              <w:right w:w="57" w:type="dxa"/>
            </w:tcMar>
          </w:tcPr>
          <w:p w14:paraId="01DA6E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686</w:t>
            </w:r>
          </w:p>
        </w:tc>
        <w:tc>
          <w:tcPr>
            <w:tcW w:w="1134" w:type="dxa"/>
            <w:tcBorders>
              <w:bottom w:val="single" w:sz="4" w:space="0" w:color="auto"/>
            </w:tcBorders>
            <w:tcMar>
              <w:top w:w="11" w:type="dxa"/>
              <w:left w:w="57" w:type="dxa"/>
              <w:bottom w:w="11" w:type="dxa"/>
              <w:right w:w="57" w:type="dxa"/>
            </w:tcMar>
          </w:tcPr>
          <w:p w14:paraId="33D7CE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w:t>
            </w:r>
          </w:p>
        </w:tc>
      </w:tr>
      <w:tr w:rsidR="00646F4F" w:rsidRPr="00735726" w14:paraId="1ED73DDD" w14:textId="77777777" w:rsidTr="00CE19B2">
        <w:trPr>
          <w:trHeight w:val="226"/>
        </w:trPr>
        <w:tc>
          <w:tcPr>
            <w:tcW w:w="3402" w:type="dxa"/>
            <w:tcMar>
              <w:top w:w="11" w:type="dxa"/>
              <w:left w:w="57" w:type="dxa"/>
              <w:bottom w:w="11" w:type="dxa"/>
              <w:right w:w="57" w:type="dxa"/>
            </w:tcMar>
          </w:tcPr>
          <w:p w14:paraId="6E102D0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2155" w:type="dxa"/>
            <w:tcMar>
              <w:top w:w="11" w:type="dxa"/>
              <w:left w:w="57" w:type="dxa"/>
              <w:bottom w:w="11" w:type="dxa"/>
              <w:right w:w="57" w:type="dxa"/>
            </w:tcMar>
          </w:tcPr>
          <w:p w14:paraId="7D9BA2A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2155" w:type="dxa"/>
            <w:tcMar>
              <w:top w:w="11" w:type="dxa"/>
              <w:left w:w="57" w:type="dxa"/>
              <w:bottom w:w="11" w:type="dxa"/>
              <w:right w:w="57" w:type="dxa"/>
            </w:tcMar>
          </w:tcPr>
          <w:p w14:paraId="56BAF2E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Borders>
              <w:top w:val="single" w:sz="4" w:space="0" w:color="auto"/>
              <w:bottom w:val="single" w:sz="4" w:space="0" w:color="auto"/>
            </w:tcBorders>
            <w:tcMar>
              <w:top w:w="11" w:type="dxa"/>
              <w:left w:w="57" w:type="dxa"/>
              <w:bottom w:w="11" w:type="dxa"/>
              <w:right w:w="57" w:type="dxa"/>
            </w:tcMar>
          </w:tcPr>
          <w:p w14:paraId="5D05377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1,965</w:t>
            </w:r>
          </w:p>
        </w:tc>
        <w:tc>
          <w:tcPr>
            <w:tcW w:w="1134" w:type="dxa"/>
            <w:tcBorders>
              <w:top w:val="single" w:sz="4" w:space="0" w:color="auto"/>
              <w:bottom w:val="single" w:sz="4" w:space="0" w:color="auto"/>
            </w:tcBorders>
            <w:tcMar>
              <w:top w:w="11" w:type="dxa"/>
              <w:left w:w="57" w:type="dxa"/>
              <w:bottom w:w="11" w:type="dxa"/>
              <w:right w:w="57" w:type="dxa"/>
            </w:tcMar>
          </w:tcPr>
          <w:p w14:paraId="2C2EEA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1,787</w:t>
            </w:r>
          </w:p>
        </w:tc>
      </w:tr>
    </w:tbl>
    <w:p w14:paraId="426D0207"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6AF3AFF7"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number and weighted average exercise price of Sharesave options </w:t>
      </w:r>
      <w:proofErr w:type="gramStart"/>
      <w:r w:rsidRPr="00735726">
        <w:rPr>
          <w:rFonts w:ascii="Arial" w:eastAsia="Times New Roman" w:hAnsi="Arial" w:cs="DINOT-Light"/>
          <w:color w:val="000000"/>
          <w:sz w:val="18"/>
          <w:szCs w:val="18"/>
        </w:rPr>
        <w:t>are</w:t>
      </w:r>
      <w:proofErr w:type="gramEnd"/>
      <w:r w:rsidRPr="00735726">
        <w:rPr>
          <w:rFonts w:ascii="Arial" w:eastAsia="Times New Roman" w:hAnsi="Arial" w:cs="DINOT-Light"/>
          <w:color w:val="000000"/>
          <w:sz w:val="18"/>
          <w:szCs w:val="18"/>
        </w:rPr>
        <w:t xml:space="preserve">: </w:t>
      </w:r>
    </w:p>
    <w:p w14:paraId="21B2866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10036" w:type="dxa"/>
        <w:tblInd w:w="8" w:type="dxa"/>
        <w:tblLayout w:type="fixed"/>
        <w:tblCellMar>
          <w:left w:w="0" w:type="dxa"/>
          <w:right w:w="0" w:type="dxa"/>
        </w:tblCellMar>
        <w:tblLook w:val="0000" w:firstRow="0" w:lastRow="0" w:firstColumn="0" w:lastColumn="0" w:noHBand="0" w:noVBand="0"/>
      </w:tblPr>
      <w:tblGrid>
        <w:gridCol w:w="5294"/>
        <w:gridCol w:w="1276"/>
        <w:gridCol w:w="1134"/>
        <w:gridCol w:w="1198"/>
        <w:gridCol w:w="1134"/>
      </w:tblGrid>
      <w:tr w:rsidR="00646F4F" w:rsidRPr="00735726" w14:paraId="08FA64AE" w14:textId="77777777" w:rsidTr="00CE19B2">
        <w:trPr>
          <w:trHeight w:val="60"/>
          <w:tblHeader/>
        </w:trPr>
        <w:tc>
          <w:tcPr>
            <w:tcW w:w="5294" w:type="dxa"/>
            <w:tcMar>
              <w:top w:w="11" w:type="dxa"/>
              <w:left w:w="57" w:type="dxa"/>
              <w:bottom w:w="11" w:type="dxa"/>
              <w:right w:w="57" w:type="dxa"/>
            </w:tcMar>
          </w:tcPr>
          <w:p w14:paraId="58D9DD3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2410" w:type="dxa"/>
            <w:gridSpan w:val="2"/>
            <w:tcMar>
              <w:top w:w="11" w:type="dxa"/>
              <w:left w:w="57" w:type="dxa"/>
              <w:bottom w:w="11" w:type="dxa"/>
              <w:right w:w="57" w:type="dxa"/>
            </w:tcMar>
          </w:tcPr>
          <w:p w14:paraId="3908D76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tc>
        <w:tc>
          <w:tcPr>
            <w:tcW w:w="2332" w:type="dxa"/>
            <w:gridSpan w:val="2"/>
            <w:tcMar>
              <w:top w:w="11" w:type="dxa"/>
              <w:left w:w="57" w:type="dxa"/>
              <w:bottom w:w="11" w:type="dxa"/>
              <w:right w:w="57" w:type="dxa"/>
            </w:tcMar>
          </w:tcPr>
          <w:p w14:paraId="233D7D3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1B73D276" w14:textId="77777777" w:rsidTr="00CE19B2">
        <w:trPr>
          <w:trHeight w:val="265"/>
          <w:tblHeader/>
        </w:trPr>
        <w:tc>
          <w:tcPr>
            <w:tcW w:w="5294" w:type="dxa"/>
            <w:tcMar>
              <w:top w:w="11" w:type="dxa"/>
              <w:left w:w="57" w:type="dxa"/>
              <w:bottom w:w="11" w:type="dxa"/>
              <w:right w:w="57" w:type="dxa"/>
            </w:tcMar>
          </w:tcPr>
          <w:p w14:paraId="08F520A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276" w:type="dxa"/>
            <w:tcMar>
              <w:top w:w="11" w:type="dxa"/>
              <w:left w:w="57" w:type="dxa"/>
              <w:bottom w:w="11" w:type="dxa"/>
              <w:right w:w="57" w:type="dxa"/>
            </w:tcMar>
          </w:tcPr>
          <w:p w14:paraId="3EF3994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Number of Ordinary </w:t>
            </w:r>
            <w:r w:rsidRPr="00735726">
              <w:rPr>
                <w:rFonts w:ascii="Arial" w:eastAsia="Times New Roman" w:hAnsi="Arial" w:cs="DINOT-Light"/>
                <w:b/>
                <w:color w:val="000000"/>
                <w:sz w:val="18"/>
                <w:szCs w:val="18"/>
              </w:rPr>
              <w:br/>
              <w:t>shares (thousands)</w:t>
            </w:r>
          </w:p>
        </w:tc>
        <w:tc>
          <w:tcPr>
            <w:tcW w:w="1134" w:type="dxa"/>
            <w:tcMar>
              <w:top w:w="11" w:type="dxa"/>
              <w:left w:w="57" w:type="dxa"/>
              <w:bottom w:w="11" w:type="dxa"/>
              <w:right w:w="57" w:type="dxa"/>
            </w:tcMar>
          </w:tcPr>
          <w:p w14:paraId="224B88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Weighted average exercise price per share (p)</w:t>
            </w:r>
          </w:p>
        </w:tc>
        <w:tc>
          <w:tcPr>
            <w:tcW w:w="1198" w:type="dxa"/>
            <w:tcMar>
              <w:top w:w="11" w:type="dxa"/>
              <w:left w:w="57" w:type="dxa"/>
              <w:bottom w:w="11" w:type="dxa"/>
              <w:right w:w="57" w:type="dxa"/>
            </w:tcMar>
          </w:tcPr>
          <w:p w14:paraId="46B9514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Number of Ordinary </w:t>
            </w:r>
            <w:r w:rsidRPr="00735726">
              <w:rPr>
                <w:rFonts w:ascii="Arial" w:eastAsia="Times New Roman" w:hAnsi="Arial" w:cs="DINOT-Light"/>
                <w:b/>
                <w:color w:val="000000"/>
                <w:sz w:val="18"/>
                <w:szCs w:val="18"/>
              </w:rPr>
              <w:br/>
              <w:t>shares (thousands)</w:t>
            </w:r>
          </w:p>
        </w:tc>
        <w:tc>
          <w:tcPr>
            <w:tcW w:w="1134" w:type="dxa"/>
            <w:tcMar>
              <w:top w:w="11" w:type="dxa"/>
              <w:left w:w="57" w:type="dxa"/>
              <w:bottom w:w="11" w:type="dxa"/>
              <w:right w:w="57" w:type="dxa"/>
            </w:tcMar>
          </w:tcPr>
          <w:p w14:paraId="4E6F35E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Weighted average exercise price per share (p)</w:t>
            </w:r>
          </w:p>
        </w:tc>
      </w:tr>
      <w:tr w:rsidR="00646F4F" w:rsidRPr="00735726" w14:paraId="5DD5282B" w14:textId="77777777" w:rsidTr="00CE19B2">
        <w:trPr>
          <w:trHeight w:val="226"/>
        </w:trPr>
        <w:tc>
          <w:tcPr>
            <w:tcW w:w="5294" w:type="dxa"/>
            <w:tcMar>
              <w:top w:w="11" w:type="dxa"/>
              <w:left w:w="57" w:type="dxa"/>
              <w:bottom w:w="11" w:type="dxa"/>
              <w:right w:w="57" w:type="dxa"/>
            </w:tcMar>
          </w:tcPr>
          <w:p w14:paraId="455DAFCA" w14:textId="08095602"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20" w:name="XMETag_c3df5936d8484ae2ae78daee7ea8bb4d" w:colFirst="1" w:colLast="1"/>
            <w:bookmarkStart w:id="1121" w:name="XMETag_b935563576f34e4995921b5f49d38cae" w:colFirst="2" w:colLast="2"/>
            <w:bookmarkStart w:id="1122" w:name="XMETag_b3ef63a3ac054b34b63d1c964e4cbce1" w:colFirst="3" w:colLast="3"/>
            <w:bookmarkStart w:id="1123" w:name="XMETag_c3caae4a131342778c7cf3292b8c9d70" w:colFirst="4" w:colLast="4"/>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1 April</w:t>
            </w:r>
          </w:p>
        </w:tc>
        <w:tc>
          <w:tcPr>
            <w:tcW w:w="1276" w:type="dxa"/>
            <w:tcMar>
              <w:top w:w="11" w:type="dxa"/>
              <w:left w:w="57" w:type="dxa"/>
              <w:bottom w:w="11" w:type="dxa"/>
              <w:right w:w="57" w:type="dxa"/>
            </w:tcMar>
          </w:tcPr>
          <w:p w14:paraId="362DB7B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1,787</w:t>
            </w:r>
          </w:p>
        </w:tc>
        <w:tc>
          <w:tcPr>
            <w:tcW w:w="1134" w:type="dxa"/>
            <w:tcMar>
              <w:top w:w="11" w:type="dxa"/>
              <w:left w:w="57" w:type="dxa"/>
              <w:bottom w:w="11" w:type="dxa"/>
              <w:right w:w="57" w:type="dxa"/>
            </w:tcMar>
          </w:tcPr>
          <w:p w14:paraId="12ECDC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591</w:t>
            </w:r>
          </w:p>
        </w:tc>
        <w:tc>
          <w:tcPr>
            <w:tcW w:w="1198" w:type="dxa"/>
            <w:tcMar>
              <w:top w:w="11" w:type="dxa"/>
              <w:left w:w="57" w:type="dxa"/>
              <w:bottom w:w="11" w:type="dxa"/>
              <w:right w:w="57" w:type="dxa"/>
            </w:tcMar>
          </w:tcPr>
          <w:p w14:paraId="23E4C2A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1,314</w:t>
            </w:r>
          </w:p>
        </w:tc>
        <w:tc>
          <w:tcPr>
            <w:tcW w:w="1134" w:type="dxa"/>
            <w:tcMar>
              <w:top w:w="11" w:type="dxa"/>
              <w:left w:w="57" w:type="dxa"/>
              <w:bottom w:w="11" w:type="dxa"/>
              <w:right w:w="57" w:type="dxa"/>
            </w:tcMar>
          </w:tcPr>
          <w:p w14:paraId="1A0C1D8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748</w:t>
            </w:r>
          </w:p>
        </w:tc>
      </w:tr>
      <w:tr w:rsidR="00646F4F" w:rsidRPr="00735726" w14:paraId="3409E0AA" w14:textId="77777777" w:rsidTr="00CE19B2">
        <w:trPr>
          <w:trHeight w:val="226"/>
        </w:trPr>
        <w:tc>
          <w:tcPr>
            <w:tcW w:w="5294" w:type="dxa"/>
            <w:tcMar>
              <w:top w:w="11" w:type="dxa"/>
              <w:left w:w="57" w:type="dxa"/>
              <w:bottom w:w="11" w:type="dxa"/>
              <w:right w:w="57" w:type="dxa"/>
            </w:tcMar>
          </w:tcPr>
          <w:p w14:paraId="5572E3F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24" w:name="XMETag_444de7afb1e24bbfa8b1c834bc46207e" w:colFirst="1" w:colLast="1"/>
            <w:bookmarkStart w:id="1125" w:name="XMETag_e02dc4bcf7774114a25bba68e021deaf" w:colFirst="2" w:colLast="2"/>
            <w:bookmarkStart w:id="1126" w:name="XMETag_a533ad54d25d42a98827c312d3ad8514" w:colFirst="3" w:colLast="3"/>
            <w:bookmarkStart w:id="1127" w:name="XMETag_ec9df169e3f4460fab031bb6302affe0" w:colFirst="4" w:colLast="4"/>
            <w:bookmarkEnd w:id="1120"/>
            <w:bookmarkEnd w:id="1121"/>
            <w:bookmarkEnd w:id="1122"/>
            <w:bookmarkEnd w:id="1123"/>
            <w:r w:rsidRPr="00735726">
              <w:rPr>
                <w:rFonts w:ascii="Arial" w:eastAsia="Times New Roman" w:hAnsi="Arial" w:cs="DINOT-Light"/>
                <w:color w:val="000000"/>
                <w:sz w:val="18"/>
                <w:szCs w:val="18"/>
              </w:rPr>
              <w:t>Granted</w:t>
            </w:r>
          </w:p>
        </w:tc>
        <w:tc>
          <w:tcPr>
            <w:tcW w:w="1276" w:type="dxa"/>
            <w:tcMar>
              <w:top w:w="11" w:type="dxa"/>
              <w:left w:w="57" w:type="dxa"/>
              <w:bottom w:w="11" w:type="dxa"/>
              <w:right w:w="57" w:type="dxa"/>
            </w:tcMar>
          </w:tcPr>
          <w:p w14:paraId="339F8B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742</w:t>
            </w:r>
          </w:p>
        </w:tc>
        <w:tc>
          <w:tcPr>
            <w:tcW w:w="1134" w:type="dxa"/>
            <w:tcMar>
              <w:top w:w="11" w:type="dxa"/>
              <w:left w:w="57" w:type="dxa"/>
              <w:bottom w:w="11" w:type="dxa"/>
              <w:right w:w="57" w:type="dxa"/>
            </w:tcMar>
          </w:tcPr>
          <w:p w14:paraId="0AA7B2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421</w:t>
            </w:r>
          </w:p>
        </w:tc>
        <w:tc>
          <w:tcPr>
            <w:tcW w:w="1198" w:type="dxa"/>
            <w:tcMar>
              <w:top w:w="11" w:type="dxa"/>
              <w:left w:w="57" w:type="dxa"/>
              <w:bottom w:w="11" w:type="dxa"/>
              <w:right w:w="57" w:type="dxa"/>
            </w:tcMar>
          </w:tcPr>
          <w:p w14:paraId="5E7679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1,035</w:t>
            </w:r>
          </w:p>
        </w:tc>
        <w:tc>
          <w:tcPr>
            <w:tcW w:w="1134" w:type="dxa"/>
            <w:tcMar>
              <w:top w:w="11" w:type="dxa"/>
              <w:left w:w="57" w:type="dxa"/>
              <w:bottom w:w="11" w:type="dxa"/>
              <w:right w:w="57" w:type="dxa"/>
            </w:tcMar>
          </w:tcPr>
          <w:p w14:paraId="0220813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406</w:t>
            </w:r>
          </w:p>
        </w:tc>
      </w:tr>
      <w:tr w:rsidR="00646F4F" w:rsidRPr="00735726" w14:paraId="7077A794" w14:textId="77777777" w:rsidTr="00CE19B2">
        <w:trPr>
          <w:trHeight w:val="226"/>
        </w:trPr>
        <w:tc>
          <w:tcPr>
            <w:tcW w:w="5294" w:type="dxa"/>
            <w:tcMar>
              <w:top w:w="11" w:type="dxa"/>
              <w:left w:w="57" w:type="dxa"/>
              <w:bottom w:w="11" w:type="dxa"/>
              <w:right w:w="57" w:type="dxa"/>
            </w:tcMar>
          </w:tcPr>
          <w:p w14:paraId="79FCB0C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Additional options awarded as part of rights issue</w:t>
            </w:r>
          </w:p>
        </w:tc>
        <w:tc>
          <w:tcPr>
            <w:tcW w:w="1276" w:type="dxa"/>
            <w:tcMar>
              <w:top w:w="11" w:type="dxa"/>
              <w:left w:w="57" w:type="dxa"/>
              <w:bottom w:w="11" w:type="dxa"/>
              <w:right w:w="57" w:type="dxa"/>
            </w:tcMar>
          </w:tcPr>
          <w:p w14:paraId="6E15A22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4EFB458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98" w:type="dxa"/>
            <w:tcMar>
              <w:top w:w="11" w:type="dxa"/>
              <w:left w:w="57" w:type="dxa"/>
              <w:bottom w:w="11" w:type="dxa"/>
              <w:right w:w="57" w:type="dxa"/>
            </w:tcMar>
          </w:tcPr>
          <w:p w14:paraId="18A73A4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410</w:t>
            </w:r>
          </w:p>
        </w:tc>
        <w:tc>
          <w:tcPr>
            <w:tcW w:w="1134" w:type="dxa"/>
            <w:tcMar>
              <w:top w:w="11" w:type="dxa"/>
              <w:left w:w="57" w:type="dxa"/>
              <w:bottom w:w="11" w:type="dxa"/>
              <w:right w:w="57" w:type="dxa"/>
            </w:tcMar>
          </w:tcPr>
          <w:p w14:paraId="6272FD9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492</w:t>
            </w:r>
          </w:p>
        </w:tc>
      </w:tr>
      <w:tr w:rsidR="00646F4F" w:rsidRPr="00735726" w14:paraId="63695083" w14:textId="77777777" w:rsidTr="00CE19B2">
        <w:trPr>
          <w:trHeight w:val="226"/>
        </w:trPr>
        <w:tc>
          <w:tcPr>
            <w:tcW w:w="5294" w:type="dxa"/>
            <w:tcMar>
              <w:top w:w="11" w:type="dxa"/>
              <w:left w:w="57" w:type="dxa"/>
              <w:bottom w:w="11" w:type="dxa"/>
              <w:right w:w="57" w:type="dxa"/>
            </w:tcMar>
          </w:tcPr>
          <w:p w14:paraId="3964C02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28" w:name="XMETag_168cf3287ca64a7285d2cbfd77e61b7e" w:colFirst="1" w:colLast="1"/>
            <w:bookmarkStart w:id="1129" w:name="XMETag_140da8b8d5e2470aaa75243acf208b15" w:colFirst="2" w:colLast="2"/>
            <w:bookmarkStart w:id="1130" w:name="XMETag_bac28dc0ea144ff9a6baa931e82583ca" w:colFirst="3" w:colLast="3"/>
            <w:bookmarkStart w:id="1131" w:name="XMETag_97d482c168474708b3edb769af4720e3" w:colFirst="4" w:colLast="4"/>
            <w:bookmarkEnd w:id="1124"/>
            <w:bookmarkEnd w:id="1125"/>
            <w:bookmarkEnd w:id="1126"/>
            <w:bookmarkEnd w:id="1127"/>
            <w:r w:rsidRPr="00735726">
              <w:rPr>
                <w:rFonts w:ascii="Arial" w:eastAsia="Times New Roman" w:hAnsi="Arial" w:cs="DINOT-Light"/>
                <w:color w:val="000000"/>
                <w:sz w:val="18"/>
                <w:szCs w:val="18"/>
              </w:rPr>
              <w:t>Forfeited</w:t>
            </w:r>
          </w:p>
        </w:tc>
        <w:tc>
          <w:tcPr>
            <w:tcW w:w="1276" w:type="dxa"/>
            <w:tcMar>
              <w:top w:w="11" w:type="dxa"/>
              <w:left w:w="57" w:type="dxa"/>
              <w:bottom w:w="11" w:type="dxa"/>
              <w:right w:w="57" w:type="dxa"/>
            </w:tcMar>
          </w:tcPr>
          <w:p w14:paraId="692CFE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(353)</w:t>
            </w:r>
          </w:p>
        </w:tc>
        <w:tc>
          <w:tcPr>
            <w:tcW w:w="1134" w:type="dxa"/>
            <w:tcMar>
              <w:top w:w="11" w:type="dxa"/>
              <w:left w:w="57" w:type="dxa"/>
              <w:bottom w:w="11" w:type="dxa"/>
              <w:right w:w="57" w:type="dxa"/>
            </w:tcMar>
          </w:tcPr>
          <w:p w14:paraId="7E2F15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535</w:t>
            </w:r>
          </w:p>
        </w:tc>
        <w:tc>
          <w:tcPr>
            <w:tcW w:w="1198" w:type="dxa"/>
            <w:tcMar>
              <w:top w:w="11" w:type="dxa"/>
              <w:left w:w="57" w:type="dxa"/>
              <w:bottom w:w="11" w:type="dxa"/>
              <w:right w:w="57" w:type="dxa"/>
            </w:tcMar>
          </w:tcPr>
          <w:p w14:paraId="6F6385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(650)</w:t>
            </w:r>
          </w:p>
        </w:tc>
        <w:tc>
          <w:tcPr>
            <w:tcW w:w="1134" w:type="dxa"/>
            <w:tcMar>
              <w:top w:w="11" w:type="dxa"/>
              <w:left w:w="57" w:type="dxa"/>
              <w:bottom w:w="11" w:type="dxa"/>
              <w:right w:w="57" w:type="dxa"/>
            </w:tcMar>
          </w:tcPr>
          <w:p w14:paraId="57FEC21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684</w:t>
            </w:r>
          </w:p>
        </w:tc>
      </w:tr>
      <w:tr w:rsidR="00646F4F" w:rsidRPr="00735726" w14:paraId="59B2A041" w14:textId="77777777" w:rsidTr="00CE19B2">
        <w:trPr>
          <w:trHeight w:val="226"/>
        </w:trPr>
        <w:tc>
          <w:tcPr>
            <w:tcW w:w="5294" w:type="dxa"/>
            <w:tcMar>
              <w:top w:w="11" w:type="dxa"/>
              <w:left w:w="57" w:type="dxa"/>
              <w:bottom w:w="11" w:type="dxa"/>
              <w:right w:w="57" w:type="dxa"/>
            </w:tcMar>
          </w:tcPr>
          <w:p w14:paraId="5A428F1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32" w:name="XMETag_1cd78a88a7d54b5f9451eb3c93b6316a" w:colFirst="1" w:colLast="1"/>
            <w:bookmarkStart w:id="1133" w:name="XMETag_b0ff6646356c4245bb4c47d0d13f43ca" w:colFirst="2" w:colLast="2"/>
            <w:bookmarkStart w:id="1134" w:name="XMETag_efdaf471aa6348dc80586fbb5eb3def6" w:colFirst="3" w:colLast="3"/>
            <w:bookmarkStart w:id="1135" w:name="XMETag_062c8b786e6e4b2888b1216947a5482c" w:colFirst="4" w:colLast="4"/>
            <w:bookmarkEnd w:id="1128"/>
            <w:bookmarkEnd w:id="1129"/>
            <w:bookmarkEnd w:id="1130"/>
            <w:bookmarkEnd w:id="1131"/>
            <w:r w:rsidRPr="00735726">
              <w:rPr>
                <w:rFonts w:ascii="Arial" w:eastAsia="Times New Roman" w:hAnsi="Arial" w:cs="DINOT-Light"/>
                <w:color w:val="000000"/>
                <w:sz w:val="18"/>
                <w:szCs w:val="18"/>
              </w:rPr>
              <w:t>Exercised</w:t>
            </w:r>
          </w:p>
        </w:tc>
        <w:tc>
          <w:tcPr>
            <w:tcW w:w="1276" w:type="dxa"/>
            <w:tcMar>
              <w:top w:w="11" w:type="dxa"/>
              <w:left w:w="57" w:type="dxa"/>
              <w:bottom w:w="11" w:type="dxa"/>
              <w:right w:w="57" w:type="dxa"/>
            </w:tcMar>
          </w:tcPr>
          <w:p w14:paraId="4678A6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w:t>
            </w:r>
          </w:p>
        </w:tc>
        <w:tc>
          <w:tcPr>
            <w:tcW w:w="1134" w:type="dxa"/>
            <w:tcMar>
              <w:top w:w="11" w:type="dxa"/>
              <w:left w:w="57" w:type="dxa"/>
              <w:bottom w:w="11" w:type="dxa"/>
              <w:right w:w="57" w:type="dxa"/>
            </w:tcMar>
          </w:tcPr>
          <w:p w14:paraId="1D9080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502</w:t>
            </w:r>
          </w:p>
        </w:tc>
        <w:tc>
          <w:tcPr>
            <w:tcW w:w="1198" w:type="dxa"/>
            <w:tcMar>
              <w:top w:w="11" w:type="dxa"/>
              <w:left w:w="57" w:type="dxa"/>
              <w:bottom w:w="11" w:type="dxa"/>
              <w:right w:w="57" w:type="dxa"/>
            </w:tcMar>
          </w:tcPr>
          <w:p w14:paraId="4BAD3EA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w:t>
            </w:r>
          </w:p>
        </w:tc>
        <w:tc>
          <w:tcPr>
            <w:tcW w:w="1134" w:type="dxa"/>
            <w:tcMar>
              <w:top w:w="11" w:type="dxa"/>
              <w:left w:w="57" w:type="dxa"/>
              <w:bottom w:w="11" w:type="dxa"/>
              <w:right w:w="57" w:type="dxa"/>
            </w:tcMar>
          </w:tcPr>
          <w:p w14:paraId="504A9E9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620</w:t>
            </w:r>
          </w:p>
        </w:tc>
      </w:tr>
      <w:tr w:rsidR="00646F4F" w:rsidRPr="00735726" w14:paraId="5FA014CB" w14:textId="77777777" w:rsidTr="00CE19B2">
        <w:trPr>
          <w:trHeight w:val="226"/>
        </w:trPr>
        <w:tc>
          <w:tcPr>
            <w:tcW w:w="5294" w:type="dxa"/>
            <w:tcMar>
              <w:top w:w="11" w:type="dxa"/>
              <w:left w:w="57" w:type="dxa"/>
              <w:bottom w:w="11" w:type="dxa"/>
              <w:right w:w="57" w:type="dxa"/>
            </w:tcMar>
          </w:tcPr>
          <w:p w14:paraId="34BACD8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36" w:name="XMETag_6c95f047646b40ecb2204ce6e7660580" w:colFirst="1" w:colLast="1"/>
            <w:bookmarkStart w:id="1137" w:name="XMETag_f90d2ed8acfd4031add18e25ef703b2d" w:colFirst="2" w:colLast="2"/>
            <w:bookmarkStart w:id="1138" w:name="XMETag_3af1b21655ed4179a00108c51264a383" w:colFirst="3" w:colLast="3"/>
            <w:bookmarkStart w:id="1139" w:name="XMETag_09c6d4e491da4cd7a26a1ef5dcf45125" w:colFirst="4" w:colLast="4"/>
            <w:bookmarkEnd w:id="1132"/>
            <w:bookmarkEnd w:id="1133"/>
            <w:bookmarkEnd w:id="1134"/>
            <w:bookmarkEnd w:id="1135"/>
            <w:r w:rsidRPr="00735726">
              <w:rPr>
                <w:rFonts w:ascii="Arial" w:eastAsia="Times New Roman" w:hAnsi="Arial" w:cs="DINOT-Light"/>
                <w:color w:val="000000"/>
                <w:sz w:val="18"/>
                <w:szCs w:val="18"/>
              </w:rPr>
              <w:t>Expired</w:t>
            </w:r>
          </w:p>
        </w:tc>
        <w:tc>
          <w:tcPr>
            <w:tcW w:w="1276" w:type="dxa"/>
            <w:tcMar>
              <w:top w:w="11" w:type="dxa"/>
              <w:left w:w="57" w:type="dxa"/>
              <w:bottom w:w="11" w:type="dxa"/>
              <w:right w:w="57" w:type="dxa"/>
            </w:tcMar>
          </w:tcPr>
          <w:p w14:paraId="7D6CA8A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(245)</w:t>
            </w:r>
          </w:p>
        </w:tc>
        <w:tc>
          <w:tcPr>
            <w:tcW w:w="1134" w:type="dxa"/>
            <w:tcMar>
              <w:top w:w="11" w:type="dxa"/>
              <w:left w:w="57" w:type="dxa"/>
              <w:bottom w:w="11" w:type="dxa"/>
              <w:right w:w="57" w:type="dxa"/>
            </w:tcMar>
          </w:tcPr>
          <w:p w14:paraId="4C8F40B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732</w:t>
            </w:r>
          </w:p>
        </w:tc>
        <w:tc>
          <w:tcPr>
            <w:tcW w:w="1198" w:type="dxa"/>
            <w:tcMar>
              <w:top w:w="11" w:type="dxa"/>
              <w:left w:w="57" w:type="dxa"/>
              <w:bottom w:w="11" w:type="dxa"/>
              <w:right w:w="57" w:type="dxa"/>
            </w:tcMar>
          </w:tcPr>
          <w:p w14:paraId="2EB1DCA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(295)</w:t>
            </w:r>
          </w:p>
        </w:tc>
        <w:tc>
          <w:tcPr>
            <w:tcW w:w="1134" w:type="dxa"/>
            <w:tcMar>
              <w:top w:w="11" w:type="dxa"/>
              <w:left w:w="57" w:type="dxa"/>
              <w:bottom w:w="11" w:type="dxa"/>
              <w:right w:w="57" w:type="dxa"/>
            </w:tcMar>
          </w:tcPr>
          <w:p w14:paraId="786BEE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798</w:t>
            </w:r>
          </w:p>
        </w:tc>
      </w:tr>
      <w:tr w:rsidR="00646F4F" w:rsidRPr="00735726" w14:paraId="61042A6E" w14:textId="77777777" w:rsidTr="00CE19B2">
        <w:trPr>
          <w:trHeight w:val="226"/>
        </w:trPr>
        <w:tc>
          <w:tcPr>
            <w:tcW w:w="5294" w:type="dxa"/>
            <w:tcMar>
              <w:top w:w="11" w:type="dxa"/>
              <w:left w:w="57" w:type="dxa"/>
              <w:bottom w:w="11" w:type="dxa"/>
              <w:right w:w="57" w:type="dxa"/>
            </w:tcMar>
          </w:tcPr>
          <w:p w14:paraId="1B4AA03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Transferred to other Group companies</w:t>
            </w:r>
          </w:p>
        </w:tc>
        <w:tc>
          <w:tcPr>
            <w:tcW w:w="1276" w:type="dxa"/>
            <w:tcBorders>
              <w:bottom w:val="single" w:sz="4" w:space="0" w:color="auto"/>
            </w:tcBorders>
            <w:tcMar>
              <w:top w:w="11" w:type="dxa"/>
              <w:left w:w="57" w:type="dxa"/>
              <w:bottom w:w="11" w:type="dxa"/>
              <w:right w:w="57" w:type="dxa"/>
            </w:tcMar>
          </w:tcPr>
          <w:p w14:paraId="18F12A1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w:t>
            </w:r>
          </w:p>
        </w:tc>
        <w:tc>
          <w:tcPr>
            <w:tcW w:w="1134" w:type="dxa"/>
            <w:tcBorders>
              <w:bottom w:val="single" w:sz="4" w:space="0" w:color="auto"/>
            </w:tcBorders>
            <w:tcMar>
              <w:top w:w="11" w:type="dxa"/>
              <w:left w:w="57" w:type="dxa"/>
              <w:bottom w:w="11" w:type="dxa"/>
              <w:right w:w="57" w:type="dxa"/>
            </w:tcMar>
          </w:tcPr>
          <w:p w14:paraId="76E93CA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98" w:type="dxa"/>
            <w:tcBorders>
              <w:bottom w:val="single" w:sz="4" w:space="0" w:color="auto"/>
            </w:tcBorders>
            <w:tcMar>
              <w:top w:w="11" w:type="dxa"/>
              <w:left w:w="57" w:type="dxa"/>
              <w:bottom w:w="11" w:type="dxa"/>
              <w:right w:w="57" w:type="dxa"/>
            </w:tcMar>
          </w:tcPr>
          <w:p w14:paraId="6CC7B8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(24)</w:t>
            </w:r>
          </w:p>
        </w:tc>
        <w:tc>
          <w:tcPr>
            <w:tcW w:w="1134" w:type="dxa"/>
            <w:tcBorders>
              <w:bottom w:val="single" w:sz="4" w:space="0" w:color="auto"/>
            </w:tcBorders>
            <w:tcMar>
              <w:top w:w="11" w:type="dxa"/>
              <w:left w:w="57" w:type="dxa"/>
              <w:bottom w:w="11" w:type="dxa"/>
              <w:right w:w="57" w:type="dxa"/>
            </w:tcMar>
          </w:tcPr>
          <w:p w14:paraId="45080DB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tr w:rsidR="00646F4F" w:rsidRPr="00735726" w14:paraId="610B500C" w14:textId="77777777" w:rsidTr="00CE19B2">
        <w:trPr>
          <w:trHeight w:val="226"/>
        </w:trPr>
        <w:tc>
          <w:tcPr>
            <w:tcW w:w="5294" w:type="dxa"/>
            <w:tcMar>
              <w:top w:w="11" w:type="dxa"/>
              <w:left w:w="57" w:type="dxa"/>
              <w:bottom w:w="11" w:type="dxa"/>
              <w:right w:w="57" w:type="dxa"/>
            </w:tcMar>
          </w:tcPr>
          <w:p w14:paraId="77DCBA3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40" w:name="XMETag_317588c266d5405a9e49440b596c8755" w:colFirst="1" w:colLast="1"/>
            <w:bookmarkStart w:id="1141" w:name="XMETag_643bbf22a3a540a4a400936efbe4d075" w:colFirst="2" w:colLast="2"/>
            <w:bookmarkStart w:id="1142" w:name="XMETag_72b1f46435ec4890bdfeebbd56fe3ac7" w:colFirst="3" w:colLast="3"/>
            <w:bookmarkStart w:id="1143" w:name="XMETag_8a9c88fa8e3f47678f21c75ac568fedf" w:colFirst="4" w:colLast="4"/>
            <w:bookmarkEnd w:id="1136"/>
            <w:bookmarkEnd w:id="1137"/>
            <w:bookmarkEnd w:id="1138"/>
            <w:bookmarkEnd w:id="1139"/>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w:t>
            </w:r>
          </w:p>
        </w:tc>
        <w:tc>
          <w:tcPr>
            <w:tcW w:w="1276" w:type="dxa"/>
            <w:tcBorders>
              <w:top w:val="single" w:sz="4" w:space="0" w:color="auto"/>
              <w:bottom w:val="single" w:sz="4" w:space="0" w:color="auto"/>
            </w:tcBorders>
            <w:tcMar>
              <w:top w:w="11" w:type="dxa"/>
              <w:left w:w="57" w:type="dxa"/>
              <w:bottom w:w="11" w:type="dxa"/>
              <w:right w:w="57" w:type="dxa"/>
            </w:tcMar>
          </w:tcPr>
          <w:p w14:paraId="69DFC9C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1,965</w:t>
            </w:r>
          </w:p>
        </w:tc>
        <w:tc>
          <w:tcPr>
            <w:tcW w:w="1134" w:type="dxa"/>
            <w:tcBorders>
              <w:top w:val="single" w:sz="4" w:space="0" w:color="auto"/>
              <w:bottom w:val="single" w:sz="4" w:space="0" w:color="auto"/>
            </w:tcBorders>
            <w:tcMar>
              <w:top w:w="11" w:type="dxa"/>
              <w:left w:w="57" w:type="dxa"/>
              <w:bottom w:w="11" w:type="dxa"/>
              <w:right w:w="57" w:type="dxa"/>
            </w:tcMar>
          </w:tcPr>
          <w:p w14:paraId="494CF1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508</w:t>
            </w:r>
          </w:p>
        </w:tc>
        <w:tc>
          <w:tcPr>
            <w:tcW w:w="1198" w:type="dxa"/>
            <w:tcBorders>
              <w:top w:val="single" w:sz="4" w:space="0" w:color="auto"/>
              <w:bottom w:val="single" w:sz="4" w:space="0" w:color="auto"/>
            </w:tcBorders>
            <w:tcMar>
              <w:top w:w="11" w:type="dxa"/>
              <w:left w:w="57" w:type="dxa"/>
              <w:bottom w:w="11" w:type="dxa"/>
              <w:right w:w="57" w:type="dxa"/>
            </w:tcMar>
          </w:tcPr>
          <w:p w14:paraId="27E2078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1,787</w:t>
            </w:r>
          </w:p>
        </w:tc>
        <w:tc>
          <w:tcPr>
            <w:tcW w:w="1134" w:type="dxa"/>
            <w:tcBorders>
              <w:top w:val="single" w:sz="4" w:space="0" w:color="auto"/>
              <w:bottom w:val="single" w:sz="4" w:space="0" w:color="auto"/>
            </w:tcBorders>
            <w:tcMar>
              <w:top w:w="11" w:type="dxa"/>
              <w:left w:w="57" w:type="dxa"/>
              <w:bottom w:w="11" w:type="dxa"/>
              <w:right w:w="57" w:type="dxa"/>
            </w:tcMar>
          </w:tcPr>
          <w:p w14:paraId="2548485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591</w:t>
            </w:r>
          </w:p>
        </w:tc>
      </w:tr>
      <w:bookmarkEnd w:id="1140"/>
      <w:bookmarkEnd w:id="1141"/>
      <w:bookmarkEnd w:id="1142"/>
      <w:bookmarkEnd w:id="1143"/>
    </w:tbl>
    <w:p w14:paraId="0A0AC989"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p>
    <w:p w14:paraId="5AE232D5" w14:textId="253DF673"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The weighted average share price at the date of exercise of Sharesave options during the year was 513</w:t>
      </w:r>
      <w:r w:rsidR="00A66CFD" w:rsidRPr="00735726">
        <w:rPr>
          <w:rFonts w:ascii="Arial" w:eastAsia="Times New Roman" w:hAnsi="Arial" w:cs="DINOT-Light"/>
          <w:sz w:val="18"/>
          <w:szCs w:val="18"/>
        </w:rPr>
        <w:t xml:space="preserve"> </w:t>
      </w:r>
      <w:r w:rsidRPr="00735726">
        <w:rPr>
          <w:rFonts w:ascii="Arial" w:eastAsia="Times New Roman" w:hAnsi="Arial" w:cs="DINOT-Light"/>
          <w:sz w:val="18"/>
          <w:szCs w:val="18"/>
        </w:rPr>
        <w:t>p</w:t>
      </w:r>
      <w:r w:rsidR="00A66CFD" w:rsidRPr="00735726">
        <w:rPr>
          <w:rFonts w:ascii="Arial" w:eastAsia="Times New Roman" w:hAnsi="Arial" w:cs="DINOT-Light"/>
          <w:sz w:val="18"/>
          <w:szCs w:val="18"/>
        </w:rPr>
        <w:t>ence</w:t>
      </w:r>
      <w:r w:rsidRPr="00735726">
        <w:rPr>
          <w:rFonts w:ascii="Arial" w:eastAsia="Times New Roman" w:hAnsi="Arial" w:cs="DINOT-Light"/>
          <w:sz w:val="18"/>
          <w:szCs w:val="18"/>
        </w:rPr>
        <w:t xml:space="preserve"> (2025: 612</w:t>
      </w:r>
      <w:r w:rsidR="00A66CFD" w:rsidRPr="00735726">
        <w:rPr>
          <w:rFonts w:ascii="Arial" w:eastAsia="Times New Roman" w:hAnsi="Arial" w:cs="DINOT-Light"/>
          <w:sz w:val="18"/>
          <w:szCs w:val="18"/>
        </w:rPr>
        <w:t xml:space="preserve"> </w:t>
      </w:r>
      <w:r w:rsidRPr="00735726">
        <w:rPr>
          <w:rFonts w:ascii="Arial" w:eastAsia="Times New Roman" w:hAnsi="Arial" w:cs="DINOT-Light"/>
          <w:sz w:val="18"/>
          <w:szCs w:val="18"/>
        </w:rPr>
        <w:t>p</w:t>
      </w:r>
      <w:r w:rsidR="00A66CFD" w:rsidRPr="00735726">
        <w:rPr>
          <w:rFonts w:ascii="Arial" w:eastAsia="Times New Roman" w:hAnsi="Arial" w:cs="DINOT-Light"/>
          <w:sz w:val="18"/>
          <w:szCs w:val="18"/>
        </w:rPr>
        <w:t>ence</w:t>
      </w:r>
      <w:r w:rsidRPr="00735726">
        <w:rPr>
          <w:rFonts w:ascii="Arial" w:eastAsia="Times New Roman" w:hAnsi="Arial" w:cs="DINOT-Light"/>
          <w:sz w:val="18"/>
          <w:szCs w:val="18"/>
        </w:rPr>
        <w:t xml:space="preserve">). The options outstanding </w:t>
      </w:r>
      <w:proofErr w:type="gramStart"/>
      <w:r w:rsidRPr="00735726">
        <w:rPr>
          <w:rFonts w:ascii="Arial" w:eastAsia="Times New Roman" w:hAnsi="Arial" w:cs="DINOT-Light"/>
          <w:sz w:val="18"/>
          <w:szCs w:val="18"/>
        </w:rPr>
        <w:t>at</w:t>
      </w:r>
      <w:proofErr w:type="gramEnd"/>
      <w:r w:rsidRPr="00735726">
        <w:rPr>
          <w:rFonts w:ascii="Arial" w:eastAsia="Times New Roman" w:hAnsi="Arial" w:cs="DINOT-Light"/>
          <w:sz w:val="18"/>
          <w:szCs w:val="18"/>
        </w:rPr>
        <w:t xml:space="preserve"> 31 March 2026 had a weighted average exercise price of 508</w:t>
      </w:r>
      <w:r w:rsidR="00A66CFD" w:rsidRPr="00735726">
        <w:rPr>
          <w:rFonts w:ascii="Arial" w:eastAsia="Times New Roman" w:hAnsi="Arial" w:cs="DINOT-Light"/>
          <w:sz w:val="18"/>
          <w:szCs w:val="18"/>
        </w:rPr>
        <w:t xml:space="preserve"> </w:t>
      </w:r>
      <w:r w:rsidRPr="00735726">
        <w:rPr>
          <w:rFonts w:ascii="Arial" w:eastAsia="Times New Roman" w:hAnsi="Arial" w:cs="DINOT-Light"/>
          <w:sz w:val="18"/>
          <w:szCs w:val="18"/>
        </w:rPr>
        <w:t>p</w:t>
      </w:r>
      <w:r w:rsidR="00A66CFD" w:rsidRPr="00735726">
        <w:rPr>
          <w:rFonts w:ascii="Arial" w:eastAsia="Times New Roman" w:hAnsi="Arial" w:cs="DINOT-Light"/>
          <w:sz w:val="18"/>
          <w:szCs w:val="18"/>
        </w:rPr>
        <w:t>ence</w:t>
      </w:r>
      <w:r w:rsidRPr="00735726">
        <w:rPr>
          <w:rFonts w:ascii="Arial" w:eastAsia="Times New Roman" w:hAnsi="Arial" w:cs="DINOT-Light"/>
          <w:sz w:val="18"/>
          <w:szCs w:val="18"/>
        </w:rPr>
        <w:t xml:space="preserve"> (2025: 591</w:t>
      </w:r>
      <w:r w:rsidR="00A66CFD" w:rsidRPr="00735726">
        <w:rPr>
          <w:rFonts w:ascii="Arial" w:eastAsia="Times New Roman" w:hAnsi="Arial" w:cs="DINOT-Light"/>
          <w:sz w:val="18"/>
          <w:szCs w:val="18"/>
        </w:rPr>
        <w:t xml:space="preserve"> </w:t>
      </w:r>
      <w:r w:rsidRPr="00735726">
        <w:rPr>
          <w:rFonts w:ascii="Arial" w:eastAsia="Times New Roman" w:hAnsi="Arial" w:cs="DINOT-Light"/>
          <w:sz w:val="18"/>
          <w:szCs w:val="18"/>
        </w:rPr>
        <w:t>p</w:t>
      </w:r>
      <w:r w:rsidR="00A66CFD" w:rsidRPr="00735726">
        <w:rPr>
          <w:rFonts w:ascii="Arial" w:eastAsia="Times New Roman" w:hAnsi="Arial" w:cs="DINOT-Light"/>
          <w:sz w:val="18"/>
          <w:szCs w:val="18"/>
        </w:rPr>
        <w:t>ence</w:t>
      </w:r>
      <w:r w:rsidRPr="00735726">
        <w:rPr>
          <w:rFonts w:ascii="Arial" w:eastAsia="Times New Roman" w:hAnsi="Arial" w:cs="DINOT-Light"/>
          <w:sz w:val="18"/>
          <w:szCs w:val="18"/>
        </w:rPr>
        <w:t xml:space="preserve">) and a weighted average remaining contractual life of 2.0 years (2025: 2.3 years). The number of exercisable Sharesave options </w:t>
      </w:r>
      <w:proofErr w:type="gramStart"/>
      <w:r w:rsidRPr="00735726">
        <w:rPr>
          <w:rFonts w:ascii="Arial" w:eastAsia="Times New Roman" w:hAnsi="Arial" w:cs="DINOT-Light"/>
          <w:sz w:val="18"/>
          <w:szCs w:val="18"/>
        </w:rPr>
        <w:t>at</w:t>
      </w:r>
      <w:proofErr w:type="gramEnd"/>
      <w:r w:rsidRPr="00735726">
        <w:rPr>
          <w:rFonts w:ascii="Arial" w:eastAsia="Times New Roman" w:hAnsi="Arial" w:cs="DINOT-Light"/>
          <w:sz w:val="18"/>
          <w:szCs w:val="18"/>
        </w:rPr>
        <w:t xml:space="preserve"> 31 March 2026 was 1,209 (2025: 2,277) and the weighted average exercise price of exercisable Sharesave options was 669 pence (2025: 710 pence).</w:t>
      </w:r>
    </w:p>
    <w:p w14:paraId="32C4F9B6"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49AC76E9"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The aggregate fair value of Sharesave options granted during the year was £0.7 million (2025: £0.8 million), determined using the Black-Scholes valuation model. The significant inputs into the valuation model, at the date of issue of the options, were:</w:t>
      </w:r>
    </w:p>
    <w:tbl>
      <w:tblPr>
        <w:tblW w:w="0" w:type="auto"/>
        <w:tblLook w:val="04A0" w:firstRow="1" w:lastRow="0" w:firstColumn="1" w:lastColumn="0" w:noHBand="0" w:noVBand="1"/>
      </w:tblPr>
      <w:tblGrid>
        <w:gridCol w:w="6741"/>
        <w:gridCol w:w="1201"/>
        <w:gridCol w:w="1084"/>
      </w:tblGrid>
      <w:tr w:rsidR="00646F4F" w:rsidRPr="00735726" w14:paraId="655722C0" w14:textId="77777777" w:rsidTr="00CE19B2">
        <w:tc>
          <w:tcPr>
            <w:tcW w:w="6741" w:type="dxa"/>
          </w:tcPr>
          <w:p w14:paraId="785AA088" w14:textId="77777777" w:rsidR="00646F4F" w:rsidRPr="009A2CAE" w:rsidRDefault="00646F4F" w:rsidP="00CE19B2">
            <w:pPr>
              <w:spacing w:after="0"/>
              <w:rPr>
                <w:rFonts w:ascii="Arial" w:eastAsia="Calibri" w:hAnsi="Arial" w:cs="Arial"/>
                <w:sz w:val="18"/>
                <w:szCs w:val="18"/>
              </w:rPr>
            </w:pPr>
          </w:p>
        </w:tc>
        <w:tc>
          <w:tcPr>
            <w:tcW w:w="1201" w:type="dxa"/>
          </w:tcPr>
          <w:p w14:paraId="47CD8415" w14:textId="77777777" w:rsidR="00646F4F" w:rsidRPr="00735726" w:rsidRDefault="00646F4F" w:rsidP="00CE19B2">
            <w:pPr>
              <w:spacing w:after="0"/>
              <w:jc w:val="right"/>
              <w:rPr>
                <w:rFonts w:ascii="Arial" w:eastAsia="Calibri" w:hAnsi="Arial" w:cs="Arial"/>
                <w:b/>
                <w:sz w:val="18"/>
                <w:szCs w:val="18"/>
              </w:rPr>
            </w:pPr>
            <w:r w:rsidRPr="00735726">
              <w:rPr>
                <w:rFonts w:ascii="Arial" w:eastAsia="Calibri" w:hAnsi="Arial" w:cs="Arial"/>
                <w:b/>
                <w:sz w:val="18"/>
                <w:szCs w:val="18"/>
              </w:rPr>
              <w:t>2026</w:t>
            </w:r>
          </w:p>
        </w:tc>
        <w:tc>
          <w:tcPr>
            <w:tcW w:w="1084" w:type="dxa"/>
          </w:tcPr>
          <w:p w14:paraId="3250EB14" w14:textId="77777777" w:rsidR="00646F4F" w:rsidRPr="00735726" w:rsidRDefault="00646F4F" w:rsidP="00CE19B2">
            <w:pPr>
              <w:spacing w:after="0"/>
              <w:jc w:val="right"/>
              <w:rPr>
                <w:rFonts w:ascii="Arial" w:eastAsia="Calibri" w:hAnsi="Arial" w:cs="Arial"/>
                <w:b/>
                <w:sz w:val="18"/>
                <w:szCs w:val="18"/>
              </w:rPr>
            </w:pPr>
            <w:r w:rsidRPr="00735726">
              <w:rPr>
                <w:rFonts w:ascii="Arial" w:eastAsia="Calibri" w:hAnsi="Arial" w:cs="Arial"/>
                <w:b/>
                <w:sz w:val="18"/>
                <w:szCs w:val="18"/>
              </w:rPr>
              <w:t>2025</w:t>
            </w:r>
          </w:p>
        </w:tc>
      </w:tr>
      <w:tr w:rsidR="00646F4F" w:rsidRPr="00735726" w14:paraId="2BEC3594" w14:textId="77777777" w:rsidTr="00CE19B2">
        <w:tc>
          <w:tcPr>
            <w:tcW w:w="6741" w:type="dxa"/>
          </w:tcPr>
          <w:p w14:paraId="5ADCFA56" w14:textId="35C7A7AE" w:rsidR="00646F4F" w:rsidRPr="00735726" w:rsidRDefault="00646F4F" w:rsidP="00CE19B2">
            <w:pPr>
              <w:spacing w:after="0"/>
              <w:rPr>
                <w:rFonts w:ascii="Arial" w:eastAsia="Calibri" w:hAnsi="Arial" w:cs="Arial"/>
                <w:sz w:val="18"/>
                <w:szCs w:val="18"/>
              </w:rPr>
            </w:pPr>
            <w:r w:rsidRPr="00735726">
              <w:rPr>
                <w:rFonts w:ascii="Arial" w:eastAsia="Calibri" w:hAnsi="Arial" w:cs="Arial"/>
                <w:sz w:val="18"/>
                <w:szCs w:val="18"/>
              </w:rPr>
              <w:t>Weighted average share price</w:t>
            </w:r>
            <w:r w:rsidR="00746AA5" w:rsidRPr="00735726">
              <w:rPr>
                <w:rFonts w:ascii="Arial" w:eastAsia="Calibri" w:hAnsi="Arial" w:cs="Arial"/>
                <w:sz w:val="18"/>
                <w:szCs w:val="18"/>
              </w:rPr>
              <w:t xml:space="preserve"> (pence)</w:t>
            </w:r>
          </w:p>
        </w:tc>
        <w:tc>
          <w:tcPr>
            <w:tcW w:w="1201" w:type="dxa"/>
          </w:tcPr>
          <w:p w14:paraId="6A7CA63B" w14:textId="70521291"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494</w:t>
            </w:r>
          </w:p>
        </w:tc>
        <w:tc>
          <w:tcPr>
            <w:tcW w:w="1084" w:type="dxa"/>
          </w:tcPr>
          <w:p w14:paraId="4B022257" w14:textId="500BEC8F"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564</w:t>
            </w:r>
          </w:p>
        </w:tc>
      </w:tr>
      <w:tr w:rsidR="00646F4F" w:rsidRPr="00735726" w14:paraId="68330105" w14:textId="77777777" w:rsidTr="00CE19B2">
        <w:tc>
          <w:tcPr>
            <w:tcW w:w="6741" w:type="dxa"/>
          </w:tcPr>
          <w:p w14:paraId="1FD03DAB" w14:textId="53CCBBEB" w:rsidR="00646F4F" w:rsidRPr="00735726" w:rsidRDefault="00646F4F" w:rsidP="00CE19B2">
            <w:pPr>
              <w:spacing w:after="0"/>
              <w:rPr>
                <w:rFonts w:ascii="Arial" w:eastAsia="Calibri" w:hAnsi="Arial" w:cs="Arial"/>
                <w:sz w:val="18"/>
                <w:szCs w:val="18"/>
              </w:rPr>
            </w:pPr>
            <w:r w:rsidRPr="00735726">
              <w:rPr>
                <w:rFonts w:ascii="Arial" w:eastAsia="Calibri" w:hAnsi="Arial" w:cs="Arial"/>
                <w:sz w:val="18"/>
                <w:szCs w:val="18"/>
              </w:rPr>
              <w:t>Weighted average exercise price</w:t>
            </w:r>
            <w:r w:rsidR="00746AA5" w:rsidRPr="00735726">
              <w:rPr>
                <w:rFonts w:ascii="Arial" w:eastAsia="Calibri" w:hAnsi="Arial" w:cs="Arial"/>
                <w:sz w:val="18"/>
                <w:szCs w:val="18"/>
              </w:rPr>
              <w:t xml:space="preserve"> (pence)</w:t>
            </w:r>
          </w:p>
        </w:tc>
        <w:tc>
          <w:tcPr>
            <w:tcW w:w="1201" w:type="dxa"/>
          </w:tcPr>
          <w:p w14:paraId="12DA86DD" w14:textId="179F299B"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421</w:t>
            </w:r>
          </w:p>
        </w:tc>
        <w:tc>
          <w:tcPr>
            <w:tcW w:w="1084" w:type="dxa"/>
          </w:tcPr>
          <w:p w14:paraId="64749989" w14:textId="747F0E33"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406</w:t>
            </w:r>
          </w:p>
        </w:tc>
      </w:tr>
      <w:tr w:rsidR="00646F4F" w:rsidRPr="00735726" w14:paraId="0DFD585A" w14:textId="77777777" w:rsidTr="00CE19B2">
        <w:tc>
          <w:tcPr>
            <w:tcW w:w="6741" w:type="dxa"/>
          </w:tcPr>
          <w:p w14:paraId="07BB1E5F" w14:textId="77777777" w:rsidR="00646F4F" w:rsidRPr="00735726" w:rsidRDefault="00646F4F" w:rsidP="00CE19B2">
            <w:pPr>
              <w:spacing w:after="0"/>
              <w:rPr>
                <w:rFonts w:ascii="Arial" w:eastAsia="Calibri" w:hAnsi="Arial" w:cs="Arial"/>
                <w:sz w:val="18"/>
                <w:szCs w:val="18"/>
              </w:rPr>
            </w:pPr>
            <w:r w:rsidRPr="00735726">
              <w:rPr>
                <w:rFonts w:ascii="Arial" w:eastAsia="Calibri" w:hAnsi="Arial" w:cs="Arial"/>
                <w:sz w:val="18"/>
                <w:szCs w:val="18"/>
              </w:rPr>
              <w:t>Expected volatility</w:t>
            </w:r>
          </w:p>
        </w:tc>
        <w:tc>
          <w:tcPr>
            <w:tcW w:w="1201" w:type="dxa"/>
          </w:tcPr>
          <w:p w14:paraId="3088D829" w14:textId="77777777"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30.9%</w:t>
            </w:r>
          </w:p>
        </w:tc>
        <w:tc>
          <w:tcPr>
            <w:tcW w:w="1084" w:type="dxa"/>
          </w:tcPr>
          <w:p w14:paraId="0CD978D6" w14:textId="77777777"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27.5%</w:t>
            </w:r>
          </w:p>
        </w:tc>
      </w:tr>
      <w:tr w:rsidR="00646F4F" w:rsidRPr="00735726" w14:paraId="50D8426E" w14:textId="77777777" w:rsidTr="00CE19B2">
        <w:tc>
          <w:tcPr>
            <w:tcW w:w="6741" w:type="dxa"/>
          </w:tcPr>
          <w:p w14:paraId="4B33276C" w14:textId="77777777" w:rsidR="00646F4F" w:rsidRPr="00735726" w:rsidRDefault="00646F4F" w:rsidP="00CE19B2">
            <w:pPr>
              <w:spacing w:after="0"/>
              <w:rPr>
                <w:rFonts w:ascii="Arial" w:eastAsia="Calibri" w:hAnsi="Arial" w:cs="Arial"/>
                <w:sz w:val="18"/>
                <w:szCs w:val="18"/>
              </w:rPr>
            </w:pPr>
            <w:r w:rsidRPr="00735726">
              <w:rPr>
                <w:rFonts w:ascii="Arial" w:eastAsia="Calibri" w:hAnsi="Arial" w:cs="Arial"/>
                <w:sz w:val="18"/>
                <w:szCs w:val="18"/>
              </w:rPr>
              <w:t>Expected life</w:t>
            </w:r>
          </w:p>
        </w:tc>
        <w:tc>
          <w:tcPr>
            <w:tcW w:w="1201" w:type="dxa"/>
          </w:tcPr>
          <w:p w14:paraId="047C32F4" w14:textId="77777777"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3.5 years</w:t>
            </w:r>
          </w:p>
        </w:tc>
        <w:tc>
          <w:tcPr>
            <w:tcW w:w="1084" w:type="dxa"/>
          </w:tcPr>
          <w:p w14:paraId="2BBB7084" w14:textId="77777777"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3.5 years</w:t>
            </w:r>
          </w:p>
        </w:tc>
      </w:tr>
      <w:tr w:rsidR="00646F4F" w:rsidRPr="00735726" w14:paraId="01EB4BCA" w14:textId="77777777" w:rsidTr="00CE19B2">
        <w:tc>
          <w:tcPr>
            <w:tcW w:w="6741" w:type="dxa"/>
          </w:tcPr>
          <w:p w14:paraId="137964EF" w14:textId="77777777" w:rsidR="00646F4F" w:rsidRPr="00735726" w:rsidRDefault="00646F4F" w:rsidP="00CE19B2">
            <w:pPr>
              <w:spacing w:after="0"/>
              <w:rPr>
                <w:rFonts w:ascii="Arial" w:eastAsia="Calibri" w:hAnsi="Arial" w:cs="Arial"/>
                <w:sz w:val="18"/>
                <w:szCs w:val="18"/>
              </w:rPr>
            </w:pPr>
            <w:r w:rsidRPr="00735726">
              <w:rPr>
                <w:rFonts w:ascii="Arial" w:eastAsia="Calibri" w:hAnsi="Arial" w:cs="Arial"/>
                <w:sz w:val="18"/>
                <w:szCs w:val="18"/>
              </w:rPr>
              <w:t>Risk free rate</w:t>
            </w:r>
          </w:p>
        </w:tc>
        <w:tc>
          <w:tcPr>
            <w:tcW w:w="1201" w:type="dxa"/>
          </w:tcPr>
          <w:p w14:paraId="3321D8AD" w14:textId="77777777"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4.3%</w:t>
            </w:r>
          </w:p>
        </w:tc>
        <w:tc>
          <w:tcPr>
            <w:tcW w:w="1084" w:type="dxa"/>
          </w:tcPr>
          <w:p w14:paraId="34823300" w14:textId="77777777"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5.3%</w:t>
            </w:r>
          </w:p>
        </w:tc>
      </w:tr>
      <w:tr w:rsidR="00646F4F" w:rsidRPr="00735726" w14:paraId="50BAF0D5" w14:textId="77777777" w:rsidTr="00CE19B2">
        <w:tc>
          <w:tcPr>
            <w:tcW w:w="6741" w:type="dxa"/>
          </w:tcPr>
          <w:p w14:paraId="3AC72E1E" w14:textId="77777777" w:rsidR="00646F4F" w:rsidRPr="00735726" w:rsidRDefault="00646F4F" w:rsidP="00CE19B2">
            <w:pPr>
              <w:spacing w:after="0"/>
              <w:rPr>
                <w:rFonts w:ascii="Arial" w:eastAsia="Calibri" w:hAnsi="Arial" w:cs="Arial"/>
                <w:sz w:val="18"/>
                <w:szCs w:val="18"/>
              </w:rPr>
            </w:pPr>
            <w:r w:rsidRPr="00735726">
              <w:rPr>
                <w:rFonts w:ascii="Arial" w:eastAsia="Calibri" w:hAnsi="Arial" w:cs="Arial"/>
                <w:sz w:val="18"/>
                <w:szCs w:val="18"/>
              </w:rPr>
              <w:t>Expected dividend yield</w:t>
            </w:r>
          </w:p>
        </w:tc>
        <w:tc>
          <w:tcPr>
            <w:tcW w:w="1201" w:type="dxa"/>
          </w:tcPr>
          <w:p w14:paraId="0641156A" w14:textId="77777777"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6.4%</w:t>
            </w:r>
          </w:p>
        </w:tc>
        <w:tc>
          <w:tcPr>
            <w:tcW w:w="1084" w:type="dxa"/>
          </w:tcPr>
          <w:p w14:paraId="09DF25D4" w14:textId="77777777" w:rsidR="00646F4F" w:rsidRPr="00735726" w:rsidRDefault="00646F4F" w:rsidP="00CE19B2">
            <w:pPr>
              <w:spacing w:after="0"/>
              <w:jc w:val="right"/>
              <w:rPr>
                <w:rFonts w:ascii="Arial" w:eastAsia="Calibri" w:hAnsi="Arial" w:cs="Arial"/>
                <w:sz w:val="18"/>
                <w:szCs w:val="18"/>
              </w:rPr>
            </w:pPr>
            <w:r w:rsidRPr="00735726">
              <w:rPr>
                <w:rFonts w:ascii="Arial" w:eastAsia="Calibri" w:hAnsi="Arial" w:cs="Arial"/>
                <w:sz w:val="18"/>
                <w:szCs w:val="18"/>
              </w:rPr>
              <w:t>7.8%</w:t>
            </w:r>
          </w:p>
        </w:tc>
      </w:tr>
      <w:tr w:rsidR="00646F4F" w:rsidRPr="00735726" w14:paraId="053112BB" w14:textId="77777777" w:rsidTr="00CE19B2">
        <w:tc>
          <w:tcPr>
            <w:tcW w:w="6741" w:type="dxa"/>
          </w:tcPr>
          <w:p w14:paraId="2EB60BC6" w14:textId="77777777" w:rsidR="00646F4F" w:rsidRPr="00735726" w:rsidRDefault="00646F4F" w:rsidP="00CE19B2">
            <w:pPr>
              <w:spacing w:after="0"/>
              <w:rPr>
                <w:rFonts w:ascii="Arial" w:eastAsia="Calibri" w:hAnsi="Arial" w:cs="Arial"/>
                <w:sz w:val="18"/>
                <w:szCs w:val="18"/>
              </w:rPr>
            </w:pPr>
          </w:p>
        </w:tc>
        <w:tc>
          <w:tcPr>
            <w:tcW w:w="1201" w:type="dxa"/>
          </w:tcPr>
          <w:p w14:paraId="18EE7017" w14:textId="77777777" w:rsidR="00646F4F" w:rsidRPr="00735726" w:rsidRDefault="00646F4F" w:rsidP="00CE19B2">
            <w:pPr>
              <w:spacing w:after="0"/>
              <w:rPr>
                <w:rFonts w:ascii="Arial" w:eastAsia="Calibri" w:hAnsi="Arial" w:cs="Arial"/>
                <w:sz w:val="18"/>
                <w:szCs w:val="18"/>
              </w:rPr>
            </w:pPr>
          </w:p>
        </w:tc>
        <w:tc>
          <w:tcPr>
            <w:tcW w:w="1084" w:type="dxa"/>
          </w:tcPr>
          <w:p w14:paraId="0E4EEEEF" w14:textId="77777777" w:rsidR="00646F4F" w:rsidRPr="00735726" w:rsidRDefault="00646F4F" w:rsidP="00CE19B2">
            <w:pPr>
              <w:spacing w:after="0"/>
              <w:rPr>
                <w:rFonts w:ascii="Arial" w:eastAsia="Calibri" w:hAnsi="Arial" w:cs="Arial"/>
                <w:sz w:val="18"/>
                <w:szCs w:val="18"/>
              </w:rPr>
            </w:pPr>
          </w:p>
        </w:tc>
      </w:tr>
    </w:tbl>
    <w:p w14:paraId="46A8437C" w14:textId="77777777" w:rsidR="00646F4F" w:rsidRPr="00735726"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Expected volatility was determined by calculating the historical volatility of the Pennon Group’s share price over the previous three year and five-year periods depending on the life of the scheme.</w:t>
      </w:r>
    </w:p>
    <w:p w14:paraId="4031C4B0" w14:textId="77777777" w:rsidR="00646F4F" w:rsidRPr="009A2CAE"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p>
    <w:p w14:paraId="5C324381" w14:textId="77777777" w:rsidR="00B9553C" w:rsidRPr="00735726" w:rsidRDefault="00B9553C">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br w:type="page"/>
      </w:r>
    </w:p>
    <w:p w14:paraId="50536935" w14:textId="68F00D11"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30.</w:t>
      </w:r>
      <w:r w:rsidRPr="00735726">
        <w:rPr>
          <w:rFonts w:ascii="Arial" w:eastAsia="Times New Roman" w:hAnsi="Arial" w:cs="Arial"/>
          <w:b/>
          <w:bCs/>
          <w:caps/>
          <w:color w:val="000000"/>
          <w:sz w:val="18"/>
          <w:szCs w:val="18"/>
        </w:rPr>
        <w:tab/>
        <w:t>Employee share schemes (continued)</w:t>
      </w:r>
    </w:p>
    <w:p w14:paraId="2AF7E4DB"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b/>
          <w:color w:val="000000"/>
          <w:sz w:val="18"/>
          <w:szCs w:val="18"/>
        </w:rPr>
        <w:t xml:space="preserve">ii)    </w:t>
      </w:r>
      <w:bookmarkStart w:id="1144" w:name="XMETag_125dc16c7e95468b96781c905f227835"/>
      <w:r w:rsidRPr="00735726">
        <w:rPr>
          <w:rFonts w:ascii="Arial" w:eastAsia="Times New Roman" w:hAnsi="Arial" w:cs="DINOT-Light"/>
          <w:b/>
          <w:color w:val="000000"/>
          <w:sz w:val="18"/>
          <w:szCs w:val="18"/>
        </w:rPr>
        <w:t>Long Term Incentive Plan</w:t>
      </w:r>
      <w:bookmarkEnd w:id="1144"/>
    </w:p>
    <w:p w14:paraId="1B67BC1F" w14:textId="2D021C42"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1145" w:name="XMETag_47ec99c1cf504747a97c8c49ca1aec94"/>
      <w:r w:rsidRPr="00735726">
        <w:rPr>
          <w:rFonts w:ascii="Arial" w:eastAsia="Times New Roman" w:hAnsi="Arial" w:cs="DINOT-Light"/>
          <w:color w:val="000000"/>
          <w:sz w:val="18"/>
          <w:szCs w:val="18"/>
        </w:rPr>
        <w:t>Executive Directors and Senior Management receive a conditional award of Ordinary shares in Pennon Group plc. Share awards vest subject to the achievement of specific performance conditions measured over a performance period of not less than three years.</w:t>
      </w:r>
      <w:bookmarkEnd w:id="1145"/>
      <w:r w:rsidRPr="00735726">
        <w:rPr>
          <w:rFonts w:ascii="Arial" w:eastAsia="Times New Roman" w:hAnsi="Arial" w:cs="DINOT-Light"/>
          <w:color w:val="000000"/>
          <w:sz w:val="18"/>
          <w:szCs w:val="18"/>
        </w:rPr>
        <w:t xml:space="preserve"> </w:t>
      </w:r>
      <w:r w:rsidR="00644FAB" w:rsidRPr="00735726">
        <w:rPr>
          <w:rFonts w:ascii="Arial" w:eastAsia="Times New Roman" w:hAnsi="Arial" w:cs="DINOT-Light"/>
          <w:color w:val="000000"/>
          <w:sz w:val="18"/>
          <w:szCs w:val="18"/>
        </w:rPr>
        <w:t xml:space="preserve">More </w:t>
      </w:r>
      <w:r w:rsidRPr="00735726">
        <w:rPr>
          <w:rFonts w:ascii="Arial" w:eastAsia="Times New Roman" w:hAnsi="Arial" w:cs="DINOT-Light"/>
          <w:color w:val="000000"/>
          <w:sz w:val="18"/>
          <w:szCs w:val="18"/>
        </w:rPr>
        <w:t>details concerning LTIPs, including performance conditions,</w:t>
      </w:r>
      <w:r w:rsidR="00644FAB"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 xml:space="preserve">is shown in the Directors’ remuneration report </w:t>
      </w:r>
      <w:r w:rsidR="00644FAB" w:rsidRPr="00735726">
        <w:rPr>
          <w:rFonts w:ascii="Arial" w:eastAsia="Times New Roman" w:hAnsi="Arial" w:cs="DINOT-Light"/>
          <w:color w:val="000000"/>
          <w:sz w:val="18"/>
          <w:szCs w:val="18"/>
        </w:rPr>
        <w:t xml:space="preserve">in the Pennon Group plc Annual Report and Accounts </w:t>
      </w:r>
      <w:r w:rsidRPr="00735726">
        <w:rPr>
          <w:rFonts w:ascii="Arial" w:eastAsia="Times New Roman" w:hAnsi="Arial" w:cs="DINOT-Light"/>
          <w:color w:val="000000"/>
          <w:sz w:val="18"/>
          <w:szCs w:val="18"/>
        </w:rPr>
        <w:t xml:space="preserve">on </w:t>
      </w:r>
      <w:r w:rsidRPr="009A2CAE">
        <w:rPr>
          <w:rFonts w:ascii="Arial" w:eastAsia="Times New Roman" w:hAnsi="Arial" w:cs="DINOT-Light"/>
          <w:color w:val="000000"/>
          <w:sz w:val="18"/>
          <w:szCs w:val="18"/>
        </w:rPr>
        <w:t>page</w:t>
      </w:r>
      <w:r w:rsidR="00644FAB" w:rsidRPr="009A2CAE">
        <w:rPr>
          <w:rFonts w:ascii="Arial" w:eastAsia="Times New Roman" w:hAnsi="Arial" w:cs="DINOT-Light"/>
          <w:color w:val="000000"/>
          <w:sz w:val="18"/>
          <w:szCs w:val="18"/>
        </w:rPr>
        <w:t>s</w:t>
      </w:r>
      <w:r w:rsidRPr="009A2CAE">
        <w:rPr>
          <w:rFonts w:ascii="Arial" w:eastAsia="Times New Roman" w:hAnsi="Arial" w:cs="DINOT-Light"/>
          <w:color w:val="000000"/>
          <w:sz w:val="18"/>
          <w:szCs w:val="18"/>
        </w:rPr>
        <w:t xml:space="preserve"> </w:t>
      </w:r>
      <w:r w:rsidR="00644FAB" w:rsidRPr="009A2CAE">
        <w:rPr>
          <w:rFonts w:ascii="Arial" w:eastAsia="Times New Roman" w:hAnsi="Arial" w:cs="DINOT-Light"/>
          <w:color w:val="000000"/>
          <w:sz w:val="18"/>
          <w:szCs w:val="18"/>
        </w:rPr>
        <w:t>133 to 155</w:t>
      </w:r>
      <w:r w:rsidRPr="009A2CAE">
        <w:rPr>
          <w:rFonts w:ascii="Arial" w:eastAsia="Times New Roman" w:hAnsi="Arial" w:cs="DINOT-Light"/>
          <w:color w:val="000000"/>
          <w:sz w:val="18"/>
          <w:szCs w:val="18"/>
        </w:rPr>
        <w:t>.</w:t>
      </w:r>
    </w:p>
    <w:p w14:paraId="75A8ADA7"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31ADFF2"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number and price of shares in the LTIP are:</w:t>
      </w:r>
    </w:p>
    <w:tbl>
      <w:tblPr>
        <w:tblW w:w="9723" w:type="dxa"/>
        <w:tblInd w:w="8" w:type="dxa"/>
        <w:tblLayout w:type="fixed"/>
        <w:tblCellMar>
          <w:left w:w="0" w:type="dxa"/>
          <w:right w:w="0" w:type="dxa"/>
        </w:tblCellMar>
        <w:tblLook w:val="0000" w:firstRow="0" w:lastRow="0" w:firstColumn="0" w:lastColumn="0" w:noHBand="0" w:noVBand="0"/>
      </w:tblPr>
      <w:tblGrid>
        <w:gridCol w:w="4812"/>
        <w:gridCol w:w="1276"/>
        <w:gridCol w:w="1191"/>
        <w:gridCol w:w="1310"/>
        <w:gridCol w:w="1134"/>
      </w:tblGrid>
      <w:tr w:rsidR="00646F4F" w:rsidRPr="00735726" w14:paraId="3358A420" w14:textId="77777777" w:rsidTr="00CE19B2">
        <w:trPr>
          <w:trHeight w:val="60"/>
          <w:tblHeader/>
        </w:trPr>
        <w:tc>
          <w:tcPr>
            <w:tcW w:w="4812" w:type="dxa"/>
            <w:tcMar>
              <w:top w:w="11" w:type="dxa"/>
              <w:left w:w="57" w:type="dxa"/>
              <w:bottom w:w="11" w:type="dxa"/>
              <w:right w:w="57" w:type="dxa"/>
            </w:tcMar>
          </w:tcPr>
          <w:p w14:paraId="190E1F8F"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46" w:name="_Hlk135747832"/>
          </w:p>
        </w:tc>
        <w:tc>
          <w:tcPr>
            <w:tcW w:w="2467" w:type="dxa"/>
            <w:gridSpan w:val="2"/>
            <w:tcMar>
              <w:top w:w="11" w:type="dxa"/>
              <w:left w:w="57" w:type="dxa"/>
              <w:bottom w:w="11" w:type="dxa"/>
              <w:right w:w="57" w:type="dxa"/>
            </w:tcMar>
          </w:tcPr>
          <w:p w14:paraId="4DDD5FD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tc>
        <w:tc>
          <w:tcPr>
            <w:tcW w:w="2444" w:type="dxa"/>
            <w:gridSpan w:val="2"/>
            <w:tcMar>
              <w:top w:w="11" w:type="dxa"/>
              <w:left w:w="57" w:type="dxa"/>
              <w:bottom w:w="11" w:type="dxa"/>
              <w:right w:w="57" w:type="dxa"/>
            </w:tcMar>
          </w:tcPr>
          <w:p w14:paraId="40B323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01C52350" w14:textId="77777777" w:rsidTr="00CE19B2">
        <w:trPr>
          <w:trHeight w:val="265"/>
          <w:tblHeader/>
        </w:trPr>
        <w:tc>
          <w:tcPr>
            <w:tcW w:w="4812" w:type="dxa"/>
            <w:tcMar>
              <w:top w:w="11" w:type="dxa"/>
              <w:left w:w="57" w:type="dxa"/>
              <w:bottom w:w="11" w:type="dxa"/>
              <w:right w:w="57" w:type="dxa"/>
            </w:tcMar>
          </w:tcPr>
          <w:p w14:paraId="6A9D3D5C"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47" w:name="_Hlk135747819"/>
          </w:p>
        </w:tc>
        <w:tc>
          <w:tcPr>
            <w:tcW w:w="1276" w:type="dxa"/>
            <w:tcMar>
              <w:top w:w="11" w:type="dxa"/>
              <w:left w:w="57" w:type="dxa"/>
              <w:bottom w:w="11" w:type="dxa"/>
              <w:right w:w="57" w:type="dxa"/>
            </w:tcMar>
          </w:tcPr>
          <w:p w14:paraId="2D47D52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Number of Ordinary </w:t>
            </w:r>
            <w:r w:rsidRPr="00735726">
              <w:rPr>
                <w:rFonts w:ascii="Arial" w:eastAsia="Times New Roman" w:hAnsi="Arial" w:cs="DINOT-Light"/>
                <w:b/>
                <w:color w:val="000000"/>
                <w:sz w:val="18"/>
                <w:szCs w:val="18"/>
              </w:rPr>
              <w:br/>
              <w:t>shares (thousands)</w:t>
            </w:r>
          </w:p>
        </w:tc>
        <w:tc>
          <w:tcPr>
            <w:tcW w:w="1191" w:type="dxa"/>
            <w:tcMar>
              <w:top w:w="11" w:type="dxa"/>
              <w:left w:w="57" w:type="dxa"/>
              <w:bottom w:w="11" w:type="dxa"/>
              <w:right w:w="57" w:type="dxa"/>
            </w:tcMar>
          </w:tcPr>
          <w:p w14:paraId="37CA089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Weighted average award price per share (p)</w:t>
            </w:r>
          </w:p>
        </w:tc>
        <w:tc>
          <w:tcPr>
            <w:tcW w:w="1310" w:type="dxa"/>
            <w:tcMar>
              <w:top w:w="11" w:type="dxa"/>
              <w:left w:w="57" w:type="dxa"/>
              <w:bottom w:w="11" w:type="dxa"/>
              <w:right w:w="57" w:type="dxa"/>
            </w:tcMar>
          </w:tcPr>
          <w:p w14:paraId="5CB99D7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Number of Ordinary </w:t>
            </w:r>
            <w:r w:rsidRPr="00735726">
              <w:rPr>
                <w:rFonts w:ascii="Arial" w:eastAsia="Times New Roman" w:hAnsi="Arial" w:cs="DINOT-Light"/>
                <w:b/>
                <w:color w:val="000000"/>
                <w:sz w:val="18"/>
                <w:szCs w:val="18"/>
              </w:rPr>
              <w:br/>
              <w:t>shares (thousands)</w:t>
            </w:r>
          </w:p>
        </w:tc>
        <w:tc>
          <w:tcPr>
            <w:tcW w:w="1134" w:type="dxa"/>
            <w:tcMar>
              <w:top w:w="11" w:type="dxa"/>
              <w:left w:w="57" w:type="dxa"/>
              <w:bottom w:w="11" w:type="dxa"/>
              <w:right w:w="57" w:type="dxa"/>
            </w:tcMar>
          </w:tcPr>
          <w:p w14:paraId="57DAD90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Weighted average award price per share (p)</w:t>
            </w:r>
          </w:p>
        </w:tc>
      </w:tr>
      <w:tr w:rsidR="00646F4F" w:rsidRPr="00735726" w14:paraId="7345205F" w14:textId="77777777" w:rsidTr="00CE19B2">
        <w:trPr>
          <w:trHeight w:val="226"/>
        </w:trPr>
        <w:tc>
          <w:tcPr>
            <w:tcW w:w="4812" w:type="dxa"/>
            <w:tcMar>
              <w:top w:w="11" w:type="dxa"/>
              <w:left w:w="57" w:type="dxa"/>
              <w:bottom w:w="11" w:type="dxa"/>
              <w:right w:w="57" w:type="dxa"/>
            </w:tcMar>
          </w:tcPr>
          <w:p w14:paraId="02E85CE7" w14:textId="4966D6B4"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48" w:name="XMETag_74094c906e5c4dc187356e4500d2a957" w:colFirst="1" w:colLast="1"/>
            <w:bookmarkStart w:id="1149" w:name="XMETag_ce59a77a77dd42e88c0848db4815904a" w:colFirst="2" w:colLast="2"/>
            <w:bookmarkStart w:id="1150" w:name="XMETag_a8e5b6f77c814264a531643b5990f702" w:colFirst="3" w:colLast="3"/>
            <w:bookmarkStart w:id="1151" w:name="XMETag_a3cd74e777f14d168dcf592cd45f43ad" w:colFirst="4" w:colLast="4"/>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1 April</w:t>
            </w:r>
          </w:p>
        </w:tc>
        <w:tc>
          <w:tcPr>
            <w:tcW w:w="1276" w:type="dxa"/>
            <w:tcMar>
              <w:top w:w="11" w:type="dxa"/>
              <w:left w:w="57" w:type="dxa"/>
              <w:bottom w:w="11" w:type="dxa"/>
              <w:right w:w="57" w:type="dxa"/>
            </w:tcMar>
          </w:tcPr>
          <w:p w14:paraId="2740BD2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383</w:t>
            </w:r>
          </w:p>
        </w:tc>
        <w:tc>
          <w:tcPr>
            <w:tcW w:w="1191" w:type="dxa"/>
            <w:tcMar>
              <w:top w:w="11" w:type="dxa"/>
              <w:left w:w="57" w:type="dxa"/>
              <w:bottom w:w="11" w:type="dxa"/>
              <w:right w:w="57" w:type="dxa"/>
            </w:tcMar>
          </w:tcPr>
          <w:p w14:paraId="79A614B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756</w:t>
            </w:r>
          </w:p>
        </w:tc>
        <w:tc>
          <w:tcPr>
            <w:tcW w:w="1310" w:type="dxa"/>
            <w:tcMar>
              <w:top w:w="11" w:type="dxa"/>
              <w:left w:w="57" w:type="dxa"/>
              <w:bottom w:w="11" w:type="dxa"/>
              <w:right w:w="57" w:type="dxa"/>
            </w:tcMar>
          </w:tcPr>
          <w:p w14:paraId="7376DE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158</w:t>
            </w:r>
          </w:p>
        </w:tc>
        <w:tc>
          <w:tcPr>
            <w:tcW w:w="1134" w:type="dxa"/>
            <w:tcMar>
              <w:top w:w="11" w:type="dxa"/>
              <w:left w:w="57" w:type="dxa"/>
              <w:bottom w:w="11" w:type="dxa"/>
              <w:right w:w="57" w:type="dxa"/>
            </w:tcMar>
          </w:tcPr>
          <w:p w14:paraId="324DF1E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922</w:t>
            </w:r>
          </w:p>
        </w:tc>
      </w:tr>
      <w:bookmarkEnd w:id="1148"/>
      <w:bookmarkEnd w:id="1149"/>
      <w:bookmarkEnd w:id="1150"/>
      <w:bookmarkEnd w:id="1151"/>
      <w:tr w:rsidR="00646F4F" w:rsidRPr="00735726" w14:paraId="0082F726" w14:textId="77777777" w:rsidTr="00CE19B2">
        <w:trPr>
          <w:trHeight w:val="226"/>
        </w:trPr>
        <w:tc>
          <w:tcPr>
            <w:tcW w:w="4812" w:type="dxa"/>
            <w:tcMar>
              <w:top w:w="11" w:type="dxa"/>
              <w:left w:w="57" w:type="dxa"/>
              <w:bottom w:w="11" w:type="dxa"/>
              <w:right w:w="57" w:type="dxa"/>
            </w:tcMar>
          </w:tcPr>
          <w:p w14:paraId="3DF7E25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Granted</w:t>
            </w:r>
          </w:p>
        </w:tc>
        <w:tc>
          <w:tcPr>
            <w:tcW w:w="1276" w:type="dxa"/>
            <w:tcMar>
              <w:top w:w="11" w:type="dxa"/>
              <w:left w:w="57" w:type="dxa"/>
              <w:bottom w:w="11" w:type="dxa"/>
              <w:right w:w="57" w:type="dxa"/>
            </w:tcMar>
          </w:tcPr>
          <w:p w14:paraId="69B2C09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181</w:t>
            </w:r>
          </w:p>
        </w:tc>
        <w:tc>
          <w:tcPr>
            <w:tcW w:w="1191" w:type="dxa"/>
            <w:tcMar>
              <w:top w:w="11" w:type="dxa"/>
              <w:left w:w="57" w:type="dxa"/>
              <w:bottom w:w="11" w:type="dxa"/>
              <w:right w:w="57" w:type="dxa"/>
            </w:tcMar>
          </w:tcPr>
          <w:p w14:paraId="0993B91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458</w:t>
            </w:r>
          </w:p>
        </w:tc>
        <w:tc>
          <w:tcPr>
            <w:tcW w:w="1310" w:type="dxa"/>
            <w:tcMar>
              <w:top w:w="11" w:type="dxa"/>
              <w:left w:w="57" w:type="dxa"/>
              <w:bottom w:w="11" w:type="dxa"/>
              <w:right w:w="57" w:type="dxa"/>
            </w:tcMar>
          </w:tcPr>
          <w:p w14:paraId="0330D62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171</w:t>
            </w:r>
          </w:p>
        </w:tc>
        <w:tc>
          <w:tcPr>
            <w:tcW w:w="1134" w:type="dxa"/>
            <w:tcMar>
              <w:top w:w="11" w:type="dxa"/>
              <w:left w:w="57" w:type="dxa"/>
              <w:bottom w:w="11" w:type="dxa"/>
              <w:right w:w="57" w:type="dxa"/>
            </w:tcMar>
          </w:tcPr>
          <w:p w14:paraId="0394DA2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646</w:t>
            </w:r>
          </w:p>
        </w:tc>
      </w:tr>
      <w:tr w:rsidR="00646F4F" w:rsidRPr="00735726" w14:paraId="330D1092" w14:textId="77777777" w:rsidTr="00CE19B2">
        <w:trPr>
          <w:trHeight w:val="226"/>
        </w:trPr>
        <w:tc>
          <w:tcPr>
            <w:tcW w:w="4812" w:type="dxa"/>
            <w:tcMar>
              <w:top w:w="11" w:type="dxa"/>
              <w:left w:w="57" w:type="dxa"/>
              <w:bottom w:w="11" w:type="dxa"/>
              <w:right w:w="57" w:type="dxa"/>
            </w:tcMar>
          </w:tcPr>
          <w:p w14:paraId="3B502E82"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Additional options awarded as part of rights issue</w:t>
            </w:r>
          </w:p>
        </w:tc>
        <w:tc>
          <w:tcPr>
            <w:tcW w:w="1276" w:type="dxa"/>
            <w:tcMar>
              <w:top w:w="11" w:type="dxa"/>
              <w:left w:w="57" w:type="dxa"/>
              <w:bottom w:w="11" w:type="dxa"/>
              <w:right w:w="57" w:type="dxa"/>
            </w:tcMar>
          </w:tcPr>
          <w:p w14:paraId="0E15074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91" w:type="dxa"/>
            <w:tcMar>
              <w:top w:w="11" w:type="dxa"/>
              <w:left w:w="57" w:type="dxa"/>
              <w:bottom w:w="11" w:type="dxa"/>
              <w:right w:w="57" w:type="dxa"/>
            </w:tcMar>
          </w:tcPr>
          <w:p w14:paraId="57C4E2D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310" w:type="dxa"/>
            <w:tcMar>
              <w:top w:w="11" w:type="dxa"/>
              <w:left w:w="57" w:type="dxa"/>
              <w:bottom w:w="11" w:type="dxa"/>
              <w:right w:w="57" w:type="dxa"/>
            </w:tcMar>
          </w:tcPr>
          <w:p w14:paraId="374041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90</w:t>
            </w:r>
          </w:p>
        </w:tc>
        <w:tc>
          <w:tcPr>
            <w:tcW w:w="1134" w:type="dxa"/>
            <w:tcMar>
              <w:top w:w="11" w:type="dxa"/>
              <w:left w:w="57" w:type="dxa"/>
              <w:bottom w:w="11" w:type="dxa"/>
              <w:right w:w="57" w:type="dxa"/>
            </w:tcMar>
          </w:tcPr>
          <w:p w14:paraId="3725752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r>
      <w:tr w:rsidR="00646F4F" w:rsidRPr="00735726" w14:paraId="582F2C2B" w14:textId="77777777" w:rsidTr="00CE19B2">
        <w:trPr>
          <w:trHeight w:val="226"/>
        </w:trPr>
        <w:tc>
          <w:tcPr>
            <w:tcW w:w="4812" w:type="dxa"/>
            <w:tcMar>
              <w:top w:w="11" w:type="dxa"/>
              <w:left w:w="57" w:type="dxa"/>
              <w:bottom w:w="11" w:type="dxa"/>
              <w:right w:w="57" w:type="dxa"/>
            </w:tcMar>
          </w:tcPr>
          <w:p w14:paraId="174186F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Lapsed</w:t>
            </w:r>
          </w:p>
        </w:tc>
        <w:tc>
          <w:tcPr>
            <w:tcW w:w="1276" w:type="dxa"/>
            <w:tcMar>
              <w:top w:w="11" w:type="dxa"/>
              <w:left w:w="57" w:type="dxa"/>
              <w:bottom w:w="11" w:type="dxa"/>
              <w:right w:w="57" w:type="dxa"/>
            </w:tcMar>
          </w:tcPr>
          <w:p w14:paraId="47E4322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w:t>
            </w:r>
          </w:p>
        </w:tc>
        <w:tc>
          <w:tcPr>
            <w:tcW w:w="1191" w:type="dxa"/>
            <w:tcMar>
              <w:top w:w="11" w:type="dxa"/>
              <w:left w:w="57" w:type="dxa"/>
              <w:bottom w:w="11" w:type="dxa"/>
              <w:right w:w="57" w:type="dxa"/>
            </w:tcMar>
          </w:tcPr>
          <w:p w14:paraId="1864323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310" w:type="dxa"/>
            <w:tcMar>
              <w:top w:w="11" w:type="dxa"/>
              <w:left w:w="57" w:type="dxa"/>
              <w:bottom w:w="11" w:type="dxa"/>
              <w:right w:w="57" w:type="dxa"/>
            </w:tcMar>
          </w:tcPr>
          <w:p w14:paraId="56E76F7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c>
          <w:tcPr>
            <w:tcW w:w="1134" w:type="dxa"/>
            <w:tcMar>
              <w:top w:w="11" w:type="dxa"/>
              <w:left w:w="57" w:type="dxa"/>
              <w:bottom w:w="11" w:type="dxa"/>
              <w:right w:w="57" w:type="dxa"/>
            </w:tcMar>
          </w:tcPr>
          <w:p w14:paraId="07AB783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1,335</w:t>
            </w:r>
          </w:p>
        </w:tc>
      </w:tr>
      <w:tr w:rsidR="00646F4F" w:rsidRPr="00735726" w14:paraId="7A0AC41C" w14:textId="77777777" w:rsidTr="00CE19B2">
        <w:trPr>
          <w:trHeight w:val="226"/>
        </w:trPr>
        <w:tc>
          <w:tcPr>
            <w:tcW w:w="4812" w:type="dxa"/>
            <w:tcMar>
              <w:top w:w="11" w:type="dxa"/>
              <w:left w:w="57" w:type="dxa"/>
              <w:bottom w:w="11" w:type="dxa"/>
              <w:right w:w="57" w:type="dxa"/>
            </w:tcMar>
          </w:tcPr>
          <w:p w14:paraId="24BE603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Released</w:t>
            </w:r>
          </w:p>
        </w:tc>
        <w:tc>
          <w:tcPr>
            <w:tcW w:w="1276" w:type="dxa"/>
            <w:tcBorders>
              <w:bottom w:val="single" w:sz="4" w:space="0" w:color="auto"/>
            </w:tcBorders>
            <w:tcMar>
              <w:top w:w="11" w:type="dxa"/>
              <w:left w:w="57" w:type="dxa"/>
              <w:bottom w:w="11" w:type="dxa"/>
              <w:right w:w="57" w:type="dxa"/>
            </w:tcMar>
          </w:tcPr>
          <w:p w14:paraId="367CE0D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(77)</w:t>
            </w:r>
          </w:p>
        </w:tc>
        <w:tc>
          <w:tcPr>
            <w:tcW w:w="1191" w:type="dxa"/>
            <w:tcBorders>
              <w:bottom w:val="single" w:sz="4" w:space="0" w:color="auto"/>
            </w:tcBorders>
            <w:tcMar>
              <w:top w:w="11" w:type="dxa"/>
              <w:left w:w="57" w:type="dxa"/>
              <w:bottom w:w="11" w:type="dxa"/>
              <w:right w:w="57" w:type="dxa"/>
            </w:tcMar>
          </w:tcPr>
          <w:p w14:paraId="6FCB4670" w14:textId="27FBA878" w:rsidR="00646F4F" w:rsidRPr="00735726" w:rsidRDefault="004169C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620</w:t>
            </w:r>
          </w:p>
        </w:tc>
        <w:tc>
          <w:tcPr>
            <w:tcW w:w="1310" w:type="dxa"/>
            <w:tcBorders>
              <w:bottom w:val="single" w:sz="4" w:space="0" w:color="auto"/>
            </w:tcBorders>
            <w:tcMar>
              <w:top w:w="11" w:type="dxa"/>
              <w:left w:w="57" w:type="dxa"/>
              <w:bottom w:w="11" w:type="dxa"/>
              <w:right w:w="57" w:type="dxa"/>
            </w:tcMar>
          </w:tcPr>
          <w:p w14:paraId="645A33D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(23)</w:t>
            </w:r>
          </w:p>
        </w:tc>
        <w:tc>
          <w:tcPr>
            <w:tcW w:w="1134" w:type="dxa"/>
            <w:tcBorders>
              <w:bottom w:val="single" w:sz="4" w:space="0" w:color="auto"/>
            </w:tcBorders>
            <w:tcMar>
              <w:top w:w="11" w:type="dxa"/>
              <w:left w:w="57" w:type="dxa"/>
              <w:bottom w:w="11" w:type="dxa"/>
              <w:right w:w="57" w:type="dxa"/>
            </w:tcMar>
          </w:tcPr>
          <w:p w14:paraId="7382BFF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Arial"/>
                <w:color w:val="000000"/>
                <w:sz w:val="18"/>
                <w:szCs w:val="18"/>
              </w:rPr>
            </w:pPr>
            <w:r w:rsidRPr="00735726">
              <w:rPr>
                <w:rFonts w:ascii="Arial" w:eastAsia="Times New Roman" w:hAnsi="Arial" w:cs="DINOT-Light"/>
                <w:color w:val="000000"/>
                <w:sz w:val="18"/>
                <w:szCs w:val="18"/>
              </w:rPr>
              <w:t>753</w:t>
            </w:r>
          </w:p>
        </w:tc>
      </w:tr>
      <w:tr w:rsidR="00646F4F" w:rsidRPr="00735726" w14:paraId="7D9466E9" w14:textId="77777777" w:rsidTr="00CE19B2">
        <w:trPr>
          <w:trHeight w:val="226"/>
        </w:trPr>
        <w:tc>
          <w:tcPr>
            <w:tcW w:w="4812" w:type="dxa"/>
            <w:tcMar>
              <w:top w:w="11" w:type="dxa"/>
              <w:left w:w="57" w:type="dxa"/>
              <w:bottom w:w="11" w:type="dxa"/>
              <w:right w:w="57" w:type="dxa"/>
            </w:tcMar>
          </w:tcPr>
          <w:p w14:paraId="0A1269A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52" w:name="_Hlk5265235"/>
            <w:bookmarkStart w:id="1153" w:name="XMETag_4e53fad44a4e4c7d873c6c7c55206423" w:colFirst="1" w:colLast="1"/>
            <w:bookmarkStart w:id="1154" w:name="XMETag_a9f30fa99c6b45a18b3ee1c875bcb159" w:colFirst="2" w:colLast="2"/>
            <w:bookmarkStart w:id="1155" w:name="XMETag_74b1549b65c9481a965ae70177c7a31a" w:colFirst="3" w:colLast="3"/>
            <w:bookmarkStart w:id="1156" w:name="XMETag_fbe7c78d6a474086b4001c816ff0ed94" w:colFirst="4" w:colLast="4"/>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w:t>
            </w:r>
          </w:p>
        </w:tc>
        <w:tc>
          <w:tcPr>
            <w:tcW w:w="1276" w:type="dxa"/>
            <w:tcBorders>
              <w:top w:val="single" w:sz="4" w:space="0" w:color="auto"/>
              <w:bottom w:val="single" w:sz="4" w:space="0" w:color="auto"/>
            </w:tcBorders>
            <w:tcMar>
              <w:top w:w="11" w:type="dxa"/>
              <w:left w:w="57" w:type="dxa"/>
              <w:bottom w:w="11" w:type="dxa"/>
              <w:right w:w="57" w:type="dxa"/>
            </w:tcMar>
          </w:tcPr>
          <w:p w14:paraId="7F6CBCE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460</w:t>
            </w:r>
          </w:p>
        </w:tc>
        <w:tc>
          <w:tcPr>
            <w:tcW w:w="1191" w:type="dxa"/>
            <w:tcBorders>
              <w:top w:val="single" w:sz="4" w:space="0" w:color="auto"/>
              <w:bottom w:val="single" w:sz="4" w:space="0" w:color="auto"/>
            </w:tcBorders>
            <w:tcMar>
              <w:top w:w="11" w:type="dxa"/>
              <w:left w:w="57" w:type="dxa"/>
              <w:bottom w:w="11" w:type="dxa"/>
              <w:right w:w="57" w:type="dxa"/>
            </w:tcMar>
          </w:tcPr>
          <w:p w14:paraId="0998E15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529</w:t>
            </w:r>
          </w:p>
        </w:tc>
        <w:tc>
          <w:tcPr>
            <w:tcW w:w="1310" w:type="dxa"/>
            <w:tcBorders>
              <w:top w:val="single" w:sz="4" w:space="0" w:color="auto"/>
              <w:bottom w:val="single" w:sz="4" w:space="0" w:color="auto"/>
            </w:tcBorders>
            <w:tcMar>
              <w:top w:w="11" w:type="dxa"/>
              <w:left w:w="57" w:type="dxa"/>
              <w:bottom w:w="11" w:type="dxa"/>
              <w:right w:w="57" w:type="dxa"/>
            </w:tcMar>
          </w:tcPr>
          <w:p w14:paraId="49086E7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383</w:t>
            </w:r>
          </w:p>
        </w:tc>
        <w:tc>
          <w:tcPr>
            <w:tcW w:w="1134" w:type="dxa"/>
            <w:tcBorders>
              <w:top w:val="single" w:sz="4" w:space="0" w:color="auto"/>
              <w:bottom w:val="single" w:sz="4" w:space="0" w:color="auto"/>
            </w:tcBorders>
            <w:tcMar>
              <w:top w:w="11" w:type="dxa"/>
              <w:left w:w="57" w:type="dxa"/>
              <w:bottom w:w="11" w:type="dxa"/>
              <w:right w:w="57" w:type="dxa"/>
            </w:tcMar>
          </w:tcPr>
          <w:p w14:paraId="6381974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756</w:t>
            </w:r>
          </w:p>
        </w:tc>
      </w:tr>
      <w:bookmarkEnd w:id="1146"/>
      <w:bookmarkEnd w:id="1147"/>
      <w:bookmarkEnd w:id="1152"/>
      <w:bookmarkEnd w:id="1153"/>
      <w:bookmarkEnd w:id="1154"/>
      <w:bookmarkEnd w:id="1155"/>
      <w:bookmarkEnd w:id="1156"/>
    </w:tbl>
    <w:p w14:paraId="413CF1BB"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5A125ACA" w14:textId="4F091C20"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 xml:space="preserve">The awards outstanding </w:t>
      </w:r>
      <w:proofErr w:type="gramStart"/>
      <w:r w:rsidRPr="00735726">
        <w:rPr>
          <w:rFonts w:ascii="Arial" w:eastAsia="Times New Roman" w:hAnsi="Arial" w:cs="DINOT-Light"/>
          <w:sz w:val="18"/>
          <w:szCs w:val="18"/>
        </w:rPr>
        <w:t>at</w:t>
      </w:r>
      <w:proofErr w:type="gramEnd"/>
      <w:r w:rsidRPr="00735726">
        <w:rPr>
          <w:rFonts w:ascii="Arial" w:eastAsia="Times New Roman" w:hAnsi="Arial" w:cs="DINOT-Light"/>
          <w:sz w:val="18"/>
          <w:szCs w:val="18"/>
        </w:rPr>
        <w:t xml:space="preserve"> 31 March 2026 had a weighted average award price of 529</w:t>
      </w:r>
      <w:r w:rsidR="00A66CFD" w:rsidRPr="00735726">
        <w:rPr>
          <w:rFonts w:ascii="Arial" w:eastAsia="Times New Roman" w:hAnsi="Arial" w:cs="DINOT-Light"/>
          <w:sz w:val="18"/>
          <w:szCs w:val="18"/>
        </w:rPr>
        <w:t xml:space="preserve"> </w:t>
      </w:r>
      <w:r w:rsidRPr="00735726">
        <w:rPr>
          <w:rFonts w:ascii="Arial" w:eastAsia="Times New Roman" w:hAnsi="Arial" w:cs="DINOT-Light"/>
          <w:sz w:val="18"/>
          <w:szCs w:val="18"/>
        </w:rPr>
        <w:t>p</w:t>
      </w:r>
      <w:r w:rsidR="00A66CFD" w:rsidRPr="00735726">
        <w:rPr>
          <w:rFonts w:ascii="Arial" w:eastAsia="Times New Roman" w:hAnsi="Arial" w:cs="DINOT-Light"/>
          <w:sz w:val="18"/>
          <w:szCs w:val="18"/>
        </w:rPr>
        <w:t>ence</w:t>
      </w:r>
      <w:r w:rsidRPr="00735726">
        <w:rPr>
          <w:rFonts w:ascii="Arial" w:eastAsia="Times New Roman" w:hAnsi="Arial" w:cs="DINOT-Light"/>
          <w:sz w:val="18"/>
          <w:szCs w:val="18"/>
        </w:rPr>
        <w:t xml:space="preserve"> (31 March 2025: 756</w:t>
      </w:r>
      <w:r w:rsidR="00A66CFD" w:rsidRPr="00735726">
        <w:rPr>
          <w:rFonts w:ascii="Arial" w:eastAsia="Times New Roman" w:hAnsi="Arial" w:cs="DINOT-Light"/>
          <w:sz w:val="18"/>
          <w:szCs w:val="18"/>
        </w:rPr>
        <w:t xml:space="preserve"> </w:t>
      </w:r>
      <w:r w:rsidRPr="00735726">
        <w:rPr>
          <w:rFonts w:ascii="Arial" w:eastAsia="Times New Roman" w:hAnsi="Arial" w:cs="DINOT-Light"/>
          <w:sz w:val="18"/>
          <w:szCs w:val="18"/>
        </w:rPr>
        <w:t>p</w:t>
      </w:r>
      <w:r w:rsidR="00A66CFD" w:rsidRPr="00735726">
        <w:rPr>
          <w:rFonts w:ascii="Arial" w:eastAsia="Times New Roman" w:hAnsi="Arial" w:cs="DINOT-Light"/>
          <w:sz w:val="18"/>
          <w:szCs w:val="18"/>
        </w:rPr>
        <w:t>ence</w:t>
      </w:r>
      <w:r w:rsidRPr="00735726">
        <w:rPr>
          <w:rFonts w:ascii="Arial" w:eastAsia="Times New Roman" w:hAnsi="Arial" w:cs="DINOT-Light"/>
          <w:sz w:val="18"/>
          <w:szCs w:val="18"/>
        </w:rPr>
        <w:t>) and a weighted average remaining contractual life of 3.4 years (31 March 2025: 2.7 years).</w:t>
      </w:r>
    </w:p>
    <w:p w14:paraId="0D31D8A5"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4C50DC9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r w:rsidRPr="00735726">
        <w:rPr>
          <w:rFonts w:ascii="Arial" w:eastAsia="Times New Roman" w:hAnsi="Arial" w:cs="DINOT-Light"/>
          <w:sz w:val="18"/>
          <w:szCs w:val="18"/>
        </w:rPr>
        <w:t>The aggregate fair value of awards granted during the year was £0.4 million (2025: £0.4 million), determined from market value. No option pricing methodology is applied since the vesting of the shares depend on non-market performance vesting conditions.</w:t>
      </w:r>
    </w:p>
    <w:p w14:paraId="552ADACD"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6818DDC9" w14:textId="79E3B87D" w:rsidR="00646F4F" w:rsidRPr="00735726" w:rsidRDefault="00646F4F" w:rsidP="00646F4F">
      <w:pPr>
        <w:widowControl w:val="0"/>
        <w:tabs>
          <w:tab w:val="left" w:pos="340"/>
        </w:tabs>
        <w:suppressAutoHyphens/>
        <w:autoSpaceDE w:val="0"/>
        <w:autoSpaceDN w:val="0"/>
        <w:adjustRightInd w:val="0"/>
        <w:spacing w:after="0"/>
        <w:textAlignment w:val="center"/>
        <w:outlineLvl w:val="0"/>
        <w:rPr>
          <w:rFonts w:ascii="Arial" w:eastAsia="Times New Roman" w:hAnsi="Arial" w:cs="Arial"/>
          <w:b/>
          <w:bCs/>
          <w:color w:val="000000"/>
          <w:sz w:val="18"/>
          <w:szCs w:val="18"/>
        </w:rPr>
      </w:pPr>
      <w:r w:rsidRPr="00735726">
        <w:rPr>
          <w:rFonts w:ascii="Arial" w:eastAsia="Times New Roman" w:hAnsi="Arial" w:cs="Arial"/>
          <w:b/>
          <w:bCs/>
          <w:color w:val="000000"/>
          <w:sz w:val="18"/>
          <w:szCs w:val="18"/>
        </w:rPr>
        <w:t>iii)</w:t>
      </w:r>
      <w:r w:rsidRPr="00735726">
        <w:rPr>
          <w:rFonts w:ascii="Arial" w:eastAsia="Times New Roman" w:hAnsi="Arial" w:cs="Arial"/>
          <w:b/>
          <w:bCs/>
          <w:color w:val="000000"/>
          <w:sz w:val="18"/>
          <w:szCs w:val="18"/>
        </w:rPr>
        <w:tab/>
      </w:r>
      <w:bookmarkStart w:id="1157" w:name="XMETag_dea50ed4a55b4fcb9a8b0044fb89d338"/>
      <w:r w:rsidRPr="00735726">
        <w:rPr>
          <w:rFonts w:ascii="Arial" w:eastAsia="Times New Roman" w:hAnsi="Arial" w:cs="Arial"/>
          <w:b/>
          <w:bCs/>
          <w:color w:val="000000"/>
          <w:sz w:val="18"/>
          <w:szCs w:val="18"/>
        </w:rPr>
        <w:t xml:space="preserve">Annual Incentive Bonus Plan </w:t>
      </w:r>
      <w:r w:rsidR="006C1BA9" w:rsidRPr="00735726">
        <w:rPr>
          <w:rFonts w:ascii="Arial" w:eastAsia="Times New Roman" w:hAnsi="Arial" w:cs="Arial"/>
          <w:b/>
          <w:bCs/>
          <w:color w:val="000000"/>
          <w:sz w:val="18"/>
          <w:szCs w:val="18"/>
        </w:rPr>
        <w:t xml:space="preserve">- </w:t>
      </w:r>
      <w:r w:rsidRPr="00735726">
        <w:rPr>
          <w:rFonts w:ascii="Arial" w:eastAsia="Times New Roman" w:hAnsi="Arial" w:cs="Arial"/>
          <w:b/>
          <w:bCs/>
          <w:color w:val="000000"/>
          <w:sz w:val="18"/>
          <w:szCs w:val="18"/>
        </w:rPr>
        <w:t>Deferred Shares</w:t>
      </w:r>
      <w:bookmarkEnd w:id="1157"/>
    </w:p>
    <w:p w14:paraId="1D0156C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1158" w:name="XMETag_a31718b7799d408986989e1b3a702282"/>
      <w:r w:rsidRPr="00735726">
        <w:rPr>
          <w:rFonts w:ascii="Arial" w:eastAsia="Times New Roman" w:hAnsi="Arial" w:cs="DINOT-Light"/>
          <w:color w:val="000000"/>
          <w:sz w:val="18"/>
          <w:szCs w:val="18"/>
        </w:rPr>
        <w:t>Awards under the plan to Executive Directors and Senior Management involve the release of Ordinary shares in Pennon Group plc to participants. There is no performance condition since vesting is conditional upon continuous service with the Pennon Group for a period of three years from the award.</w:t>
      </w:r>
      <w:bookmarkEnd w:id="1158"/>
    </w:p>
    <w:p w14:paraId="576A628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2752161B"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number and weighted average price of shares in the Incentive Bonus Plan are:</w:t>
      </w:r>
    </w:p>
    <w:tbl>
      <w:tblPr>
        <w:tblW w:w="9723" w:type="dxa"/>
        <w:tblInd w:w="8" w:type="dxa"/>
        <w:tblLayout w:type="fixed"/>
        <w:tblCellMar>
          <w:left w:w="0" w:type="dxa"/>
          <w:right w:w="0" w:type="dxa"/>
        </w:tblCellMar>
        <w:tblLook w:val="0000" w:firstRow="0" w:lastRow="0" w:firstColumn="0" w:lastColumn="0" w:noHBand="0" w:noVBand="0"/>
      </w:tblPr>
      <w:tblGrid>
        <w:gridCol w:w="4869"/>
        <w:gridCol w:w="1276"/>
        <w:gridCol w:w="1134"/>
        <w:gridCol w:w="1310"/>
        <w:gridCol w:w="1134"/>
      </w:tblGrid>
      <w:tr w:rsidR="00646F4F" w:rsidRPr="00735726" w14:paraId="315EA1D3" w14:textId="77777777" w:rsidTr="00CE19B2">
        <w:trPr>
          <w:trHeight w:val="69"/>
          <w:tblHeader/>
        </w:trPr>
        <w:tc>
          <w:tcPr>
            <w:tcW w:w="4869" w:type="dxa"/>
            <w:tcMar>
              <w:top w:w="11" w:type="dxa"/>
              <w:left w:w="57" w:type="dxa"/>
              <w:bottom w:w="11" w:type="dxa"/>
              <w:right w:w="57" w:type="dxa"/>
            </w:tcMar>
          </w:tcPr>
          <w:p w14:paraId="1326CD79"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59" w:name="_Hlk135747868"/>
          </w:p>
        </w:tc>
        <w:tc>
          <w:tcPr>
            <w:tcW w:w="2410" w:type="dxa"/>
            <w:gridSpan w:val="2"/>
            <w:tcMar>
              <w:top w:w="11" w:type="dxa"/>
              <w:left w:w="57" w:type="dxa"/>
              <w:bottom w:w="11" w:type="dxa"/>
              <w:right w:w="57" w:type="dxa"/>
            </w:tcMar>
          </w:tcPr>
          <w:p w14:paraId="52A54F4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tc>
        <w:tc>
          <w:tcPr>
            <w:tcW w:w="2444" w:type="dxa"/>
            <w:gridSpan w:val="2"/>
            <w:tcMar>
              <w:top w:w="11" w:type="dxa"/>
              <w:left w:w="57" w:type="dxa"/>
              <w:bottom w:w="11" w:type="dxa"/>
              <w:right w:w="57" w:type="dxa"/>
            </w:tcMar>
          </w:tcPr>
          <w:p w14:paraId="2ADE689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tc>
      </w:tr>
      <w:tr w:rsidR="00646F4F" w:rsidRPr="00735726" w14:paraId="23C3A003" w14:textId="77777777" w:rsidTr="00CE19B2">
        <w:trPr>
          <w:trHeight w:val="265"/>
          <w:tblHeader/>
        </w:trPr>
        <w:tc>
          <w:tcPr>
            <w:tcW w:w="4869" w:type="dxa"/>
            <w:tcMar>
              <w:top w:w="11" w:type="dxa"/>
              <w:left w:w="57" w:type="dxa"/>
              <w:bottom w:w="11" w:type="dxa"/>
              <w:right w:w="57" w:type="dxa"/>
            </w:tcMar>
          </w:tcPr>
          <w:p w14:paraId="1672EE00"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276" w:type="dxa"/>
            <w:tcMar>
              <w:top w:w="11" w:type="dxa"/>
              <w:left w:w="57" w:type="dxa"/>
              <w:bottom w:w="11" w:type="dxa"/>
              <w:right w:w="57" w:type="dxa"/>
            </w:tcMar>
          </w:tcPr>
          <w:p w14:paraId="5221416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Number of Ordinary </w:t>
            </w:r>
            <w:r w:rsidRPr="00735726">
              <w:rPr>
                <w:rFonts w:ascii="Arial" w:eastAsia="Times New Roman" w:hAnsi="Arial" w:cs="DINOT-Light"/>
                <w:b/>
                <w:color w:val="000000"/>
                <w:sz w:val="18"/>
                <w:szCs w:val="18"/>
              </w:rPr>
              <w:br/>
              <w:t>shares (thousands)</w:t>
            </w:r>
          </w:p>
        </w:tc>
        <w:tc>
          <w:tcPr>
            <w:tcW w:w="1134" w:type="dxa"/>
            <w:tcMar>
              <w:top w:w="11" w:type="dxa"/>
              <w:left w:w="57" w:type="dxa"/>
              <w:bottom w:w="11" w:type="dxa"/>
              <w:right w:w="57" w:type="dxa"/>
            </w:tcMar>
          </w:tcPr>
          <w:p w14:paraId="60D5F5B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Weighted average award price per share (p)</w:t>
            </w:r>
          </w:p>
        </w:tc>
        <w:tc>
          <w:tcPr>
            <w:tcW w:w="1310" w:type="dxa"/>
            <w:tcMar>
              <w:top w:w="11" w:type="dxa"/>
              <w:left w:w="57" w:type="dxa"/>
              <w:bottom w:w="11" w:type="dxa"/>
              <w:right w:w="57" w:type="dxa"/>
            </w:tcMar>
          </w:tcPr>
          <w:p w14:paraId="0B4122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Number of Ordinary </w:t>
            </w:r>
            <w:r w:rsidRPr="00735726">
              <w:rPr>
                <w:rFonts w:ascii="Arial" w:eastAsia="Times New Roman" w:hAnsi="Arial" w:cs="DINOT-Light"/>
                <w:b/>
                <w:color w:val="000000"/>
                <w:sz w:val="18"/>
                <w:szCs w:val="18"/>
              </w:rPr>
              <w:br/>
              <w:t>shares (thousands)</w:t>
            </w:r>
          </w:p>
        </w:tc>
        <w:tc>
          <w:tcPr>
            <w:tcW w:w="1134" w:type="dxa"/>
            <w:tcMar>
              <w:top w:w="11" w:type="dxa"/>
              <w:left w:w="57" w:type="dxa"/>
              <w:bottom w:w="11" w:type="dxa"/>
              <w:right w:w="57" w:type="dxa"/>
            </w:tcMar>
          </w:tcPr>
          <w:p w14:paraId="5CE04BA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Weighted average award price per share (p)</w:t>
            </w:r>
          </w:p>
        </w:tc>
      </w:tr>
      <w:tr w:rsidR="00646F4F" w:rsidRPr="00735726" w14:paraId="360804D6" w14:textId="77777777" w:rsidTr="00CE19B2">
        <w:trPr>
          <w:trHeight w:val="226"/>
        </w:trPr>
        <w:tc>
          <w:tcPr>
            <w:tcW w:w="4869" w:type="dxa"/>
            <w:tcMar>
              <w:top w:w="11" w:type="dxa"/>
              <w:left w:w="57" w:type="dxa"/>
              <w:bottom w:w="11" w:type="dxa"/>
              <w:right w:w="57" w:type="dxa"/>
            </w:tcMar>
          </w:tcPr>
          <w:p w14:paraId="22DE521B" w14:textId="480C7119"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60" w:name="XMETag_7066ddfbca054cf1b1cfcb3772bf38f8" w:colFirst="1" w:colLast="1"/>
            <w:bookmarkStart w:id="1161" w:name="XMETag_63dae37e783843ab93613baaabd8f6dc" w:colFirst="2" w:colLast="2"/>
            <w:bookmarkStart w:id="1162" w:name="XMETag_532e8a591a8b42a48145dcf23aa5eb29" w:colFirst="3" w:colLast="3"/>
            <w:bookmarkStart w:id="1163" w:name="XMETag_3a4d782f6b464ca5a3fb03e7a55c617e" w:colFirst="4" w:colLast="4"/>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1 April</w:t>
            </w:r>
          </w:p>
        </w:tc>
        <w:tc>
          <w:tcPr>
            <w:tcW w:w="1276" w:type="dxa"/>
            <w:tcMar>
              <w:top w:w="11" w:type="dxa"/>
              <w:left w:w="57" w:type="dxa"/>
              <w:bottom w:w="11" w:type="dxa"/>
              <w:right w:w="57" w:type="dxa"/>
            </w:tcMar>
          </w:tcPr>
          <w:p w14:paraId="4600A66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26</w:t>
            </w:r>
          </w:p>
        </w:tc>
        <w:tc>
          <w:tcPr>
            <w:tcW w:w="1134" w:type="dxa"/>
            <w:tcMar>
              <w:top w:w="11" w:type="dxa"/>
              <w:left w:w="57" w:type="dxa"/>
              <w:bottom w:w="11" w:type="dxa"/>
              <w:right w:w="57" w:type="dxa"/>
            </w:tcMar>
          </w:tcPr>
          <w:p w14:paraId="21FDB4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830</w:t>
            </w:r>
          </w:p>
        </w:tc>
        <w:tc>
          <w:tcPr>
            <w:tcW w:w="1310" w:type="dxa"/>
            <w:tcMar>
              <w:top w:w="11" w:type="dxa"/>
              <w:left w:w="57" w:type="dxa"/>
              <w:bottom w:w="11" w:type="dxa"/>
              <w:right w:w="57" w:type="dxa"/>
            </w:tcMar>
          </w:tcPr>
          <w:p w14:paraId="1D1123A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38</w:t>
            </w:r>
          </w:p>
        </w:tc>
        <w:tc>
          <w:tcPr>
            <w:tcW w:w="1134" w:type="dxa"/>
            <w:tcMar>
              <w:top w:w="11" w:type="dxa"/>
              <w:left w:w="57" w:type="dxa"/>
              <w:bottom w:w="11" w:type="dxa"/>
              <w:right w:w="57" w:type="dxa"/>
            </w:tcMar>
          </w:tcPr>
          <w:p w14:paraId="3591D0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bCs/>
                <w:color w:val="000000"/>
                <w:sz w:val="18"/>
                <w:szCs w:val="18"/>
              </w:rPr>
              <w:t>904</w:t>
            </w:r>
          </w:p>
        </w:tc>
      </w:tr>
      <w:tr w:rsidR="00646F4F" w:rsidRPr="00735726" w14:paraId="4D692E9D" w14:textId="77777777" w:rsidTr="00CE19B2">
        <w:trPr>
          <w:trHeight w:val="226"/>
        </w:trPr>
        <w:tc>
          <w:tcPr>
            <w:tcW w:w="4869" w:type="dxa"/>
            <w:tcMar>
              <w:top w:w="11" w:type="dxa"/>
              <w:left w:w="57" w:type="dxa"/>
              <w:bottom w:w="11" w:type="dxa"/>
              <w:right w:w="57" w:type="dxa"/>
            </w:tcMar>
          </w:tcPr>
          <w:p w14:paraId="6CAE5431"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64" w:name="XMETag_241fee1d74894b70b1088087e71d0aba" w:colFirst="1" w:colLast="1"/>
            <w:bookmarkStart w:id="1165" w:name="XMETag_b2208881a55a4f06aa0d1224d7c9c718" w:colFirst="2" w:colLast="2"/>
            <w:bookmarkStart w:id="1166" w:name="XMETag_db21acd7e1224c8696061e9a9c9c25e9" w:colFirst="3" w:colLast="3"/>
            <w:bookmarkStart w:id="1167" w:name="XMETag_1cba8d6961f649b7b657df0e3fb7afda" w:colFirst="4" w:colLast="4"/>
            <w:bookmarkEnd w:id="1160"/>
            <w:bookmarkEnd w:id="1161"/>
            <w:bookmarkEnd w:id="1162"/>
            <w:bookmarkEnd w:id="1163"/>
            <w:r w:rsidRPr="00735726">
              <w:rPr>
                <w:rFonts w:ascii="Arial" w:eastAsia="Times New Roman" w:hAnsi="Arial" w:cs="DINOT-Light"/>
                <w:color w:val="000000"/>
                <w:sz w:val="18"/>
                <w:szCs w:val="18"/>
              </w:rPr>
              <w:t>Granted</w:t>
            </w:r>
          </w:p>
        </w:tc>
        <w:tc>
          <w:tcPr>
            <w:tcW w:w="1276" w:type="dxa"/>
            <w:tcMar>
              <w:top w:w="11" w:type="dxa"/>
              <w:left w:w="57" w:type="dxa"/>
              <w:bottom w:w="11" w:type="dxa"/>
              <w:right w:w="57" w:type="dxa"/>
            </w:tcMar>
          </w:tcPr>
          <w:p w14:paraId="76E0BC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71</w:t>
            </w:r>
          </w:p>
        </w:tc>
        <w:tc>
          <w:tcPr>
            <w:tcW w:w="1134" w:type="dxa"/>
            <w:tcMar>
              <w:top w:w="11" w:type="dxa"/>
              <w:left w:w="57" w:type="dxa"/>
              <w:bottom w:w="11" w:type="dxa"/>
              <w:right w:w="57" w:type="dxa"/>
            </w:tcMar>
          </w:tcPr>
          <w:p w14:paraId="26AABA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665</w:t>
            </w:r>
          </w:p>
        </w:tc>
        <w:tc>
          <w:tcPr>
            <w:tcW w:w="1310" w:type="dxa"/>
            <w:tcMar>
              <w:top w:w="11" w:type="dxa"/>
              <w:left w:w="57" w:type="dxa"/>
              <w:bottom w:w="11" w:type="dxa"/>
              <w:right w:w="57" w:type="dxa"/>
            </w:tcMar>
          </w:tcPr>
          <w:p w14:paraId="7EC6A28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134" w:type="dxa"/>
            <w:tcMar>
              <w:top w:w="11" w:type="dxa"/>
              <w:left w:w="57" w:type="dxa"/>
              <w:bottom w:w="11" w:type="dxa"/>
              <w:right w:w="57" w:type="dxa"/>
            </w:tcMar>
          </w:tcPr>
          <w:p w14:paraId="25551DE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700</w:t>
            </w:r>
          </w:p>
        </w:tc>
      </w:tr>
      <w:bookmarkEnd w:id="1164"/>
      <w:bookmarkEnd w:id="1165"/>
      <w:bookmarkEnd w:id="1166"/>
      <w:bookmarkEnd w:id="1167"/>
      <w:tr w:rsidR="00646F4F" w:rsidRPr="00735726" w14:paraId="4619F997" w14:textId="77777777" w:rsidTr="00CE19B2">
        <w:trPr>
          <w:trHeight w:val="226"/>
        </w:trPr>
        <w:tc>
          <w:tcPr>
            <w:tcW w:w="4869" w:type="dxa"/>
            <w:tcMar>
              <w:top w:w="11" w:type="dxa"/>
              <w:left w:w="57" w:type="dxa"/>
              <w:bottom w:w="11" w:type="dxa"/>
              <w:right w:w="57" w:type="dxa"/>
            </w:tcMar>
          </w:tcPr>
          <w:p w14:paraId="572E1500"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Vested</w:t>
            </w:r>
          </w:p>
        </w:tc>
        <w:tc>
          <w:tcPr>
            <w:tcW w:w="1276" w:type="dxa"/>
            <w:tcMar>
              <w:top w:w="11" w:type="dxa"/>
              <w:left w:w="57" w:type="dxa"/>
              <w:bottom w:w="11" w:type="dxa"/>
              <w:right w:w="57" w:type="dxa"/>
            </w:tcMar>
          </w:tcPr>
          <w:p w14:paraId="1DE884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w:t>
            </w:r>
          </w:p>
        </w:tc>
        <w:tc>
          <w:tcPr>
            <w:tcW w:w="1134" w:type="dxa"/>
            <w:tcMar>
              <w:top w:w="11" w:type="dxa"/>
              <w:left w:w="57" w:type="dxa"/>
              <w:bottom w:w="11" w:type="dxa"/>
              <w:right w:w="57" w:type="dxa"/>
            </w:tcMar>
          </w:tcPr>
          <w:p w14:paraId="7C278B7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988</w:t>
            </w:r>
          </w:p>
        </w:tc>
        <w:tc>
          <w:tcPr>
            <w:tcW w:w="1310" w:type="dxa"/>
            <w:tcMar>
              <w:top w:w="11" w:type="dxa"/>
              <w:left w:w="57" w:type="dxa"/>
              <w:bottom w:w="11" w:type="dxa"/>
              <w:right w:w="57" w:type="dxa"/>
            </w:tcMar>
          </w:tcPr>
          <w:p w14:paraId="141ED8E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w:t>
            </w:r>
          </w:p>
        </w:tc>
        <w:tc>
          <w:tcPr>
            <w:tcW w:w="1134" w:type="dxa"/>
            <w:tcMar>
              <w:top w:w="11" w:type="dxa"/>
              <w:left w:w="57" w:type="dxa"/>
              <w:bottom w:w="11" w:type="dxa"/>
              <w:right w:w="57" w:type="dxa"/>
            </w:tcMar>
          </w:tcPr>
          <w:p w14:paraId="7E74136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1,141</w:t>
            </w:r>
          </w:p>
        </w:tc>
      </w:tr>
      <w:tr w:rsidR="00646F4F" w:rsidRPr="00735726" w14:paraId="1BFA6403" w14:textId="77777777" w:rsidTr="00CE19B2">
        <w:trPr>
          <w:trHeight w:val="226"/>
        </w:trPr>
        <w:tc>
          <w:tcPr>
            <w:tcW w:w="4869" w:type="dxa"/>
            <w:tcMar>
              <w:top w:w="11" w:type="dxa"/>
              <w:left w:w="57" w:type="dxa"/>
              <w:bottom w:w="11" w:type="dxa"/>
              <w:right w:w="57" w:type="dxa"/>
            </w:tcMar>
          </w:tcPr>
          <w:p w14:paraId="6D88EA4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sz w:val="18"/>
                <w:szCs w:val="18"/>
              </w:rPr>
            </w:pPr>
            <w:r w:rsidRPr="00735726">
              <w:rPr>
                <w:rFonts w:ascii="Arial" w:eastAsia="Times New Roman" w:hAnsi="Arial" w:cs="DINOT-Light"/>
                <w:sz w:val="18"/>
                <w:szCs w:val="18"/>
              </w:rPr>
              <w:t>Lapsed</w:t>
            </w:r>
          </w:p>
        </w:tc>
        <w:tc>
          <w:tcPr>
            <w:tcW w:w="1276" w:type="dxa"/>
            <w:tcMar>
              <w:top w:w="11" w:type="dxa"/>
              <w:left w:w="57" w:type="dxa"/>
              <w:bottom w:w="11" w:type="dxa"/>
              <w:right w:w="57" w:type="dxa"/>
            </w:tcMar>
          </w:tcPr>
          <w:p w14:paraId="38915AA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(1)</w:t>
            </w:r>
          </w:p>
        </w:tc>
        <w:tc>
          <w:tcPr>
            <w:tcW w:w="1134" w:type="dxa"/>
            <w:tcMar>
              <w:top w:w="11" w:type="dxa"/>
              <w:left w:w="57" w:type="dxa"/>
              <w:bottom w:w="11" w:type="dxa"/>
              <w:right w:w="57" w:type="dxa"/>
            </w:tcMar>
          </w:tcPr>
          <w:p w14:paraId="3B4F61A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988</w:t>
            </w:r>
          </w:p>
        </w:tc>
        <w:tc>
          <w:tcPr>
            <w:tcW w:w="1310" w:type="dxa"/>
            <w:tcMar>
              <w:top w:w="11" w:type="dxa"/>
              <w:left w:w="57" w:type="dxa"/>
              <w:bottom w:w="11" w:type="dxa"/>
              <w:right w:w="57" w:type="dxa"/>
            </w:tcMar>
          </w:tcPr>
          <w:p w14:paraId="6F622B3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sz w:val="18"/>
                <w:szCs w:val="18"/>
              </w:rPr>
              <w:t>(3)</w:t>
            </w:r>
          </w:p>
        </w:tc>
        <w:tc>
          <w:tcPr>
            <w:tcW w:w="1134" w:type="dxa"/>
            <w:tcMar>
              <w:top w:w="11" w:type="dxa"/>
              <w:left w:w="57" w:type="dxa"/>
              <w:bottom w:w="11" w:type="dxa"/>
              <w:right w:w="57" w:type="dxa"/>
            </w:tcMar>
          </w:tcPr>
          <w:p w14:paraId="2420DE3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876</w:t>
            </w:r>
          </w:p>
        </w:tc>
      </w:tr>
      <w:tr w:rsidR="00646F4F" w:rsidRPr="00735726" w14:paraId="2CA0588B" w14:textId="77777777" w:rsidTr="00CE19B2">
        <w:trPr>
          <w:trHeight w:val="226"/>
        </w:trPr>
        <w:tc>
          <w:tcPr>
            <w:tcW w:w="4869" w:type="dxa"/>
            <w:tcMar>
              <w:top w:w="11" w:type="dxa"/>
              <w:left w:w="57" w:type="dxa"/>
              <w:bottom w:w="11" w:type="dxa"/>
              <w:right w:w="57" w:type="dxa"/>
            </w:tcMar>
          </w:tcPr>
          <w:p w14:paraId="6FDB941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68" w:name="XMETag_93ed1c1b57e646138cf876f90d350127" w:colFirst="1" w:colLast="1"/>
            <w:bookmarkStart w:id="1169" w:name="XMETag_586b99f033844f038cdeb5685d572297" w:colFirst="2" w:colLast="2"/>
            <w:bookmarkStart w:id="1170" w:name="XMETag_4cb09897156c49f5bc0b8be79179a81b" w:colFirst="3" w:colLast="3"/>
            <w:bookmarkStart w:id="1171" w:name="XMETag_e8ffda0238804a78bfee9e2aaf79122d" w:colFirst="4" w:colLast="4"/>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w:t>
            </w:r>
          </w:p>
        </w:tc>
        <w:tc>
          <w:tcPr>
            <w:tcW w:w="1276" w:type="dxa"/>
            <w:tcBorders>
              <w:top w:val="single" w:sz="4" w:space="0" w:color="auto"/>
              <w:bottom w:val="single" w:sz="4" w:space="0" w:color="auto"/>
            </w:tcBorders>
            <w:tcMar>
              <w:top w:w="11" w:type="dxa"/>
              <w:left w:w="57" w:type="dxa"/>
              <w:bottom w:w="11" w:type="dxa"/>
              <w:right w:w="57" w:type="dxa"/>
            </w:tcMar>
          </w:tcPr>
          <w:p w14:paraId="55CE123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85</w:t>
            </w:r>
          </w:p>
        </w:tc>
        <w:tc>
          <w:tcPr>
            <w:tcW w:w="1134" w:type="dxa"/>
            <w:tcBorders>
              <w:top w:val="single" w:sz="4" w:space="0" w:color="auto"/>
              <w:bottom w:val="single" w:sz="4" w:space="0" w:color="auto"/>
            </w:tcBorders>
            <w:tcMar>
              <w:top w:w="11" w:type="dxa"/>
              <w:left w:w="57" w:type="dxa"/>
              <w:bottom w:w="11" w:type="dxa"/>
              <w:right w:w="57" w:type="dxa"/>
            </w:tcMar>
          </w:tcPr>
          <w:p w14:paraId="5D9EE2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525</w:t>
            </w:r>
          </w:p>
        </w:tc>
        <w:tc>
          <w:tcPr>
            <w:tcW w:w="1310" w:type="dxa"/>
            <w:tcBorders>
              <w:top w:val="single" w:sz="4" w:space="0" w:color="auto"/>
              <w:bottom w:val="single" w:sz="4" w:space="0" w:color="auto"/>
            </w:tcBorders>
            <w:tcMar>
              <w:top w:w="11" w:type="dxa"/>
              <w:left w:w="57" w:type="dxa"/>
              <w:bottom w:w="11" w:type="dxa"/>
              <w:right w:w="57" w:type="dxa"/>
            </w:tcMar>
          </w:tcPr>
          <w:p w14:paraId="33649D7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26</w:t>
            </w:r>
          </w:p>
        </w:tc>
        <w:tc>
          <w:tcPr>
            <w:tcW w:w="1134" w:type="dxa"/>
            <w:tcBorders>
              <w:top w:val="single" w:sz="4" w:space="0" w:color="auto"/>
              <w:bottom w:val="single" w:sz="4" w:space="0" w:color="auto"/>
            </w:tcBorders>
            <w:tcMar>
              <w:top w:w="11" w:type="dxa"/>
              <w:left w:w="57" w:type="dxa"/>
              <w:bottom w:w="11" w:type="dxa"/>
              <w:right w:w="57" w:type="dxa"/>
            </w:tcMar>
          </w:tcPr>
          <w:p w14:paraId="35F900C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830</w:t>
            </w:r>
          </w:p>
        </w:tc>
      </w:tr>
      <w:bookmarkEnd w:id="1159"/>
      <w:bookmarkEnd w:id="1168"/>
      <w:bookmarkEnd w:id="1169"/>
      <w:bookmarkEnd w:id="1170"/>
      <w:bookmarkEnd w:id="1171"/>
    </w:tbl>
    <w:p w14:paraId="1E719C7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078B93FD" w14:textId="1D9E624A"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awards outstanding </w:t>
      </w:r>
      <w:proofErr w:type="gramStart"/>
      <w:r w:rsidRPr="00735726">
        <w:rPr>
          <w:rFonts w:ascii="Arial" w:eastAsia="Times New Roman" w:hAnsi="Arial" w:cs="DINOT-Light"/>
          <w:color w:val="000000"/>
          <w:sz w:val="18"/>
          <w:szCs w:val="18"/>
        </w:rPr>
        <w:t>at</w:t>
      </w:r>
      <w:proofErr w:type="gramEnd"/>
      <w:r w:rsidRPr="00735726">
        <w:rPr>
          <w:rFonts w:ascii="Arial" w:eastAsia="Times New Roman" w:hAnsi="Arial" w:cs="DINOT-Light"/>
          <w:color w:val="000000"/>
          <w:sz w:val="18"/>
          <w:szCs w:val="18"/>
        </w:rPr>
        <w:t xml:space="preserve"> 31 March 2026 had a weighted average price of 525</w:t>
      </w:r>
      <w:r w:rsidR="00A66CFD"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p</w:t>
      </w:r>
      <w:r w:rsidR="00A66CFD" w:rsidRPr="00735726">
        <w:rPr>
          <w:rFonts w:ascii="Arial" w:eastAsia="Times New Roman" w:hAnsi="Arial" w:cs="DINOT-Light"/>
          <w:color w:val="000000"/>
          <w:sz w:val="18"/>
          <w:szCs w:val="18"/>
        </w:rPr>
        <w:t>ence</w:t>
      </w:r>
      <w:r w:rsidRPr="00735726">
        <w:rPr>
          <w:rFonts w:ascii="Arial" w:eastAsia="Times New Roman" w:hAnsi="Arial" w:cs="DINOT-Light"/>
          <w:color w:val="000000"/>
          <w:sz w:val="18"/>
          <w:szCs w:val="18"/>
        </w:rPr>
        <w:t xml:space="preserve"> (31 March 2025: 830</w:t>
      </w:r>
      <w:r w:rsidR="00A66CFD"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p</w:t>
      </w:r>
      <w:r w:rsidR="00A66CFD" w:rsidRPr="00735726">
        <w:rPr>
          <w:rFonts w:ascii="Arial" w:eastAsia="Times New Roman" w:hAnsi="Arial" w:cs="DINOT-Light"/>
          <w:color w:val="000000"/>
          <w:sz w:val="18"/>
          <w:szCs w:val="18"/>
        </w:rPr>
        <w:t>ence</w:t>
      </w:r>
      <w:r w:rsidRPr="00735726">
        <w:rPr>
          <w:rFonts w:ascii="Arial" w:eastAsia="Times New Roman" w:hAnsi="Arial" w:cs="DINOT-Light"/>
          <w:color w:val="000000"/>
          <w:sz w:val="18"/>
          <w:szCs w:val="18"/>
        </w:rPr>
        <w:t>) and a weighted average remaining contractual life of 0.8 years (31 March 2025: 1.4 years). The Company's share price at the dates of the awards ranged from 493</w:t>
      </w:r>
      <w:r w:rsidR="00A66CFD"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p</w:t>
      </w:r>
      <w:r w:rsidR="00A66CFD" w:rsidRPr="00735726">
        <w:rPr>
          <w:rFonts w:ascii="Arial" w:eastAsia="Times New Roman" w:hAnsi="Arial" w:cs="DINOT-Light"/>
          <w:color w:val="000000"/>
          <w:sz w:val="18"/>
          <w:szCs w:val="18"/>
        </w:rPr>
        <w:t>ence</w:t>
      </w:r>
      <w:r w:rsidRPr="00735726">
        <w:rPr>
          <w:rFonts w:ascii="Arial" w:eastAsia="Times New Roman" w:hAnsi="Arial" w:cs="DINOT-Light"/>
          <w:color w:val="000000"/>
          <w:sz w:val="18"/>
          <w:szCs w:val="18"/>
        </w:rPr>
        <w:t xml:space="preserve"> to 988</w:t>
      </w:r>
      <w:r w:rsidR="00A66CFD"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p</w:t>
      </w:r>
      <w:r w:rsidR="00A66CFD" w:rsidRPr="00735726">
        <w:rPr>
          <w:rFonts w:ascii="Arial" w:eastAsia="Times New Roman" w:hAnsi="Arial" w:cs="DINOT-Light"/>
          <w:color w:val="000000"/>
          <w:sz w:val="18"/>
          <w:szCs w:val="18"/>
        </w:rPr>
        <w:t>ence</w:t>
      </w:r>
      <w:r w:rsidRPr="00735726">
        <w:rPr>
          <w:rFonts w:ascii="Arial" w:eastAsia="Times New Roman" w:hAnsi="Arial" w:cs="DINOT-Light"/>
          <w:color w:val="000000"/>
          <w:sz w:val="18"/>
          <w:szCs w:val="18"/>
        </w:rPr>
        <w:t xml:space="preserve"> (2025: 665</w:t>
      </w:r>
      <w:r w:rsidR="00A66CFD"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p</w:t>
      </w:r>
      <w:r w:rsidR="00A66CFD" w:rsidRPr="00735726">
        <w:rPr>
          <w:rFonts w:ascii="Arial" w:eastAsia="Times New Roman" w:hAnsi="Arial" w:cs="DINOT-Light"/>
          <w:color w:val="000000"/>
          <w:sz w:val="18"/>
          <w:szCs w:val="18"/>
        </w:rPr>
        <w:t>ence</w:t>
      </w:r>
      <w:r w:rsidRPr="00735726">
        <w:rPr>
          <w:rFonts w:ascii="Arial" w:eastAsia="Times New Roman" w:hAnsi="Arial" w:cs="DINOT-Light"/>
          <w:color w:val="000000"/>
          <w:sz w:val="18"/>
          <w:szCs w:val="18"/>
        </w:rPr>
        <w:t xml:space="preserve"> to 1,141</w:t>
      </w:r>
      <w:r w:rsidR="00A66CFD" w:rsidRPr="00735726">
        <w:rPr>
          <w:rFonts w:ascii="Arial" w:eastAsia="Times New Roman" w:hAnsi="Arial" w:cs="DINOT-Light"/>
          <w:color w:val="000000"/>
          <w:sz w:val="18"/>
          <w:szCs w:val="18"/>
        </w:rPr>
        <w:t xml:space="preserve"> </w:t>
      </w:r>
      <w:r w:rsidRPr="00735726">
        <w:rPr>
          <w:rFonts w:ascii="Arial" w:eastAsia="Times New Roman" w:hAnsi="Arial" w:cs="DINOT-Light"/>
          <w:color w:val="000000"/>
          <w:sz w:val="18"/>
          <w:szCs w:val="18"/>
        </w:rPr>
        <w:t>p</w:t>
      </w:r>
      <w:r w:rsidR="00A66CFD" w:rsidRPr="00735726">
        <w:rPr>
          <w:rFonts w:ascii="Arial" w:eastAsia="Times New Roman" w:hAnsi="Arial" w:cs="DINOT-Light"/>
          <w:color w:val="000000"/>
          <w:sz w:val="18"/>
          <w:szCs w:val="18"/>
        </w:rPr>
        <w:t>ence</w:t>
      </w:r>
      <w:r w:rsidRPr="00735726">
        <w:rPr>
          <w:rFonts w:ascii="Arial" w:eastAsia="Times New Roman" w:hAnsi="Arial" w:cs="DINOT-Light"/>
          <w:color w:val="000000"/>
          <w:sz w:val="18"/>
          <w:szCs w:val="18"/>
        </w:rPr>
        <w:t>).</w:t>
      </w:r>
    </w:p>
    <w:p w14:paraId="10B90AD5"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p w14:paraId="25E15084"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bookmarkStart w:id="1172" w:name="XMETag_464351cf1b1746a097fe4094d45fcfe6"/>
      <w:r w:rsidRPr="00735726">
        <w:rPr>
          <w:rFonts w:ascii="Arial" w:eastAsia="Times New Roman" w:hAnsi="Arial" w:cs="DINOT-Light"/>
          <w:sz w:val="18"/>
          <w:szCs w:val="18"/>
        </w:rPr>
        <w:t>The aggregate fair value of awards granted during the year was £0.4 million (2025: £nil), determined from market value. No option pricing methodology is applied since dividends declared on the shares are receivable by the participants in the scheme.</w:t>
      </w:r>
    </w:p>
    <w:p w14:paraId="4FDAA833" w14:textId="77777777"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sz w:val="18"/>
          <w:szCs w:val="18"/>
        </w:rPr>
      </w:pPr>
    </w:p>
    <w:bookmarkEnd w:id="1172"/>
    <w:p w14:paraId="12739AFA"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Further details of the plans and options granted to Directors, included above, are shown in the Directors’ remuneration report.</w:t>
      </w:r>
    </w:p>
    <w:p w14:paraId="780D1241"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Arial"/>
          <w:b/>
          <w:bCs/>
          <w:caps/>
          <w:color w:val="000000"/>
          <w:sz w:val="18"/>
          <w:szCs w:val="18"/>
        </w:rPr>
      </w:pPr>
    </w:p>
    <w:p w14:paraId="25DC7333"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31.</w:t>
      </w:r>
      <w:r w:rsidRPr="00735726">
        <w:rPr>
          <w:rFonts w:ascii="Arial" w:eastAsia="Times New Roman" w:hAnsi="Arial" w:cs="Arial"/>
          <w:b/>
          <w:bCs/>
          <w:caps/>
          <w:color w:val="000000"/>
          <w:sz w:val="18"/>
          <w:szCs w:val="18"/>
        </w:rPr>
        <w:tab/>
        <w:t>SHARE PREMIUM ACCOUNT</w:t>
      </w:r>
    </w:p>
    <w:tbl>
      <w:tblPr>
        <w:tblW w:w="9713" w:type="dxa"/>
        <w:tblInd w:w="8" w:type="dxa"/>
        <w:tblLayout w:type="fixed"/>
        <w:tblCellMar>
          <w:left w:w="0" w:type="dxa"/>
          <w:right w:w="0" w:type="dxa"/>
        </w:tblCellMar>
        <w:tblLook w:val="0000" w:firstRow="0" w:lastRow="0" w:firstColumn="0" w:lastColumn="0" w:noHBand="0" w:noVBand="0"/>
      </w:tblPr>
      <w:tblGrid>
        <w:gridCol w:w="6737"/>
        <w:gridCol w:w="1193"/>
        <w:gridCol w:w="851"/>
        <w:gridCol w:w="932"/>
      </w:tblGrid>
      <w:tr w:rsidR="00646F4F" w:rsidRPr="00735726" w14:paraId="2C893E15" w14:textId="77777777" w:rsidTr="00CE19B2">
        <w:trPr>
          <w:trHeight w:val="68"/>
          <w:tblHeader/>
        </w:trPr>
        <w:tc>
          <w:tcPr>
            <w:tcW w:w="6737" w:type="dxa"/>
            <w:tcMar>
              <w:top w:w="11" w:type="dxa"/>
              <w:left w:w="57" w:type="dxa"/>
              <w:bottom w:w="11" w:type="dxa"/>
              <w:right w:w="57" w:type="dxa"/>
            </w:tcMar>
          </w:tcPr>
          <w:p w14:paraId="153C2DE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93" w:type="dxa"/>
            <w:tcMar>
              <w:top w:w="11" w:type="dxa"/>
              <w:left w:w="57" w:type="dxa"/>
              <w:bottom w:w="11" w:type="dxa"/>
              <w:right w:w="57" w:type="dxa"/>
            </w:tcMar>
          </w:tcPr>
          <w:p w14:paraId="40BA41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Pr>
          <w:p w14:paraId="4467F1E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62B7F6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932" w:type="dxa"/>
            <w:tcMar>
              <w:top w:w="11" w:type="dxa"/>
              <w:left w:w="57" w:type="dxa"/>
              <w:bottom w:w="11" w:type="dxa"/>
              <w:right w:w="57" w:type="dxa"/>
            </w:tcMar>
          </w:tcPr>
          <w:p w14:paraId="468A6FF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47F5675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6A7647A1" w14:textId="77777777" w:rsidTr="00CE19B2">
        <w:trPr>
          <w:trHeight w:val="257"/>
        </w:trPr>
        <w:tc>
          <w:tcPr>
            <w:tcW w:w="6737" w:type="dxa"/>
            <w:tcMar>
              <w:top w:w="11" w:type="dxa"/>
              <w:left w:w="57" w:type="dxa"/>
              <w:bottom w:w="11" w:type="dxa"/>
              <w:right w:w="57" w:type="dxa"/>
            </w:tcMar>
          </w:tcPr>
          <w:p w14:paraId="281F7330" w14:textId="75FA80C3"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and 31 March</w:t>
            </w:r>
          </w:p>
        </w:tc>
        <w:tc>
          <w:tcPr>
            <w:tcW w:w="1193" w:type="dxa"/>
            <w:tcMar>
              <w:top w:w="11" w:type="dxa"/>
              <w:left w:w="57" w:type="dxa"/>
              <w:bottom w:w="11" w:type="dxa"/>
              <w:right w:w="57" w:type="dxa"/>
            </w:tcMar>
          </w:tcPr>
          <w:p w14:paraId="5992BDD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851" w:type="dxa"/>
            <w:tcBorders>
              <w:top w:val="single" w:sz="4" w:space="0" w:color="auto"/>
              <w:bottom w:val="single" w:sz="4" w:space="0" w:color="auto"/>
            </w:tcBorders>
          </w:tcPr>
          <w:p w14:paraId="6D8902C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413.0</w:t>
            </w:r>
          </w:p>
        </w:tc>
        <w:tc>
          <w:tcPr>
            <w:tcW w:w="932" w:type="dxa"/>
            <w:tcBorders>
              <w:top w:val="single" w:sz="4" w:space="0" w:color="auto"/>
              <w:bottom w:val="single" w:sz="4" w:space="0" w:color="auto"/>
            </w:tcBorders>
            <w:tcMar>
              <w:top w:w="11" w:type="dxa"/>
              <w:left w:w="57" w:type="dxa"/>
              <w:bottom w:w="11" w:type="dxa"/>
              <w:right w:w="57" w:type="dxa"/>
            </w:tcMar>
          </w:tcPr>
          <w:p w14:paraId="3C3C25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413.0</w:t>
            </w:r>
          </w:p>
        </w:tc>
      </w:tr>
    </w:tbl>
    <w:p w14:paraId="56A6DFED"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5AE96B47"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47C55703"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78A7EE38"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32.</w:t>
      </w:r>
      <w:r w:rsidRPr="00735726">
        <w:rPr>
          <w:rFonts w:ascii="Arial" w:eastAsia="Times New Roman" w:hAnsi="Arial" w:cs="Arial"/>
          <w:b/>
          <w:bCs/>
          <w:caps/>
          <w:color w:val="000000"/>
          <w:sz w:val="18"/>
          <w:szCs w:val="18"/>
        </w:rPr>
        <w:tab/>
        <w:t>Retained earnings and other reserves</w:t>
      </w:r>
    </w:p>
    <w:tbl>
      <w:tblPr>
        <w:tblW w:w="9915" w:type="dxa"/>
        <w:tblInd w:w="8" w:type="dxa"/>
        <w:tblLayout w:type="fixed"/>
        <w:tblCellMar>
          <w:left w:w="0" w:type="dxa"/>
          <w:right w:w="0" w:type="dxa"/>
        </w:tblCellMar>
        <w:tblLook w:val="0000" w:firstRow="0" w:lastRow="0" w:firstColumn="0" w:lastColumn="0" w:noHBand="0" w:noVBand="0"/>
      </w:tblPr>
      <w:tblGrid>
        <w:gridCol w:w="4761"/>
        <w:gridCol w:w="901"/>
        <w:gridCol w:w="1417"/>
        <w:gridCol w:w="1418"/>
        <w:gridCol w:w="1418"/>
      </w:tblGrid>
      <w:tr w:rsidR="00646F4F" w:rsidRPr="00735726" w14:paraId="31647CA2" w14:textId="77777777" w:rsidTr="00CE19B2">
        <w:trPr>
          <w:trHeight w:val="249"/>
          <w:tblHeader/>
        </w:trPr>
        <w:tc>
          <w:tcPr>
            <w:tcW w:w="4761" w:type="dxa"/>
            <w:tcMar>
              <w:top w:w="11" w:type="dxa"/>
              <w:left w:w="57" w:type="dxa"/>
              <w:bottom w:w="11" w:type="dxa"/>
              <w:right w:w="57" w:type="dxa"/>
            </w:tcMar>
          </w:tcPr>
          <w:p w14:paraId="5D6ADC45"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FF0000"/>
                <w:sz w:val="18"/>
                <w:szCs w:val="18"/>
              </w:rPr>
            </w:pPr>
          </w:p>
        </w:tc>
        <w:tc>
          <w:tcPr>
            <w:tcW w:w="901" w:type="dxa"/>
            <w:vAlign w:val="bottom"/>
          </w:tcPr>
          <w:p w14:paraId="67911BB4"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44E0C406"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p w14:paraId="7DCCE8C7" w14:textId="77777777" w:rsidR="00646F4F" w:rsidRPr="009A2CAE"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417" w:type="dxa"/>
            <w:tcMar>
              <w:top w:w="11" w:type="dxa"/>
              <w:left w:w="57" w:type="dxa"/>
              <w:bottom w:w="11" w:type="dxa"/>
              <w:right w:w="57" w:type="dxa"/>
            </w:tcMar>
          </w:tcPr>
          <w:p w14:paraId="390B08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Hedging </w:t>
            </w:r>
            <w:r w:rsidRPr="00735726">
              <w:rPr>
                <w:rFonts w:ascii="Arial" w:eastAsia="Times New Roman" w:hAnsi="Arial" w:cs="DINOT-Light"/>
                <w:b/>
                <w:color w:val="000000"/>
                <w:sz w:val="18"/>
                <w:szCs w:val="18"/>
              </w:rPr>
              <w:br/>
              <w:t>reserve</w:t>
            </w:r>
          </w:p>
          <w:p w14:paraId="7760CA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418" w:type="dxa"/>
            <w:tcMar>
              <w:top w:w="11" w:type="dxa"/>
              <w:left w:w="57" w:type="dxa"/>
              <w:bottom w:w="11" w:type="dxa"/>
              <w:right w:w="57" w:type="dxa"/>
            </w:tcMar>
          </w:tcPr>
          <w:p w14:paraId="5739E9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Retained earnings</w:t>
            </w:r>
          </w:p>
          <w:p w14:paraId="63B7589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418" w:type="dxa"/>
            <w:tcMar>
              <w:top w:w="11" w:type="dxa"/>
              <w:left w:w="57" w:type="dxa"/>
              <w:bottom w:w="11" w:type="dxa"/>
              <w:right w:w="57" w:type="dxa"/>
            </w:tcMar>
          </w:tcPr>
          <w:p w14:paraId="0BCE156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7C18295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Total </w:t>
            </w:r>
          </w:p>
          <w:p w14:paraId="45F70AC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28CD53CD" w14:textId="77777777" w:rsidTr="00CE19B2">
        <w:trPr>
          <w:trHeight w:val="229"/>
        </w:trPr>
        <w:tc>
          <w:tcPr>
            <w:tcW w:w="4761" w:type="dxa"/>
            <w:tcMar>
              <w:top w:w="11" w:type="dxa"/>
              <w:left w:w="57" w:type="dxa"/>
              <w:bottom w:w="11" w:type="dxa"/>
              <w:right w:w="57" w:type="dxa"/>
            </w:tcMar>
          </w:tcPr>
          <w:p w14:paraId="770E299E" w14:textId="5636F18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73" w:name="XMETag_e8c8affc727b4dbaae50509b828fbd24" w:colFirst="2" w:colLast="2"/>
            <w:bookmarkStart w:id="1174" w:name="XMETag_0bc0cdba6ff64e189750815dc03e40e7" w:colFirst="3" w:colLast="3"/>
            <w:bookmarkStart w:id="1175" w:name="XMETag_64ffc5c4579b4599a536f8aeab453d51" w:colFirst="4" w:colLast="4"/>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1 April 2024</w:t>
            </w:r>
          </w:p>
        </w:tc>
        <w:tc>
          <w:tcPr>
            <w:tcW w:w="901" w:type="dxa"/>
          </w:tcPr>
          <w:p w14:paraId="755F7946"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417" w:type="dxa"/>
            <w:tcMar>
              <w:top w:w="11" w:type="dxa"/>
              <w:left w:w="57" w:type="dxa"/>
              <w:bottom w:w="11" w:type="dxa"/>
              <w:right w:w="57" w:type="dxa"/>
            </w:tcMar>
          </w:tcPr>
          <w:p w14:paraId="6ABC5B6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26.3</w:t>
            </w:r>
          </w:p>
        </w:tc>
        <w:tc>
          <w:tcPr>
            <w:tcW w:w="1418" w:type="dxa"/>
            <w:tcMar>
              <w:top w:w="11" w:type="dxa"/>
              <w:left w:w="57" w:type="dxa"/>
              <w:bottom w:w="11" w:type="dxa"/>
              <w:right w:w="57" w:type="dxa"/>
            </w:tcMar>
          </w:tcPr>
          <w:p w14:paraId="570B6AB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176.0</w:t>
            </w:r>
          </w:p>
        </w:tc>
        <w:tc>
          <w:tcPr>
            <w:tcW w:w="1418" w:type="dxa"/>
            <w:tcMar>
              <w:top w:w="11" w:type="dxa"/>
              <w:left w:w="57" w:type="dxa"/>
              <w:bottom w:w="11" w:type="dxa"/>
              <w:right w:w="57" w:type="dxa"/>
            </w:tcMar>
          </w:tcPr>
          <w:p w14:paraId="6C08CD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202.3</w:t>
            </w:r>
          </w:p>
        </w:tc>
      </w:tr>
      <w:tr w:rsidR="00646F4F" w:rsidRPr="00735726" w14:paraId="0B887500" w14:textId="77777777" w:rsidTr="00CE19B2">
        <w:trPr>
          <w:trHeight w:val="229"/>
        </w:trPr>
        <w:tc>
          <w:tcPr>
            <w:tcW w:w="4761" w:type="dxa"/>
            <w:tcMar>
              <w:top w:w="11" w:type="dxa"/>
              <w:left w:w="57" w:type="dxa"/>
              <w:bottom w:w="11" w:type="dxa"/>
              <w:right w:w="57" w:type="dxa"/>
            </w:tcMar>
          </w:tcPr>
          <w:p w14:paraId="681496D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76" w:name="XMETag_16d80acbc8694df7a266b45aab0ed094" w:colFirst="2" w:colLast="2"/>
            <w:bookmarkStart w:id="1177" w:name="XMETag_5217a174385a42c791714978923aac59" w:colFirst="3" w:colLast="3"/>
            <w:bookmarkStart w:id="1178" w:name="XMETag_5e8dbe5b50974e87be59ecf7a65d6a86" w:colFirst="4" w:colLast="4"/>
            <w:bookmarkEnd w:id="1173"/>
            <w:bookmarkEnd w:id="1174"/>
            <w:bookmarkEnd w:id="1175"/>
            <w:r w:rsidRPr="00735726">
              <w:rPr>
                <w:rFonts w:ascii="Arial" w:eastAsia="Times New Roman" w:hAnsi="Arial" w:cs="DINOT-Light"/>
                <w:color w:val="000000"/>
                <w:sz w:val="18"/>
                <w:szCs w:val="18"/>
              </w:rPr>
              <w:t>Loss for the year</w:t>
            </w:r>
          </w:p>
        </w:tc>
        <w:tc>
          <w:tcPr>
            <w:tcW w:w="901" w:type="dxa"/>
          </w:tcPr>
          <w:p w14:paraId="78EBBF39"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417" w:type="dxa"/>
            <w:tcMar>
              <w:top w:w="11" w:type="dxa"/>
              <w:left w:w="57" w:type="dxa"/>
              <w:bottom w:w="11" w:type="dxa"/>
              <w:right w:w="57" w:type="dxa"/>
            </w:tcMar>
          </w:tcPr>
          <w:p w14:paraId="0713D6F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18" w:type="dxa"/>
            <w:tcMar>
              <w:top w:w="11" w:type="dxa"/>
              <w:left w:w="57" w:type="dxa"/>
              <w:bottom w:w="11" w:type="dxa"/>
              <w:right w:w="57" w:type="dxa"/>
            </w:tcMar>
          </w:tcPr>
          <w:p w14:paraId="1F2B3CF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(48.6)</w:t>
            </w:r>
          </w:p>
        </w:tc>
        <w:tc>
          <w:tcPr>
            <w:tcW w:w="1418" w:type="dxa"/>
            <w:tcMar>
              <w:top w:w="11" w:type="dxa"/>
              <w:left w:w="57" w:type="dxa"/>
              <w:bottom w:w="11" w:type="dxa"/>
              <w:right w:w="57" w:type="dxa"/>
            </w:tcMar>
          </w:tcPr>
          <w:p w14:paraId="58CEAB2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(48.6)</w:t>
            </w:r>
          </w:p>
        </w:tc>
      </w:tr>
      <w:tr w:rsidR="00646F4F" w:rsidRPr="00735726" w14:paraId="3C8433A4" w14:textId="77777777" w:rsidTr="00CE19B2">
        <w:trPr>
          <w:trHeight w:val="236"/>
        </w:trPr>
        <w:tc>
          <w:tcPr>
            <w:tcW w:w="4761" w:type="dxa"/>
            <w:tcMar>
              <w:top w:w="11" w:type="dxa"/>
              <w:left w:w="57" w:type="dxa"/>
              <w:bottom w:w="11" w:type="dxa"/>
              <w:right w:w="57" w:type="dxa"/>
            </w:tcMar>
          </w:tcPr>
          <w:p w14:paraId="0CFD2A3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79" w:name="XMETag_e49aaae2d28c44379677c6436b528d88" w:colFirst="2" w:colLast="2"/>
            <w:bookmarkStart w:id="1180" w:name="XMETag_d268805146af49ff86c70948295082e8" w:colFirst="3" w:colLast="3"/>
            <w:bookmarkStart w:id="1181" w:name="XMETag_2b9897f1de2a45e19cac81f0d3ab3759" w:colFirst="4" w:colLast="4"/>
            <w:bookmarkEnd w:id="1176"/>
            <w:bookmarkEnd w:id="1177"/>
            <w:bookmarkEnd w:id="1178"/>
            <w:r w:rsidRPr="00735726">
              <w:rPr>
                <w:rFonts w:ascii="Arial" w:eastAsia="Times New Roman" w:hAnsi="Arial" w:cs="DINOT-Light"/>
                <w:color w:val="000000"/>
                <w:sz w:val="18"/>
                <w:szCs w:val="18"/>
              </w:rPr>
              <w:t>Other comprehensive (loss)/income for the year</w:t>
            </w:r>
          </w:p>
        </w:tc>
        <w:tc>
          <w:tcPr>
            <w:tcW w:w="901" w:type="dxa"/>
          </w:tcPr>
          <w:p w14:paraId="67492FB5"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417" w:type="dxa"/>
            <w:tcMar>
              <w:top w:w="11" w:type="dxa"/>
              <w:left w:w="57" w:type="dxa"/>
              <w:bottom w:w="11" w:type="dxa"/>
              <w:right w:w="57" w:type="dxa"/>
            </w:tcMar>
          </w:tcPr>
          <w:p w14:paraId="7DB827A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w:t>
            </w:r>
          </w:p>
        </w:tc>
        <w:tc>
          <w:tcPr>
            <w:tcW w:w="1418" w:type="dxa"/>
            <w:tcMar>
              <w:top w:w="11" w:type="dxa"/>
              <w:left w:w="57" w:type="dxa"/>
              <w:bottom w:w="11" w:type="dxa"/>
              <w:right w:w="57" w:type="dxa"/>
            </w:tcMar>
          </w:tcPr>
          <w:p w14:paraId="1CD5A63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w:t>
            </w:r>
          </w:p>
        </w:tc>
        <w:tc>
          <w:tcPr>
            <w:tcW w:w="1418" w:type="dxa"/>
            <w:tcMar>
              <w:top w:w="11" w:type="dxa"/>
              <w:left w:w="57" w:type="dxa"/>
              <w:bottom w:w="11" w:type="dxa"/>
              <w:right w:w="57" w:type="dxa"/>
            </w:tcMar>
          </w:tcPr>
          <w:p w14:paraId="4B55FAD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0.5</w:t>
            </w:r>
          </w:p>
        </w:tc>
      </w:tr>
      <w:tr w:rsidR="00646F4F" w:rsidRPr="00735726" w14:paraId="0901BF72" w14:textId="77777777" w:rsidTr="00CE19B2">
        <w:trPr>
          <w:trHeight w:val="229"/>
        </w:trPr>
        <w:tc>
          <w:tcPr>
            <w:tcW w:w="4761" w:type="dxa"/>
            <w:tcMar>
              <w:top w:w="11" w:type="dxa"/>
              <w:left w:w="57" w:type="dxa"/>
              <w:bottom w:w="11" w:type="dxa"/>
              <w:right w:w="57" w:type="dxa"/>
            </w:tcMar>
          </w:tcPr>
          <w:p w14:paraId="36BDDCE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82" w:name="XMETag_c843e9edf16b4b389c148b8651c9801f" w:colFirst="3" w:colLast="3"/>
            <w:bookmarkStart w:id="1183" w:name="XMETag_e599fdacfaf54b368d2cbf5ce691d3ac" w:colFirst="4" w:colLast="4"/>
            <w:bookmarkEnd w:id="1179"/>
            <w:bookmarkEnd w:id="1180"/>
            <w:bookmarkEnd w:id="1181"/>
            <w:r w:rsidRPr="00735726">
              <w:rPr>
                <w:rFonts w:ascii="Arial" w:eastAsia="Times New Roman" w:hAnsi="Arial" w:cs="DINOT-Light"/>
                <w:color w:val="000000"/>
                <w:sz w:val="18"/>
                <w:szCs w:val="18"/>
              </w:rPr>
              <w:t>Share-based payments (net of tax)</w:t>
            </w:r>
          </w:p>
        </w:tc>
        <w:tc>
          <w:tcPr>
            <w:tcW w:w="901" w:type="dxa"/>
          </w:tcPr>
          <w:p w14:paraId="2CCFE727"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417" w:type="dxa"/>
            <w:tcMar>
              <w:top w:w="11" w:type="dxa"/>
              <w:left w:w="57" w:type="dxa"/>
              <w:bottom w:w="11" w:type="dxa"/>
              <w:right w:w="57" w:type="dxa"/>
            </w:tcMar>
          </w:tcPr>
          <w:p w14:paraId="3EE3923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18" w:type="dxa"/>
            <w:tcMar>
              <w:top w:w="11" w:type="dxa"/>
              <w:left w:w="57" w:type="dxa"/>
              <w:bottom w:w="11" w:type="dxa"/>
              <w:right w:w="57" w:type="dxa"/>
            </w:tcMar>
          </w:tcPr>
          <w:p w14:paraId="3B6D3A0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w:t>
            </w:r>
          </w:p>
        </w:tc>
        <w:tc>
          <w:tcPr>
            <w:tcW w:w="1418" w:type="dxa"/>
            <w:tcMar>
              <w:top w:w="11" w:type="dxa"/>
              <w:left w:w="57" w:type="dxa"/>
              <w:bottom w:w="11" w:type="dxa"/>
              <w:right w:w="57" w:type="dxa"/>
            </w:tcMar>
          </w:tcPr>
          <w:p w14:paraId="6857BD3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w:t>
            </w:r>
          </w:p>
        </w:tc>
      </w:tr>
      <w:tr w:rsidR="00646F4F" w:rsidRPr="00735726" w14:paraId="4F6E2A31" w14:textId="77777777" w:rsidTr="00CE19B2">
        <w:trPr>
          <w:trHeight w:val="195"/>
        </w:trPr>
        <w:tc>
          <w:tcPr>
            <w:tcW w:w="4761" w:type="dxa"/>
            <w:tcMar>
              <w:top w:w="11" w:type="dxa"/>
              <w:left w:w="57" w:type="dxa"/>
              <w:bottom w:w="11" w:type="dxa"/>
              <w:right w:w="57" w:type="dxa"/>
            </w:tcMar>
          </w:tcPr>
          <w:p w14:paraId="231A263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84" w:name="XMETag_e60572bb6d3f4e7f9b157ab5e9cf5553" w:colFirst="2" w:colLast="2"/>
            <w:bookmarkStart w:id="1185" w:name="XMETag_22b5ea6e27a7462fad27ed10583ae772" w:colFirst="3" w:colLast="3"/>
            <w:bookmarkStart w:id="1186" w:name="XMETag_31c63367cd2c4e43a8a40670f201705d" w:colFirst="4" w:colLast="4"/>
            <w:bookmarkEnd w:id="1182"/>
            <w:bookmarkEnd w:id="1183"/>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2025</w:t>
            </w:r>
          </w:p>
        </w:tc>
        <w:tc>
          <w:tcPr>
            <w:tcW w:w="901" w:type="dxa"/>
          </w:tcPr>
          <w:p w14:paraId="3D382554"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417" w:type="dxa"/>
            <w:tcBorders>
              <w:top w:val="single" w:sz="4" w:space="0" w:color="auto"/>
            </w:tcBorders>
            <w:tcMar>
              <w:top w:w="11" w:type="dxa"/>
              <w:left w:w="57" w:type="dxa"/>
              <w:bottom w:w="11" w:type="dxa"/>
              <w:right w:w="57" w:type="dxa"/>
            </w:tcMar>
          </w:tcPr>
          <w:p w14:paraId="2DFCE7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24.3</w:t>
            </w:r>
          </w:p>
        </w:tc>
        <w:tc>
          <w:tcPr>
            <w:tcW w:w="1418" w:type="dxa"/>
            <w:tcBorders>
              <w:top w:val="single" w:sz="4" w:space="0" w:color="auto"/>
            </w:tcBorders>
            <w:tcMar>
              <w:top w:w="11" w:type="dxa"/>
              <w:left w:w="57" w:type="dxa"/>
              <w:bottom w:w="11" w:type="dxa"/>
              <w:right w:w="57" w:type="dxa"/>
            </w:tcMar>
          </w:tcPr>
          <w:p w14:paraId="5A3E67A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130.2</w:t>
            </w:r>
          </w:p>
        </w:tc>
        <w:tc>
          <w:tcPr>
            <w:tcW w:w="1418" w:type="dxa"/>
            <w:tcBorders>
              <w:top w:val="single" w:sz="4" w:space="0" w:color="auto"/>
            </w:tcBorders>
            <w:tcMar>
              <w:top w:w="11" w:type="dxa"/>
              <w:left w:w="57" w:type="dxa"/>
              <w:bottom w:w="11" w:type="dxa"/>
              <w:right w:w="57" w:type="dxa"/>
            </w:tcMar>
          </w:tcPr>
          <w:p w14:paraId="271AEFC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bCs/>
                <w:color w:val="000000"/>
                <w:sz w:val="18"/>
                <w:szCs w:val="18"/>
              </w:rPr>
              <w:t>154.5</w:t>
            </w:r>
          </w:p>
        </w:tc>
      </w:tr>
      <w:tr w:rsidR="00646F4F" w:rsidRPr="00735726" w14:paraId="19CE1D16" w14:textId="77777777" w:rsidTr="00CE19B2">
        <w:trPr>
          <w:trHeight w:val="229"/>
        </w:trPr>
        <w:tc>
          <w:tcPr>
            <w:tcW w:w="4761" w:type="dxa"/>
            <w:tcMar>
              <w:top w:w="11" w:type="dxa"/>
              <w:left w:w="57" w:type="dxa"/>
              <w:bottom w:w="11" w:type="dxa"/>
              <w:right w:w="57" w:type="dxa"/>
            </w:tcMar>
          </w:tcPr>
          <w:p w14:paraId="505585C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87" w:name="XMETag_9c6e1c82b73c4c1f82d24259a2dfb9d7" w:colFirst="2" w:colLast="2"/>
            <w:bookmarkStart w:id="1188" w:name="XMETag_32f459b3f01148cbb374ce8f62b4fd73" w:colFirst="3" w:colLast="3"/>
            <w:bookmarkStart w:id="1189" w:name="XMETag_5ec714eaf252416b85d2dda97609c103" w:colFirst="4" w:colLast="4"/>
            <w:bookmarkEnd w:id="1184"/>
            <w:bookmarkEnd w:id="1185"/>
            <w:bookmarkEnd w:id="1186"/>
            <w:r w:rsidRPr="00735726">
              <w:rPr>
                <w:rFonts w:ascii="Arial" w:eastAsia="Times New Roman" w:hAnsi="Arial" w:cs="DINOT-Light"/>
                <w:color w:val="000000"/>
                <w:sz w:val="18"/>
                <w:szCs w:val="18"/>
              </w:rPr>
              <w:t>Profit for the year</w:t>
            </w:r>
          </w:p>
        </w:tc>
        <w:tc>
          <w:tcPr>
            <w:tcW w:w="901" w:type="dxa"/>
          </w:tcPr>
          <w:p w14:paraId="7BF9CCF3"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417" w:type="dxa"/>
            <w:tcMar>
              <w:top w:w="11" w:type="dxa"/>
              <w:left w:w="57" w:type="dxa"/>
              <w:bottom w:w="11" w:type="dxa"/>
              <w:right w:w="57" w:type="dxa"/>
            </w:tcMar>
          </w:tcPr>
          <w:p w14:paraId="3938862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18" w:type="dxa"/>
            <w:tcMar>
              <w:top w:w="11" w:type="dxa"/>
              <w:left w:w="57" w:type="dxa"/>
              <w:bottom w:w="11" w:type="dxa"/>
              <w:right w:w="57" w:type="dxa"/>
            </w:tcMar>
          </w:tcPr>
          <w:p w14:paraId="48806EF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sz w:val="18"/>
                <w:szCs w:val="18"/>
              </w:rPr>
            </w:pPr>
            <w:r w:rsidRPr="00735726">
              <w:rPr>
                <w:rFonts w:ascii="Arial" w:eastAsia="Times New Roman" w:hAnsi="Arial" w:cs="DINOT-Light"/>
                <w:sz w:val="18"/>
                <w:szCs w:val="18"/>
              </w:rPr>
              <w:t>91.4</w:t>
            </w:r>
          </w:p>
        </w:tc>
        <w:tc>
          <w:tcPr>
            <w:tcW w:w="1418" w:type="dxa"/>
            <w:tcMar>
              <w:top w:w="11" w:type="dxa"/>
              <w:left w:w="57" w:type="dxa"/>
              <w:bottom w:w="11" w:type="dxa"/>
              <w:right w:w="57" w:type="dxa"/>
            </w:tcMar>
          </w:tcPr>
          <w:p w14:paraId="022D2A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91.4</w:t>
            </w:r>
          </w:p>
        </w:tc>
      </w:tr>
      <w:tr w:rsidR="00646F4F" w:rsidRPr="00735726" w14:paraId="30EA00FD" w14:textId="77777777" w:rsidTr="00CE19B2">
        <w:trPr>
          <w:trHeight w:val="236"/>
        </w:trPr>
        <w:tc>
          <w:tcPr>
            <w:tcW w:w="4761" w:type="dxa"/>
            <w:tcMar>
              <w:top w:w="11" w:type="dxa"/>
              <w:left w:w="57" w:type="dxa"/>
              <w:bottom w:w="11" w:type="dxa"/>
              <w:right w:w="57" w:type="dxa"/>
            </w:tcMar>
          </w:tcPr>
          <w:p w14:paraId="133E88D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90" w:name="XMETag_76bb399a8dfd4011a8628a6078c212d7" w:colFirst="2" w:colLast="2"/>
            <w:bookmarkStart w:id="1191" w:name="XMETag_b4d6a20f4ef34aaca23b93a54037d931" w:colFirst="3" w:colLast="3"/>
            <w:bookmarkStart w:id="1192" w:name="XMETag_5dba769e175b476aa1bb31936b5d5a13" w:colFirst="4" w:colLast="4"/>
            <w:bookmarkEnd w:id="1187"/>
            <w:bookmarkEnd w:id="1188"/>
            <w:bookmarkEnd w:id="1189"/>
            <w:r w:rsidRPr="00735726">
              <w:rPr>
                <w:rFonts w:ascii="Arial" w:eastAsia="Times New Roman" w:hAnsi="Arial" w:cs="DINOT-Light"/>
                <w:color w:val="000000"/>
                <w:sz w:val="18"/>
                <w:szCs w:val="18"/>
              </w:rPr>
              <w:t>Other comprehensive income/(loss) for the year</w:t>
            </w:r>
          </w:p>
        </w:tc>
        <w:tc>
          <w:tcPr>
            <w:tcW w:w="901" w:type="dxa"/>
          </w:tcPr>
          <w:p w14:paraId="6114AB9F"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417" w:type="dxa"/>
            <w:tcMar>
              <w:top w:w="11" w:type="dxa"/>
              <w:left w:w="57" w:type="dxa"/>
              <w:bottom w:w="11" w:type="dxa"/>
              <w:right w:w="57" w:type="dxa"/>
            </w:tcMar>
          </w:tcPr>
          <w:p w14:paraId="7108D4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0.5</w:t>
            </w:r>
          </w:p>
        </w:tc>
        <w:tc>
          <w:tcPr>
            <w:tcW w:w="1418" w:type="dxa"/>
            <w:tcMar>
              <w:top w:w="11" w:type="dxa"/>
              <w:left w:w="57" w:type="dxa"/>
              <w:bottom w:w="11" w:type="dxa"/>
              <w:right w:w="57" w:type="dxa"/>
            </w:tcMar>
          </w:tcPr>
          <w:p w14:paraId="7ADA336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(1.9)</w:t>
            </w:r>
          </w:p>
        </w:tc>
        <w:tc>
          <w:tcPr>
            <w:tcW w:w="1418" w:type="dxa"/>
            <w:tcMar>
              <w:top w:w="11" w:type="dxa"/>
              <w:left w:w="57" w:type="dxa"/>
              <w:bottom w:w="11" w:type="dxa"/>
              <w:right w:w="57" w:type="dxa"/>
            </w:tcMar>
          </w:tcPr>
          <w:p w14:paraId="1FF263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(1.4)</w:t>
            </w:r>
          </w:p>
        </w:tc>
      </w:tr>
      <w:tr w:rsidR="00646F4F" w:rsidRPr="00735726" w14:paraId="048A4853" w14:textId="77777777" w:rsidTr="00CE19B2">
        <w:trPr>
          <w:trHeight w:val="236"/>
        </w:trPr>
        <w:tc>
          <w:tcPr>
            <w:tcW w:w="4761" w:type="dxa"/>
            <w:tcMar>
              <w:top w:w="11" w:type="dxa"/>
              <w:left w:w="57" w:type="dxa"/>
              <w:bottom w:w="11" w:type="dxa"/>
              <w:right w:w="57" w:type="dxa"/>
            </w:tcMar>
          </w:tcPr>
          <w:p w14:paraId="1C34B8E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Dividends paid/payable</w:t>
            </w:r>
          </w:p>
        </w:tc>
        <w:tc>
          <w:tcPr>
            <w:tcW w:w="901" w:type="dxa"/>
          </w:tcPr>
          <w:p w14:paraId="2DA5A12D"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417" w:type="dxa"/>
            <w:tcMar>
              <w:top w:w="11" w:type="dxa"/>
              <w:left w:w="57" w:type="dxa"/>
              <w:bottom w:w="11" w:type="dxa"/>
              <w:right w:w="57" w:type="dxa"/>
            </w:tcMar>
          </w:tcPr>
          <w:p w14:paraId="4625047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18" w:type="dxa"/>
            <w:tcMar>
              <w:top w:w="11" w:type="dxa"/>
              <w:left w:w="57" w:type="dxa"/>
              <w:bottom w:w="11" w:type="dxa"/>
              <w:right w:w="57" w:type="dxa"/>
            </w:tcMar>
          </w:tcPr>
          <w:p w14:paraId="1529A0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(200.0)</w:t>
            </w:r>
          </w:p>
        </w:tc>
        <w:tc>
          <w:tcPr>
            <w:tcW w:w="1418" w:type="dxa"/>
            <w:tcMar>
              <w:top w:w="11" w:type="dxa"/>
              <w:left w:w="57" w:type="dxa"/>
              <w:bottom w:w="11" w:type="dxa"/>
              <w:right w:w="57" w:type="dxa"/>
            </w:tcMar>
          </w:tcPr>
          <w:p w14:paraId="791061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(200.0)</w:t>
            </w:r>
          </w:p>
        </w:tc>
      </w:tr>
      <w:tr w:rsidR="00646F4F" w:rsidRPr="00735726" w14:paraId="7BCD5213" w14:textId="77777777" w:rsidTr="00CE19B2">
        <w:trPr>
          <w:trHeight w:val="229"/>
        </w:trPr>
        <w:tc>
          <w:tcPr>
            <w:tcW w:w="4761" w:type="dxa"/>
            <w:tcMar>
              <w:top w:w="11" w:type="dxa"/>
              <w:left w:w="57" w:type="dxa"/>
              <w:bottom w:w="11" w:type="dxa"/>
              <w:right w:w="57" w:type="dxa"/>
            </w:tcMar>
          </w:tcPr>
          <w:p w14:paraId="48054FA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93" w:name="XMETag_c30e3d7389f94540a9a79e5fcccde024" w:colFirst="2" w:colLast="2"/>
            <w:bookmarkStart w:id="1194" w:name="XMETag_e45992ee537f455eaef84663222c8c54" w:colFirst="3" w:colLast="3"/>
            <w:bookmarkStart w:id="1195" w:name="XMETag_be154ddfb4db492eb1361146cc18f153" w:colFirst="4" w:colLast="4"/>
            <w:bookmarkEnd w:id="1190"/>
            <w:bookmarkEnd w:id="1191"/>
            <w:bookmarkEnd w:id="1192"/>
            <w:r w:rsidRPr="00735726">
              <w:rPr>
                <w:rFonts w:ascii="Arial" w:eastAsia="Times New Roman" w:hAnsi="Arial" w:cs="DINOT-Light"/>
                <w:color w:val="000000"/>
                <w:sz w:val="18"/>
                <w:szCs w:val="18"/>
              </w:rPr>
              <w:t>Share-based payments (net of tax)</w:t>
            </w:r>
          </w:p>
        </w:tc>
        <w:tc>
          <w:tcPr>
            <w:tcW w:w="901" w:type="dxa"/>
          </w:tcPr>
          <w:p w14:paraId="0ECE6A2E"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color w:val="000000"/>
                <w:sz w:val="18"/>
                <w:szCs w:val="18"/>
              </w:rPr>
            </w:pPr>
          </w:p>
        </w:tc>
        <w:tc>
          <w:tcPr>
            <w:tcW w:w="1417" w:type="dxa"/>
            <w:tcMar>
              <w:top w:w="11" w:type="dxa"/>
              <w:left w:w="57" w:type="dxa"/>
              <w:bottom w:w="11" w:type="dxa"/>
              <w:right w:w="57" w:type="dxa"/>
            </w:tcMar>
          </w:tcPr>
          <w:p w14:paraId="1FCC216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p>
        </w:tc>
        <w:tc>
          <w:tcPr>
            <w:tcW w:w="1418" w:type="dxa"/>
            <w:tcMar>
              <w:top w:w="11" w:type="dxa"/>
              <w:left w:w="57" w:type="dxa"/>
              <w:bottom w:w="11" w:type="dxa"/>
              <w:right w:w="57" w:type="dxa"/>
            </w:tcMar>
          </w:tcPr>
          <w:p w14:paraId="752968B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418" w:type="dxa"/>
            <w:tcMar>
              <w:top w:w="11" w:type="dxa"/>
              <w:left w:w="57" w:type="dxa"/>
              <w:bottom w:w="11" w:type="dxa"/>
              <w:right w:w="57" w:type="dxa"/>
            </w:tcMar>
          </w:tcPr>
          <w:p w14:paraId="50A2421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r>
      <w:tr w:rsidR="00646F4F" w:rsidRPr="00735726" w14:paraId="45E50BE8" w14:textId="77777777" w:rsidTr="00CE19B2">
        <w:trPr>
          <w:trHeight w:val="109"/>
        </w:trPr>
        <w:tc>
          <w:tcPr>
            <w:tcW w:w="4761" w:type="dxa"/>
            <w:tcMar>
              <w:top w:w="11" w:type="dxa"/>
              <w:left w:w="57" w:type="dxa"/>
              <w:bottom w:w="11" w:type="dxa"/>
              <w:right w:w="57" w:type="dxa"/>
            </w:tcMar>
          </w:tcPr>
          <w:p w14:paraId="0ED2A32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196" w:name="XMETag_0c83ca5fd7904bf89baa23371bf165bb" w:colFirst="2" w:colLast="2"/>
            <w:bookmarkStart w:id="1197" w:name="XMETag_49825d62ad864ab1913572b61b95df23" w:colFirst="3" w:colLast="3"/>
            <w:bookmarkStart w:id="1198" w:name="XMETag_52f7ba3399924a8baf282165349a9c26" w:colFirst="4" w:colLast="4"/>
            <w:bookmarkEnd w:id="1193"/>
            <w:bookmarkEnd w:id="1194"/>
            <w:bookmarkEnd w:id="1195"/>
            <w:proofErr w:type="gramStart"/>
            <w:r w:rsidRPr="00735726">
              <w:rPr>
                <w:rFonts w:ascii="Arial" w:eastAsia="Times New Roman" w:hAnsi="Arial" w:cs="DINOT-Light"/>
                <w:b/>
                <w:color w:val="000000"/>
                <w:sz w:val="18"/>
                <w:szCs w:val="18"/>
              </w:rPr>
              <w:t>At</w:t>
            </w:r>
            <w:proofErr w:type="gramEnd"/>
            <w:r w:rsidRPr="00735726">
              <w:rPr>
                <w:rFonts w:ascii="Arial" w:eastAsia="Times New Roman" w:hAnsi="Arial" w:cs="DINOT-Light"/>
                <w:b/>
                <w:color w:val="000000"/>
                <w:sz w:val="18"/>
                <w:szCs w:val="18"/>
              </w:rPr>
              <w:t xml:space="preserve"> 31 March 2026</w:t>
            </w:r>
          </w:p>
        </w:tc>
        <w:tc>
          <w:tcPr>
            <w:tcW w:w="901" w:type="dxa"/>
          </w:tcPr>
          <w:p w14:paraId="41CAF45A" w14:textId="77777777" w:rsidR="00646F4F" w:rsidRPr="00735726" w:rsidRDefault="00646F4F" w:rsidP="00CE19B2">
            <w:pPr>
              <w:widowControl w:val="0"/>
              <w:suppressAutoHyphens/>
              <w:autoSpaceDE w:val="0"/>
              <w:autoSpaceDN w:val="0"/>
              <w:adjustRightInd w:val="0"/>
              <w:spacing w:after="0" w:line="220" w:lineRule="atLeast"/>
              <w:jc w:val="center"/>
              <w:textAlignment w:val="center"/>
              <w:rPr>
                <w:rFonts w:ascii="Arial" w:eastAsia="Times New Roman" w:hAnsi="Arial" w:cs="DINOT-Light"/>
                <w:b/>
                <w:color w:val="000000"/>
                <w:sz w:val="18"/>
                <w:szCs w:val="18"/>
              </w:rPr>
            </w:pPr>
          </w:p>
        </w:tc>
        <w:tc>
          <w:tcPr>
            <w:tcW w:w="1417" w:type="dxa"/>
            <w:tcBorders>
              <w:top w:val="single" w:sz="4" w:space="0" w:color="auto"/>
              <w:bottom w:val="single" w:sz="4" w:space="0" w:color="auto"/>
            </w:tcBorders>
            <w:tcMar>
              <w:top w:w="11" w:type="dxa"/>
              <w:left w:w="57" w:type="dxa"/>
              <w:bottom w:w="11" w:type="dxa"/>
              <w:right w:w="57" w:type="dxa"/>
            </w:tcMar>
          </w:tcPr>
          <w:p w14:paraId="220CF5F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24.8</w:t>
            </w:r>
          </w:p>
        </w:tc>
        <w:tc>
          <w:tcPr>
            <w:tcW w:w="1418" w:type="dxa"/>
            <w:tcBorders>
              <w:top w:val="single" w:sz="4" w:space="0" w:color="auto"/>
              <w:bottom w:val="single" w:sz="4" w:space="0" w:color="auto"/>
            </w:tcBorders>
            <w:tcMar>
              <w:top w:w="11" w:type="dxa"/>
              <w:left w:w="57" w:type="dxa"/>
              <w:bottom w:w="11" w:type="dxa"/>
              <w:right w:w="57" w:type="dxa"/>
            </w:tcMar>
          </w:tcPr>
          <w:p w14:paraId="6644D35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20.5</w:t>
            </w:r>
          </w:p>
        </w:tc>
        <w:tc>
          <w:tcPr>
            <w:tcW w:w="1418" w:type="dxa"/>
            <w:tcBorders>
              <w:top w:val="single" w:sz="4" w:space="0" w:color="auto"/>
              <w:bottom w:val="single" w:sz="4" w:space="0" w:color="auto"/>
            </w:tcBorders>
            <w:tcMar>
              <w:top w:w="11" w:type="dxa"/>
              <w:left w:w="57" w:type="dxa"/>
              <w:bottom w:w="11" w:type="dxa"/>
              <w:right w:w="57" w:type="dxa"/>
            </w:tcMar>
          </w:tcPr>
          <w:p w14:paraId="796C2C1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45.3</w:t>
            </w:r>
          </w:p>
        </w:tc>
      </w:tr>
      <w:bookmarkEnd w:id="1196"/>
      <w:bookmarkEnd w:id="1197"/>
      <w:bookmarkEnd w:id="1198"/>
    </w:tbl>
    <w:p w14:paraId="7F06A61C"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D1F706A"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7A28703D"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7C66DD47" w14:textId="32DFCB0E"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33.</w:t>
      </w:r>
      <w:r w:rsidRPr="00735726">
        <w:rPr>
          <w:rFonts w:ascii="Arial" w:eastAsia="Times New Roman" w:hAnsi="Arial" w:cs="Arial"/>
          <w:b/>
          <w:bCs/>
          <w:caps/>
          <w:color w:val="000000"/>
          <w:sz w:val="18"/>
          <w:szCs w:val="18"/>
        </w:rPr>
        <w:tab/>
      </w:r>
      <w:r w:rsidR="00163376" w:rsidRPr="00735726">
        <w:rPr>
          <w:rFonts w:ascii="Arial" w:eastAsia="Times New Roman" w:hAnsi="Arial" w:cs="Arial"/>
          <w:b/>
          <w:bCs/>
          <w:caps/>
          <w:color w:val="000000"/>
          <w:sz w:val="18"/>
          <w:szCs w:val="18"/>
        </w:rPr>
        <w:t>CASH GENERATED FROM OPERATIONS</w:t>
      </w:r>
      <w:r w:rsidRPr="00735726">
        <w:rPr>
          <w:rFonts w:ascii="Arial" w:eastAsia="Times New Roman" w:hAnsi="Arial" w:cs="Arial"/>
          <w:b/>
          <w:bCs/>
          <w:caps/>
          <w:color w:val="000000"/>
          <w:sz w:val="18"/>
          <w:szCs w:val="18"/>
        </w:rPr>
        <w:t xml:space="preserve"> </w:t>
      </w:r>
    </w:p>
    <w:p w14:paraId="1143D638"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Reconciliation of (loss)/profit for the year to cash generated from operations:</w:t>
      </w:r>
    </w:p>
    <w:p w14:paraId="727DEBB2"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76DE6597" w14:textId="77777777" w:rsidTr="00CE19B2">
        <w:trPr>
          <w:trHeight w:val="60"/>
          <w:tblHeader/>
        </w:trPr>
        <w:tc>
          <w:tcPr>
            <w:tcW w:w="7739" w:type="dxa"/>
            <w:tcMar>
              <w:top w:w="11" w:type="dxa"/>
              <w:left w:w="57" w:type="dxa"/>
              <w:bottom w:w="11" w:type="dxa"/>
              <w:right w:w="57" w:type="dxa"/>
            </w:tcMar>
          </w:tcPr>
          <w:p w14:paraId="63C8053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0B7C40F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38D5B3A7"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7959D8A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06DA118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1ABE7924" w14:textId="77777777" w:rsidTr="00CE19B2">
        <w:trPr>
          <w:trHeight w:val="226"/>
        </w:trPr>
        <w:tc>
          <w:tcPr>
            <w:tcW w:w="7739" w:type="dxa"/>
            <w:tcMar>
              <w:top w:w="11" w:type="dxa"/>
              <w:left w:w="57" w:type="dxa"/>
              <w:bottom w:w="11" w:type="dxa"/>
              <w:right w:w="57" w:type="dxa"/>
            </w:tcMar>
          </w:tcPr>
          <w:p w14:paraId="4CEC48FE"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1FB90AEC"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Pr>
          <w:p w14:paraId="18E4C0A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00E64E41" w14:textId="77777777" w:rsidTr="00CE19B2">
        <w:trPr>
          <w:trHeight w:val="226"/>
        </w:trPr>
        <w:tc>
          <w:tcPr>
            <w:tcW w:w="7739" w:type="dxa"/>
            <w:tcMar>
              <w:top w:w="11" w:type="dxa"/>
              <w:left w:w="57" w:type="dxa"/>
              <w:bottom w:w="11" w:type="dxa"/>
              <w:right w:w="57" w:type="dxa"/>
            </w:tcMar>
          </w:tcPr>
          <w:p w14:paraId="183A2AB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199" w:name="XMETag_872910351af54d0faef7ab66c5920ce7" w:colFirst="2" w:colLast="2"/>
            <w:bookmarkStart w:id="1200" w:name="XMETag_af75079cb53a4b6db2cdd63ec8c812dd" w:colFirst="1" w:colLast="1"/>
            <w:r w:rsidRPr="00735726">
              <w:rPr>
                <w:rFonts w:ascii="Arial" w:eastAsia="Times New Roman" w:hAnsi="Arial" w:cs="DINOT-Light"/>
                <w:color w:val="000000"/>
                <w:sz w:val="18"/>
                <w:szCs w:val="18"/>
              </w:rPr>
              <w:t>Profit/(loss) for the year</w:t>
            </w:r>
          </w:p>
        </w:tc>
        <w:tc>
          <w:tcPr>
            <w:tcW w:w="1133" w:type="dxa"/>
            <w:tcMar>
              <w:top w:w="11" w:type="dxa"/>
              <w:left w:w="57" w:type="dxa"/>
              <w:bottom w:w="11" w:type="dxa"/>
              <w:right w:w="57" w:type="dxa"/>
            </w:tcMar>
          </w:tcPr>
          <w:p w14:paraId="0A84FF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91.4</w:t>
            </w:r>
          </w:p>
        </w:tc>
        <w:tc>
          <w:tcPr>
            <w:tcW w:w="1134" w:type="dxa"/>
          </w:tcPr>
          <w:p w14:paraId="2B5BEE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(48.6)</w:t>
            </w:r>
          </w:p>
        </w:tc>
      </w:tr>
      <w:bookmarkEnd w:id="1199"/>
      <w:bookmarkEnd w:id="1200"/>
      <w:tr w:rsidR="00646F4F" w:rsidRPr="00735726" w14:paraId="566D1B4A" w14:textId="77777777" w:rsidTr="00CE19B2">
        <w:trPr>
          <w:trHeight w:val="226"/>
        </w:trPr>
        <w:tc>
          <w:tcPr>
            <w:tcW w:w="7739" w:type="dxa"/>
            <w:tcMar>
              <w:top w:w="11" w:type="dxa"/>
              <w:left w:w="57" w:type="dxa"/>
              <w:bottom w:w="11" w:type="dxa"/>
              <w:right w:w="57" w:type="dxa"/>
            </w:tcMar>
          </w:tcPr>
          <w:p w14:paraId="1E54C42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Adjustments for:</w:t>
            </w:r>
          </w:p>
        </w:tc>
        <w:tc>
          <w:tcPr>
            <w:tcW w:w="1133" w:type="dxa"/>
            <w:tcMar>
              <w:top w:w="11" w:type="dxa"/>
              <w:left w:w="57" w:type="dxa"/>
              <w:bottom w:w="11" w:type="dxa"/>
              <w:right w:w="57" w:type="dxa"/>
            </w:tcMar>
          </w:tcPr>
          <w:p w14:paraId="34F6741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Pr>
          <w:p w14:paraId="6DCFC2B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79B4D9BB" w14:textId="77777777" w:rsidTr="00CE19B2">
        <w:trPr>
          <w:trHeight w:val="226"/>
        </w:trPr>
        <w:tc>
          <w:tcPr>
            <w:tcW w:w="7739" w:type="dxa"/>
            <w:tcMar>
              <w:top w:w="11" w:type="dxa"/>
              <w:left w:w="57" w:type="dxa"/>
              <w:bottom w:w="11" w:type="dxa"/>
              <w:right w:w="57" w:type="dxa"/>
            </w:tcMar>
          </w:tcPr>
          <w:p w14:paraId="32BCC86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01" w:name="XMETag_5631c75dddeb445daa339ae69ce2698d" w:colFirst="2" w:colLast="2"/>
            <w:bookmarkStart w:id="1202" w:name="XMETag_42836ed9eca444faa2e78b2da86d5ffe" w:colFirst="1" w:colLast="1"/>
            <w:r w:rsidRPr="00735726">
              <w:rPr>
                <w:rFonts w:ascii="Arial" w:eastAsia="Times New Roman" w:hAnsi="Arial" w:cs="DINOT-Light"/>
                <w:color w:val="000000"/>
                <w:sz w:val="18"/>
                <w:szCs w:val="18"/>
              </w:rPr>
              <w:t xml:space="preserve">   Share based payments</w:t>
            </w:r>
          </w:p>
        </w:tc>
        <w:tc>
          <w:tcPr>
            <w:tcW w:w="1133" w:type="dxa"/>
            <w:tcMar>
              <w:top w:w="11" w:type="dxa"/>
              <w:left w:w="57" w:type="dxa"/>
              <w:bottom w:w="11" w:type="dxa"/>
              <w:right w:w="57" w:type="dxa"/>
            </w:tcMar>
          </w:tcPr>
          <w:p w14:paraId="0F615EE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0.8</w:t>
            </w:r>
          </w:p>
        </w:tc>
        <w:tc>
          <w:tcPr>
            <w:tcW w:w="1134" w:type="dxa"/>
          </w:tcPr>
          <w:p w14:paraId="2581A57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w:t>
            </w:r>
          </w:p>
        </w:tc>
      </w:tr>
      <w:tr w:rsidR="00646F4F" w:rsidRPr="00735726" w14:paraId="3176C38E" w14:textId="77777777" w:rsidTr="00CE19B2">
        <w:trPr>
          <w:trHeight w:val="226"/>
        </w:trPr>
        <w:tc>
          <w:tcPr>
            <w:tcW w:w="7739" w:type="dxa"/>
            <w:tcMar>
              <w:top w:w="11" w:type="dxa"/>
              <w:left w:w="57" w:type="dxa"/>
              <w:bottom w:w="11" w:type="dxa"/>
              <w:right w:w="57" w:type="dxa"/>
            </w:tcMar>
          </w:tcPr>
          <w:p w14:paraId="2A11DA8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03" w:name="XMETag_b24a7b04213f411b9fbdd717bd5d7750" w:colFirst="2" w:colLast="2"/>
            <w:bookmarkStart w:id="1204" w:name="XMETag_55b9741c104940f1a070e474de0fecfb" w:colFirst="1" w:colLast="1"/>
            <w:bookmarkEnd w:id="1201"/>
            <w:bookmarkEnd w:id="1202"/>
            <w:r w:rsidRPr="00735726">
              <w:rPr>
                <w:rFonts w:ascii="Arial" w:eastAsia="Times New Roman" w:hAnsi="Arial" w:cs="DINOT-Light"/>
                <w:color w:val="000000"/>
                <w:sz w:val="18"/>
                <w:szCs w:val="18"/>
              </w:rPr>
              <w:t xml:space="preserve">   Profit on disposal of property, plant and equipment</w:t>
            </w:r>
          </w:p>
        </w:tc>
        <w:tc>
          <w:tcPr>
            <w:tcW w:w="1133" w:type="dxa"/>
            <w:tcMar>
              <w:top w:w="11" w:type="dxa"/>
              <w:left w:w="57" w:type="dxa"/>
              <w:bottom w:w="11" w:type="dxa"/>
              <w:right w:w="57" w:type="dxa"/>
            </w:tcMar>
          </w:tcPr>
          <w:p w14:paraId="09F9A08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(4.1)</w:t>
            </w:r>
          </w:p>
        </w:tc>
        <w:tc>
          <w:tcPr>
            <w:tcW w:w="1134" w:type="dxa"/>
          </w:tcPr>
          <w:p w14:paraId="488F031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w:t>
            </w:r>
          </w:p>
        </w:tc>
      </w:tr>
      <w:tr w:rsidR="00646F4F" w:rsidRPr="00735726" w14:paraId="1F1E4D0D" w14:textId="77777777" w:rsidTr="00CE19B2">
        <w:trPr>
          <w:trHeight w:val="226"/>
        </w:trPr>
        <w:tc>
          <w:tcPr>
            <w:tcW w:w="7739" w:type="dxa"/>
            <w:tcMar>
              <w:top w:w="11" w:type="dxa"/>
              <w:left w:w="57" w:type="dxa"/>
              <w:bottom w:w="11" w:type="dxa"/>
              <w:right w:w="57" w:type="dxa"/>
            </w:tcMar>
          </w:tcPr>
          <w:p w14:paraId="3438E08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05" w:name="XMETag_f028258692b5407387dba923b267f03b" w:colFirst="2" w:colLast="2"/>
            <w:bookmarkStart w:id="1206" w:name="XMETag_f26e075c655e426196ee1c41c4796e76" w:colFirst="1" w:colLast="1"/>
            <w:bookmarkEnd w:id="1203"/>
            <w:bookmarkEnd w:id="1204"/>
            <w:r w:rsidRPr="00735726">
              <w:rPr>
                <w:rFonts w:ascii="Arial" w:eastAsia="Times New Roman" w:hAnsi="Arial" w:cs="DINOT-Light"/>
                <w:color w:val="000000"/>
                <w:sz w:val="18"/>
                <w:szCs w:val="18"/>
              </w:rPr>
              <w:t xml:space="preserve">   Depreciation charge</w:t>
            </w:r>
          </w:p>
        </w:tc>
        <w:tc>
          <w:tcPr>
            <w:tcW w:w="1133" w:type="dxa"/>
            <w:tcMar>
              <w:top w:w="11" w:type="dxa"/>
              <w:left w:w="57" w:type="dxa"/>
              <w:bottom w:w="11" w:type="dxa"/>
              <w:right w:w="57" w:type="dxa"/>
            </w:tcMar>
          </w:tcPr>
          <w:p w14:paraId="050A4887" w14:textId="4E7DB020"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170.</w:t>
            </w:r>
            <w:r w:rsidR="009B5488" w:rsidRPr="00735726">
              <w:rPr>
                <w:rFonts w:ascii="Arial" w:eastAsia="Times New Roman" w:hAnsi="Arial" w:cs="DINOT-Light"/>
                <w:color w:val="000000"/>
                <w:sz w:val="18"/>
                <w:szCs w:val="18"/>
              </w:rPr>
              <w:t>7</w:t>
            </w:r>
          </w:p>
        </w:tc>
        <w:tc>
          <w:tcPr>
            <w:tcW w:w="1134" w:type="dxa"/>
          </w:tcPr>
          <w:p w14:paraId="768D205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165.8</w:t>
            </w:r>
          </w:p>
        </w:tc>
      </w:tr>
      <w:tr w:rsidR="00646F4F" w:rsidRPr="00735726" w14:paraId="5D8A0714" w14:textId="77777777" w:rsidTr="00CE19B2">
        <w:trPr>
          <w:trHeight w:val="226"/>
        </w:trPr>
        <w:tc>
          <w:tcPr>
            <w:tcW w:w="7739" w:type="dxa"/>
            <w:tcMar>
              <w:top w:w="11" w:type="dxa"/>
              <w:left w:w="57" w:type="dxa"/>
              <w:bottom w:w="11" w:type="dxa"/>
              <w:right w:w="57" w:type="dxa"/>
            </w:tcMar>
          </w:tcPr>
          <w:p w14:paraId="687E9C0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07" w:name="XMETag_36cce2d42ddc4746822cfc071cb0944f" w:colFirst="2" w:colLast="2"/>
            <w:bookmarkStart w:id="1208" w:name="XMETag_6947abd5bc574013af98eaa5a3d170b7" w:colFirst="1" w:colLast="1"/>
            <w:bookmarkEnd w:id="1205"/>
            <w:bookmarkEnd w:id="1206"/>
            <w:r w:rsidRPr="00735726">
              <w:rPr>
                <w:rFonts w:ascii="Arial" w:eastAsia="Times New Roman" w:hAnsi="Arial" w:cs="DINOT-Light"/>
                <w:color w:val="000000"/>
                <w:sz w:val="18"/>
                <w:szCs w:val="18"/>
              </w:rPr>
              <w:t xml:space="preserve">   Amortisation of intangible fixed assets</w:t>
            </w:r>
          </w:p>
        </w:tc>
        <w:tc>
          <w:tcPr>
            <w:tcW w:w="1133" w:type="dxa"/>
            <w:tcMar>
              <w:top w:w="11" w:type="dxa"/>
              <w:left w:w="57" w:type="dxa"/>
              <w:bottom w:w="11" w:type="dxa"/>
              <w:right w:w="57" w:type="dxa"/>
            </w:tcMar>
          </w:tcPr>
          <w:p w14:paraId="5C357EA1" w14:textId="46DAA5E0"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w:t>
            </w:r>
            <w:r w:rsidR="009B5488" w:rsidRPr="00735726">
              <w:rPr>
                <w:rFonts w:ascii="Arial" w:eastAsia="Times New Roman" w:hAnsi="Arial" w:cs="DINOT-Light"/>
                <w:color w:val="000000"/>
                <w:sz w:val="18"/>
                <w:szCs w:val="18"/>
              </w:rPr>
              <w:t>3</w:t>
            </w:r>
          </w:p>
        </w:tc>
        <w:tc>
          <w:tcPr>
            <w:tcW w:w="1134" w:type="dxa"/>
          </w:tcPr>
          <w:p w14:paraId="0B47D38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2.5</w:t>
            </w:r>
          </w:p>
        </w:tc>
      </w:tr>
      <w:tr w:rsidR="00646F4F" w:rsidRPr="00735726" w14:paraId="73619AD1" w14:textId="77777777" w:rsidTr="00CE19B2">
        <w:trPr>
          <w:trHeight w:val="226"/>
        </w:trPr>
        <w:tc>
          <w:tcPr>
            <w:tcW w:w="7739" w:type="dxa"/>
            <w:tcMar>
              <w:top w:w="11" w:type="dxa"/>
              <w:left w:w="57" w:type="dxa"/>
              <w:bottom w:w="11" w:type="dxa"/>
              <w:right w:w="57" w:type="dxa"/>
            </w:tcMar>
          </w:tcPr>
          <w:p w14:paraId="133E76D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09" w:name="XMETag_36cf83cb766b49a79014f8f40391ad36" w:colFirst="1" w:colLast="1"/>
            <w:bookmarkStart w:id="1210" w:name="XMETag_fb2d9638f49d461ba20ee9de61e415ba" w:colFirst="2" w:colLast="2"/>
            <w:bookmarkEnd w:id="1207"/>
            <w:bookmarkEnd w:id="1208"/>
            <w:r w:rsidRPr="00735726">
              <w:rPr>
                <w:rFonts w:ascii="Arial" w:eastAsia="Times New Roman" w:hAnsi="Arial" w:cs="DINOT-Light"/>
                <w:color w:val="000000"/>
                <w:sz w:val="18"/>
                <w:szCs w:val="18"/>
              </w:rPr>
              <w:t xml:space="preserve">   Finance income</w:t>
            </w:r>
          </w:p>
        </w:tc>
        <w:tc>
          <w:tcPr>
            <w:tcW w:w="1133" w:type="dxa"/>
            <w:tcMar>
              <w:top w:w="11" w:type="dxa"/>
              <w:left w:w="57" w:type="dxa"/>
              <w:bottom w:w="11" w:type="dxa"/>
              <w:right w:w="57" w:type="dxa"/>
            </w:tcMar>
          </w:tcPr>
          <w:p w14:paraId="5E61D12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(15.5)</w:t>
            </w:r>
          </w:p>
        </w:tc>
        <w:tc>
          <w:tcPr>
            <w:tcW w:w="1134" w:type="dxa"/>
          </w:tcPr>
          <w:p w14:paraId="69A17DB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(6.0)</w:t>
            </w:r>
          </w:p>
        </w:tc>
      </w:tr>
      <w:tr w:rsidR="00646F4F" w:rsidRPr="00735726" w14:paraId="4B08184A" w14:textId="77777777" w:rsidTr="00CE19B2">
        <w:trPr>
          <w:trHeight w:val="226"/>
        </w:trPr>
        <w:tc>
          <w:tcPr>
            <w:tcW w:w="7739" w:type="dxa"/>
            <w:tcMar>
              <w:top w:w="11" w:type="dxa"/>
              <w:left w:w="57" w:type="dxa"/>
              <w:bottom w:w="11" w:type="dxa"/>
              <w:right w:w="57" w:type="dxa"/>
            </w:tcMar>
          </w:tcPr>
          <w:p w14:paraId="027D37F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11" w:name="XMETag_fc145d5baf184f958006c506653e37ac" w:colFirst="1" w:colLast="1"/>
            <w:bookmarkStart w:id="1212" w:name="XMETag_0379c46e81d04f23bd1b4074c2e56065" w:colFirst="2" w:colLast="2"/>
            <w:bookmarkEnd w:id="1209"/>
            <w:bookmarkEnd w:id="1210"/>
            <w:r w:rsidRPr="00735726">
              <w:rPr>
                <w:rFonts w:ascii="Arial" w:eastAsia="Times New Roman" w:hAnsi="Arial" w:cs="DINOT-Light"/>
                <w:color w:val="000000"/>
                <w:sz w:val="18"/>
                <w:szCs w:val="18"/>
              </w:rPr>
              <w:t xml:space="preserve">   Finance costs</w:t>
            </w:r>
          </w:p>
        </w:tc>
        <w:tc>
          <w:tcPr>
            <w:tcW w:w="1133" w:type="dxa"/>
            <w:tcMar>
              <w:top w:w="11" w:type="dxa"/>
              <w:left w:w="57" w:type="dxa"/>
              <w:bottom w:w="11" w:type="dxa"/>
              <w:right w:w="57" w:type="dxa"/>
            </w:tcMar>
          </w:tcPr>
          <w:p w14:paraId="18D9CCB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185.6</w:t>
            </w:r>
          </w:p>
        </w:tc>
        <w:tc>
          <w:tcPr>
            <w:tcW w:w="1134" w:type="dxa"/>
          </w:tcPr>
          <w:p w14:paraId="768E455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176.3</w:t>
            </w:r>
          </w:p>
        </w:tc>
      </w:tr>
      <w:tr w:rsidR="00646F4F" w:rsidRPr="00735726" w14:paraId="04612C6A" w14:textId="77777777" w:rsidTr="00CE19B2">
        <w:trPr>
          <w:trHeight w:val="226"/>
        </w:trPr>
        <w:tc>
          <w:tcPr>
            <w:tcW w:w="7739" w:type="dxa"/>
            <w:tcMar>
              <w:top w:w="11" w:type="dxa"/>
              <w:left w:w="57" w:type="dxa"/>
              <w:bottom w:w="11" w:type="dxa"/>
              <w:right w:w="57" w:type="dxa"/>
            </w:tcMar>
          </w:tcPr>
          <w:p w14:paraId="1098B38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13" w:name="XMETag_2f6fa80a4d92440fac824bc1407b72cf" w:colFirst="2" w:colLast="2"/>
            <w:bookmarkStart w:id="1214" w:name="XMETag_6d401a6e26d24bf8ab1f6c7304480dd6" w:colFirst="1" w:colLast="1"/>
            <w:bookmarkEnd w:id="1211"/>
            <w:bookmarkEnd w:id="1212"/>
            <w:r w:rsidRPr="00735726">
              <w:rPr>
                <w:rFonts w:ascii="Arial" w:eastAsia="Times New Roman" w:hAnsi="Arial" w:cs="DINOT-Light"/>
                <w:color w:val="000000"/>
                <w:sz w:val="18"/>
                <w:szCs w:val="18"/>
              </w:rPr>
              <w:t xml:space="preserve">   Taxation</w:t>
            </w:r>
          </w:p>
        </w:tc>
        <w:tc>
          <w:tcPr>
            <w:tcW w:w="1133" w:type="dxa"/>
            <w:tcMar>
              <w:top w:w="11" w:type="dxa"/>
              <w:left w:w="57" w:type="dxa"/>
              <w:bottom w:w="11" w:type="dxa"/>
              <w:right w:w="57" w:type="dxa"/>
            </w:tcMar>
          </w:tcPr>
          <w:p w14:paraId="4D2B804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33.5</w:t>
            </w:r>
          </w:p>
        </w:tc>
        <w:tc>
          <w:tcPr>
            <w:tcW w:w="1134" w:type="dxa"/>
          </w:tcPr>
          <w:p w14:paraId="18E42B6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(12.6)</w:t>
            </w:r>
          </w:p>
        </w:tc>
      </w:tr>
      <w:bookmarkEnd w:id="1213"/>
      <w:bookmarkEnd w:id="1214"/>
      <w:tr w:rsidR="00646F4F" w:rsidRPr="00735726" w14:paraId="08D86083" w14:textId="77777777" w:rsidTr="00CE19B2">
        <w:trPr>
          <w:trHeight w:val="226"/>
        </w:trPr>
        <w:tc>
          <w:tcPr>
            <w:tcW w:w="7739" w:type="dxa"/>
            <w:tcMar>
              <w:top w:w="11" w:type="dxa"/>
              <w:left w:w="57" w:type="dxa"/>
              <w:bottom w:w="11" w:type="dxa"/>
              <w:right w:w="57" w:type="dxa"/>
            </w:tcMar>
          </w:tcPr>
          <w:p w14:paraId="1EF1A1D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Changes in working capital:</w:t>
            </w:r>
          </w:p>
        </w:tc>
        <w:tc>
          <w:tcPr>
            <w:tcW w:w="1133" w:type="dxa"/>
            <w:tcMar>
              <w:top w:w="11" w:type="dxa"/>
              <w:left w:w="57" w:type="dxa"/>
              <w:bottom w:w="11" w:type="dxa"/>
              <w:right w:w="57" w:type="dxa"/>
            </w:tcMar>
          </w:tcPr>
          <w:p w14:paraId="36DBA6C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Pr>
          <w:p w14:paraId="239AE88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72CEDE84" w14:textId="77777777" w:rsidTr="00CE19B2">
        <w:trPr>
          <w:trHeight w:val="226"/>
        </w:trPr>
        <w:tc>
          <w:tcPr>
            <w:tcW w:w="7739" w:type="dxa"/>
            <w:tcMar>
              <w:top w:w="11" w:type="dxa"/>
              <w:left w:w="57" w:type="dxa"/>
              <w:bottom w:w="11" w:type="dxa"/>
              <w:right w:w="57" w:type="dxa"/>
            </w:tcMar>
          </w:tcPr>
          <w:p w14:paraId="6FFB3BA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15" w:name="XMETag_ef5a05daf1164e3697343ccbb431f4d8" w:colFirst="2" w:colLast="2"/>
            <w:bookmarkStart w:id="1216" w:name="XMETag_00fdf3a605b44dc3ba887ae7c6090949" w:colFirst="1" w:colLast="1"/>
            <w:r w:rsidRPr="00735726">
              <w:rPr>
                <w:rFonts w:ascii="Arial" w:eastAsia="Times New Roman" w:hAnsi="Arial" w:cs="DINOT-Light"/>
                <w:color w:val="000000"/>
                <w:sz w:val="18"/>
                <w:szCs w:val="18"/>
              </w:rPr>
              <w:t xml:space="preserve">   Increase in inventories</w:t>
            </w:r>
          </w:p>
        </w:tc>
        <w:tc>
          <w:tcPr>
            <w:tcW w:w="1133" w:type="dxa"/>
            <w:tcMar>
              <w:top w:w="11" w:type="dxa"/>
              <w:left w:w="57" w:type="dxa"/>
              <w:bottom w:w="11" w:type="dxa"/>
              <w:right w:w="57" w:type="dxa"/>
            </w:tcMar>
          </w:tcPr>
          <w:p w14:paraId="142C93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(3.1)</w:t>
            </w:r>
          </w:p>
        </w:tc>
        <w:tc>
          <w:tcPr>
            <w:tcW w:w="1134" w:type="dxa"/>
          </w:tcPr>
          <w:p w14:paraId="0D222AC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(0.5)</w:t>
            </w:r>
          </w:p>
        </w:tc>
      </w:tr>
      <w:tr w:rsidR="00646F4F" w:rsidRPr="00735726" w14:paraId="1CE227BD" w14:textId="77777777" w:rsidTr="00CE19B2">
        <w:trPr>
          <w:trHeight w:val="226"/>
        </w:trPr>
        <w:tc>
          <w:tcPr>
            <w:tcW w:w="7739" w:type="dxa"/>
            <w:tcMar>
              <w:top w:w="11" w:type="dxa"/>
              <w:left w:w="57" w:type="dxa"/>
              <w:bottom w:w="11" w:type="dxa"/>
              <w:right w:w="57" w:type="dxa"/>
            </w:tcMar>
          </w:tcPr>
          <w:p w14:paraId="053B54D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17" w:name="XMETag_9013316246754c499f89fa4f4c64d78c" w:colFirst="2" w:colLast="2"/>
            <w:bookmarkStart w:id="1218" w:name="XMETag_981f8123f58d43dabeeb7b0d12432a71" w:colFirst="1" w:colLast="1"/>
            <w:bookmarkEnd w:id="1215"/>
            <w:bookmarkEnd w:id="1216"/>
            <w:r w:rsidRPr="00735726">
              <w:rPr>
                <w:rFonts w:ascii="Arial" w:eastAsia="Times New Roman" w:hAnsi="Arial" w:cs="DINOT-Light"/>
                <w:color w:val="000000"/>
                <w:sz w:val="18"/>
                <w:szCs w:val="18"/>
              </w:rPr>
              <w:t xml:space="preserve">   Increase in trade and other receivables</w:t>
            </w:r>
          </w:p>
        </w:tc>
        <w:tc>
          <w:tcPr>
            <w:tcW w:w="1133" w:type="dxa"/>
            <w:tcMar>
              <w:top w:w="11" w:type="dxa"/>
              <w:left w:w="57" w:type="dxa"/>
              <w:bottom w:w="11" w:type="dxa"/>
              <w:right w:w="57" w:type="dxa"/>
            </w:tcMar>
          </w:tcPr>
          <w:p w14:paraId="503231FD" w14:textId="60F7E400"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w:t>
            </w:r>
            <w:r w:rsidR="00935C64" w:rsidRPr="00735726">
              <w:rPr>
                <w:rFonts w:ascii="Arial" w:eastAsia="Times New Roman" w:hAnsi="Arial" w:cs="DINOT-Light"/>
                <w:color w:val="000000"/>
                <w:sz w:val="18"/>
                <w:szCs w:val="18"/>
              </w:rPr>
              <w:t>40.1</w:t>
            </w:r>
            <w:r w:rsidRPr="00735726">
              <w:rPr>
                <w:rFonts w:ascii="Arial" w:eastAsia="Times New Roman" w:hAnsi="Arial" w:cs="DINOT-Light"/>
                <w:color w:val="000000"/>
                <w:sz w:val="18"/>
                <w:szCs w:val="18"/>
              </w:rPr>
              <w:t>)</w:t>
            </w:r>
          </w:p>
        </w:tc>
        <w:tc>
          <w:tcPr>
            <w:tcW w:w="1134" w:type="dxa"/>
          </w:tcPr>
          <w:p w14:paraId="30B4A31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(22.5)</w:t>
            </w:r>
          </w:p>
        </w:tc>
      </w:tr>
      <w:tr w:rsidR="00646F4F" w:rsidRPr="00735726" w14:paraId="7B30FED4" w14:textId="77777777" w:rsidTr="00CE19B2">
        <w:trPr>
          <w:trHeight w:val="226"/>
        </w:trPr>
        <w:tc>
          <w:tcPr>
            <w:tcW w:w="7739" w:type="dxa"/>
            <w:tcMar>
              <w:top w:w="11" w:type="dxa"/>
              <w:left w:w="57" w:type="dxa"/>
              <w:bottom w:w="11" w:type="dxa"/>
              <w:right w:w="57" w:type="dxa"/>
            </w:tcMar>
          </w:tcPr>
          <w:p w14:paraId="2B1B4AD7" w14:textId="746209CD"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19" w:name="XMETag_e144f616f607484cbc53643660b3eece" w:colFirst="2" w:colLast="2"/>
            <w:bookmarkStart w:id="1220" w:name="XMETag_ded92a181dce4f17b05412392d183cef" w:colFirst="1" w:colLast="1"/>
            <w:bookmarkEnd w:id="1217"/>
            <w:bookmarkEnd w:id="1218"/>
            <w:r w:rsidRPr="00735726">
              <w:rPr>
                <w:rFonts w:ascii="Arial" w:eastAsia="Times New Roman" w:hAnsi="Arial" w:cs="DINOT-Light"/>
                <w:color w:val="000000"/>
                <w:sz w:val="18"/>
                <w:szCs w:val="18"/>
              </w:rPr>
              <w:t xml:space="preserve">   Increase/(</w:t>
            </w:r>
            <w:r w:rsidR="006836DD" w:rsidRPr="00735726">
              <w:rPr>
                <w:rFonts w:ascii="Arial" w:eastAsia="Times New Roman" w:hAnsi="Arial" w:cs="DINOT-Light"/>
                <w:color w:val="000000"/>
                <w:sz w:val="18"/>
                <w:szCs w:val="18"/>
              </w:rPr>
              <w:t>decrease</w:t>
            </w:r>
            <w:r w:rsidRPr="00735726">
              <w:rPr>
                <w:rFonts w:ascii="Arial" w:eastAsia="Times New Roman" w:hAnsi="Arial" w:cs="DINOT-Light"/>
                <w:color w:val="000000"/>
                <w:sz w:val="18"/>
                <w:szCs w:val="18"/>
              </w:rPr>
              <w:t>) in trade and other payables</w:t>
            </w:r>
          </w:p>
        </w:tc>
        <w:tc>
          <w:tcPr>
            <w:tcW w:w="1133" w:type="dxa"/>
            <w:tcMar>
              <w:top w:w="11" w:type="dxa"/>
              <w:left w:w="57" w:type="dxa"/>
              <w:bottom w:w="11" w:type="dxa"/>
              <w:right w:w="57" w:type="dxa"/>
            </w:tcMar>
          </w:tcPr>
          <w:p w14:paraId="5112D107" w14:textId="701EEF10"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82.</w:t>
            </w:r>
            <w:r w:rsidR="009B5488" w:rsidRPr="00735726">
              <w:rPr>
                <w:rFonts w:ascii="Arial" w:eastAsia="Times New Roman" w:hAnsi="Arial" w:cs="DINOT-Light"/>
                <w:color w:val="000000"/>
                <w:sz w:val="18"/>
                <w:szCs w:val="18"/>
              </w:rPr>
              <w:t>8</w:t>
            </w:r>
          </w:p>
        </w:tc>
        <w:tc>
          <w:tcPr>
            <w:tcW w:w="1134" w:type="dxa"/>
          </w:tcPr>
          <w:p w14:paraId="59E9D8D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(39.6)</w:t>
            </w:r>
          </w:p>
        </w:tc>
      </w:tr>
      <w:tr w:rsidR="00646F4F" w:rsidRPr="00735726" w14:paraId="626286AE" w14:textId="77777777" w:rsidTr="00CE19B2">
        <w:trPr>
          <w:trHeight w:val="226"/>
        </w:trPr>
        <w:tc>
          <w:tcPr>
            <w:tcW w:w="7739" w:type="dxa"/>
            <w:tcMar>
              <w:top w:w="11" w:type="dxa"/>
              <w:left w:w="57" w:type="dxa"/>
              <w:bottom w:w="11" w:type="dxa"/>
              <w:right w:w="57" w:type="dxa"/>
            </w:tcMar>
          </w:tcPr>
          <w:p w14:paraId="21AD10D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21" w:name="XMETag_654aab010c76466aacdb2b9cb0324849" w:colFirst="2" w:colLast="2"/>
            <w:bookmarkStart w:id="1222" w:name="XMETag_8361ff9c12d74f48840216cfa5fe81b2" w:colFirst="1" w:colLast="1"/>
            <w:bookmarkEnd w:id="1219"/>
            <w:bookmarkEnd w:id="1220"/>
            <w:r w:rsidRPr="00735726">
              <w:rPr>
                <w:rFonts w:ascii="Arial" w:eastAsia="Times New Roman" w:hAnsi="Arial" w:cs="DINOT-Light"/>
                <w:color w:val="000000"/>
                <w:sz w:val="18"/>
                <w:szCs w:val="18"/>
              </w:rPr>
              <w:t xml:space="preserve">   Decrease in retirement benefit obligations</w:t>
            </w:r>
          </w:p>
        </w:tc>
        <w:tc>
          <w:tcPr>
            <w:tcW w:w="1133" w:type="dxa"/>
            <w:tcMar>
              <w:top w:w="11" w:type="dxa"/>
              <w:left w:w="57" w:type="dxa"/>
              <w:bottom w:w="11" w:type="dxa"/>
              <w:right w:w="57" w:type="dxa"/>
            </w:tcMar>
          </w:tcPr>
          <w:p w14:paraId="076BCB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(0.5)</w:t>
            </w:r>
          </w:p>
        </w:tc>
        <w:tc>
          <w:tcPr>
            <w:tcW w:w="1134" w:type="dxa"/>
          </w:tcPr>
          <w:p w14:paraId="4D69796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(0.1)</w:t>
            </w:r>
          </w:p>
        </w:tc>
      </w:tr>
      <w:tr w:rsidR="00646F4F" w:rsidRPr="00735726" w14:paraId="0B5C6A6A" w14:textId="77777777" w:rsidTr="00CE19B2">
        <w:trPr>
          <w:trHeight w:val="226"/>
        </w:trPr>
        <w:tc>
          <w:tcPr>
            <w:tcW w:w="7739" w:type="dxa"/>
            <w:tcMar>
              <w:top w:w="11" w:type="dxa"/>
              <w:left w:w="57" w:type="dxa"/>
              <w:bottom w:w="11" w:type="dxa"/>
              <w:right w:w="57" w:type="dxa"/>
            </w:tcMar>
          </w:tcPr>
          <w:p w14:paraId="78D5B87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23" w:name="XMETag_afce66874a9640e18a56b02a9178fd88" w:colFirst="2" w:colLast="2"/>
            <w:bookmarkStart w:id="1224" w:name="XMETag_184e3b3c0ee44468a0da41347557ecce" w:colFirst="1" w:colLast="1"/>
            <w:bookmarkEnd w:id="1221"/>
            <w:bookmarkEnd w:id="1222"/>
            <w:r w:rsidRPr="00735726">
              <w:rPr>
                <w:rFonts w:ascii="Arial" w:eastAsia="Times New Roman" w:hAnsi="Arial" w:cs="DINOT-Light"/>
                <w:color w:val="000000"/>
                <w:sz w:val="18"/>
                <w:szCs w:val="18"/>
              </w:rPr>
              <w:t xml:space="preserve">   Increase in provisions</w:t>
            </w:r>
          </w:p>
        </w:tc>
        <w:tc>
          <w:tcPr>
            <w:tcW w:w="1133" w:type="dxa"/>
            <w:tcBorders>
              <w:bottom w:val="single" w:sz="4" w:space="0" w:color="auto"/>
            </w:tcBorders>
            <w:tcMar>
              <w:top w:w="11" w:type="dxa"/>
              <w:left w:w="57" w:type="dxa"/>
              <w:bottom w:w="11" w:type="dxa"/>
              <w:right w:w="57" w:type="dxa"/>
            </w:tcMar>
          </w:tcPr>
          <w:p w14:paraId="3A13C09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w:t>
            </w:r>
          </w:p>
        </w:tc>
        <w:tc>
          <w:tcPr>
            <w:tcW w:w="1134" w:type="dxa"/>
            <w:tcBorders>
              <w:bottom w:val="single" w:sz="4" w:space="0" w:color="auto"/>
            </w:tcBorders>
          </w:tcPr>
          <w:p w14:paraId="22CF723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5.1</w:t>
            </w:r>
          </w:p>
        </w:tc>
      </w:tr>
      <w:tr w:rsidR="00646F4F" w:rsidRPr="00735726" w14:paraId="4D45A23C" w14:textId="77777777" w:rsidTr="00BC1B27">
        <w:trPr>
          <w:trHeight w:val="130"/>
        </w:trPr>
        <w:tc>
          <w:tcPr>
            <w:tcW w:w="7739" w:type="dxa"/>
            <w:tcMar>
              <w:top w:w="11" w:type="dxa"/>
              <w:left w:w="57" w:type="dxa"/>
              <w:bottom w:w="11" w:type="dxa"/>
              <w:right w:w="57" w:type="dxa"/>
            </w:tcMar>
          </w:tcPr>
          <w:p w14:paraId="736B2937"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225" w:name="XMETag_3b022efd1d334f65888d24652d4830f1" w:colFirst="2" w:colLast="2"/>
            <w:bookmarkStart w:id="1226" w:name="XMETag_e0dc744f350d4d02aa6162e0ca88157d" w:colFirst="1" w:colLast="1"/>
            <w:bookmarkEnd w:id="1223"/>
            <w:bookmarkEnd w:id="1224"/>
            <w:r w:rsidRPr="00735726">
              <w:rPr>
                <w:rFonts w:ascii="Arial" w:eastAsia="Times New Roman" w:hAnsi="Arial" w:cs="DINOT-Light"/>
                <w:b/>
                <w:color w:val="000000"/>
                <w:sz w:val="18"/>
                <w:szCs w:val="18"/>
              </w:rPr>
              <w:t>Cash generated from operations</w:t>
            </w:r>
          </w:p>
        </w:tc>
        <w:tc>
          <w:tcPr>
            <w:tcW w:w="1133" w:type="dxa"/>
            <w:tcBorders>
              <w:top w:val="single" w:sz="4" w:space="0" w:color="auto"/>
              <w:bottom w:val="single" w:sz="4" w:space="0" w:color="auto"/>
            </w:tcBorders>
            <w:tcMar>
              <w:top w:w="11" w:type="dxa"/>
              <w:left w:w="57" w:type="dxa"/>
              <w:bottom w:w="11" w:type="dxa"/>
              <w:right w:w="57" w:type="dxa"/>
            </w:tcMar>
          </w:tcPr>
          <w:p w14:paraId="71191279" w14:textId="1B02D3D0" w:rsidR="00646F4F" w:rsidRPr="00735726" w:rsidRDefault="00935C64"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503.8</w:t>
            </w:r>
          </w:p>
        </w:tc>
        <w:tc>
          <w:tcPr>
            <w:tcW w:w="1134" w:type="dxa"/>
            <w:tcBorders>
              <w:top w:val="single" w:sz="4" w:space="0" w:color="auto"/>
              <w:bottom w:val="single" w:sz="4" w:space="0" w:color="auto"/>
            </w:tcBorders>
          </w:tcPr>
          <w:p w14:paraId="69E6909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218.8</w:t>
            </w:r>
          </w:p>
        </w:tc>
      </w:tr>
      <w:bookmarkEnd w:id="1225"/>
      <w:bookmarkEnd w:id="1226"/>
    </w:tbl>
    <w:p w14:paraId="036DA62D"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08CBFAD"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b/>
          <w:bCs/>
          <w:color w:val="000000"/>
          <w:sz w:val="18"/>
          <w:szCs w:val="18"/>
        </w:rPr>
      </w:pPr>
    </w:p>
    <w:p w14:paraId="52A21395"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ED61CC3"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71A325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73092038"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4025F988"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0BE2B38C"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130EACDF"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50AA487"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7456ADC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3C548F5E"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7F79D7B5"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34.</w:t>
      </w:r>
      <w:r w:rsidRPr="00735726">
        <w:rPr>
          <w:rFonts w:ascii="Arial" w:eastAsia="Times New Roman" w:hAnsi="Arial" w:cs="Arial"/>
          <w:b/>
          <w:bCs/>
          <w:caps/>
          <w:color w:val="000000"/>
          <w:sz w:val="18"/>
          <w:szCs w:val="18"/>
        </w:rPr>
        <w:tab/>
        <w:t>Net borrowings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038B1859" w14:textId="77777777" w:rsidTr="00CE19B2">
        <w:trPr>
          <w:trHeight w:val="60"/>
          <w:tblHeader/>
        </w:trPr>
        <w:tc>
          <w:tcPr>
            <w:tcW w:w="7739" w:type="dxa"/>
            <w:tcMar>
              <w:top w:w="11" w:type="dxa"/>
              <w:left w:w="57" w:type="dxa"/>
              <w:bottom w:w="11" w:type="dxa"/>
              <w:right w:w="57" w:type="dxa"/>
            </w:tcMar>
          </w:tcPr>
          <w:p w14:paraId="00553424"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5FBE06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180A143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Pr>
          <w:p w14:paraId="55B556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8BD5C4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07304B3" w14:textId="77777777" w:rsidTr="00CE19B2">
        <w:trPr>
          <w:trHeight w:val="226"/>
        </w:trPr>
        <w:tc>
          <w:tcPr>
            <w:tcW w:w="7739" w:type="dxa"/>
            <w:tcMar>
              <w:top w:w="11" w:type="dxa"/>
              <w:left w:w="57" w:type="dxa"/>
              <w:bottom w:w="11" w:type="dxa"/>
              <w:right w:w="57" w:type="dxa"/>
            </w:tcMar>
          </w:tcPr>
          <w:p w14:paraId="0A31B30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bookmarkStart w:id="1227" w:name="XMETag_80c1ecfe5f2e41fbb68c221d62871b92" w:colFirst="1" w:colLast="1"/>
            <w:bookmarkStart w:id="1228" w:name="XMETag_f8a4a69b0ff84216a633c6f761acc6d0" w:colFirst="2" w:colLast="2"/>
            <w:r w:rsidRPr="00735726">
              <w:rPr>
                <w:rFonts w:ascii="Arial" w:eastAsia="Times New Roman" w:hAnsi="Arial" w:cs="DINOT-Light"/>
                <w:bCs/>
                <w:color w:val="000000"/>
                <w:sz w:val="18"/>
                <w:szCs w:val="18"/>
              </w:rPr>
              <w:t>Cash and cash equivalents</w:t>
            </w:r>
          </w:p>
        </w:tc>
        <w:tc>
          <w:tcPr>
            <w:tcW w:w="1133" w:type="dxa"/>
            <w:tcMar>
              <w:top w:w="11" w:type="dxa"/>
              <w:left w:w="57" w:type="dxa"/>
              <w:bottom w:w="11" w:type="dxa"/>
              <w:right w:w="57" w:type="dxa"/>
            </w:tcMar>
          </w:tcPr>
          <w:p w14:paraId="2FAEAD59" w14:textId="1EC10594" w:rsidR="00646F4F" w:rsidRPr="00735726" w:rsidRDefault="00D4323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hAnsi="Arial" w:cs="DINOT-Light"/>
                <w:bCs/>
                <w:color w:val="000000"/>
                <w:sz w:val="18"/>
                <w:szCs w:val="18"/>
              </w:rPr>
              <w:t>249.7</w:t>
            </w:r>
          </w:p>
        </w:tc>
        <w:tc>
          <w:tcPr>
            <w:tcW w:w="1134" w:type="dxa"/>
          </w:tcPr>
          <w:p w14:paraId="5B3D0EF0" w14:textId="6DFFB529" w:rsidR="00646F4F" w:rsidRPr="00735726" w:rsidRDefault="00D4323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280.6</w:t>
            </w:r>
          </w:p>
        </w:tc>
      </w:tr>
      <w:tr w:rsidR="00D43235" w:rsidRPr="00735726" w14:paraId="26CACDB6" w14:textId="77777777" w:rsidTr="00CE19B2">
        <w:trPr>
          <w:trHeight w:val="226"/>
        </w:trPr>
        <w:tc>
          <w:tcPr>
            <w:tcW w:w="7739" w:type="dxa"/>
            <w:tcMar>
              <w:top w:w="11" w:type="dxa"/>
              <w:left w:w="57" w:type="dxa"/>
              <w:bottom w:w="11" w:type="dxa"/>
              <w:right w:w="57" w:type="dxa"/>
            </w:tcMar>
          </w:tcPr>
          <w:p w14:paraId="4698CEAD" w14:textId="48557AD1" w:rsidR="00D43235" w:rsidRPr="00735726" w:rsidRDefault="00D43235" w:rsidP="00CE19B2">
            <w:pPr>
              <w:widowControl w:val="0"/>
              <w:suppressAutoHyphens/>
              <w:autoSpaceDE w:val="0"/>
              <w:autoSpaceDN w:val="0"/>
              <w:adjustRightInd w:val="0"/>
              <w:spacing w:after="0" w:line="220" w:lineRule="atLeas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 xml:space="preserve">Restricted </w:t>
            </w:r>
            <w:r w:rsidR="00345191" w:rsidRPr="00735726">
              <w:rPr>
                <w:rFonts w:ascii="Arial" w:eastAsia="Times New Roman" w:hAnsi="Arial" w:cs="DINOT-Light"/>
                <w:bCs/>
                <w:color w:val="000000"/>
                <w:sz w:val="18"/>
                <w:szCs w:val="18"/>
              </w:rPr>
              <w:t>funds</w:t>
            </w:r>
          </w:p>
        </w:tc>
        <w:tc>
          <w:tcPr>
            <w:tcW w:w="1133" w:type="dxa"/>
            <w:tcMar>
              <w:top w:w="11" w:type="dxa"/>
              <w:left w:w="57" w:type="dxa"/>
              <w:bottom w:w="11" w:type="dxa"/>
              <w:right w:w="57" w:type="dxa"/>
            </w:tcMar>
          </w:tcPr>
          <w:p w14:paraId="6F3D957E" w14:textId="1EB2C13A" w:rsidR="00D43235" w:rsidRPr="00735726" w:rsidRDefault="00D43235" w:rsidP="00CE19B2">
            <w:pPr>
              <w:widowControl w:val="0"/>
              <w:suppressAutoHyphens/>
              <w:autoSpaceDE w:val="0"/>
              <w:autoSpaceDN w:val="0"/>
              <w:adjustRightInd w:val="0"/>
              <w:spacing w:after="0" w:line="220" w:lineRule="atLeast"/>
              <w:jc w:val="right"/>
              <w:textAlignment w:val="center"/>
              <w:rPr>
                <w:rFonts w:ascii="Arial" w:hAnsi="Arial" w:cs="DINOT-Light"/>
                <w:bCs/>
                <w:color w:val="000000"/>
                <w:sz w:val="18"/>
                <w:szCs w:val="18"/>
              </w:rPr>
            </w:pPr>
            <w:r w:rsidRPr="00735726">
              <w:rPr>
                <w:rFonts w:ascii="Arial" w:hAnsi="Arial" w:cs="DINOT-Light"/>
                <w:bCs/>
                <w:color w:val="000000"/>
                <w:sz w:val="18"/>
                <w:szCs w:val="18"/>
              </w:rPr>
              <w:t>46.2</w:t>
            </w:r>
          </w:p>
        </w:tc>
        <w:tc>
          <w:tcPr>
            <w:tcW w:w="1134" w:type="dxa"/>
          </w:tcPr>
          <w:p w14:paraId="289CEA07" w14:textId="3031943D" w:rsidR="00D43235" w:rsidRPr="00735726" w:rsidRDefault="00D43235"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Cs/>
                <w:color w:val="000000"/>
                <w:sz w:val="18"/>
                <w:szCs w:val="18"/>
              </w:rPr>
            </w:pPr>
            <w:r w:rsidRPr="00735726">
              <w:rPr>
                <w:rFonts w:ascii="Arial" w:eastAsia="Times New Roman" w:hAnsi="Arial" w:cs="DINOT-Light"/>
                <w:bCs/>
                <w:color w:val="000000"/>
                <w:sz w:val="18"/>
                <w:szCs w:val="18"/>
              </w:rPr>
              <w:t>46.1</w:t>
            </w:r>
          </w:p>
        </w:tc>
      </w:tr>
      <w:bookmarkEnd w:id="1227"/>
      <w:bookmarkEnd w:id="1228"/>
      <w:tr w:rsidR="00646F4F" w:rsidRPr="00735726" w14:paraId="5643E289" w14:textId="77777777" w:rsidTr="00CE19B2">
        <w:trPr>
          <w:trHeight w:val="226"/>
        </w:trPr>
        <w:tc>
          <w:tcPr>
            <w:tcW w:w="7739" w:type="dxa"/>
            <w:tcMar>
              <w:top w:w="11" w:type="dxa"/>
              <w:left w:w="57" w:type="dxa"/>
              <w:bottom w:w="11" w:type="dxa"/>
              <w:right w:w="57" w:type="dxa"/>
            </w:tcMar>
          </w:tcPr>
          <w:p w14:paraId="67881600" w14:textId="2F2451D2"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Borrowings </w:t>
            </w:r>
            <w:r w:rsidR="006C1BA9" w:rsidRPr="00735726">
              <w:rPr>
                <w:rFonts w:ascii="Arial" w:eastAsia="Times New Roman" w:hAnsi="Arial" w:cs="DINOT-Light"/>
                <w:b/>
                <w:color w:val="000000"/>
                <w:sz w:val="18"/>
                <w:szCs w:val="18"/>
              </w:rPr>
              <w:t xml:space="preserve">- </w:t>
            </w:r>
            <w:r w:rsidRPr="00735726">
              <w:rPr>
                <w:rFonts w:ascii="Arial" w:eastAsia="Times New Roman" w:hAnsi="Arial" w:cs="DINOT-Light"/>
                <w:b/>
                <w:color w:val="000000"/>
                <w:sz w:val="18"/>
                <w:szCs w:val="18"/>
              </w:rPr>
              <w:t>current</w:t>
            </w:r>
          </w:p>
        </w:tc>
        <w:tc>
          <w:tcPr>
            <w:tcW w:w="1133" w:type="dxa"/>
            <w:tcMar>
              <w:top w:w="11" w:type="dxa"/>
              <w:left w:w="57" w:type="dxa"/>
              <w:bottom w:w="11" w:type="dxa"/>
              <w:right w:w="57" w:type="dxa"/>
            </w:tcMar>
          </w:tcPr>
          <w:p w14:paraId="6AC0E912" w14:textId="2C8176A5"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Pr>
          <w:p w14:paraId="05BA470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535E6FC4" w14:textId="77777777" w:rsidTr="00CE19B2">
        <w:trPr>
          <w:trHeight w:val="226"/>
        </w:trPr>
        <w:tc>
          <w:tcPr>
            <w:tcW w:w="7739" w:type="dxa"/>
            <w:tcMar>
              <w:top w:w="11" w:type="dxa"/>
              <w:left w:w="57" w:type="dxa"/>
              <w:bottom w:w="11" w:type="dxa"/>
              <w:right w:w="57" w:type="dxa"/>
            </w:tcMar>
          </w:tcPr>
          <w:p w14:paraId="05567971" w14:textId="3C7A2BD0" w:rsidR="00646F4F" w:rsidRPr="00735726" w:rsidRDefault="00A66CFD"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29" w:name="XMETag_5f5c3cbff6fd4826897c3c8e8b21b65c" w:colFirst="1" w:colLast="1"/>
            <w:bookmarkStart w:id="1230" w:name="XMETag_46ea7e5ff9f041229b3d5d01be93ecb5" w:colFirst="2" w:colLast="2"/>
            <w:r w:rsidRPr="00735726">
              <w:rPr>
                <w:rFonts w:ascii="Arial" w:eastAsia="Times New Roman" w:hAnsi="Arial" w:cs="DINOT-Light"/>
                <w:color w:val="000000"/>
                <w:sz w:val="18"/>
                <w:szCs w:val="18"/>
              </w:rPr>
              <w:t>Bank and o</w:t>
            </w:r>
            <w:r w:rsidR="00646F4F" w:rsidRPr="00735726">
              <w:rPr>
                <w:rFonts w:ascii="Arial" w:eastAsia="Times New Roman" w:hAnsi="Arial" w:cs="DINOT-Light"/>
                <w:color w:val="000000"/>
                <w:sz w:val="18"/>
                <w:szCs w:val="18"/>
              </w:rPr>
              <w:t>ther current borrowings</w:t>
            </w:r>
          </w:p>
        </w:tc>
        <w:tc>
          <w:tcPr>
            <w:tcW w:w="1133" w:type="dxa"/>
            <w:tcMar>
              <w:top w:w="11" w:type="dxa"/>
              <w:left w:w="57" w:type="dxa"/>
              <w:bottom w:w="11" w:type="dxa"/>
              <w:right w:w="57" w:type="dxa"/>
            </w:tcMar>
          </w:tcPr>
          <w:p w14:paraId="617D8518" w14:textId="3095264B"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hAnsi="Arial" w:cs="DINOT-Light"/>
                <w:color w:val="000000"/>
                <w:sz w:val="18"/>
                <w:szCs w:val="18"/>
              </w:rPr>
              <w:t>(57.6)</w:t>
            </w:r>
          </w:p>
        </w:tc>
        <w:tc>
          <w:tcPr>
            <w:tcW w:w="1134" w:type="dxa"/>
          </w:tcPr>
          <w:p w14:paraId="2767C78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(104.9)</w:t>
            </w:r>
          </w:p>
        </w:tc>
      </w:tr>
      <w:tr w:rsidR="00646F4F" w:rsidRPr="00735726" w14:paraId="4366DE6F" w14:textId="77777777" w:rsidTr="00CE19B2">
        <w:trPr>
          <w:trHeight w:val="226"/>
        </w:trPr>
        <w:tc>
          <w:tcPr>
            <w:tcW w:w="7739" w:type="dxa"/>
            <w:tcMar>
              <w:top w:w="11" w:type="dxa"/>
              <w:left w:w="57" w:type="dxa"/>
              <w:bottom w:w="11" w:type="dxa"/>
              <w:right w:w="57" w:type="dxa"/>
            </w:tcMar>
          </w:tcPr>
          <w:p w14:paraId="68F2975B"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31" w:name="XMETag_ae6d4c8e5d63452db88699222907828a" w:colFirst="1" w:colLast="1"/>
            <w:bookmarkStart w:id="1232" w:name="XMETag_2e713127bb4b4ac28eed920b904f3592" w:colFirst="2" w:colLast="2"/>
            <w:bookmarkEnd w:id="1229"/>
            <w:bookmarkEnd w:id="1230"/>
            <w:r w:rsidRPr="00735726">
              <w:rPr>
                <w:rFonts w:ascii="Arial" w:eastAsia="Times New Roman" w:hAnsi="Arial" w:cs="DINOT-Light"/>
                <w:color w:val="000000"/>
                <w:sz w:val="18"/>
                <w:szCs w:val="18"/>
              </w:rPr>
              <w:t>Lease obligations</w:t>
            </w:r>
          </w:p>
        </w:tc>
        <w:tc>
          <w:tcPr>
            <w:tcW w:w="1133" w:type="dxa"/>
            <w:tcBorders>
              <w:bottom w:val="single" w:sz="4" w:space="0" w:color="auto"/>
            </w:tcBorders>
            <w:tcMar>
              <w:top w:w="11" w:type="dxa"/>
              <w:left w:w="57" w:type="dxa"/>
              <w:bottom w:w="11" w:type="dxa"/>
              <w:right w:w="57" w:type="dxa"/>
            </w:tcMar>
          </w:tcPr>
          <w:p w14:paraId="3DA56024" w14:textId="7A347980"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hAnsi="Arial" w:cs="DINOT-Light"/>
                <w:color w:val="000000"/>
                <w:sz w:val="18"/>
                <w:szCs w:val="18"/>
              </w:rPr>
              <w:t>(31.5)</w:t>
            </w:r>
          </w:p>
        </w:tc>
        <w:tc>
          <w:tcPr>
            <w:tcW w:w="1134" w:type="dxa"/>
            <w:tcBorders>
              <w:bottom w:val="single" w:sz="4" w:space="0" w:color="auto"/>
            </w:tcBorders>
          </w:tcPr>
          <w:p w14:paraId="0C66160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(32.3)</w:t>
            </w:r>
          </w:p>
        </w:tc>
      </w:tr>
      <w:tr w:rsidR="00646F4F" w:rsidRPr="00735726" w14:paraId="5DCC0EB2" w14:textId="77777777" w:rsidTr="00CE19B2">
        <w:trPr>
          <w:trHeight w:val="226"/>
        </w:trPr>
        <w:tc>
          <w:tcPr>
            <w:tcW w:w="7739" w:type="dxa"/>
            <w:tcMar>
              <w:top w:w="11" w:type="dxa"/>
              <w:left w:w="57" w:type="dxa"/>
              <w:bottom w:w="11" w:type="dxa"/>
              <w:right w:w="57" w:type="dxa"/>
            </w:tcMar>
          </w:tcPr>
          <w:p w14:paraId="5C70196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233" w:name="XMETag_73f6c3ee5815451f82b811cf9b1f5c2e" w:colFirst="1" w:colLast="1"/>
            <w:bookmarkStart w:id="1234" w:name="XMETag_6e0dcfdf73fd47a59e61db1e3f09a979" w:colFirst="2" w:colLast="2"/>
            <w:bookmarkEnd w:id="1231"/>
            <w:bookmarkEnd w:id="1232"/>
            <w:r w:rsidRPr="00735726">
              <w:rPr>
                <w:rFonts w:ascii="Arial" w:eastAsia="Times New Roman" w:hAnsi="Arial" w:cs="DINOT-Light"/>
                <w:b/>
                <w:color w:val="000000"/>
                <w:sz w:val="18"/>
                <w:szCs w:val="18"/>
              </w:rPr>
              <w:t>Total current borrowings</w:t>
            </w:r>
          </w:p>
        </w:tc>
        <w:tc>
          <w:tcPr>
            <w:tcW w:w="1133" w:type="dxa"/>
            <w:tcBorders>
              <w:top w:val="single" w:sz="4" w:space="0" w:color="auto"/>
            </w:tcBorders>
            <w:tcMar>
              <w:top w:w="11" w:type="dxa"/>
              <w:left w:w="57" w:type="dxa"/>
              <w:bottom w:w="11" w:type="dxa"/>
              <w:right w:w="57" w:type="dxa"/>
            </w:tcMar>
          </w:tcPr>
          <w:p w14:paraId="538B260F" w14:textId="2D53CCEF"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hAnsi="Arial" w:cs="DINOT-Light"/>
                <w:b/>
                <w:bCs/>
                <w:color w:val="000000"/>
                <w:sz w:val="18"/>
                <w:szCs w:val="18"/>
              </w:rPr>
              <w:t>(89.1)</w:t>
            </w:r>
          </w:p>
        </w:tc>
        <w:tc>
          <w:tcPr>
            <w:tcW w:w="1134" w:type="dxa"/>
            <w:tcBorders>
              <w:top w:val="single" w:sz="4" w:space="0" w:color="auto"/>
            </w:tcBorders>
          </w:tcPr>
          <w:p w14:paraId="1C3FFC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(137.2)</w:t>
            </w:r>
          </w:p>
        </w:tc>
      </w:tr>
      <w:bookmarkEnd w:id="1233"/>
      <w:bookmarkEnd w:id="1234"/>
      <w:tr w:rsidR="00646F4F" w:rsidRPr="00735726" w14:paraId="0A86C8B9" w14:textId="77777777" w:rsidTr="00CE19B2">
        <w:trPr>
          <w:trHeight w:val="226"/>
        </w:trPr>
        <w:tc>
          <w:tcPr>
            <w:tcW w:w="7739" w:type="dxa"/>
            <w:tcMar>
              <w:top w:w="11" w:type="dxa"/>
              <w:left w:w="57" w:type="dxa"/>
              <w:bottom w:w="11" w:type="dxa"/>
              <w:right w:w="57" w:type="dxa"/>
            </w:tcMar>
          </w:tcPr>
          <w:p w14:paraId="785CAAD0" w14:textId="1F63ACFF"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 xml:space="preserve">Borrowings </w:t>
            </w:r>
            <w:r w:rsidR="006C1BA9" w:rsidRPr="00735726">
              <w:rPr>
                <w:rFonts w:ascii="Arial" w:eastAsia="Times New Roman" w:hAnsi="Arial" w:cs="DINOT-Light"/>
                <w:b/>
                <w:color w:val="000000"/>
                <w:sz w:val="18"/>
                <w:szCs w:val="18"/>
              </w:rPr>
              <w:t xml:space="preserve">- </w:t>
            </w:r>
            <w:r w:rsidRPr="00735726">
              <w:rPr>
                <w:rFonts w:ascii="Arial" w:eastAsia="Times New Roman" w:hAnsi="Arial" w:cs="DINOT-Light"/>
                <w:b/>
                <w:color w:val="000000"/>
                <w:sz w:val="18"/>
                <w:szCs w:val="18"/>
              </w:rPr>
              <w:t>non-current</w:t>
            </w:r>
          </w:p>
        </w:tc>
        <w:tc>
          <w:tcPr>
            <w:tcW w:w="1133" w:type="dxa"/>
            <w:tcMar>
              <w:top w:w="11" w:type="dxa"/>
              <w:left w:w="57" w:type="dxa"/>
              <w:bottom w:w="11" w:type="dxa"/>
              <w:right w:w="57" w:type="dxa"/>
            </w:tcMar>
          </w:tcPr>
          <w:p w14:paraId="1611D9D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Pr>
          <w:p w14:paraId="45DEAC5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0072DA07" w14:textId="77777777" w:rsidTr="00CE19B2">
        <w:trPr>
          <w:trHeight w:val="226"/>
        </w:trPr>
        <w:tc>
          <w:tcPr>
            <w:tcW w:w="7739" w:type="dxa"/>
            <w:tcMar>
              <w:top w:w="11" w:type="dxa"/>
              <w:left w:w="57" w:type="dxa"/>
              <w:bottom w:w="11" w:type="dxa"/>
              <w:right w:w="57" w:type="dxa"/>
            </w:tcMar>
          </w:tcPr>
          <w:p w14:paraId="6FCF1461" w14:textId="16204B25" w:rsidR="00646F4F" w:rsidRPr="00735726" w:rsidRDefault="00A66CFD"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35" w:name="XMETag_47b0fd56284342f9bf64bb96c7d74025" w:colFirst="1" w:colLast="1"/>
            <w:bookmarkStart w:id="1236" w:name="XMETag_753a0287f2b2406388b79c57b73979db" w:colFirst="2" w:colLast="2"/>
            <w:r w:rsidRPr="00735726">
              <w:rPr>
                <w:rFonts w:ascii="Arial" w:eastAsia="Times New Roman" w:hAnsi="Arial" w:cs="DINOT-Light"/>
                <w:color w:val="000000"/>
                <w:sz w:val="18"/>
                <w:szCs w:val="18"/>
              </w:rPr>
              <w:t>Bank and o</w:t>
            </w:r>
            <w:r w:rsidR="00646F4F" w:rsidRPr="00735726">
              <w:rPr>
                <w:rFonts w:ascii="Arial" w:eastAsia="Times New Roman" w:hAnsi="Arial" w:cs="DINOT-Light"/>
                <w:color w:val="000000"/>
                <w:sz w:val="18"/>
                <w:szCs w:val="18"/>
              </w:rPr>
              <w:t>ther non-current borrowings</w:t>
            </w:r>
          </w:p>
        </w:tc>
        <w:tc>
          <w:tcPr>
            <w:tcW w:w="1133" w:type="dxa"/>
            <w:tcMar>
              <w:top w:w="11" w:type="dxa"/>
              <w:left w:w="57" w:type="dxa"/>
              <w:bottom w:w="11" w:type="dxa"/>
              <w:right w:w="57" w:type="dxa"/>
            </w:tcMar>
          </w:tcPr>
          <w:p w14:paraId="764DCFC3" w14:textId="604C7977"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hAnsi="Arial" w:cs="DINOT-Light"/>
                <w:color w:val="000000"/>
                <w:sz w:val="18"/>
                <w:szCs w:val="18"/>
              </w:rPr>
              <w:t>(3,002.1)</w:t>
            </w:r>
          </w:p>
        </w:tc>
        <w:tc>
          <w:tcPr>
            <w:tcW w:w="1134" w:type="dxa"/>
          </w:tcPr>
          <w:p w14:paraId="222855D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(2,733.8)</w:t>
            </w:r>
          </w:p>
        </w:tc>
      </w:tr>
      <w:tr w:rsidR="00646F4F" w:rsidRPr="00735726" w14:paraId="38B55677" w14:textId="77777777" w:rsidTr="00CE19B2">
        <w:trPr>
          <w:trHeight w:val="226"/>
        </w:trPr>
        <w:tc>
          <w:tcPr>
            <w:tcW w:w="7739" w:type="dxa"/>
            <w:tcMar>
              <w:top w:w="11" w:type="dxa"/>
              <w:left w:w="57" w:type="dxa"/>
              <w:bottom w:w="11" w:type="dxa"/>
              <w:right w:w="57" w:type="dxa"/>
            </w:tcMar>
          </w:tcPr>
          <w:p w14:paraId="5122F0B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37" w:name="XMETag_19d3aa1c4ed14b60bf2f90a98c7ea8d7" w:colFirst="1" w:colLast="1"/>
            <w:bookmarkStart w:id="1238" w:name="XMETag_7ac59dc05aaa401681c82bf9a1326d54" w:colFirst="2" w:colLast="2"/>
            <w:bookmarkEnd w:id="1235"/>
            <w:bookmarkEnd w:id="1236"/>
            <w:r w:rsidRPr="00735726">
              <w:rPr>
                <w:rFonts w:ascii="Arial" w:eastAsia="Times New Roman" w:hAnsi="Arial" w:cs="DINOT-Light"/>
                <w:color w:val="000000"/>
                <w:sz w:val="18"/>
                <w:szCs w:val="18"/>
              </w:rPr>
              <w:t>Lease obligations</w:t>
            </w:r>
          </w:p>
        </w:tc>
        <w:tc>
          <w:tcPr>
            <w:tcW w:w="1133" w:type="dxa"/>
            <w:tcBorders>
              <w:bottom w:val="single" w:sz="4" w:space="0" w:color="auto"/>
            </w:tcBorders>
            <w:tcMar>
              <w:top w:w="11" w:type="dxa"/>
              <w:left w:w="57" w:type="dxa"/>
              <w:bottom w:w="11" w:type="dxa"/>
              <w:right w:w="57" w:type="dxa"/>
            </w:tcMar>
          </w:tcPr>
          <w:p w14:paraId="447A9DB0" w14:textId="56EDF04B"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hAnsi="Arial" w:cs="DINOT-Light"/>
                <w:color w:val="000000"/>
                <w:sz w:val="18"/>
                <w:szCs w:val="18"/>
              </w:rPr>
              <w:t>(1,061.1)</w:t>
            </w:r>
          </w:p>
        </w:tc>
        <w:tc>
          <w:tcPr>
            <w:tcW w:w="1134" w:type="dxa"/>
            <w:tcBorders>
              <w:bottom w:val="single" w:sz="4" w:space="0" w:color="auto"/>
            </w:tcBorders>
          </w:tcPr>
          <w:p w14:paraId="2F00472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(1,013.3)</w:t>
            </w:r>
          </w:p>
        </w:tc>
      </w:tr>
      <w:tr w:rsidR="00646F4F" w:rsidRPr="00735726" w14:paraId="631113CF" w14:textId="77777777" w:rsidTr="00CE19B2">
        <w:trPr>
          <w:trHeight w:val="226"/>
        </w:trPr>
        <w:tc>
          <w:tcPr>
            <w:tcW w:w="7739" w:type="dxa"/>
            <w:tcMar>
              <w:top w:w="11" w:type="dxa"/>
              <w:left w:w="57" w:type="dxa"/>
              <w:bottom w:w="11" w:type="dxa"/>
              <w:right w:w="57" w:type="dxa"/>
            </w:tcMar>
          </w:tcPr>
          <w:p w14:paraId="1FC2E3C8"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239" w:name="XMETag_87bb2a6b26f546299e2422e7ef182431" w:colFirst="1" w:colLast="1"/>
            <w:bookmarkStart w:id="1240" w:name="XMETag_933c85bb0c9143d7bc8e80844ed80c12" w:colFirst="2" w:colLast="2"/>
            <w:bookmarkEnd w:id="1237"/>
            <w:bookmarkEnd w:id="1238"/>
            <w:r w:rsidRPr="00735726">
              <w:rPr>
                <w:rFonts w:ascii="Arial" w:eastAsia="Times New Roman" w:hAnsi="Arial" w:cs="DINOT-Light"/>
                <w:b/>
                <w:color w:val="000000"/>
                <w:sz w:val="18"/>
                <w:szCs w:val="18"/>
              </w:rPr>
              <w:t>Total non-current borrowings</w:t>
            </w:r>
          </w:p>
        </w:tc>
        <w:tc>
          <w:tcPr>
            <w:tcW w:w="1133" w:type="dxa"/>
            <w:tcBorders>
              <w:top w:val="single" w:sz="4" w:space="0" w:color="auto"/>
              <w:bottom w:val="single" w:sz="4" w:space="0" w:color="auto"/>
            </w:tcBorders>
            <w:tcMar>
              <w:top w:w="11" w:type="dxa"/>
              <w:left w:w="57" w:type="dxa"/>
              <w:bottom w:w="11" w:type="dxa"/>
              <w:right w:w="57" w:type="dxa"/>
            </w:tcMar>
          </w:tcPr>
          <w:p w14:paraId="12A92D40" w14:textId="0EBA2468"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hAnsi="Arial" w:cs="DINOT-Light"/>
                <w:b/>
                <w:bCs/>
                <w:color w:val="000000"/>
                <w:sz w:val="18"/>
                <w:szCs w:val="18"/>
              </w:rPr>
              <w:t>(4,063.2)</w:t>
            </w:r>
          </w:p>
        </w:tc>
        <w:tc>
          <w:tcPr>
            <w:tcW w:w="1134" w:type="dxa"/>
            <w:tcBorders>
              <w:top w:val="single" w:sz="4" w:space="0" w:color="auto"/>
              <w:bottom w:val="single" w:sz="4" w:space="0" w:color="auto"/>
            </w:tcBorders>
          </w:tcPr>
          <w:p w14:paraId="7F39AF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(3,747.1)</w:t>
            </w:r>
          </w:p>
        </w:tc>
      </w:tr>
      <w:tr w:rsidR="00646F4F" w:rsidRPr="00735726" w14:paraId="2B7E6B6B" w14:textId="77777777" w:rsidTr="00CE19B2">
        <w:trPr>
          <w:trHeight w:val="226"/>
        </w:trPr>
        <w:tc>
          <w:tcPr>
            <w:tcW w:w="7739" w:type="dxa"/>
            <w:tcMar>
              <w:top w:w="11" w:type="dxa"/>
              <w:left w:w="57" w:type="dxa"/>
              <w:bottom w:w="11" w:type="dxa"/>
              <w:right w:w="57" w:type="dxa"/>
            </w:tcMar>
          </w:tcPr>
          <w:p w14:paraId="2131C6A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bookmarkStart w:id="1241" w:name="XMETag_7a118993031c4de0b75d8d200862c64e" w:colFirst="1" w:colLast="1"/>
            <w:bookmarkStart w:id="1242" w:name="XMETag_fa942586e9734ac2846c57a5ff5d5bb2" w:colFirst="2" w:colLast="2"/>
            <w:bookmarkEnd w:id="1239"/>
            <w:bookmarkEnd w:id="1240"/>
            <w:r w:rsidRPr="00735726">
              <w:rPr>
                <w:rFonts w:ascii="Arial" w:eastAsia="Times New Roman" w:hAnsi="Arial" w:cs="DINOT-Light"/>
                <w:b/>
                <w:color w:val="000000"/>
                <w:sz w:val="18"/>
                <w:szCs w:val="18"/>
              </w:rPr>
              <w:t>Total net borrowings</w:t>
            </w:r>
          </w:p>
        </w:tc>
        <w:tc>
          <w:tcPr>
            <w:tcW w:w="1133" w:type="dxa"/>
            <w:tcBorders>
              <w:top w:val="single" w:sz="4" w:space="0" w:color="auto"/>
              <w:bottom w:val="single" w:sz="4" w:space="0" w:color="auto"/>
            </w:tcBorders>
            <w:tcMar>
              <w:top w:w="11" w:type="dxa"/>
              <w:left w:w="57" w:type="dxa"/>
              <w:bottom w:w="11" w:type="dxa"/>
              <w:right w:w="57" w:type="dxa"/>
            </w:tcMar>
          </w:tcPr>
          <w:p w14:paraId="0D9E3E46" w14:textId="1F7AC7C7"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bCs/>
                <w:color w:val="000000"/>
                <w:sz w:val="18"/>
                <w:szCs w:val="18"/>
              </w:rPr>
            </w:pPr>
            <w:r w:rsidRPr="00735726">
              <w:rPr>
                <w:rFonts w:ascii="Arial" w:hAnsi="Arial" w:cs="DINOT-Light"/>
                <w:b/>
                <w:bCs/>
                <w:color w:val="000000"/>
                <w:sz w:val="18"/>
                <w:szCs w:val="18"/>
              </w:rPr>
              <w:t>(3,856.4)</w:t>
            </w:r>
          </w:p>
        </w:tc>
        <w:tc>
          <w:tcPr>
            <w:tcW w:w="1134" w:type="dxa"/>
            <w:tcBorders>
              <w:top w:val="single" w:sz="4" w:space="0" w:color="auto"/>
              <w:bottom w:val="single" w:sz="4" w:space="0" w:color="auto"/>
            </w:tcBorders>
          </w:tcPr>
          <w:p w14:paraId="0AC7BBD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(3,557.6)</w:t>
            </w:r>
          </w:p>
        </w:tc>
      </w:tr>
      <w:bookmarkEnd w:id="1241"/>
      <w:bookmarkEnd w:id="1242"/>
    </w:tbl>
    <w:p w14:paraId="2BEBBDD1"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0DDDBB84"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movement in net borrowings during the periods presented were as follows:</w:t>
      </w:r>
    </w:p>
    <w:p w14:paraId="0E6F8076"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69FE99C"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tbl>
      <w:tblPr>
        <w:tblStyle w:val="TableGrid"/>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1196"/>
        <w:gridCol w:w="1351"/>
        <w:gridCol w:w="1222"/>
        <w:gridCol w:w="1217"/>
        <w:gridCol w:w="1244"/>
      </w:tblGrid>
      <w:tr w:rsidR="00646F4F" w:rsidRPr="00735726" w14:paraId="07407F1E" w14:textId="77777777" w:rsidTr="00CE19B2">
        <w:trPr>
          <w:trHeight w:val="180"/>
        </w:trPr>
        <w:tc>
          <w:tcPr>
            <w:tcW w:w="1504" w:type="pct"/>
          </w:tcPr>
          <w:p w14:paraId="1FD1EF1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p>
        </w:tc>
        <w:tc>
          <w:tcPr>
            <w:tcW w:w="671" w:type="pct"/>
          </w:tcPr>
          <w:p w14:paraId="53CE5B5C" w14:textId="7E72F816"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 xml:space="preserve">Net borrowings </w:t>
            </w:r>
            <w:proofErr w:type="gramStart"/>
            <w:r w:rsidRPr="00735726">
              <w:rPr>
                <w:rFonts w:ascii="Arial" w:hAnsi="Arial" w:cs="DINOT-Light"/>
                <w:b/>
                <w:bCs/>
                <w:color w:val="000000"/>
                <w:sz w:val="18"/>
                <w:szCs w:val="18"/>
              </w:rPr>
              <w:t>at</w:t>
            </w:r>
            <w:proofErr w:type="gramEnd"/>
            <w:r w:rsidRPr="00735726">
              <w:rPr>
                <w:rFonts w:ascii="Arial" w:hAnsi="Arial" w:cs="DINOT-Light"/>
                <w:b/>
                <w:bCs/>
                <w:color w:val="000000"/>
                <w:sz w:val="18"/>
                <w:szCs w:val="18"/>
              </w:rPr>
              <w:t xml:space="preserve"> 1 April 2024</w:t>
            </w:r>
          </w:p>
          <w:p w14:paraId="2E93CAF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c>
          <w:tcPr>
            <w:tcW w:w="758" w:type="pct"/>
          </w:tcPr>
          <w:p w14:paraId="76DF1B5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p>
          <w:p w14:paraId="68287A6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p>
          <w:p w14:paraId="73EC71E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p>
          <w:p w14:paraId="50DA4C0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Cash flows</w:t>
            </w:r>
          </w:p>
          <w:p w14:paraId="61A3DA3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c>
          <w:tcPr>
            <w:tcW w:w="686" w:type="pct"/>
          </w:tcPr>
          <w:p w14:paraId="65F6A3B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Transfer between non-current and current</w:t>
            </w:r>
          </w:p>
          <w:p w14:paraId="41F30DA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c>
          <w:tcPr>
            <w:tcW w:w="683" w:type="pct"/>
          </w:tcPr>
          <w:p w14:paraId="2460852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p>
          <w:p w14:paraId="25E12B2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Other non-cash movements</w:t>
            </w:r>
          </w:p>
          <w:p w14:paraId="4A41F01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c>
          <w:tcPr>
            <w:tcW w:w="698" w:type="pct"/>
          </w:tcPr>
          <w:p w14:paraId="5EA418D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 xml:space="preserve">Net borrowings </w:t>
            </w:r>
            <w:proofErr w:type="gramStart"/>
            <w:r w:rsidRPr="00735726">
              <w:rPr>
                <w:rFonts w:ascii="Arial" w:hAnsi="Arial" w:cs="DINOT-Light"/>
                <w:b/>
                <w:bCs/>
                <w:color w:val="000000"/>
                <w:sz w:val="18"/>
                <w:szCs w:val="18"/>
              </w:rPr>
              <w:t>at</w:t>
            </w:r>
            <w:proofErr w:type="gramEnd"/>
            <w:r w:rsidRPr="00735726">
              <w:rPr>
                <w:rFonts w:ascii="Arial" w:hAnsi="Arial" w:cs="DINOT-Light"/>
                <w:b/>
                <w:bCs/>
                <w:color w:val="000000"/>
                <w:sz w:val="18"/>
                <w:szCs w:val="18"/>
              </w:rPr>
              <w:t xml:space="preserve"> 31 March 2025</w:t>
            </w:r>
          </w:p>
          <w:p w14:paraId="5859C7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r>
      <w:tr w:rsidR="00646F4F" w:rsidRPr="00735726" w14:paraId="6F558AB1" w14:textId="77777777" w:rsidTr="00CE19B2">
        <w:trPr>
          <w:trHeight w:val="193"/>
        </w:trPr>
        <w:tc>
          <w:tcPr>
            <w:tcW w:w="1504" w:type="pct"/>
          </w:tcPr>
          <w:p w14:paraId="50594BB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bookmarkStart w:id="1243" w:name="XMETag_6116773060be4806ab3325a5b609392d" w:colFirst="5" w:colLast="5"/>
            <w:bookmarkStart w:id="1244" w:name="XMETag_0a8a80d6091c44439f1a3dcd7271dc40" w:colFirst="1" w:colLast="1"/>
            <w:r w:rsidRPr="00735726">
              <w:rPr>
                <w:rFonts w:ascii="Arial" w:hAnsi="Arial" w:cs="DINOT-Light"/>
                <w:color w:val="000000"/>
                <w:sz w:val="18"/>
                <w:szCs w:val="18"/>
              </w:rPr>
              <w:t>Cash and cash equivalents</w:t>
            </w:r>
          </w:p>
        </w:tc>
        <w:tc>
          <w:tcPr>
            <w:tcW w:w="671" w:type="pct"/>
          </w:tcPr>
          <w:p w14:paraId="0CBA463C" w14:textId="3F1C11B1" w:rsidR="00646F4F"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p>
        </w:tc>
        <w:tc>
          <w:tcPr>
            <w:tcW w:w="758" w:type="pct"/>
          </w:tcPr>
          <w:p w14:paraId="6125195A" w14:textId="32DF989B" w:rsidR="00646F4F"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280.6</w:t>
            </w:r>
          </w:p>
        </w:tc>
        <w:tc>
          <w:tcPr>
            <w:tcW w:w="686" w:type="pct"/>
          </w:tcPr>
          <w:p w14:paraId="674A7C5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p>
        </w:tc>
        <w:tc>
          <w:tcPr>
            <w:tcW w:w="683" w:type="pct"/>
          </w:tcPr>
          <w:p w14:paraId="2F901B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p>
        </w:tc>
        <w:tc>
          <w:tcPr>
            <w:tcW w:w="698" w:type="pct"/>
          </w:tcPr>
          <w:p w14:paraId="467AC7F3" w14:textId="46EE3BF7" w:rsidR="00646F4F"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280.6</w:t>
            </w:r>
          </w:p>
        </w:tc>
      </w:tr>
      <w:tr w:rsidR="00D43235" w:rsidRPr="00735726" w14:paraId="1AFB1729" w14:textId="77777777" w:rsidTr="00CE19B2">
        <w:trPr>
          <w:trHeight w:val="193"/>
        </w:trPr>
        <w:tc>
          <w:tcPr>
            <w:tcW w:w="1504" w:type="pct"/>
          </w:tcPr>
          <w:p w14:paraId="44E37743" w14:textId="28EEB0C7" w:rsidR="00D43235" w:rsidRPr="00735726" w:rsidRDefault="00D43235"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r w:rsidRPr="00735726">
              <w:rPr>
                <w:rFonts w:ascii="Arial" w:hAnsi="Arial" w:cs="DINOT-Light"/>
                <w:bCs/>
                <w:color w:val="000000"/>
                <w:sz w:val="18"/>
                <w:szCs w:val="18"/>
              </w:rPr>
              <w:t xml:space="preserve">Restricted </w:t>
            </w:r>
            <w:r w:rsidR="00345191" w:rsidRPr="00735726">
              <w:rPr>
                <w:rFonts w:ascii="Arial" w:hAnsi="Arial" w:cs="DINOT-Light"/>
                <w:bCs/>
                <w:color w:val="000000"/>
                <w:sz w:val="18"/>
                <w:szCs w:val="18"/>
              </w:rPr>
              <w:t>funds</w:t>
            </w:r>
          </w:p>
        </w:tc>
        <w:tc>
          <w:tcPr>
            <w:tcW w:w="671" w:type="pct"/>
          </w:tcPr>
          <w:p w14:paraId="65632DF0" w14:textId="02BBD665" w:rsidR="00D43235"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26.0</w:t>
            </w:r>
          </w:p>
        </w:tc>
        <w:tc>
          <w:tcPr>
            <w:tcW w:w="758" w:type="pct"/>
          </w:tcPr>
          <w:p w14:paraId="28E63FE8" w14:textId="60BF32BC" w:rsidR="00D43235"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20.1</w:t>
            </w:r>
          </w:p>
        </w:tc>
        <w:tc>
          <w:tcPr>
            <w:tcW w:w="686" w:type="pct"/>
          </w:tcPr>
          <w:p w14:paraId="242E7A74" w14:textId="5CB3DDC6" w:rsidR="00D43235"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p>
        </w:tc>
        <w:tc>
          <w:tcPr>
            <w:tcW w:w="683" w:type="pct"/>
          </w:tcPr>
          <w:p w14:paraId="261C7F72" w14:textId="06D438A1" w:rsidR="00D43235"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p>
        </w:tc>
        <w:tc>
          <w:tcPr>
            <w:tcW w:w="698" w:type="pct"/>
          </w:tcPr>
          <w:p w14:paraId="2E5200F2" w14:textId="55DBF24A" w:rsidR="00D43235"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46.1</w:t>
            </w:r>
          </w:p>
        </w:tc>
      </w:tr>
      <w:bookmarkEnd w:id="1243"/>
      <w:bookmarkEnd w:id="1244"/>
      <w:tr w:rsidR="00646F4F" w:rsidRPr="00735726" w14:paraId="2A2EFF34" w14:textId="77777777" w:rsidTr="00CE19B2">
        <w:trPr>
          <w:trHeight w:val="180"/>
        </w:trPr>
        <w:tc>
          <w:tcPr>
            <w:tcW w:w="1504" w:type="pct"/>
          </w:tcPr>
          <w:p w14:paraId="3FB6AB33"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r w:rsidRPr="00735726">
              <w:rPr>
                <w:rFonts w:ascii="Arial" w:hAnsi="Arial" w:cs="DINOT-Light"/>
                <w:color w:val="000000"/>
                <w:sz w:val="18"/>
                <w:szCs w:val="18"/>
              </w:rPr>
              <w:t>Bank and other current borrowings</w:t>
            </w:r>
          </w:p>
        </w:tc>
        <w:tc>
          <w:tcPr>
            <w:tcW w:w="671" w:type="pct"/>
          </w:tcPr>
          <w:p w14:paraId="5DD2A9F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(208.3)</w:t>
            </w:r>
          </w:p>
        </w:tc>
        <w:tc>
          <w:tcPr>
            <w:tcW w:w="758" w:type="pct"/>
          </w:tcPr>
          <w:p w14:paraId="75CEDB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209.0</w:t>
            </w:r>
          </w:p>
        </w:tc>
        <w:tc>
          <w:tcPr>
            <w:tcW w:w="686" w:type="pct"/>
          </w:tcPr>
          <w:p w14:paraId="1BB7FF5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(108.3)</w:t>
            </w:r>
          </w:p>
        </w:tc>
        <w:tc>
          <w:tcPr>
            <w:tcW w:w="683" w:type="pct"/>
          </w:tcPr>
          <w:p w14:paraId="7CCA609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2.7</w:t>
            </w:r>
          </w:p>
        </w:tc>
        <w:tc>
          <w:tcPr>
            <w:tcW w:w="698" w:type="pct"/>
          </w:tcPr>
          <w:p w14:paraId="7AE7D04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(104.9)</w:t>
            </w:r>
          </w:p>
        </w:tc>
      </w:tr>
      <w:tr w:rsidR="00646F4F" w:rsidRPr="00735726" w14:paraId="116ACA16" w14:textId="77777777" w:rsidTr="00CE19B2">
        <w:trPr>
          <w:trHeight w:val="180"/>
        </w:trPr>
        <w:tc>
          <w:tcPr>
            <w:tcW w:w="1504" w:type="pct"/>
          </w:tcPr>
          <w:p w14:paraId="680130A6"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bookmarkStart w:id="1245" w:name="XMETag_ad250aa01d424da782ae846eae7cce4d" w:colFirst="5" w:colLast="5"/>
            <w:bookmarkStart w:id="1246" w:name="XMETag_a26177fa2d04437f8951ac8a69d0b8a4" w:colFirst="1" w:colLast="1"/>
            <w:r w:rsidRPr="00735726">
              <w:rPr>
                <w:rFonts w:ascii="Arial" w:hAnsi="Arial" w:cs="DINOT-Light"/>
                <w:color w:val="000000"/>
                <w:sz w:val="18"/>
                <w:szCs w:val="18"/>
              </w:rPr>
              <w:t>Current lease obligations</w:t>
            </w:r>
          </w:p>
        </w:tc>
        <w:tc>
          <w:tcPr>
            <w:tcW w:w="671" w:type="pct"/>
          </w:tcPr>
          <w:p w14:paraId="10B44A7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(50.9)</w:t>
            </w:r>
          </w:p>
        </w:tc>
        <w:tc>
          <w:tcPr>
            <w:tcW w:w="758" w:type="pct"/>
          </w:tcPr>
          <w:p w14:paraId="6F98875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100.9</w:t>
            </w:r>
          </w:p>
        </w:tc>
        <w:tc>
          <w:tcPr>
            <w:tcW w:w="686" w:type="pct"/>
          </w:tcPr>
          <w:p w14:paraId="498E3BC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(20.4)</w:t>
            </w:r>
          </w:p>
        </w:tc>
        <w:tc>
          <w:tcPr>
            <w:tcW w:w="683" w:type="pct"/>
          </w:tcPr>
          <w:p w14:paraId="7098FDB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(61.9)</w:t>
            </w:r>
          </w:p>
        </w:tc>
        <w:tc>
          <w:tcPr>
            <w:tcW w:w="698" w:type="pct"/>
          </w:tcPr>
          <w:p w14:paraId="384A31F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(32.3)</w:t>
            </w:r>
          </w:p>
        </w:tc>
      </w:tr>
      <w:bookmarkEnd w:id="1245"/>
      <w:bookmarkEnd w:id="1246"/>
      <w:tr w:rsidR="00646F4F" w:rsidRPr="00735726" w14:paraId="38F47BC4" w14:textId="77777777" w:rsidTr="00CE19B2">
        <w:trPr>
          <w:trHeight w:val="180"/>
        </w:trPr>
        <w:tc>
          <w:tcPr>
            <w:tcW w:w="1504" w:type="pct"/>
          </w:tcPr>
          <w:p w14:paraId="48D7782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r w:rsidRPr="00735726">
              <w:rPr>
                <w:rFonts w:ascii="Arial" w:hAnsi="Arial" w:cs="DINOT-Light"/>
                <w:color w:val="000000"/>
                <w:sz w:val="18"/>
                <w:szCs w:val="18"/>
              </w:rPr>
              <w:t>Bank and other non-current borrowings</w:t>
            </w:r>
          </w:p>
        </w:tc>
        <w:tc>
          <w:tcPr>
            <w:tcW w:w="671" w:type="pct"/>
          </w:tcPr>
          <w:p w14:paraId="0D2A031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(2,070.6)</w:t>
            </w:r>
          </w:p>
        </w:tc>
        <w:tc>
          <w:tcPr>
            <w:tcW w:w="758" w:type="pct"/>
          </w:tcPr>
          <w:p w14:paraId="1FC500F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(745.8)</w:t>
            </w:r>
          </w:p>
        </w:tc>
        <w:tc>
          <w:tcPr>
            <w:tcW w:w="686" w:type="pct"/>
          </w:tcPr>
          <w:p w14:paraId="63C2D06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108.3</w:t>
            </w:r>
          </w:p>
        </w:tc>
        <w:tc>
          <w:tcPr>
            <w:tcW w:w="683" w:type="pct"/>
          </w:tcPr>
          <w:p w14:paraId="43C112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(25.7)</w:t>
            </w:r>
          </w:p>
        </w:tc>
        <w:tc>
          <w:tcPr>
            <w:tcW w:w="698" w:type="pct"/>
          </w:tcPr>
          <w:p w14:paraId="60EE81C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(2,733.8)</w:t>
            </w:r>
          </w:p>
        </w:tc>
      </w:tr>
      <w:tr w:rsidR="00646F4F" w:rsidRPr="00735726" w14:paraId="394490A4" w14:textId="77777777" w:rsidTr="00CE19B2">
        <w:trPr>
          <w:trHeight w:val="180"/>
        </w:trPr>
        <w:tc>
          <w:tcPr>
            <w:tcW w:w="1504" w:type="pct"/>
          </w:tcPr>
          <w:p w14:paraId="163CDFF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bookmarkStart w:id="1247" w:name="XMETag_9cf6ebc6646f47aba54f6bf0def7af9a" w:colFirst="5" w:colLast="5"/>
            <w:bookmarkStart w:id="1248" w:name="XMETag_2083518dd9744c33a783dbab73134ea9" w:colFirst="1" w:colLast="1"/>
            <w:r w:rsidRPr="00735726">
              <w:rPr>
                <w:rFonts w:ascii="Arial" w:hAnsi="Arial" w:cs="DINOT-Light"/>
                <w:color w:val="000000"/>
                <w:sz w:val="18"/>
                <w:szCs w:val="18"/>
              </w:rPr>
              <w:t>Non-current lease obligations</w:t>
            </w:r>
          </w:p>
        </w:tc>
        <w:tc>
          <w:tcPr>
            <w:tcW w:w="671" w:type="pct"/>
            <w:tcBorders>
              <w:bottom w:val="single" w:sz="4" w:space="0" w:color="auto"/>
            </w:tcBorders>
          </w:tcPr>
          <w:p w14:paraId="38684DA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(1,065.5)</w:t>
            </w:r>
          </w:p>
        </w:tc>
        <w:tc>
          <w:tcPr>
            <w:tcW w:w="758" w:type="pct"/>
            <w:tcBorders>
              <w:bottom w:val="single" w:sz="4" w:space="0" w:color="auto"/>
            </w:tcBorders>
          </w:tcPr>
          <w:p w14:paraId="1477305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35.2</w:t>
            </w:r>
          </w:p>
        </w:tc>
        <w:tc>
          <w:tcPr>
            <w:tcW w:w="686" w:type="pct"/>
            <w:tcBorders>
              <w:bottom w:val="single" w:sz="4" w:space="0" w:color="auto"/>
            </w:tcBorders>
          </w:tcPr>
          <w:p w14:paraId="3B8585E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20.4</w:t>
            </w:r>
          </w:p>
        </w:tc>
        <w:tc>
          <w:tcPr>
            <w:tcW w:w="683" w:type="pct"/>
            <w:tcBorders>
              <w:bottom w:val="single" w:sz="4" w:space="0" w:color="auto"/>
            </w:tcBorders>
          </w:tcPr>
          <w:p w14:paraId="0C6F50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(3.4)</w:t>
            </w:r>
          </w:p>
        </w:tc>
        <w:tc>
          <w:tcPr>
            <w:tcW w:w="698" w:type="pct"/>
            <w:tcBorders>
              <w:bottom w:val="single" w:sz="4" w:space="0" w:color="auto"/>
            </w:tcBorders>
          </w:tcPr>
          <w:p w14:paraId="257CA14B"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(1,013.3)</w:t>
            </w:r>
          </w:p>
        </w:tc>
      </w:tr>
      <w:tr w:rsidR="00646F4F" w:rsidRPr="00735726" w14:paraId="4A720AD3" w14:textId="77777777" w:rsidTr="00CE19B2">
        <w:trPr>
          <w:trHeight w:val="180"/>
        </w:trPr>
        <w:tc>
          <w:tcPr>
            <w:tcW w:w="1504" w:type="pct"/>
          </w:tcPr>
          <w:p w14:paraId="166DA79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b/>
                <w:bCs/>
                <w:color w:val="000000"/>
                <w:sz w:val="18"/>
                <w:szCs w:val="18"/>
              </w:rPr>
            </w:pPr>
            <w:bookmarkStart w:id="1249" w:name="XMETag_5cae3f555bc648058a009a701d46c7d3" w:colFirst="5" w:colLast="5"/>
            <w:bookmarkStart w:id="1250" w:name="XMETag_28d10f8b7654480fb276135474b33c59" w:colFirst="1" w:colLast="1"/>
            <w:bookmarkEnd w:id="1247"/>
            <w:bookmarkEnd w:id="1248"/>
            <w:r w:rsidRPr="00735726">
              <w:rPr>
                <w:rFonts w:ascii="Arial" w:hAnsi="Arial" w:cs="DINOT-Light"/>
                <w:b/>
                <w:bCs/>
                <w:color w:val="000000"/>
                <w:sz w:val="18"/>
                <w:szCs w:val="18"/>
              </w:rPr>
              <w:t>Total net borrowings</w:t>
            </w:r>
          </w:p>
        </w:tc>
        <w:tc>
          <w:tcPr>
            <w:tcW w:w="671" w:type="pct"/>
            <w:tcBorders>
              <w:top w:val="single" w:sz="4" w:space="0" w:color="auto"/>
              <w:bottom w:val="single" w:sz="4" w:space="0" w:color="auto"/>
            </w:tcBorders>
          </w:tcPr>
          <w:p w14:paraId="07C4092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(3,369.3)</w:t>
            </w:r>
          </w:p>
        </w:tc>
        <w:tc>
          <w:tcPr>
            <w:tcW w:w="758" w:type="pct"/>
            <w:tcBorders>
              <w:top w:val="single" w:sz="4" w:space="0" w:color="auto"/>
              <w:bottom w:val="single" w:sz="4" w:space="0" w:color="auto"/>
            </w:tcBorders>
          </w:tcPr>
          <w:p w14:paraId="06A0E6B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(100.0)</w:t>
            </w:r>
          </w:p>
        </w:tc>
        <w:tc>
          <w:tcPr>
            <w:tcW w:w="686" w:type="pct"/>
            <w:tcBorders>
              <w:top w:val="single" w:sz="4" w:space="0" w:color="auto"/>
              <w:bottom w:val="single" w:sz="4" w:space="0" w:color="auto"/>
            </w:tcBorders>
          </w:tcPr>
          <w:p w14:paraId="65BF5BA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w:t>
            </w:r>
          </w:p>
        </w:tc>
        <w:tc>
          <w:tcPr>
            <w:tcW w:w="683" w:type="pct"/>
            <w:tcBorders>
              <w:top w:val="single" w:sz="4" w:space="0" w:color="auto"/>
              <w:bottom w:val="single" w:sz="4" w:space="0" w:color="auto"/>
            </w:tcBorders>
          </w:tcPr>
          <w:p w14:paraId="792D2FA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(88.3)</w:t>
            </w:r>
          </w:p>
        </w:tc>
        <w:tc>
          <w:tcPr>
            <w:tcW w:w="698" w:type="pct"/>
            <w:tcBorders>
              <w:top w:val="single" w:sz="4" w:space="0" w:color="auto"/>
              <w:bottom w:val="single" w:sz="4" w:space="0" w:color="auto"/>
            </w:tcBorders>
          </w:tcPr>
          <w:p w14:paraId="558AD74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(3,557.6)</w:t>
            </w:r>
          </w:p>
        </w:tc>
      </w:tr>
      <w:bookmarkEnd w:id="1249"/>
      <w:bookmarkEnd w:id="1250"/>
    </w:tbl>
    <w:p w14:paraId="14160B6F"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2CC15F71"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p>
    <w:p w14:paraId="11773BC9"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bookmarkStart w:id="1251" w:name="_Hlk7163200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1213"/>
        <w:gridCol w:w="1368"/>
        <w:gridCol w:w="1238"/>
        <w:gridCol w:w="1233"/>
        <w:gridCol w:w="1255"/>
      </w:tblGrid>
      <w:tr w:rsidR="00646F4F" w:rsidRPr="00735726" w14:paraId="67CC6D66" w14:textId="77777777" w:rsidTr="00CE19B2">
        <w:trPr>
          <w:trHeight w:val="193"/>
        </w:trPr>
        <w:tc>
          <w:tcPr>
            <w:tcW w:w="1506" w:type="pct"/>
          </w:tcPr>
          <w:p w14:paraId="263D374F"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p>
        </w:tc>
        <w:tc>
          <w:tcPr>
            <w:tcW w:w="672" w:type="pct"/>
          </w:tcPr>
          <w:p w14:paraId="157F8866" w14:textId="28F636DA"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 xml:space="preserve">Net borrowings </w:t>
            </w:r>
            <w:proofErr w:type="gramStart"/>
            <w:r w:rsidRPr="00735726">
              <w:rPr>
                <w:rFonts w:ascii="Arial" w:hAnsi="Arial" w:cs="DINOT-Light"/>
                <w:b/>
                <w:bCs/>
                <w:color w:val="000000"/>
                <w:sz w:val="18"/>
                <w:szCs w:val="18"/>
              </w:rPr>
              <w:t>at</w:t>
            </w:r>
            <w:proofErr w:type="gramEnd"/>
            <w:r w:rsidRPr="00735726">
              <w:rPr>
                <w:rFonts w:ascii="Arial" w:hAnsi="Arial" w:cs="DINOT-Light"/>
                <w:b/>
                <w:bCs/>
                <w:color w:val="000000"/>
                <w:sz w:val="18"/>
                <w:szCs w:val="18"/>
              </w:rPr>
              <w:t xml:space="preserve"> 1 April 2025</w:t>
            </w:r>
          </w:p>
          <w:p w14:paraId="58A07B7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c>
          <w:tcPr>
            <w:tcW w:w="758" w:type="pct"/>
          </w:tcPr>
          <w:p w14:paraId="1FAD1F8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p>
          <w:p w14:paraId="4F9E763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p>
          <w:p w14:paraId="0D29504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p>
          <w:p w14:paraId="04FA88A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Cash flows</w:t>
            </w:r>
          </w:p>
          <w:p w14:paraId="1A58E04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c>
          <w:tcPr>
            <w:tcW w:w="686" w:type="pct"/>
          </w:tcPr>
          <w:p w14:paraId="5EA108C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Transfer between non-current and current</w:t>
            </w:r>
          </w:p>
          <w:p w14:paraId="62DB170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c>
          <w:tcPr>
            <w:tcW w:w="683" w:type="pct"/>
          </w:tcPr>
          <w:p w14:paraId="0A0F6C1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p>
          <w:p w14:paraId="0CB2949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Other non-cash movements</w:t>
            </w:r>
          </w:p>
          <w:p w14:paraId="39FA027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c>
          <w:tcPr>
            <w:tcW w:w="695" w:type="pct"/>
          </w:tcPr>
          <w:p w14:paraId="473EA61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 xml:space="preserve">Net borrowings </w:t>
            </w:r>
            <w:proofErr w:type="gramStart"/>
            <w:r w:rsidRPr="00735726">
              <w:rPr>
                <w:rFonts w:ascii="Arial" w:hAnsi="Arial" w:cs="DINOT-Light"/>
                <w:b/>
                <w:bCs/>
                <w:color w:val="000000"/>
                <w:sz w:val="18"/>
                <w:szCs w:val="18"/>
              </w:rPr>
              <w:t>at</w:t>
            </w:r>
            <w:proofErr w:type="gramEnd"/>
            <w:r w:rsidRPr="00735726">
              <w:rPr>
                <w:rFonts w:ascii="Arial" w:hAnsi="Arial" w:cs="DINOT-Light"/>
                <w:b/>
                <w:bCs/>
                <w:color w:val="000000"/>
                <w:sz w:val="18"/>
                <w:szCs w:val="18"/>
              </w:rPr>
              <w:t xml:space="preserve"> 31 March 2026</w:t>
            </w:r>
          </w:p>
          <w:p w14:paraId="4976A60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£m</w:t>
            </w:r>
          </w:p>
        </w:tc>
      </w:tr>
      <w:tr w:rsidR="00646F4F" w:rsidRPr="00735726" w14:paraId="6673C1ED" w14:textId="77777777" w:rsidTr="00CE19B2">
        <w:trPr>
          <w:trHeight w:val="207"/>
        </w:trPr>
        <w:tc>
          <w:tcPr>
            <w:tcW w:w="1506" w:type="pct"/>
          </w:tcPr>
          <w:p w14:paraId="288DE2DC"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r w:rsidRPr="00735726">
              <w:rPr>
                <w:rFonts w:ascii="Arial" w:hAnsi="Arial" w:cs="DINOT-Light"/>
                <w:color w:val="000000"/>
                <w:sz w:val="18"/>
                <w:szCs w:val="18"/>
              </w:rPr>
              <w:t>Cash and cash equivalents</w:t>
            </w:r>
          </w:p>
        </w:tc>
        <w:tc>
          <w:tcPr>
            <w:tcW w:w="672" w:type="pct"/>
          </w:tcPr>
          <w:p w14:paraId="6644CE9D" w14:textId="2E9864CD" w:rsidR="00646F4F"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280.6</w:t>
            </w:r>
          </w:p>
        </w:tc>
        <w:tc>
          <w:tcPr>
            <w:tcW w:w="758" w:type="pct"/>
          </w:tcPr>
          <w:p w14:paraId="78B73BD1" w14:textId="275FCA97"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(30.</w:t>
            </w:r>
            <w:r w:rsidR="00A4302D" w:rsidRPr="00735726">
              <w:rPr>
                <w:rFonts w:ascii="Arial" w:hAnsi="Arial" w:cs="DINOT-Light"/>
                <w:color w:val="000000"/>
                <w:sz w:val="18"/>
                <w:szCs w:val="18"/>
              </w:rPr>
              <w:t>9</w:t>
            </w:r>
            <w:r w:rsidRPr="00735726">
              <w:rPr>
                <w:rFonts w:ascii="Arial" w:hAnsi="Arial" w:cs="DINOT-Light"/>
                <w:color w:val="000000"/>
                <w:sz w:val="18"/>
                <w:szCs w:val="18"/>
              </w:rPr>
              <w:t>)</w:t>
            </w:r>
          </w:p>
        </w:tc>
        <w:tc>
          <w:tcPr>
            <w:tcW w:w="686" w:type="pct"/>
          </w:tcPr>
          <w:p w14:paraId="287EB883" w14:textId="3CF8C8BF"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p>
        </w:tc>
        <w:tc>
          <w:tcPr>
            <w:tcW w:w="683" w:type="pct"/>
          </w:tcPr>
          <w:p w14:paraId="20794F89" w14:textId="6228361D"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p>
        </w:tc>
        <w:tc>
          <w:tcPr>
            <w:tcW w:w="695" w:type="pct"/>
          </w:tcPr>
          <w:p w14:paraId="68ECFB5B" w14:textId="20EBCC96" w:rsidR="00646F4F"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249.7</w:t>
            </w:r>
          </w:p>
        </w:tc>
      </w:tr>
      <w:tr w:rsidR="00A4302D" w:rsidRPr="00735726" w14:paraId="4962F762" w14:textId="77777777" w:rsidTr="00CE19B2">
        <w:trPr>
          <w:trHeight w:val="207"/>
        </w:trPr>
        <w:tc>
          <w:tcPr>
            <w:tcW w:w="1506" w:type="pct"/>
          </w:tcPr>
          <w:p w14:paraId="4ABEC670" w14:textId="3C570323" w:rsidR="00A4302D" w:rsidRPr="00735726" w:rsidRDefault="00A4302D"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r w:rsidRPr="00735726">
              <w:rPr>
                <w:rFonts w:ascii="Arial" w:hAnsi="Arial" w:cs="DINOT-Light"/>
                <w:bCs/>
                <w:color w:val="000000"/>
                <w:sz w:val="18"/>
                <w:szCs w:val="18"/>
              </w:rPr>
              <w:t xml:space="preserve">Restricted </w:t>
            </w:r>
            <w:r w:rsidR="00345191" w:rsidRPr="00735726">
              <w:rPr>
                <w:rFonts w:ascii="Arial" w:hAnsi="Arial" w:cs="DINOT-Light"/>
                <w:bCs/>
                <w:color w:val="000000"/>
                <w:sz w:val="18"/>
                <w:szCs w:val="18"/>
              </w:rPr>
              <w:t>funds</w:t>
            </w:r>
          </w:p>
        </w:tc>
        <w:tc>
          <w:tcPr>
            <w:tcW w:w="672" w:type="pct"/>
          </w:tcPr>
          <w:p w14:paraId="13CF9447" w14:textId="2CBD97A8" w:rsidR="00A4302D"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46.1</w:t>
            </w:r>
          </w:p>
        </w:tc>
        <w:tc>
          <w:tcPr>
            <w:tcW w:w="758" w:type="pct"/>
          </w:tcPr>
          <w:p w14:paraId="1D781640" w14:textId="582AA6D5" w:rsidR="00A4302D"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0.1</w:t>
            </w:r>
          </w:p>
        </w:tc>
        <w:tc>
          <w:tcPr>
            <w:tcW w:w="686" w:type="pct"/>
          </w:tcPr>
          <w:p w14:paraId="22FA6068" w14:textId="401BC890" w:rsidR="00A4302D"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p>
        </w:tc>
        <w:tc>
          <w:tcPr>
            <w:tcW w:w="683" w:type="pct"/>
          </w:tcPr>
          <w:p w14:paraId="7A51305F" w14:textId="76A00FD7" w:rsidR="00A4302D"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p>
        </w:tc>
        <w:tc>
          <w:tcPr>
            <w:tcW w:w="695" w:type="pct"/>
          </w:tcPr>
          <w:p w14:paraId="17B9AE5E" w14:textId="0D4FBADF" w:rsidR="00A4302D" w:rsidRPr="00735726" w:rsidRDefault="00A4302D"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46.2</w:t>
            </w:r>
          </w:p>
        </w:tc>
      </w:tr>
      <w:tr w:rsidR="00646F4F" w:rsidRPr="00735726" w14:paraId="6500E6C9" w14:textId="77777777" w:rsidTr="00CE19B2">
        <w:trPr>
          <w:trHeight w:val="193"/>
        </w:trPr>
        <w:tc>
          <w:tcPr>
            <w:tcW w:w="1506" w:type="pct"/>
          </w:tcPr>
          <w:p w14:paraId="01E3823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r w:rsidRPr="00735726">
              <w:rPr>
                <w:rFonts w:ascii="Arial" w:hAnsi="Arial" w:cs="DINOT-Light"/>
                <w:color w:val="000000"/>
                <w:sz w:val="18"/>
                <w:szCs w:val="18"/>
              </w:rPr>
              <w:t>Bank and other current borrowings</w:t>
            </w:r>
          </w:p>
        </w:tc>
        <w:tc>
          <w:tcPr>
            <w:tcW w:w="672" w:type="pct"/>
          </w:tcPr>
          <w:p w14:paraId="1006EE51"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(104.9)</w:t>
            </w:r>
          </w:p>
        </w:tc>
        <w:tc>
          <w:tcPr>
            <w:tcW w:w="758" w:type="pct"/>
          </w:tcPr>
          <w:p w14:paraId="74F162B5" w14:textId="69D3085C"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108.3</w:t>
            </w:r>
          </w:p>
        </w:tc>
        <w:tc>
          <w:tcPr>
            <w:tcW w:w="686" w:type="pct"/>
          </w:tcPr>
          <w:p w14:paraId="6B649CF5" w14:textId="3B70140D"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(60.1)</w:t>
            </w:r>
          </w:p>
        </w:tc>
        <w:tc>
          <w:tcPr>
            <w:tcW w:w="683" w:type="pct"/>
          </w:tcPr>
          <w:p w14:paraId="0DE64FBA" w14:textId="59D7B444"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(0.9)</w:t>
            </w:r>
          </w:p>
        </w:tc>
        <w:tc>
          <w:tcPr>
            <w:tcW w:w="695" w:type="pct"/>
          </w:tcPr>
          <w:p w14:paraId="578D5BA0" w14:textId="11A8ED64"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(57.6)</w:t>
            </w:r>
          </w:p>
        </w:tc>
      </w:tr>
      <w:tr w:rsidR="00646F4F" w:rsidRPr="00735726" w14:paraId="6AF8C805" w14:textId="77777777" w:rsidTr="00CE19B2">
        <w:trPr>
          <w:trHeight w:val="193"/>
        </w:trPr>
        <w:tc>
          <w:tcPr>
            <w:tcW w:w="1506" w:type="pct"/>
          </w:tcPr>
          <w:p w14:paraId="6EA288CE"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r w:rsidRPr="00735726">
              <w:rPr>
                <w:rFonts w:ascii="Arial" w:hAnsi="Arial" w:cs="DINOT-Light"/>
                <w:color w:val="000000"/>
                <w:sz w:val="18"/>
                <w:szCs w:val="18"/>
              </w:rPr>
              <w:t>Current lease obligations</w:t>
            </w:r>
          </w:p>
        </w:tc>
        <w:tc>
          <w:tcPr>
            <w:tcW w:w="672" w:type="pct"/>
          </w:tcPr>
          <w:p w14:paraId="6C67343B"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(32.3)</w:t>
            </w:r>
          </w:p>
        </w:tc>
        <w:tc>
          <w:tcPr>
            <w:tcW w:w="758" w:type="pct"/>
          </w:tcPr>
          <w:p w14:paraId="4E4B9CC4" w14:textId="4AA6E94F"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96.4</w:t>
            </w:r>
          </w:p>
        </w:tc>
        <w:tc>
          <w:tcPr>
            <w:tcW w:w="686" w:type="pct"/>
          </w:tcPr>
          <w:p w14:paraId="45C9E33E" w14:textId="5BA28BFF"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(43.3)</w:t>
            </w:r>
          </w:p>
        </w:tc>
        <w:tc>
          <w:tcPr>
            <w:tcW w:w="683" w:type="pct"/>
          </w:tcPr>
          <w:p w14:paraId="6D1FABC5" w14:textId="32E2C7E4"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(52.3)</w:t>
            </w:r>
          </w:p>
        </w:tc>
        <w:tc>
          <w:tcPr>
            <w:tcW w:w="695" w:type="pct"/>
          </w:tcPr>
          <w:p w14:paraId="730D9422" w14:textId="522E4185"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(31.5)</w:t>
            </w:r>
          </w:p>
        </w:tc>
      </w:tr>
      <w:tr w:rsidR="00646F4F" w:rsidRPr="00735726" w14:paraId="5E1E052F" w14:textId="77777777" w:rsidTr="00CE19B2">
        <w:trPr>
          <w:trHeight w:val="193"/>
        </w:trPr>
        <w:tc>
          <w:tcPr>
            <w:tcW w:w="1506" w:type="pct"/>
          </w:tcPr>
          <w:p w14:paraId="651E68C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r w:rsidRPr="00735726">
              <w:rPr>
                <w:rFonts w:ascii="Arial" w:hAnsi="Arial" w:cs="DINOT-Light"/>
                <w:color w:val="000000"/>
                <w:sz w:val="18"/>
                <w:szCs w:val="18"/>
              </w:rPr>
              <w:t>Bank and other non-current borrowings</w:t>
            </w:r>
          </w:p>
        </w:tc>
        <w:tc>
          <w:tcPr>
            <w:tcW w:w="672" w:type="pct"/>
          </w:tcPr>
          <w:p w14:paraId="5AA61845"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(2,733.8)</w:t>
            </w:r>
          </w:p>
        </w:tc>
        <w:tc>
          <w:tcPr>
            <w:tcW w:w="758" w:type="pct"/>
          </w:tcPr>
          <w:p w14:paraId="30FDEC94" w14:textId="712020B7"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r w:rsidR="00935C64" w:rsidRPr="00735726">
              <w:rPr>
                <w:rFonts w:ascii="Arial" w:hAnsi="Arial" w:cs="DINOT-Light"/>
                <w:color w:val="000000"/>
                <w:sz w:val="18"/>
                <w:szCs w:val="18"/>
              </w:rPr>
              <w:t>297.2</w:t>
            </w:r>
            <w:r w:rsidRPr="00735726">
              <w:rPr>
                <w:rFonts w:ascii="Arial" w:hAnsi="Arial" w:cs="DINOT-Light"/>
                <w:color w:val="000000"/>
                <w:sz w:val="18"/>
                <w:szCs w:val="18"/>
              </w:rPr>
              <w:t>)</w:t>
            </w:r>
          </w:p>
        </w:tc>
        <w:tc>
          <w:tcPr>
            <w:tcW w:w="686" w:type="pct"/>
          </w:tcPr>
          <w:p w14:paraId="1869B79E" w14:textId="1F110FA0"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60.1</w:t>
            </w:r>
          </w:p>
        </w:tc>
        <w:tc>
          <w:tcPr>
            <w:tcW w:w="683" w:type="pct"/>
          </w:tcPr>
          <w:p w14:paraId="2AB5F7AD" w14:textId="789405DC"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w:t>
            </w:r>
            <w:r w:rsidR="00935C64" w:rsidRPr="00735726">
              <w:rPr>
                <w:rFonts w:ascii="Arial" w:hAnsi="Arial" w:cs="DINOT-Light"/>
                <w:color w:val="000000"/>
                <w:sz w:val="18"/>
                <w:szCs w:val="18"/>
              </w:rPr>
              <w:t>31.2</w:t>
            </w:r>
            <w:r w:rsidRPr="00735726">
              <w:rPr>
                <w:rFonts w:ascii="Arial" w:hAnsi="Arial" w:cs="DINOT-Light"/>
                <w:color w:val="000000"/>
                <w:sz w:val="18"/>
                <w:szCs w:val="18"/>
              </w:rPr>
              <w:t>)</w:t>
            </w:r>
          </w:p>
        </w:tc>
        <w:tc>
          <w:tcPr>
            <w:tcW w:w="695" w:type="pct"/>
          </w:tcPr>
          <w:p w14:paraId="21EB6212" w14:textId="6FB45778"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(3,002.1)</w:t>
            </w:r>
          </w:p>
        </w:tc>
      </w:tr>
      <w:tr w:rsidR="00646F4F" w:rsidRPr="00735726" w14:paraId="35A1056E" w14:textId="77777777" w:rsidTr="00CE19B2">
        <w:trPr>
          <w:trHeight w:val="193"/>
        </w:trPr>
        <w:tc>
          <w:tcPr>
            <w:tcW w:w="1506" w:type="pct"/>
          </w:tcPr>
          <w:p w14:paraId="40B9C234"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color w:val="000000"/>
                <w:sz w:val="18"/>
                <w:szCs w:val="18"/>
              </w:rPr>
            </w:pPr>
            <w:r w:rsidRPr="00735726">
              <w:rPr>
                <w:rFonts w:ascii="Arial" w:hAnsi="Arial" w:cs="DINOT-Light"/>
                <w:color w:val="000000"/>
                <w:sz w:val="18"/>
                <w:szCs w:val="18"/>
              </w:rPr>
              <w:t>Non-current lease obligations</w:t>
            </w:r>
          </w:p>
        </w:tc>
        <w:tc>
          <w:tcPr>
            <w:tcW w:w="672" w:type="pct"/>
            <w:tcBorders>
              <w:bottom w:val="single" w:sz="4" w:space="0" w:color="auto"/>
            </w:tcBorders>
          </w:tcPr>
          <w:p w14:paraId="315C0E79"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(1,013.3)</w:t>
            </w:r>
          </w:p>
        </w:tc>
        <w:tc>
          <w:tcPr>
            <w:tcW w:w="758" w:type="pct"/>
            <w:tcBorders>
              <w:bottom w:val="single" w:sz="4" w:space="0" w:color="auto"/>
            </w:tcBorders>
          </w:tcPr>
          <w:p w14:paraId="33A3F9AC" w14:textId="25975AF4"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(90.0)</w:t>
            </w:r>
          </w:p>
        </w:tc>
        <w:tc>
          <w:tcPr>
            <w:tcW w:w="686" w:type="pct"/>
            <w:tcBorders>
              <w:bottom w:val="single" w:sz="4" w:space="0" w:color="auto"/>
            </w:tcBorders>
          </w:tcPr>
          <w:p w14:paraId="34ADFA6D" w14:textId="0A9A4BF2"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43.3</w:t>
            </w:r>
          </w:p>
        </w:tc>
        <w:tc>
          <w:tcPr>
            <w:tcW w:w="683" w:type="pct"/>
            <w:tcBorders>
              <w:bottom w:val="single" w:sz="4" w:space="0" w:color="auto"/>
            </w:tcBorders>
          </w:tcPr>
          <w:p w14:paraId="116CF141" w14:textId="04A3B538"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(1.1)</w:t>
            </w:r>
          </w:p>
        </w:tc>
        <w:tc>
          <w:tcPr>
            <w:tcW w:w="695" w:type="pct"/>
            <w:tcBorders>
              <w:bottom w:val="single" w:sz="4" w:space="0" w:color="auto"/>
            </w:tcBorders>
          </w:tcPr>
          <w:p w14:paraId="1B70134C" w14:textId="11A521B2"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color w:val="000000"/>
                <w:sz w:val="18"/>
                <w:szCs w:val="18"/>
              </w:rPr>
            </w:pPr>
            <w:r w:rsidRPr="00735726">
              <w:rPr>
                <w:rFonts w:ascii="Arial" w:hAnsi="Arial" w:cs="DINOT-Light"/>
                <w:color w:val="000000"/>
                <w:sz w:val="18"/>
                <w:szCs w:val="18"/>
              </w:rPr>
              <w:t>(1,061.1)</w:t>
            </w:r>
          </w:p>
        </w:tc>
      </w:tr>
      <w:tr w:rsidR="00646F4F" w:rsidRPr="00735726" w14:paraId="422ED90B" w14:textId="77777777" w:rsidTr="00CE19B2">
        <w:trPr>
          <w:trHeight w:val="213"/>
        </w:trPr>
        <w:tc>
          <w:tcPr>
            <w:tcW w:w="1506" w:type="pct"/>
          </w:tcPr>
          <w:p w14:paraId="7D5A16FD"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hAnsi="Arial" w:cs="DINOT-Light"/>
                <w:b/>
                <w:bCs/>
                <w:color w:val="000000"/>
                <w:sz w:val="18"/>
                <w:szCs w:val="18"/>
              </w:rPr>
            </w:pPr>
            <w:r w:rsidRPr="00735726">
              <w:rPr>
                <w:rFonts w:ascii="Arial" w:hAnsi="Arial" w:cs="DINOT-Light"/>
                <w:b/>
                <w:bCs/>
                <w:color w:val="000000"/>
                <w:sz w:val="18"/>
                <w:szCs w:val="18"/>
              </w:rPr>
              <w:t>Total net borrowings</w:t>
            </w:r>
          </w:p>
        </w:tc>
        <w:tc>
          <w:tcPr>
            <w:tcW w:w="672" w:type="pct"/>
            <w:tcBorders>
              <w:top w:val="single" w:sz="4" w:space="0" w:color="auto"/>
              <w:bottom w:val="single" w:sz="4" w:space="0" w:color="auto"/>
            </w:tcBorders>
          </w:tcPr>
          <w:p w14:paraId="0430D370"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(3,557.6)</w:t>
            </w:r>
          </w:p>
        </w:tc>
        <w:tc>
          <w:tcPr>
            <w:tcW w:w="758" w:type="pct"/>
            <w:tcBorders>
              <w:top w:val="single" w:sz="4" w:space="0" w:color="auto"/>
              <w:bottom w:val="single" w:sz="4" w:space="0" w:color="auto"/>
            </w:tcBorders>
          </w:tcPr>
          <w:p w14:paraId="602C15F9" w14:textId="61B1D303"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w:t>
            </w:r>
            <w:r w:rsidR="00935C64" w:rsidRPr="00735726">
              <w:rPr>
                <w:rFonts w:ascii="Arial" w:hAnsi="Arial" w:cs="DINOT-Light"/>
                <w:b/>
                <w:bCs/>
                <w:color w:val="000000"/>
                <w:sz w:val="18"/>
                <w:szCs w:val="18"/>
              </w:rPr>
              <w:t>213.3</w:t>
            </w:r>
            <w:r w:rsidRPr="00735726">
              <w:rPr>
                <w:rFonts w:ascii="Arial" w:hAnsi="Arial" w:cs="DINOT-Light"/>
                <w:b/>
                <w:bCs/>
                <w:color w:val="000000"/>
                <w:sz w:val="18"/>
                <w:szCs w:val="18"/>
              </w:rPr>
              <w:t>)</w:t>
            </w:r>
          </w:p>
        </w:tc>
        <w:tc>
          <w:tcPr>
            <w:tcW w:w="686" w:type="pct"/>
            <w:tcBorders>
              <w:top w:val="single" w:sz="4" w:space="0" w:color="auto"/>
              <w:bottom w:val="single" w:sz="4" w:space="0" w:color="auto"/>
            </w:tcBorders>
          </w:tcPr>
          <w:p w14:paraId="1653EAB2" w14:textId="2CAF292C"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w:t>
            </w:r>
          </w:p>
        </w:tc>
        <w:tc>
          <w:tcPr>
            <w:tcW w:w="683" w:type="pct"/>
            <w:tcBorders>
              <w:top w:val="single" w:sz="4" w:space="0" w:color="auto"/>
              <w:bottom w:val="single" w:sz="4" w:space="0" w:color="auto"/>
            </w:tcBorders>
          </w:tcPr>
          <w:p w14:paraId="2C5F5E18" w14:textId="7DF9114C"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w:t>
            </w:r>
            <w:r w:rsidR="00935C64" w:rsidRPr="00735726">
              <w:rPr>
                <w:rFonts w:ascii="Arial" w:hAnsi="Arial" w:cs="DINOT-Light"/>
                <w:b/>
                <w:bCs/>
                <w:color w:val="000000"/>
                <w:sz w:val="18"/>
                <w:szCs w:val="18"/>
              </w:rPr>
              <w:t>85.5</w:t>
            </w:r>
            <w:r w:rsidRPr="00735726">
              <w:rPr>
                <w:rFonts w:ascii="Arial" w:hAnsi="Arial" w:cs="DINOT-Light"/>
                <w:b/>
                <w:bCs/>
                <w:color w:val="000000"/>
                <w:sz w:val="18"/>
                <w:szCs w:val="18"/>
              </w:rPr>
              <w:t>)</w:t>
            </w:r>
          </w:p>
        </w:tc>
        <w:tc>
          <w:tcPr>
            <w:tcW w:w="695" w:type="pct"/>
            <w:tcBorders>
              <w:top w:val="single" w:sz="4" w:space="0" w:color="auto"/>
              <w:bottom w:val="single" w:sz="4" w:space="0" w:color="auto"/>
            </w:tcBorders>
          </w:tcPr>
          <w:p w14:paraId="61A997BB" w14:textId="2196EDBD"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hAnsi="Arial" w:cs="DINOT-Light"/>
                <w:b/>
                <w:bCs/>
                <w:color w:val="000000"/>
                <w:sz w:val="18"/>
                <w:szCs w:val="18"/>
              </w:rPr>
            </w:pPr>
            <w:r w:rsidRPr="00735726">
              <w:rPr>
                <w:rFonts w:ascii="Arial" w:hAnsi="Arial" w:cs="DINOT-Light"/>
                <w:b/>
                <w:bCs/>
                <w:color w:val="000000"/>
                <w:sz w:val="18"/>
                <w:szCs w:val="18"/>
              </w:rPr>
              <w:t>(3,856.4)</w:t>
            </w:r>
          </w:p>
        </w:tc>
      </w:tr>
    </w:tbl>
    <w:p w14:paraId="1A495B5B"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0B427C2B"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10A22363" w14:textId="77777777" w:rsidR="00646F4F" w:rsidRPr="009A2CAE" w:rsidRDefault="00646F4F" w:rsidP="00646F4F">
      <w:pPr>
        <w:spacing w:after="160" w:line="259" w:lineRule="auto"/>
        <w:rPr>
          <w:rFonts w:ascii="Arial" w:eastAsia="Times New Roman" w:hAnsi="Arial" w:cs="Arial"/>
          <w:b/>
          <w:bCs/>
          <w:caps/>
          <w:color w:val="000000"/>
          <w:sz w:val="18"/>
          <w:szCs w:val="18"/>
        </w:rPr>
      </w:pPr>
      <w:r w:rsidRPr="00735726">
        <w:rPr>
          <w:rFonts w:ascii="Arial" w:eastAsia="Times New Roman" w:hAnsi="Arial" w:cs="DINOT-Light"/>
          <w:color w:val="000000"/>
          <w:sz w:val="18"/>
          <w:szCs w:val="18"/>
        </w:rPr>
        <w:t xml:space="preserve">Non-cash movements </w:t>
      </w:r>
      <w:proofErr w:type="gramStart"/>
      <w:r w:rsidRPr="00735726">
        <w:rPr>
          <w:rFonts w:ascii="Arial" w:eastAsia="Times New Roman" w:hAnsi="Arial" w:cs="DINOT-Light"/>
          <w:color w:val="000000"/>
          <w:sz w:val="18"/>
          <w:szCs w:val="18"/>
        </w:rPr>
        <w:t>relates</w:t>
      </w:r>
      <w:proofErr w:type="gramEnd"/>
      <w:r w:rsidRPr="00735726">
        <w:rPr>
          <w:rFonts w:ascii="Arial" w:eastAsia="Times New Roman" w:hAnsi="Arial" w:cs="DINOT-Light"/>
          <w:color w:val="000000"/>
          <w:sz w:val="18"/>
          <w:szCs w:val="18"/>
        </w:rPr>
        <w:t xml:space="preserve"> to accrued interest expense which will be presented as operating cash flows in the statement of cash flows when paid.</w:t>
      </w:r>
      <w:r w:rsidRPr="009A2CAE">
        <w:rPr>
          <w:rFonts w:ascii="Arial" w:eastAsia="Times New Roman" w:hAnsi="Arial" w:cs="Arial"/>
          <w:b/>
          <w:bCs/>
          <w:caps/>
          <w:color w:val="000000"/>
          <w:sz w:val="18"/>
          <w:szCs w:val="18"/>
        </w:rPr>
        <w:t xml:space="preserve"> </w:t>
      </w:r>
      <w:r w:rsidRPr="009A2CAE">
        <w:rPr>
          <w:rFonts w:ascii="Arial" w:eastAsia="Times New Roman" w:hAnsi="Arial" w:cs="Arial"/>
          <w:b/>
          <w:bCs/>
          <w:caps/>
          <w:color w:val="000000"/>
          <w:sz w:val="18"/>
          <w:szCs w:val="18"/>
        </w:rPr>
        <w:br w:type="page"/>
      </w:r>
    </w:p>
    <w:p w14:paraId="3734556C"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35.</w:t>
      </w:r>
      <w:r w:rsidRPr="00735726">
        <w:rPr>
          <w:rFonts w:ascii="Arial" w:eastAsia="Times New Roman" w:hAnsi="Arial" w:cs="Arial"/>
          <w:b/>
          <w:bCs/>
          <w:caps/>
          <w:color w:val="000000"/>
          <w:sz w:val="18"/>
          <w:szCs w:val="18"/>
        </w:rPr>
        <w:tab/>
        <w:t>contingencies</w:t>
      </w:r>
    </w:p>
    <w:tbl>
      <w:tblPr>
        <w:tblW w:w="10006" w:type="dxa"/>
        <w:tblInd w:w="-142"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2CFC9EBC" w14:textId="77777777" w:rsidTr="00CE19B2">
        <w:trPr>
          <w:trHeight w:val="60"/>
          <w:tblHeader/>
        </w:trPr>
        <w:tc>
          <w:tcPr>
            <w:tcW w:w="7739" w:type="dxa"/>
            <w:tcMar>
              <w:top w:w="11" w:type="dxa"/>
              <w:left w:w="57" w:type="dxa"/>
              <w:bottom w:w="11" w:type="dxa"/>
              <w:right w:w="57" w:type="dxa"/>
            </w:tcMar>
          </w:tcPr>
          <w:p w14:paraId="6DBDDC82"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27C163F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41257EA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5678D12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73FC314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562C62F9" w14:textId="77777777" w:rsidTr="00CE19B2">
        <w:trPr>
          <w:trHeight w:val="226"/>
        </w:trPr>
        <w:tc>
          <w:tcPr>
            <w:tcW w:w="7739" w:type="dxa"/>
            <w:tcMar>
              <w:top w:w="11" w:type="dxa"/>
              <w:left w:w="57" w:type="dxa"/>
              <w:bottom w:w="11" w:type="dxa"/>
              <w:right w:w="57" w:type="dxa"/>
            </w:tcMar>
          </w:tcPr>
          <w:p w14:paraId="72624FA9"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4096FD88" w14:textId="77777777" w:rsidR="00646F4F" w:rsidRPr="009A2CAE"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7B891D0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74081088" w14:textId="77777777" w:rsidTr="00CE19B2">
        <w:trPr>
          <w:trHeight w:val="226"/>
        </w:trPr>
        <w:tc>
          <w:tcPr>
            <w:tcW w:w="7739" w:type="dxa"/>
            <w:tcMar>
              <w:top w:w="11" w:type="dxa"/>
              <w:left w:w="57" w:type="dxa"/>
              <w:bottom w:w="11" w:type="dxa"/>
              <w:right w:w="57" w:type="dxa"/>
            </w:tcMar>
          </w:tcPr>
          <w:p w14:paraId="7FDDCFFB"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52" w:name="XMETag_3783fb02d6c5481eb0f691f6d81bcc23" w:colFirst="1" w:colLast="1"/>
            <w:bookmarkStart w:id="1253" w:name="XMETag_1be6d2ff1d784a6b81c841c6b0881d52" w:colFirst="2" w:colLast="2"/>
            <w:r w:rsidRPr="00735726">
              <w:rPr>
                <w:rFonts w:ascii="Arial" w:eastAsia="Times New Roman" w:hAnsi="Arial" w:cs="DINOT-Light"/>
                <w:color w:val="000000"/>
                <w:sz w:val="18"/>
                <w:szCs w:val="18"/>
              </w:rPr>
              <w:t xml:space="preserve">  Guarantee of borrowings of subsidiary undertaking</w:t>
            </w:r>
          </w:p>
        </w:tc>
        <w:tc>
          <w:tcPr>
            <w:tcW w:w="1133" w:type="dxa"/>
            <w:tcBorders>
              <w:bottom w:val="single" w:sz="4" w:space="0" w:color="auto"/>
            </w:tcBorders>
            <w:tcMar>
              <w:top w:w="11" w:type="dxa"/>
              <w:left w:w="57" w:type="dxa"/>
              <w:bottom w:w="11" w:type="dxa"/>
              <w:right w:w="57" w:type="dxa"/>
            </w:tcMar>
          </w:tcPr>
          <w:p w14:paraId="7B80D51A" w14:textId="7DC50D34" w:rsidR="00646F4F" w:rsidRPr="00735726" w:rsidRDefault="00A71246"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hAnsi="Arial" w:cs="DINOT-Light"/>
                <w:color w:val="000000"/>
                <w:sz w:val="18"/>
                <w:szCs w:val="18"/>
              </w:rPr>
              <w:t>1,502.2</w:t>
            </w:r>
          </w:p>
        </w:tc>
        <w:tc>
          <w:tcPr>
            <w:tcW w:w="1134" w:type="dxa"/>
            <w:tcBorders>
              <w:bottom w:val="single" w:sz="4" w:space="0" w:color="auto"/>
            </w:tcBorders>
            <w:tcMar>
              <w:top w:w="11" w:type="dxa"/>
              <w:left w:w="57" w:type="dxa"/>
              <w:bottom w:w="11" w:type="dxa"/>
              <w:right w:w="57" w:type="dxa"/>
            </w:tcMar>
          </w:tcPr>
          <w:p w14:paraId="187C4FA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1,188.5</w:t>
            </w:r>
          </w:p>
        </w:tc>
      </w:tr>
      <w:bookmarkEnd w:id="1252"/>
      <w:bookmarkEnd w:id="1253"/>
    </w:tbl>
    <w:p w14:paraId="746F15F5"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64AA4F37" w14:textId="569F5023"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bookmarkStart w:id="1254" w:name="XMETag_0185fd1da99a46939c8ee0f934662372"/>
      <w:r w:rsidRPr="00735726">
        <w:rPr>
          <w:rFonts w:ascii="Arial" w:eastAsia="Times New Roman" w:hAnsi="Arial" w:cs="DINOT-Light"/>
          <w:color w:val="000000"/>
          <w:sz w:val="18"/>
          <w:szCs w:val="18"/>
        </w:rPr>
        <w:t xml:space="preserve">Guarantees in respect of </w:t>
      </w:r>
      <w:r w:rsidR="00773CFF" w:rsidRPr="00735726">
        <w:rPr>
          <w:rFonts w:ascii="Arial" w:eastAsia="Times New Roman" w:hAnsi="Arial" w:cs="DINOT-Light"/>
          <w:color w:val="000000"/>
          <w:sz w:val="18"/>
          <w:szCs w:val="18"/>
        </w:rPr>
        <w:t>the borrowings of the subsidiary undertaking</w:t>
      </w:r>
      <w:r w:rsidRPr="00735726">
        <w:rPr>
          <w:rFonts w:ascii="Arial" w:eastAsia="Times New Roman" w:hAnsi="Arial" w:cs="DINOT-Light"/>
          <w:color w:val="000000"/>
          <w:sz w:val="18"/>
          <w:szCs w:val="18"/>
        </w:rPr>
        <w:t xml:space="preserve">, the last of which expire in </w:t>
      </w:r>
      <w:proofErr w:type="gramStart"/>
      <w:r w:rsidRPr="00735726">
        <w:rPr>
          <w:rFonts w:ascii="Arial" w:eastAsia="Times New Roman" w:hAnsi="Arial" w:cs="DINOT-Light"/>
          <w:color w:val="000000"/>
          <w:sz w:val="18"/>
          <w:szCs w:val="18"/>
        </w:rPr>
        <w:t>2057</w:t>
      </w:r>
      <w:proofErr w:type="gramEnd"/>
      <w:r w:rsidRPr="00735726">
        <w:rPr>
          <w:rFonts w:ascii="Arial" w:eastAsia="Times New Roman" w:hAnsi="Arial" w:cs="DINOT-Light"/>
          <w:color w:val="000000"/>
          <w:sz w:val="18"/>
          <w:szCs w:val="18"/>
        </w:rPr>
        <w:t xml:space="preserve"> and which will be reduced in line with repayments, are entered into in the normal course of business.</w:t>
      </w:r>
      <w:r w:rsidRPr="009A2CAE">
        <w:rPr>
          <w:rFonts w:ascii="Arial" w:eastAsia="Times New Roman" w:hAnsi="Arial" w:cs="DINOT-Light"/>
          <w:color w:val="000000"/>
          <w:sz w:val="18"/>
          <w:szCs w:val="18"/>
        </w:rPr>
        <w:br/>
      </w:r>
    </w:p>
    <w:p w14:paraId="4BEB7FA2" w14:textId="179B58CF" w:rsidR="00B87429" w:rsidRPr="00735726" w:rsidRDefault="00646F4F" w:rsidP="00B87429">
      <w:pPr>
        <w:rPr>
          <w:rFonts w:ascii="Arial" w:eastAsia="Times New Roman" w:hAnsi="Arial" w:cs="DINOT-Light"/>
          <w:color w:val="000000"/>
          <w:sz w:val="18"/>
          <w:szCs w:val="18"/>
        </w:rPr>
      </w:pPr>
      <w:r w:rsidRPr="00735726">
        <w:rPr>
          <w:rFonts w:ascii="Arial" w:eastAsia="Times New Roman" w:hAnsi="Arial" w:cs="DINOT-Light"/>
          <w:b/>
          <w:bCs/>
          <w:color w:val="000000"/>
          <w:sz w:val="18"/>
          <w:szCs w:val="18"/>
        </w:rPr>
        <w:t>Other contractual and litigation uncertainties</w:t>
      </w:r>
      <w:bookmarkEnd w:id="1251"/>
      <w:bookmarkEnd w:id="1254"/>
      <w:r w:rsidRPr="009A2CAE">
        <w:rPr>
          <w:rFonts w:ascii="Arial" w:eastAsia="Times New Roman" w:hAnsi="Arial" w:cs="DINOT-Light"/>
          <w:b/>
          <w:bCs/>
          <w:color w:val="000000"/>
          <w:sz w:val="18"/>
          <w:szCs w:val="18"/>
        </w:rPr>
        <w:br/>
      </w:r>
      <w:r w:rsidR="00B87429" w:rsidRPr="00735726">
        <w:rPr>
          <w:rFonts w:ascii="Arial" w:eastAsia="Times New Roman" w:hAnsi="Arial" w:cs="DINOT-Light"/>
          <w:color w:val="000000"/>
          <w:sz w:val="18"/>
          <w:szCs w:val="18"/>
        </w:rPr>
        <w:t xml:space="preserve">Ofwat and the Environment Agency (EA) announced an industry-wide investigation into sewage treatment works on 18 November 2021. On 10 July 2025, Ofwat announced its findings for </w:t>
      </w:r>
      <w:proofErr w:type="gramStart"/>
      <w:r w:rsidR="00B87429" w:rsidRPr="00735726">
        <w:rPr>
          <w:rFonts w:ascii="Arial" w:eastAsia="Times New Roman" w:hAnsi="Arial" w:cs="DINOT-Light"/>
          <w:color w:val="000000"/>
          <w:sz w:val="18"/>
          <w:szCs w:val="18"/>
        </w:rPr>
        <w:t>South West</w:t>
      </w:r>
      <w:proofErr w:type="gramEnd"/>
      <w:r w:rsidR="00B87429" w:rsidRPr="00735726">
        <w:rPr>
          <w:rFonts w:ascii="Arial" w:eastAsia="Times New Roman" w:hAnsi="Arial" w:cs="DINOT-Light"/>
          <w:color w:val="000000"/>
          <w:sz w:val="18"/>
          <w:szCs w:val="18"/>
        </w:rPr>
        <w:t xml:space="preserve"> Water Limited and its decision to accept </w:t>
      </w:r>
      <w:proofErr w:type="gramStart"/>
      <w:r w:rsidR="00B87429" w:rsidRPr="00735726">
        <w:rPr>
          <w:rFonts w:ascii="Arial" w:eastAsia="Times New Roman" w:hAnsi="Arial" w:cs="DINOT-Light"/>
          <w:color w:val="000000"/>
          <w:sz w:val="18"/>
          <w:szCs w:val="18"/>
        </w:rPr>
        <w:t>South West</w:t>
      </w:r>
      <w:proofErr w:type="gramEnd"/>
      <w:r w:rsidR="00B87429" w:rsidRPr="00735726">
        <w:rPr>
          <w:rFonts w:ascii="Arial" w:eastAsia="Times New Roman" w:hAnsi="Arial" w:cs="DINOT-Light"/>
          <w:color w:val="000000"/>
          <w:sz w:val="18"/>
          <w:szCs w:val="18"/>
        </w:rPr>
        <w:t xml:space="preserve"> Water Limited’s enforcement package, in lieu of a financial penalty. The agreed undertakings consist of investing £20 million between 2025-2030 to reduce spills from specific outflows, establishing a £2 million local fund to tackle sewer misuse and providing £2 million of funding through a Nature Recovery Fund to support environmental groups. The costs in relation to the £20 million investment will be accounted for as capital when incurred.</w:t>
      </w:r>
    </w:p>
    <w:p w14:paraId="131C3ADF" w14:textId="03891DFF" w:rsidR="00B87429" w:rsidRPr="00735726" w:rsidRDefault="00B87429" w:rsidP="00B87429">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On 2 February 2024 summons was received by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from the EA in relation to alleged breaches of permits in relation to the illegal water discharge activity at seven locations with a total of 30 charges. The EA have since withdrawn six of these charges relating to one site. At a hearing on 14 November 2024,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pleaded guilty to five of the charges. Sentencing was held on 12 and 13 March 2026 although the value of any fine will not be known until the judgment takes place on 30 July 2026.</w:t>
      </w:r>
    </w:p>
    <w:p w14:paraId="6CE65543" w14:textId="6FAF5C49" w:rsidR="00B87429" w:rsidRPr="00735726" w:rsidRDefault="00B87429" w:rsidP="00B87429">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On 23 May 2023 Ofwat announced an investigation into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Limited’s 2021/22 operational performance data relating to leakage and per capita consumption. This operational performance data was reported in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Water’s Annual Performance Report 2021/22. This report is subject to assurance processes which include independent checks and balances carried out by an external technical auditor. The </w:t>
      </w:r>
      <w:r w:rsidR="00141756" w:rsidRPr="00735726">
        <w:rPr>
          <w:rFonts w:ascii="Arial" w:eastAsia="Times New Roman" w:hAnsi="Arial" w:cs="DINOT-Light"/>
          <w:color w:val="000000"/>
          <w:sz w:val="18"/>
          <w:szCs w:val="18"/>
        </w:rPr>
        <w:t xml:space="preserve">Company </w:t>
      </w:r>
      <w:r w:rsidRPr="00735726">
        <w:rPr>
          <w:rFonts w:ascii="Arial" w:eastAsia="Times New Roman" w:hAnsi="Arial" w:cs="DINOT-Light"/>
          <w:color w:val="000000"/>
          <w:sz w:val="18"/>
          <w:szCs w:val="18"/>
        </w:rPr>
        <w:t xml:space="preserve">continues to work openly and constructively with Ofwat to comply with the formal notice issued to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as part of this investigation.</w:t>
      </w:r>
    </w:p>
    <w:p w14:paraId="1D802257" w14:textId="11EAFEEA" w:rsidR="00B87429" w:rsidRPr="00735726" w:rsidRDefault="00B87429" w:rsidP="00B87429">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Company has undertaken its own internal investigation into the data and </w:t>
      </w:r>
      <w:proofErr w:type="gramStart"/>
      <w:r w:rsidRPr="00735726">
        <w:rPr>
          <w:rFonts w:ascii="Arial" w:eastAsia="Times New Roman" w:hAnsi="Arial" w:cs="DINOT-Light"/>
          <w:color w:val="000000"/>
          <w:sz w:val="18"/>
          <w:szCs w:val="18"/>
        </w:rPr>
        <w:t>third party</w:t>
      </w:r>
      <w:proofErr w:type="gramEnd"/>
      <w:r w:rsidRPr="00735726">
        <w:rPr>
          <w:rFonts w:ascii="Arial" w:eastAsia="Times New Roman" w:hAnsi="Arial" w:cs="DINOT-Light"/>
          <w:color w:val="000000"/>
          <w:sz w:val="18"/>
          <w:szCs w:val="18"/>
        </w:rPr>
        <w:t xml:space="preserve"> experts have concluded the calculations are within a tolerance as reported, as a result there were no detrimental impacts to customers through Outcome Delivery Incentives (ODI). The Company recognises opportunities to enhance data quality to improve the estimation </w:t>
      </w:r>
      <w:proofErr w:type="gramStart"/>
      <w:r w:rsidRPr="00735726">
        <w:rPr>
          <w:rFonts w:ascii="Arial" w:eastAsia="Times New Roman" w:hAnsi="Arial" w:cs="DINOT-Light"/>
          <w:color w:val="000000"/>
          <w:sz w:val="18"/>
          <w:szCs w:val="18"/>
        </w:rPr>
        <w:t>process</w:t>
      </w:r>
      <w:proofErr w:type="gramEnd"/>
      <w:r w:rsidRPr="00735726">
        <w:rPr>
          <w:rFonts w:ascii="Arial" w:eastAsia="Times New Roman" w:hAnsi="Arial" w:cs="DINOT-Light"/>
          <w:color w:val="000000"/>
          <w:sz w:val="18"/>
          <w:szCs w:val="18"/>
        </w:rPr>
        <w:t xml:space="preserve"> and these have been shared with Ofwat. Until such time that an initial response is received, the potential outcome of these investigations continues to be unknown. Ofwat has a range of options that it could apply from closing the investigation with no further action, agreeing to formal S.19 undertakings through to fining the Company up to 10% of its revenue in relation to the regulated drinking water business. Given the wide range of possible outcomes therefore the potential outcome of this investigation continues to be unknown, and it is not possible to estimate any obligations arising from the investigation with any certainty.</w:t>
      </w:r>
    </w:p>
    <w:p w14:paraId="4436B8D9" w14:textId="762391BB" w:rsidR="00646F4F" w:rsidRPr="00735726" w:rsidRDefault="00B87429" w:rsidP="00B87429">
      <w:pP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Following the Brixham cryptosporidium outbreak in May 2024, legal proceedings were brought by the Drinking Water Inspectorate (DWI).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pleaded guilty to the charge of supplying water unfit for human consumption on 4 March 2026, with sentence received on 2 June 2026. The Court levied a fine of £1.9 million, reflecting the serious impact this incident had on customers in the area, whilst also recognising the extensive customer support and remedial actions taken by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Full provision was recognised in the 2025/26 financial year for the fine. The </w:t>
      </w:r>
      <w:r w:rsidR="00566C2C" w:rsidRPr="00735726">
        <w:rPr>
          <w:rFonts w:ascii="Arial" w:eastAsia="Times New Roman" w:hAnsi="Arial" w:cs="DINOT-Light"/>
          <w:color w:val="000000"/>
          <w:sz w:val="18"/>
          <w:szCs w:val="18"/>
        </w:rPr>
        <w:t xml:space="preserve">Company </w:t>
      </w:r>
      <w:r w:rsidRPr="00735726">
        <w:rPr>
          <w:rFonts w:ascii="Arial" w:eastAsia="Times New Roman" w:hAnsi="Arial" w:cs="DINOT-Light"/>
          <w:color w:val="000000"/>
          <w:sz w:val="18"/>
          <w:szCs w:val="18"/>
        </w:rPr>
        <w:t xml:space="preserve">establishes provisions in connection with contracts and litigation where it has a present legal or constructive obligation </w:t>
      </w:r>
      <w:proofErr w:type="gramStart"/>
      <w:r w:rsidRPr="00735726">
        <w:rPr>
          <w:rFonts w:ascii="Arial" w:eastAsia="Times New Roman" w:hAnsi="Arial" w:cs="DINOT-Light"/>
          <w:color w:val="000000"/>
          <w:sz w:val="18"/>
          <w:szCs w:val="18"/>
        </w:rPr>
        <w:t>as a result of</w:t>
      </w:r>
      <w:proofErr w:type="gramEnd"/>
      <w:r w:rsidRPr="00735726">
        <w:rPr>
          <w:rFonts w:ascii="Arial" w:eastAsia="Times New Roman" w:hAnsi="Arial" w:cs="DINOT-Light"/>
          <w:color w:val="000000"/>
          <w:sz w:val="18"/>
          <w:szCs w:val="18"/>
        </w:rPr>
        <w:t xml:space="preserve"> past events and where it is more likely than not an outflow of resources will be required to settle the obligation and the amount can be reliably estimated. Where it is uncertain that these conditions are met, a contingent liability is disclosed unless the likelihood of the obligation arising is remote or the matter is not deemed material. An amount of £6.7 million has been included in non-underlying costs in respect of the above.</w:t>
      </w:r>
    </w:p>
    <w:p w14:paraId="712138DA" w14:textId="0511B8F6" w:rsidR="00B9553C" w:rsidRPr="00735726" w:rsidRDefault="00B9553C">
      <w:pPr>
        <w:spacing w:after="160" w:line="259" w:lineRule="auto"/>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br w:type="page"/>
      </w:r>
    </w:p>
    <w:p w14:paraId="75DF7992"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lastRenderedPageBreak/>
        <w:t>36.</w:t>
      </w:r>
      <w:r w:rsidRPr="00735726">
        <w:rPr>
          <w:rFonts w:ascii="Arial" w:eastAsia="Times New Roman" w:hAnsi="Arial" w:cs="Arial"/>
          <w:b/>
          <w:bCs/>
          <w:caps/>
          <w:color w:val="000000"/>
          <w:sz w:val="18"/>
          <w:szCs w:val="18"/>
        </w:rPr>
        <w:tab/>
        <w:t>Capital commitments</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4698030B" w14:textId="77777777" w:rsidTr="00CE19B2">
        <w:trPr>
          <w:trHeight w:val="60"/>
          <w:tblHeader/>
        </w:trPr>
        <w:tc>
          <w:tcPr>
            <w:tcW w:w="7739" w:type="dxa"/>
            <w:tcMar>
              <w:top w:w="11" w:type="dxa"/>
              <w:left w:w="57" w:type="dxa"/>
              <w:bottom w:w="11" w:type="dxa"/>
              <w:right w:w="57" w:type="dxa"/>
            </w:tcMar>
          </w:tcPr>
          <w:p w14:paraId="1947DFC3"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756000D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7F0D69D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40A20AE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23887FB5"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40C5EE0A" w14:textId="77777777" w:rsidTr="00CE19B2">
        <w:trPr>
          <w:trHeight w:val="226"/>
        </w:trPr>
        <w:tc>
          <w:tcPr>
            <w:tcW w:w="7739" w:type="dxa"/>
            <w:tcMar>
              <w:top w:w="11" w:type="dxa"/>
              <w:left w:w="57" w:type="dxa"/>
              <w:bottom w:w="11" w:type="dxa"/>
              <w:right w:w="57" w:type="dxa"/>
            </w:tcMar>
          </w:tcPr>
          <w:p w14:paraId="50B990FD"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tc>
        <w:tc>
          <w:tcPr>
            <w:tcW w:w="1133" w:type="dxa"/>
            <w:tcMar>
              <w:top w:w="11" w:type="dxa"/>
              <w:left w:w="57" w:type="dxa"/>
              <w:bottom w:w="11" w:type="dxa"/>
              <w:right w:w="57" w:type="dxa"/>
            </w:tcMar>
          </w:tcPr>
          <w:p w14:paraId="79FC2B8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5A1DB56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178FBE55" w14:textId="77777777" w:rsidTr="00CE19B2">
        <w:trPr>
          <w:trHeight w:val="226"/>
        </w:trPr>
        <w:tc>
          <w:tcPr>
            <w:tcW w:w="7739" w:type="dxa"/>
            <w:tcMar>
              <w:top w:w="11" w:type="dxa"/>
              <w:left w:w="57" w:type="dxa"/>
              <w:bottom w:w="11" w:type="dxa"/>
              <w:right w:w="57" w:type="dxa"/>
            </w:tcMar>
          </w:tcPr>
          <w:p w14:paraId="0449CE80" w14:textId="77777777" w:rsidR="00646F4F" w:rsidRPr="009A2CAE"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55" w:name="XMETag_9e7e5e87a43247e78c39e3dae70e757b" w:colFirst="1" w:colLast="1"/>
            <w:bookmarkStart w:id="1256" w:name="XMETag_46bf7190994a47a4aa0483b979c133a3" w:colFirst="2" w:colLast="2"/>
            <w:r w:rsidRPr="00735726">
              <w:rPr>
                <w:rFonts w:ascii="Arial" w:eastAsia="Times New Roman" w:hAnsi="Arial" w:cs="DINOT-Light"/>
                <w:color w:val="000000"/>
                <w:sz w:val="18"/>
                <w:szCs w:val="18"/>
              </w:rPr>
              <w:t>Contracted but not provided</w:t>
            </w:r>
          </w:p>
        </w:tc>
        <w:tc>
          <w:tcPr>
            <w:tcW w:w="1133" w:type="dxa"/>
            <w:tcBorders>
              <w:bottom w:val="single" w:sz="4" w:space="0" w:color="auto"/>
            </w:tcBorders>
            <w:tcMar>
              <w:top w:w="11" w:type="dxa"/>
              <w:left w:w="57" w:type="dxa"/>
              <w:bottom w:w="11" w:type="dxa"/>
              <w:right w:w="57" w:type="dxa"/>
            </w:tcMar>
          </w:tcPr>
          <w:p w14:paraId="1E83C850" w14:textId="3B8B39D9"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w:t>
            </w:r>
            <w:r w:rsidR="00B87429" w:rsidRPr="00735726">
              <w:rPr>
                <w:rFonts w:ascii="Arial" w:eastAsia="Times New Roman" w:hAnsi="Arial" w:cs="DINOT-Light"/>
                <w:color w:val="000000"/>
                <w:sz w:val="18"/>
                <w:szCs w:val="18"/>
              </w:rPr>
              <w:t>33.1</w:t>
            </w:r>
          </w:p>
        </w:tc>
        <w:tc>
          <w:tcPr>
            <w:tcW w:w="1134" w:type="dxa"/>
            <w:tcBorders>
              <w:bottom w:val="single" w:sz="4" w:space="0" w:color="auto"/>
            </w:tcBorders>
            <w:tcMar>
              <w:top w:w="11" w:type="dxa"/>
              <w:left w:w="57" w:type="dxa"/>
              <w:bottom w:w="11" w:type="dxa"/>
              <w:right w:w="57" w:type="dxa"/>
            </w:tcMar>
          </w:tcPr>
          <w:p w14:paraId="40A8674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133.4</w:t>
            </w:r>
          </w:p>
        </w:tc>
      </w:tr>
      <w:bookmarkEnd w:id="1255"/>
      <w:bookmarkEnd w:id="1256"/>
    </w:tbl>
    <w:p w14:paraId="00856FB1" w14:textId="77777777" w:rsidR="00646F4F" w:rsidRPr="00735726"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1A1A7E3E" w14:textId="3D64F9CD" w:rsidR="00646F4F" w:rsidRPr="00735726" w:rsidRDefault="003F0C7D"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above capital commitments in the current and prior year relate to property, plant and equipment.</w:t>
      </w:r>
    </w:p>
    <w:p w14:paraId="0569D90F" w14:textId="77777777" w:rsidR="00646F4F" w:rsidRPr="009A2CAE"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48B8CCD5" w14:textId="77777777" w:rsidR="00646F4F" w:rsidRPr="00735726" w:rsidRDefault="00646F4F"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37.</w:t>
      </w:r>
      <w:r w:rsidRPr="00735726">
        <w:rPr>
          <w:rFonts w:ascii="Arial" w:eastAsia="Times New Roman" w:hAnsi="Arial" w:cs="Arial"/>
          <w:b/>
          <w:bCs/>
          <w:caps/>
          <w:color w:val="000000"/>
          <w:sz w:val="18"/>
          <w:szCs w:val="18"/>
        </w:rPr>
        <w:tab/>
        <w:t>Related party transactions</w:t>
      </w:r>
    </w:p>
    <w:p w14:paraId="6366368F" w14:textId="77777777" w:rsidR="00496F19" w:rsidRPr="00735726" w:rsidRDefault="00496F19" w:rsidP="00646F4F">
      <w:pPr>
        <w:widowControl w:val="0"/>
        <w:tabs>
          <w:tab w:val="left" w:pos="340"/>
        </w:tabs>
        <w:suppressAutoHyphens/>
        <w:autoSpaceDE w:val="0"/>
        <w:autoSpaceDN w:val="0"/>
        <w:adjustRightInd w:val="0"/>
        <w:spacing w:after="0" w:line="220" w:lineRule="atLeast"/>
        <w:textAlignment w:val="center"/>
        <w:rPr>
          <w:rFonts w:ascii="Arial" w:eastAsia="Times New Roman" w:hAnsi="Arial" w:cs="Arial"/>
          <w:b/>
          <w:bCs/>
          <w:caps/>
          <w:color w:val="000000"/>
          <w:sz w:val="18"/>
          <w:szCs w:val="18"/>
        </w:rPr>
      </w:pPr>
    </w:p>
    <w:p w14:paraId="7496E84C" w14:textId="77777777" w:rsidR="00646F4F" w:rsidRPr="00735726"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bookmarkStart w:id="1257" w:name="_Hlk200977020"/>
      <w:r w:rsidRPr="00735726">
        <w:rPr>
          <w:rFonts w:ascii="Arial" w:eastAsia="Times New Roman" w:hAnsi="Arial" w:cs="DINOT-Light"/>
          <w:color w:val="000000"/>
          <w:sz w:val="18"/>
          <w:szCs w:val="18"/>
        </w:rPr>
        <w:t xml:space="preserve">The Company </w:t>
      </w:r>
      <w:proofErr w:type="gramStart"/>
      <w:r w:rsidRPr="00735726">
        <w:rPr>
          <w:rFonts w:ascii="Arial" w:eastAsia="Times New Roman" w:hAnsi="Arial" w:cs="DINOT-Light"/>
          <w:color w:val="000000"/>
          <w:sz w:val="18"/>
          <w:szCs w:val="18"/>
        </w:rPr>
        <w:t>entered into</w:t>
      </w:r>
      <w:proofErr w:type="gramEnd"/>
      <w:r w:rsidRPr="00735726">
        <w:rPr>
          <w:rFonts w:ascii="Arial" w:eastAsia="Times New Roman" w:hAnsi="Arial" w:cs="DINOT-Light"/>
          <w:color w:val="000000"/>
          <w:sz w:val="18"/>
          <w:szCs w:val="18"/>
        </w:rPr>
        <w:t xml:space="preserve"> the following transactions with associates and joint ventures which were not members of the Pennon Group plc’s group of companies. Bristol Wessex Billing Services Limited is a joint venture investment of the Company and Water 2 Business Limited is an associate investment of Pennon Group plc. </w:t>
      </w:r>
    </w:p>
    <w:p w14:paraId="5C5A96C1" w14:textId="77777777" w:rsidR="00646F4F" w:rsidRPr="009A2CAE" w:rsidRDefault="00646F4F" w:rsidP="00646F4F">
      <w:pPr>
        <w:widowControl w:val="0"/>
        <w:tabs>
          <w:tab w:val="left" w:pos="340"/>
        </w:tabs>
        <w:suppressAutoHyphens/>
        <w:autoSpaceDE w:val="0"/>
        <w:autoSpaceDN w:val="0"/>
        <w:adjustRightInd w:val="0"/>
        <w:spacing w:after="0"/>
        <w:textAlignment w:val="center"/>
        <w:rPr>
          <w:rFonts w:ascii="Arial" w:eastAsia="Times New Roman" w:hAnsi="Arial" w:cs="DINOT-Light"/>
          <w:color w:val="000000"/>
          <w:sz w:val="18"/>
          <w:szCs w:val="18"/>
        </w:rPr>
      </w:pPr>
    </w:p>
    <w:p w14:paraId="40D74EBB" w14:textId="1365C625" w:rsidR="00716FE2" w:rsidRPr="009A2CAE" w:rsidRDefault="00716FE2" w:rsidP="00E2265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The following transactions with associates and subsidiaries which were not wholly owned by the parent Company, Pennon Group plc, occurred in the year:</w:t>
      </w:r>
    </w:p>
    <w:tbl>
      <w:tblPr>
        <w:tblW w:w="10006" w:type="dxa"/>
        <w:tblInd w:w="8" w:type="dxa"/>
        <w:tblLayout w:type="fixed"/>
        <w:tblCellMar>
          <w:left w:w="0" w:type="dxa"/>
          <w:right w:w="0" w:type="dxa"/>
        </w:tblCellMar>
        <w:tblLook w:val="0000" w:firstRow="0" w:lastRow="0" w:firstColumn="0" w:lastColumn="0" w:noHBand="0" w:noVBand="0"/>
      </w:tblPr>
      <w:tblGrid>
        <w:gridCol w:w="7739"/>
        <w:gridCol w:w="1133"/>
        <w:gridCol w:w="1134"/>
      </w:tblGrid>
      <w:tr w:rsidR="00646F4F" w:rsidRPr="00735726" w14:paraId="697AF532" w14:textId="77777777" w:rsidTr="00CE19B2">
        <w:trPr>
          <w:trHeight w:val="494"/>
          <w:tblHeader/>
        </w:trPr>
        <w:tc>
          <w:tcPr>
            <w:tcW w:w="7739" w:type="dxa"/>
            <w:tcMar>
              <w:top w:w="11" w:type="dxa"/>
              <w:left w:w="57" w:type="dxa"/>
              <w:bottom w:w="11" w:type="dxa"/>
              <w:right w:w="57" w:type="dxa"/>
            </w:tcMar>
          </w:tcPr>
          <w:p w14:paraId="7EC987A6" w14:textId="77777777" w:rsidR="00646F4F" w:rsidRPr="00735726" w:rsidRDefault="00646F4F" w:rsidP="00716FE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p>
        </w:tc>
        <w:tc>
          <w:tcPr>
            <w:tcW w:w="1133" w:type="dxa"/>
            <w:tcMar>
              <w:top w:w="11" w:type="dxa"/>
              <w:left w:w="57" w:type="dxa"/>
              <w:bottom w:w="11" w:type="dxa"/>
              <w:right w:w="57" w:type="dxa"/>
            </w:tcMar>
          </w:tcPr>
          <w:p w14:paraId="1465E1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23877D4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1FDEE27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2026</w:t>
            </w:r>
          </w:p>
          <w:p w14:paraId="44A2D3DC"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c>
          <w:tcPr>
            <w:tcW w:w="1134" w:type="dxa"/>
            <w:tcMar>
              <w:top w:w="11" w:type="dxa"/>
              <w:left w:w="57" w:type="dxa"/>
              <w:bottom w:w="11" w:type="dxa"/>
              <w:right w:w="57" w:type="dxa"/>
            </w:tcMar>
          </w:tcPr>
          <w:p w14:paraId="35A6769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E20464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p w14:paraId="47345626"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2025</w:t>
            </w:r>
          </w:p>
          <w:p w14:paraId="3DD9D98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£m</w:t>
            </w:r>
          </w:p>
        </w:tc>
      </w:tr>
      <w:tr w:rsidR="00646F4F" w:rsidRPr="00735726" w14:paraId="77E636EC" w14:textId="77777777" w:rsidTr="00CE19B2">
        <w:trPr>
          <w:trHeight w:val="226"/>
        </w:trPr>
        <w:tc>
          <w:tcPr>
            <w:tcW w:w="7739" w:type="dxa"/>
            <w:tcMar>
              <w:top w:w="11" w:type="dxa"/>
              <w:left w:w="57" w:type="dxa"/>
              <w:bottom w:w="11" w:type="dxa"/>
              <w:right w:w="57" w:type="dxa"/>
            </w:tcMar>
          </w:tcPr>
          <w:p w14:paraId="2D1D613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Joint ventures and associates</w:t>
            </w:r>
          </w:p>
        </w:tc>
        <w:tc>
          <w:tcPr>
            <w:tcW w:w="1133" w:type="dxa"/>
            <w:tcMar>
              <w:top w:w="11" w:type="dxa"/>
              <w:left w:w="57" w:type="dxa"/>
              <w:bottom w:w="11" w:type="dxa"/>
              <w:right w:w="57" w:type="dxa"/>
            </w:tcMar>
          </w:tcPr>
          <w:p w14:paraId="5B287ECF"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c>
          <w:tcPr>
            <w:tcW w:w="1134" w:type="dxa"/>
            <w:tcMar>
              <w:top w:w="11" w:type="dxa"/>
              <w:left w:w="57" w:type="dxa"/>
              <w:bottom w:w="11" w:type="dxa"/>
              <w:right w:w="57" w:type="dxa"/>
            </w:tcMar>
          </w:tcPr>
          <w:p w14:paraId="3B95ABA2"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b/>
                <w:color w:val="000000"/>
                <w:sz w:val="18"/>
                <w:szCs w:val="18"/>
              </w:rPr>
            </w:pPr>
          </w:p>
        </w:tc>
      </w:tr>
      <w:tr w:rsidR="00646F4F" w:rsidRPr="00735726" w14:paraId="745280EB" w14:textId="77777777" w:rsidTr="00CE19B2">
        <w:trPr>
          <w:trHeight w:val="226"/>
        </w:trPr>
        <w:tc>
          <w:tcPr>
            <w:tcW w:w="7739" w:type="dxa"/>
            <w:tcMar>
              <w:top w:w="11" w:type="dxa"/>
              <w:left w:w="57" w:type="dxa"/>
              <w:bottom w:w="11" w:type="dxa"/>
              <w:right w:w="57" w:type="dxa"/>
            </w:tcMar>
          </w:tcPr>
          <w:p w14:paraId="55D5EA1A"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Purchase of goods and services</w:t>
            </w:r>
          </w:p>
        </w:tc>
        <w:tc>
          <w:tcPr>
            <w:tcW w:w="1133" w:type="dxa"/>
            <w:tcMar>
              <w:top w:w="11" w:type="dxa"/>
              <w:left w:w="57" w:type="dxa"/>
              <w:bottom w:w="11" w:type="dxa"/>
              <w:right w:w="57" w:type="dxa"/>
            </w:tcMar>
          </w:tcPr>
          <w:p w14:paraId="0A82D6B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5873FA3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644BB854" w14:textId="77777777" w:rsidTr="00CE19B2">
        <w:trPr>
          <w:trHeight w:val="226"/>
        </w:trPr>
        <w:tc>
          <w:tcPr>
            <w:tcW w:w="7739" w:type="dxa"/>
            <w:tcMar>
              <w:top w:w="11" w:type="dxa"/>
              <w:left w:w="57" w:type="dxa"/>
              <w:bottom w:w="11" w:type="dxa"/>
              <w:right w:w="57" w:type="dxa"/>
            </w:tcMar>
          </w:tcPr>
          <w:p w14:paraId="1C28A405" w14:textId="2B3E0858" w:rsidR="00646F4F" w:rsidRPr="00735726" w:rsidRDefault="006C1BA9"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58" w:name="XMETag_692e55bde0de461ebf442f6e88d8ac01" w:colFirst="1" w:colLast="1"/>
            <w:bookmarkStart w:id="1259" w:name="XMETag_acf53286f54143acae4001df2e6a8745" w:colFirst="2" w:colLast="2"/>
            <w:r w:rsidRPr="00735726">
              <w:rPr>
                <w:rFonts w:ascii="Arial" w:eastAsia="Times New Roman" w:hAnsi="Arial" w:cs="DINOT-Light"/>
                <w:color w:val="000000"/>
                <w:sz w:val="18"/>
                <w:szCs w:val="18"/>
              </w:rPr>
              <w:t xml:space="preserve">- </w:t>
            </w:r>
            <w:r w:rsidR="00646F4F" w:rsidRPr="00735726">
              <w:rPr>
                <w:rFonts w:ascii="Arial" w:eastAsia="Times New Roman" w:hAnsi="Arial" w:cs="DINOT-Light"/>
                <w:color w:val="000000"/>
                <w:sz w:val="18"/>
                <w:szCs w:val="18"/>
              </w:rPr>
              <w:t>Management charges</w:t>
            </w:r>
          </w:p>
        </w:tc>
        <w:tc>
          <w:tcPr>
            <w:tcW w:w="1133" w:type="dxa"/>
            <w:tcMar>
              <w:top w:w="11" w:type="dxa"/>
              <w:left w:w="57" w:type="dxa"/>
              <w:bottom w:w="11" w:type="dxa"/>
              <w:right w:w="57" w:type="dxa"/>
            </w:tcMar>
          </w:tcPr>
          <w:p w14:paraId="5E2915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4.0</w:t>
            </w:r>
          </w:p>
        </w:tc>
        <w:tc>
          <w:tcPr>
            <w:tcW w:w="1134" w:type="dxa"/>
            <w:tcMar>
              <w:top w:w="11" w:type="dxa"/>
              <w:left w:w="57" w:type="dxa"/>
              <w:bottom w:w="11" w:type="dxa"/>
              <w:right w:w="57" w:type="dxa"/>
            </w:tcMar>
          </w:tcPr>
          <w:p w14:paraId="693D00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3.7</w:t>
            </w:r>
          </w:p>
        </w:tc>
      </w:tr>
      <w:tr w:rsidR="00646F4F" w:rsidRPr="00735726" w14:paraId="7D9BCCD7" w14:textId="77777777" w:rsidTr="00CE19B2">
        <w:trPr>
          <w:trHeight w:val="226"/>
        </w:trPr>
        <w:tc>
          <w:tcPr>
            <w:tcW w:w="7739" w:type="dxa"/>
            <w:tcMar>
              <w:top w:w="11" w:type="dxa"/>
              <w:left w:w="57" w:type="dxa"/>
              <w:bottom w:w="11" w:type="dxa"/>
              <w:right w:w="57" w:type="dxa"/>
            </w:tcMar>
          </w:tcPr>
          <w:p w14:paraId="47EB5FCF" w14:textId="05D2E333" w:rsidR="00646F4F" w:rsidRPr="00735726" w:rsidRDefault="006C1BA9"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w:t>
            </w:r>
            <w:r w:rsidR="00646F4F" w:rsidRPr="00735726">
              <w:rPr>
                <w:rFonts w:ascii="Arial" w:eastAsia="Times New Roman" w:hAnsi="Arial" w:cs="DINOT-Light"/>
                <w:color w:val="000000"/>
                <w:sz w:val="18"/>
                <w:szCs w:val="18"/>
              </w:rPr>
              <w:t>Capital expenditure</w:t>
            </w:r>
          </w:p>
        </w:tc>
        <w:tc>
          <w:tcPr>
            <w:tcW w:w="1133" w:type="dxa"/>
            <w:tcMar>
              <w:top w:w="11" w:type="dxa"/>
              <w:left w:w="57" w:type="dxa"/>
              <w:bottom w:w="11" w:type="dxa"/>
              <w:right w:w="57" w:type="dxa"/>
            </w:tcMar>
          </w:tcPr>
          <w:p w14:paraId="2BC75441" w14:textId="77777777" w:rsidR="00646F4F" w:rsidRPr="00735726" w:rsidDel="004F5080"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w:t>
            </w:r>
          </w:p>
        </w:tc>
        <w:tc>
          <w:tcPr>
            <w:tcW w:w="1134" w:type="dxa"/>
            <w:tcMar>
              <w:top w:w="11" w:type="dxa"/>
              <w:left w:w="57" w:type="dxa"/>
              <w:bottom w:w="11" w:type="dxa"/>
              <w:right w:w="57" w:type="dxa"/>
            </w:tcMar>
          </w:tcPr>
          <w:p w14:paraId="18F8031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0.3</w:t>
            </w:r>
          </w:p>
        </w:tc>
      </w:tr>
      <w:tr w:rsidR="00646F4F" w:rsidRPr="00735726" w14:paraId="623B9ECD" w14:textId="77777777" w:rsidTr="00CE19B2">
        <w:trPr>
          <w:trHeight w:val="226"/>
        </w:trPr>
        <w:tc>
          <w:tcPr>
            <w:tcW w:w="7739" w:type="dxa"/>
            <w:tcMar>
              <w:top w:w="11" w:type="dxa"/>
              <w:left w:w="57" w:type="dxa"/>
              <w:bottom w:w="11" w:type="dxa"/>
              <w:right w:w="57" w:type="dxa"/>
            </w:tcMar>
          </w:tcPr>
          <w:p w14:paraId="5D0E507C" w14:textId="0662DD18" w:rsidR="00646F4F" w:rsidRPr="00735726" w:rsidRDefault="006C1BA9"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w:t>
            </w:r>
            <w:r w:rsidR="00646F4F" w:rsidRPr="00735726">
              <w:rPr>
                <w:rFonts w:ascii="Arial" w:eastAsia="Times New Roman" w:hAnsi="Arial" w:cs="DINOT-Light"/>
                <w:color w:val="000000"/>
                <w:sz w:val="18"/>
                <w:szCs w:val="18"/>
              </w:rPr>
              <w:t>Other</w:t>
            </w:r>
          </w:p>
        </w:tc>
        <w:tc>
          <w:tcPr>
            <w:tcW w:w="1133" w:type="dxa"/>
            <w:tcMar>
              <w:top w:w="11" w:type="dxa"/>
              <w:left w:w="57" w:type="dxa"/>
              <w:bottom w:w="11" w:type="dxa"/>
              <w:right w:w="57" w:type="dxa"/>
            </w:tcMar>
          </w:tcPr>
          <w:p w14:paraId="093292F8" w14:textId="77777777" w:rsidR="00646F4F" w:rsidRPr="00735726" w:rsidDel="004F5080"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0.1</w:t>
            </w:r>
          </w:p>
        </w:tc>
        <w:tc>
          <w:tcPr>
            <w:tcW w:w="1134" w:type="dxa"/>
            <w:tcMar>
              <w:top w:w="11" w:type="dxa"/>
              <w:left w:w="57" w:type="dxa"/>
              <w:bottom w:w="11" w:type="dxa"/>
              <w:right w:w="57" w:type="dxa"/>
            </w:tcMar>
          </w:tcPr>
          <w:p w14:paraId="743CF9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0.1</w:t>
            </w:r>
          </w:p>
        </w:tc>
      </w:tr>
      <w:tr w:rsidR="00646F4F" w:rsidRPr="00735726" w14:paraId="45CE5616" w14:textId="77777777" w:rsidTr="00CE19B2">
        <w:trPr>
          <w:trHeight w:val="226"/>
        </w:trPr>
        <w:tc>
          <w:tcPr>
            <w:tcW w:w="7739" w:type="dxa"/>
            <w:tcMar>
              <w:top w:w="11" w:type="dxa"/>
              <w:left w:w="57" w:type="dxa"/>
              <w:bottom w:w="11" w:type="dxa"/>
              <w:right w:w="57" w:type="dxa"/>
            </w:tcMar>
          </w:tcPr>
          <w:p w14:paraId="24480474" w14:textId="19C892B9" w:rsidR="00646F4F" w:rsidRPr="00735726" w:rsidRDefault="006C1BA9"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 </w:t>
            </w:r>
            <w:r w:rsidR="00646F4F" w:rsidRPr="00735726">
              <w:rPr>
                <w:rFonts w:ascii="Arial" w:eastAsia="Times New Roman" w:hAnsi="Arial" w:cs="DINOT-Light"/>
                <w:color w:val="000000"/>
                <w:sz w:val="18"/>
                <w:szCs w:val="18"/>
              </w:rPr>
              <w:t>Non-household services</w:t>
            </w:r>
          </w:p>
        </w:tc>
        <w:tc>
          <w:tcPr>
            <w:tcW w:w="1133" w:type="dxa"/>
            <w:tcMar>
              <w:top w:w="11" w:type="dxa"/>
              <w:left w:w="57" w:type="dxa"/>
              <w:bottom w:w="11" w:type="dxa"/>
              <w:right w:w="57" w:type="dxa"/>
            </w:tcMar>
          </w:tcPr>
          <w:p w14:paraId="79DF91C8" w14:textId="77777777" w:rsidR="00646F4F" w:rsidRPr="00735726" w:rsidDel="004F5080"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31.2</w:t>
            </w:r>
          </w:p>
        </w:tc>
        <w:tc>
          <w:tcPr>
            <w:tcW w:w="1134" w:type="dxa"/>
            <w:tcMar>
              <w:top w:w="11" w:type="dxa"/>
              <w:left w:w="57" w:type="dxa"/>
              <w:bottom w:w="11" w:type="dxa"/>
              <w:right w:w="57" w:type="dxa"/>
            </w:tcMar>
          </w:tcPr>
          <w:p w14:paraId="10E895F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28.6</w:t>
            </w:r>
          </w:p>
        </w:tc>
      </w:tr>
      <w:tr w:rsidR="00646F4F" w:rsidRPr="00735726" w14:paraId="080480E2" w14:textId="77777777" w:rsidTr="00CE19B2">
        <w:trPr>
          <w:trHeight w:val="226"/>
        </w:trPr>
        <w:tc>
          <w:tcPr>
            <w:tcW w:w="7739" w:type="dxa"/>
            <w:tcMar>
              <w:top w:w="11" w:type="dxa"/>
              <w:left w:w="57" w:type="dxa"/>
              <w:bottom w:w="11" w:type="dxa"/>
              <w:right w:w="57" w:type="dxa"/>
            </w:tcMar>
          </w:tcPr>
          <w:p w14:paraId="17C961A9"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6"/>
                <w:szCs w:val="16"/>
              </w:rPr>
            </w:pPr>
          </w:p>
        </w:tc>
        <w:tc>
          <w:tcPr>
            <w:tcW w:w="1133" w:type="dxa"/>
            <w:tcMar>
              <w:top w:w="11" w:type="dxa"/>
              <w:left w:w="57" w:type="dxa"/>
              <w:bottom w:w="11" w:type="dxa"/>
              <w:right w:w="57" w:type="dxa"/>
            </w:tcMar>
          </w:tcPr>
          <w:p w14:paraId="23B457CE"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58993148"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bookmarkEnd w:id="1258"/>
      <w:bookmarkEnd w:id="1259"/>
      <w:tr w:rsidR="00646F4F" w:rsidRPr="00735726" w14:paraId="79FD821B" w14:textId="77777777" w:rsidTr="00CE19B2">
        <w:trPr>
          <w:trHeight w:val="226"/>
        </w:trPr>
        <w:tc>
          <w:tcPr>
            <w:tcW w:w="7739" w:type="dxa"/>
            <w:tcMar>
              <w:top w:w="11" w:type="dxa"/>
              <w:left w:w="57" w:type="dxa"/>
              <w:bottom w:w="11" w:type="dxa"/>
              <w:right w:w="57" w:type="dxa"/>
            </w:tcMar>
          </w:tcPr>
          <w:p w14:paraId="2FD11CE5"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color w:val="000000"/>
                <w:sz w:val="18"/>
                <w:szCs w:val="18"/>
              </w:rPr>
            </w:pPr>
            <w:r w:rsidRPr="00735726">
              <w:rPr>
                <w:rFonts w:ascii="Arial" w:eastAsia="Times New Roman" w:hAnsi="Arial" w:cs="DINOT-Light"/>
                <w:b/>
                <w:color w:val="000000"/>
                <w:sz w:val="18"/>
                <w:szCs w:val="18"/>
              </w:rPr>
              <w:t>Year end balances</w:t>
            </w:r>
          </w:p>
        </w:tc>
        <w:tc>
          <w:tcPr>
            <w:tcW w:w="1133" w:type="dxa"/>
            <w:tcMar>
              <w:top w:w="11" w:type="dxa"/>
              <w:left w:w="57" w:type="dxa"/>
              <w:bottom w:w="11" w:type="dxa"/>
              <w:right w:w="57" w:type="dxa"/>
            </w:tcMar>
          </w:tcPr>
          <w:p w14:paraId="044E38E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47EA1391"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6B4F1DB7" w14:textId="77777777" w:rsidTr="00CE19B2">
        <w:trPr>
          <w:trHeight w:val="226"/>
        </w:trPr>
        <w:tc>
          <w:tcPr>
            <w:tcW w:w="7739" w:type="dxa"/>
            <w:tcMar>
              <w:top w:w="11" w:type="dxa"/>
              <w:left w:w="57" w:type="dxa"/>
              <w:bottom w:w="11" w:type="dxa"/>
              <w:right w:w="57" w:type="dxa"/>
            </w:tcMar>
          </w:tcPr>
          <w:p w14:paraId="0D753D3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Receivables</w:t>
            </w:r>
          </w:p>
        </w:tc>
        <w:tc>
          <w:tcPr>
            <w:tcW w:w="1133" w:type="dxa"/>
            <w:tcMar>
              <w:top w:w="11" w:type="dxa"/>
              <w:left w:w="57" w:type="dxa"/>
              <w:bottom w:w="11" w:type="dxa"/>
              <w:right w:w="57" w:type="dxa"/>
            </w:tcMar>
          </w:tcPr>
          <w:p w14:paraId="65BB620A"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60AD16C3"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49A950F5" w14:textId="77777777" w:rsidTr="00CE19B2">
        <w:trPr>
          <w:trHeight w:val="226"/>
        </w:trPr>
        <w:tc>
          <w:tcPr>
            <w:tcW w:w="7739" w:type="dxa"/>
            <w:tcMar>
              <w:top w:w="11" w:type="dxa"/>
              <w:left w:w="57" w:type="dxa"/>
              <w:bottom w:w="11" w:type="dxa"/>
              <w:right w:w="57" w:type="dxa"/>
            </w:tcMar>
          </w:tcPr>
          <w:p w14:paraId="5533DE61" w14:textId="3EB1951B" w:rsidR="00646F4F" w:rsidRPr="00735726" w:rsidRDefault="006C1BA9"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60" w:name="XMETag_f46d64024ed0412a97e530744b442648" w:colFirst="1" w:colLast="1"/>
            <w:bookmarkStart w:id="1261" w:name="XMETag_ccbb1d9113f6422388e7f67a94f23389" w:colFirst="2" w:colLast="2"/>
            <w:r w:rsidRPr="00735726">
              <w:rPr>
                <w:rFonts w:ascii="Arial" w:eastAsia="Times New Roman" w:hAnsi="Arial" w:cs="DINOT-Light"/>
                <w:color w:val="000000"/>
                <w:sz w:val="18"/>
                <w:szCs w:val="18"/>
              </w:rPr>
              <w:t xml:space="preserve">- </w:t>
            </w:r>
            <w:r w:rsidR="00646F4F" w:rsidRPr="00735726">
              <w:rPr>
                <w:rFonts w:ascii="Arial" w:eastAsia="Times New Roman" w:hAnsi="Arial" w:cs="DINOT-Light"/>
                <w:color w:val="000000"/>
                <w:sz w:val="18"/>
                <w:szCs w:val="18"/>
              </w:rPr>
              <w:t>Joint venture and associates</w:t>
            </w:r>
          </w:p>
        </w:tc>
        <w:tc>
          <w:tcPr>
            <w:tcW w:w="1133" w:type="dxa"/>
            <w:tcMar>
              <w:top w:w="11" w:type="dxa"/>
              <w:left w:w="57" w:type="dxa"/>
              <w:bottom w:w="11" w:type="dxa"/>
              <w:right w:w="57" w:type="dxa"/>
            </w:tcMar>
          </w:tcPr>
          <w:p w14:paraId="41E7147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0.2</w:t>
            </w:r>
          </w:p>
        </w:tc>
        <w:tc>
          <w:tcPr>
            <w:tcW w:w="1134" w:type="dxa"/>
            <w:tcMar>
              <w:top w:w="11" w:type="dxa"/>
              <w:left w:w="57" w:type="dxa"/>
              <w:bottom w:w="11" w:type="dxa"/>
              <w:right w:w="57" w:type="dxa"/>
            </w:tcMar>
          </w:tcPr>
          <w:p w14:paraId="59090247"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2.2</w:t>
            </w:r>
          </w:p>
        </w:tc>
      </w:tr>
      <w:bookmarkEnd w:id="1260"/>
      <w:bookmarkEnd w:id="1261"/>
      <w:tr w:rsidR="00646F4F" w:rsidRPr="00735726" w14:paraId="0E7C228D" w14:textId="77777777" w:rsidTr="00CE19B2">
        <w:trPr>
          <w:trHeight w:val="226"/>
        </w:trPr>
        <w:tc>
          <w:tcPr>
            <w:tcW w:w="7739" w:type="dxa"/>
            <w:tcMar>
              <w:top w:w="11" w:type="dxa"/>
              <w:left w:w="57" w:type="dxa"/>
              <w:bottom w:w="11" w:type="dxa"/>
              <w:right w:w="57" w:type="dxa"/>
            </w:tcMar>
          </w:tcPr>
          <w:p w14:paraId="7F93A7CF" w14:textId="77777777" w:rsidR="00646F4F" w:rsidRPr="00735726" w:rsidRDefault="00646F4F" w:rsidP="00CE19B2">
            <w:pPr>
              <w:widowControl w:val="0"/>
              <w:suppressAutoHyphens/>
              <w:autoSpaceDE w:val="0"/>
              <w:autoSpaceDN w:val="0"/>
              <w:adjustRightInd w:val="0"/>
              <w:spacing w:after="0" w:line="220" w:lineRule="atLeast"/>
              <w:textAlignment w:val="center"/>
              <w:rPr>
                <w:rFonts w:ascii="Arial" w:eastAsia="Times New Roman" w:hAnsi="Arial" w:cs="DINOT-Light"/>
                <w:b/>
                <w:bCs/>
                <w:color w:val="000000"/>
                <w:sz w:val="18"/>
                <w:szCs w:val="18"/>
              </w:rPr>
            </w:pPr>
            <w:r w:rsidRPr="00735726">
              <w:rPr>
                <w:rFonts w:ascii="Arial" w:eastAsia="Times New Roman" w:hAnsi="Arial" w:cs="DINOT-Light"/>
                <w:b/>
                <w:bCs/>
                <w:color w:val="000000"/>
                <w:sz w:val="18"/>
                <w:szCs w:val="18"/>
              </w:rPr>
              <w:t>Payables</w:t>
            </w:r>
          </w:p>
        </w:tc>
        <w:tc>
          <w:tcPr>
            <w:tcW w:w="1133" w:type="dxa"/>
            <w:tcMar>
              <w:top w:w="11" w:type="dxa"/>
              <w:left w:w="57" w:type="dxa"/>
              <w:bottom w:w="11" w:type="dxa"/>
              <w:right w:w="57" w:type="dxa"/>
            </w:tcMar>
          </w:tcPr>
          <w:p w14:paraId="5E99A41D"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c>
          <w:tcPr>
            <w:tcW w:w="1134" w:type="dxa"/>
            <w:tcMar>
              <w:top w:w="11" w:type="dxa"/>
              <w:left w:w="57" w:type="dxa"/>
              <w:bottom w:w="11" w:type="dxa"/>
              <w:right w:w="57" w:type="dxa"/>
            </w:tcMar>
          </w:tcPr>
          <w:p w14:paraId="4739C660"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p>
        </w:tc>
      </w:tr>
      <w:tr w:rsidR="00646F4F" w:rsidRPr="00735726" w14:paraId="70C71BE1" w14:textId="77777777" w:rsidTr="00CE19B2">
        <w:trPr>
          <w:trHeight w:val="226"/>
        </w:trPr>
        <w:tc>
          <w:tcPr>
            <w:tcW w:w="7739" w:type="dxa"/>
            <w:tcMar>
              <w:top w:w="11" w:type="dxa"/>
              <w:left w:w="57" w:type="dxa"/>
              <w:bottom w:w="11" w:type="dxa"/>
              <w:right w:w="57" w:type="dxa"/>
            </w:tcMar>
          </w:tcPr>
          <w:p w14:paraId="4B462E40" w14:textId="3DB1F4BD" w:rsidR="00646F4F" w:rsidRPr="00735726" w:rsidRDefault="006C1BA9" w:rsidP="00CE19B2">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bookmarkStart w:id="1262" w:name="XMETag_23a7685853ca4046a1db7e0050af9fe0" w:colFirst="1" w:colLast="1"/>
            <w:bookmarkStart w:id="1263" w:name="XMETag_3bf0d70ce6f44a188cd9fea617186eee" w:colFirst="2" w:colLast="2"/>
            <w:r w:rsidRPr="00735726">
              <w:rPr>
                <w:rFonts w:ascii="Arial" w:eastAsia="Times New Roman" w:hAnsi="Arial" w:cs="DINOT-Light"/>
                <w:color w:val="000000"/>
                <w:sz w:val="18"/>
                <w:szCs w:val="18"/>
              </w:rPr>
              <w:t xml:space="preserve">- </w:t>
            </w:r>
            <w:r w:rsidR="00646F4F" w:rsidRPr="00735726">
              <w:rPr>
                <w:rFonts w:ascii="Arial" w:eastAsia="Times New Roman" w:hAnsi="Arial" w:cs="DINOT-Light"/>
                <w:color w:val="000000"/>
                <w:sz w:val="18"/>
                <w:szCs w:val="18"/>
              </w:rPr>
              <w:t>Joint venture and associates</w:t>
            </w:r>
          </w:p>
        </w:tc>
        <w:tc>
          <w:tcPr>
            <w:tcW w:w="1133" w:type="dxa"/>
            <w:tcMar>
              <w:top w:w="11" w:type="dxa"/>
              <w:left w:w="57" w:type="dxa"/>
              <w:bottom w:w="11" w:type="dxa"/>
              <w:right w:w="57" w:type="dxa"/>
            </w:tcMar>
          </w:tcPr>
          <w:p w14:paraId="5E691B79"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c>
          <w:tcPr>
            <w:tcW w:w="1134" w:type="dxa"/>
            <w:tcMar>
              <w:top w:w="11" w:type="dxa"/>
              <w:left w:w="57" w:type="dxa"/>
              <w:bottom w:w="11" w:type="dxa"/>
              <w:right w:w="57" w:type="dxa"/>
            </w:tcMar>
          </w:tcPr>
          <w:p w14:paraId="014FE314" w14:textId="77777777" w:rsidR="00646F4F" w:rsidRPr="00735726" w:rsidRDefault="00646F4F" w:rsidP="00CE19B2">
            <w:pPr>
              <w:widowControl w:val="0"/>
              <w:suppressAutoHyphens/>
              <w:autoSpaceDE w:val="0"/>
              <w:autoSpaceDN w:val="0"/>
              <w:adjustRightInd w:val="0"/>
              <w:spacing w:after="0" w:line="220" w:lineRule="atLeast"/>
              <w:jc w:val="right"/>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1.6</w:t>
            </w:r>
          </w:p>
        </w:tc>
      </w:tr>
      <w:bookmarkEnd w:id="1262"/>
      <w:bookmarkEnd w:id="1263"/>
    </w:tbl>
    <w:p w14:paraId="218567A0" w14:textId="77777777" w:rsidR="00646F4F" w:rsidRPr="009A2CAE" w:rsidRDefault="00646F4F" w:rsidP="00646F4F">
      <w:pPr>
        <w:widowControl w:val="0"/>
        <w:suppressAutoHyphens/>
        <w:autoSpaceDE w:val="0"/>
        <w:autoSpaceDN w:val="0"/>
        <w:adjustRightInd w:val="0"/>
        <w:spacing w:after="0" w:line="220" w:lineRule="atLeast"/>
        <w:textAlignment w:val="center"/>
        <w:rPr>
          <w:rFonts w:ascii="Arial" w:eastAsia="Times New Roman" w:hAnsi="Arial" w:cs="DINOT-Light"/>
          <w:color w:val="000000"/>
          <w:sz w:val="18"/>
          <w:szCs w:val="18"/>
        </w:rPr>
      </w:pPr>
    </w:p>
    <w:p w14:paraId="15E51EE6" w14:textId="77777777" w:rsidR="00646F4F" w:rsidRPr="009A2CAE" w:rsidRDefault="00646F4F" w:rsidP="00646F4F">
      <w:pPr>
        <w:widowControl w:val="0"/>
        <w:suppressAutoHyphens/>
        <w:autoSpaceDE w:val="0"/>
        <w:autoSpaceDN w:val="0"/>
        <w:adjustRightInd w:val="0"/>
        <w:spacing w:after="0" w:line="220" w:lineRule="atLeast"/>
        <w:textAlignment w:val="center"/>
        <w:outlineLvl w:val="0"/>
        <w:rPr>
          <w:rFonts w:ascii="Arial" w:eastAsia="Times New Roman" w:hAnsi="Arial" w:cs="DINOT-Light"/>
          <w:color w:val="000000"/>
          <w:sz w:val="18"/>
          <w:szCs w:val="18"/>
        </w:rPr>
      </w:pPr>
    </w:p>
    <w:p w14:paraId="11DF12C2" w14:textId="77777777" w:rsidR="00646F4F" w:rsidRPr="00735726" w:rsidRDefault="00646F4F" w:rsidP="00646F4F">
      <w:pPr>
        <w:widowControl w:val="0"/>
        <w:suppressAutoHyphens/>
        <w:autoSpaceDE w:val="0"/>
        <w:autoSpaceDN w:val="0"/>
        <w:adjustRightInd w:val="0"/>
        <w:spacing w:after="0"/>
        <w:textAlignment w:val="center"/>
        <w:outlineLvl w:val="0"/>
        <w:rPr>
          <w:rFonts w:ascii="Arial" w:eastAsia="Times New Roman" w:hAnsi="Arial" w:cs="DINOT-Light"/>
          <w:color w:val="000000"/>
          <w:sz w:val="18"/>
          <w:szCs w:val="18"/>
        </w:rPr>
      </w:pPr>
      <w:bookmarkStart w:id="1264" w:name="XMETag_13b9b8835c4d493bbbbfc9409c44e34e"/>
      <w:r w:rsidRPr="00735726">
        <w:rPr>
          <w:rFonts w:ascii="Arial" w:eastAsia="Times New Roman" w:hAnsi="Arial" w:cs="DINOT-Light"/>
          <w:color w:val="000000"/>
          <w:sz w:val="18"/>
          <w:szCs w:val="18"/>
        </w:rPr>
        <w:t>The receivables due from related parties are unsecured and will be settled in cash. No guarantees have been given or received. No provisions have been made, or are considered necessary, for doubtful debts in respect of these amounts due.</w:t>
      </w:r>
      <w:bookmarkEnd w:id="1264"/>
    </w:p>
    <w:bookmarkEnd w:id="1257"/>
    <w:p w14:paraId="35DF4E9B" w14:textId="77777777" w:rsidR="00646F4F" w:rsidRPr="00735726" w:rsidRDefault="00646F4F" w:rsidP="00646F4F">
      <w:pPr>
        <w:widowControl w:val="0"/>
        <w:tabs>
          <w:tab w:val="left" w:pos="340"/>
        </w:tabs>
        <w:suppressAutoHyphens/>
        <w:autoSpaceDE w:val="0"/>
        <w:autoSpaceDN w:val="0"/>
        <w:adjustRightInd w:val="0"/>
        <w:spacing w:after="0"/>
        <w:textAlignment w:val="center"/>
        <w:outlineLvl w:val="0"/>
        <w:rPr>
          <w:rFonts w:ascii="Arial" w:eastAsia="Times New Roman" w:hAnsi="Arial" w:cs="Arial"/>
          <w:b/>
          <w:bCs/>
          <w:caps/>
          <w:color w:val="000000"/>
          <w:sz w:val="18"/>
          <w:szCs w:val="18"/>
        </w:rPr>
      </w:pPr>
    </w:p>
    <w:p w14:paraId="52D757A4" w14:textId="77777777" w:rsidR="00646F4F" w:rsidRPr="00735726" w:rsidRDefault="00646F4F" w:rsidP="00646F4F">
      <w:pPr>
        <w:widowControl w:val="0"/>
        <w:tabs>
          <w:tab w:val="left" w:pos="340"/>
        </w:tabs>
        <w:suppressAutoHyphens/>
        <w:autoSpaceDE w:val="0"/>
        <w:autoSpaceDN w:val="0"/>
        <w:adjustRightInd w:val="0"/>
        <w:spacing w:after="0"/>
        <w:textAlignment w:val="center"/>
        <w:outlineLvl w:val="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38.</w:t>
      </w:r>
      <w:r w:rsidRPr="00735726">
        <w:rPr>
          <w:rFonts w:ascii="Arial" w:eastAsia="Times New Roman" w:hAnsi="Arial" w:cs="Arial"/>
          <w:b/>
          <w:bCs/>
          <w:caps/>
          <w:color w:val="000000"/>
          <w:sz w:val="18"/>
          <w:szCs w:val="18"/>
        </w:rPr>
        <w:tab/>
        <w:t>Parent Company</w:t>
      </w:r>
    </w:p>
    <w:p w14:paraId="2A4A056C" w14:textId="0009CC13" w:rsidR="00646F4F" w:rsidRPr="00735726" w:rsidRDefault="00646F4F" w:rsidP="00646F4F">
      <w:pPr>
        <w:widowControl w:val="0"/>
        <w:suppressAutoHyphens/>
        <w:autoSpaceDE w:val="0"/>
        <w:autoSpaceDN w:val="0"/>
        <w:adjustRightInd w:val="0"/>
        <w:spacing w:after="0"/>
        <w:textAlignment w:val="center"/>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parent </w:t>
      </w:r>
      <w:r w:rsidR="003B36A4" w:rsidRPr="00735726">
        <w:rPr>
          <w:rFonts w:ascii="Arial" w:eastAsia="Times New Roman" w:hAnsi="Arial" w:cs="DINOT-Light"/>
          <w:color w:val="000000"/>
          <w:sz w:val="18"/>
          <w:szCs w:val="18"/>
        </w:rPr>
        <w:t>C</w:t>
      </w:r>
      <w:r w:rsidRPr="00735726">
        <w:rPr>
          <w:rFonts w:ascii="Arial" w:eastAsia="Times New Roman" w:hAnsi="Arial" w:cs="DINOT-Light"/>
          <w:color w:val="000000"/>
          <w:sz w:val="18"/>
          <w:szCs w:val="18"/>
        </w:rPr>
        <w:t xml:space="preserve">ompany, and ultimate controlling party, is </w:t>
      </w:r>
      <w:bookmarkStart w:id="1265" w:name="XMETag_64cd221b65a242f792819e45b0118d34"/>
      <w:r w:rsidRPr="00735726">
        <w:rPr>
          <w:rFonts w:ascii="Arial" w:eastAsia="Times New Roman" w:hAnsi="Arial" w:cs="DINOT-Light"/>
          <w:color w:val="000000"/>
          <w:sz w:val="18"/>
          <w:szCs w:val="18"/>
        </w:rPr>
        <w:t>Pennon Group plc</w:t>
      </w:r>
      <w:bookmarkEnd w:id="1265"/>
      <w:r w:rsidRPr="00735726">
        <w:rPr>
          <w:rFonts w:ascii="Arial" w:eastAsia="Times New Roman" w:hAnsi="Arial" w:cs="DINOT-Light"/>
          <w:color w:val="000000"/>
          <w:sz w:val="18"/>
          <w:szCs w:val="18"/>
        </w:rPr>
        <w:t xml:space="preserve"> which is registered in England. The smallest and largest group in which the Company is consolidated is Pennon Group plc which is registered in England and copies of its consolidated annual report are available from Peninsula House, Rydon Lane, Exeter, Devon, England, EX2 7HR.</w:t>
      </w:r>
    </w:p>
    <w:p w14:paraId="74BEC7B7" w14:textId="77777777" w:rsidR="00646F4F" w:rsidRPr="009A2CAE" w:rsidRDefault="00646F4F" w:rsidP="00646F4F">
      <w:pPr>
        <w:widowControl w:val="0"/>
        <w:suppressAutoHyphens/>
        <w:autoSpaceDE w:val="0"/>
        <w:autoSpaceDN w:val="0"/>
        <w:adjustRightInd w:val="0"/>
        <w:spacing w:after="0"/>
        <w:textAlignment w:val="center"/>
        <w:rPr>
          <w:rFonts w:ascii="Arial" w:eastAsia="Times New Roman" w:hAnsi="Arial" w:cs="Arial"/>
          <w:b/>
          <w:bCs/>
          <w:caps/>
          <w:color w:val="000000"/>
          <w:sz w:val="18"/>
          <w:szCs w:val="18"/>
        </w:rPr>
      </w:pPr>
    </w:p>
    <w:bookmarkEnd w:id="3"/>
    <w:p w14:paraId="1E4DC38C" w14:textId="602DC462" w:rsidR="001857E1" w:rsidRPr="00735726" w:rsidRDefault="001857E1" w:rsidP="001857E1">
      <w:pPr>
        <w:widowControl w:val="0"/>
        <w:tabs>
          <w:tab w:val="left" w:pos="340"/>
        </w:tabs>
        <w:suppressAutoHyphens/>
        <w:autoSpaceDE w:val="0"/>
        <w:autoSpaceDN w:val="0"/>
        <w:adjustRightInd w:val="0"/>
        <w:spacing w:after="0"/>
        <w:textAlignment w:val="center"/>
        <w:outlineLvl w:val="0"/>
        <w:rPr>
          <w:rFonts w:ascii="Arial" w:eastAsia="Times New Roman" w:hAnsi="Arial" w:cs="Arial"/>
          <w:b/>
          <w:bCs/>
          <w:caps/>
          <w:color w:val="000000"/>
          <w:sz w:val="18"/>
          <w:szCs w:val="18"/>
        </w:rPr>
      </w:pPr>
      <w:r w:rsidRPr="00735726">
        <w:rPr>
          <w:rFonts w:ascii="Arial" w:eastAsia="Times New Roman" w:hAnsi="Arial" w:cs="Arial"/>
          <w:b/>
          <w:bCs/>
          <w:caps/>
          <w:color w:val="000000"/>
          <w:sz w:val="18"/>
          <w:szCs w:val="18"/>
        </w:rPr>
        <w:t>39.</w:t>
      </w:r>
      <w:r w:rsidRPr="00735726">
        <w:rPr>
          <w:rFonts w:ascii="Arial" w:eastAsia="Times New Roman" w:hAnsi="Arial" w:cs="Arial"/>
          <w:b/>
          <w:bCs/>
          <w:caps/>
          <w:color w:val="000000"/>
          <w:sz w:val="18"/>
          <w:szCs w:val="18"/>
        </w:rPr>
        <w:tab/>
        <w:t>POST BALANCE SHEET EVENT</w:t>
      </w:r>
    </w:p>
    <w:p w14:paraId="463E6D8B" w14:textId="77777777" w:rsidR="00F8014A" w:rsidRPr="00735726" w:rsidRDefault="00F8014A" w:rsidP="00F8014A">
      <w:pPr>
        <w:widowControl w:val="0"/>
        <w:tabs>
          <w:tab w:val="left" w:pos="340"/>
        </w:tabs>
        <w:suppressAutoHyphens/>
        <w:autoSpaceDE w:val="0"/>
        <w:autoSpaceDN w:val="0"/>
        <w:adjustRightInd w:val="0"/>
        <w:spacing w:after="0"/>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On 7 July 2026,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Finance plc, a subsidiary of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announced the successful pricing of £250.0 million 6.000% fixed rate guaranteed notes due 2035 and £100.0 million 3.806% index-linked guaranteed notes due 2041 under its Euro Medium Term Note ("EMTN") programme. The notes are expected to be issued on 16 July 2026, subject to final legal documentation and customary closing conditions.</w:t>
      </w:r>
    </w:p>
    <w:p w14:paraId="63FD54AC" w14:textId="77777777" w:rsidR="00F8014A" w:rsidRPr="00735726" w:rsidRDefault="00F8014A" w:rsidP="00F8014A">
      <w:pPr>
        <w:widowControl w:val="0"/>
        <w:tabs>
          <w:tab w:val="left" w:pos="340"/>
        </w:tabs>
        <w:suppressAutoHyphens/>
        <w:autoSpaceDE w:val="0"/>
        <w:autoSpaceDN w:val="0"/>
        <w:adjustRightInd w:val="0"/>
        <w:spacing w:after="0"/>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 </w:t>
      </w:r>
    </w:p>
    <w:p w14:paraId="08A628E6" w14:textId="77777777" w:rsidR="00F8014A" w:rsidRPr="00F41B49" w:rsidRDefault="00F8014A" w:rsidP="00F8014A">
      <w:pPr>
        <w:widowControl w:val="0"/>
        <w:tabs>
          <w:tab w:val="left" w:pos="340"/>
        </w:tabs>
        <w:suppressAutoHyphens/>
        <w:autoSpaceDE w:val="0"/>
        <w:autoSpaceDN w:val="0"/>
        <w:adjustRightInd w:val="0"/>
        <w:spacing w:after="0"/>
        <w:textAlignment w:val="center"/>
        <w:outlineLvl w:val="0"/>
        <w:rPr>
          <w:rFonts w:ascii="Arial" w:eastAsia="Times New Roman" w:hAnsi="Arial" w:cs="DINOT-Light"/>
          <w:color w:val="000000"/>
          <w:sz w:val="18"/>
          <w:szCs w:val="18"/>
        </w:rPr>
      </w:pPr>
      <w:r w:rsidRPr="00735726">
        <w:rPr>
          <w:rFonts w:ascii="Arial" w:eastAsia="Times New Roman" w:hAnsi="Arial" w:cs="DINOT-Light"/>
          <w:color w:val="000000"/>
          <w:sz w:val="18"/>
          <w:szCs w:val="18"/>
        </w:rPr>
        <w:t xml:space="preserve">The notes will be guaranteed by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and the proceeds are expected to be on-lent to </w:t>
      </w:r>
      <w:proofErr w:type="gramStart"/>
      <w:r w:rsidRPr="00735726">
        <w:rPr>
          <w:rFonts w:ascii="Arial" w:eastAsia="Times New Roman" w:hAnsi="Arial" w:cs="DINOT-Light"/>
          <w:color w:val="000000"/>
          <w:sz w:val="18"/>
          <w:szCs w:val="18"/>
        </w:rPr>
        <w:t>South West</w:t>
      </w:r>
      <w:proofErr w:type="gramEnd"/>
      <w:r w:rsidRPr="00735726">
        <w:rPr>
          <w:rFonts w:ascii="Arial" w:eastAsia="Times New Roman" w:hAnsi="Arial" w:cs="DINOT-Light"/>
          <w:color w:val="000000"/>
          <w:sz w:val="18"/>
          <w:szCs w:val="18"/>
        </w:rPr>
        <w:t xml:space="preserve"> Water Limited on the same terms.</w:t>
      </w:r>
    </w:p>
    <w:p w14:paraId="69B9EF8C" w14:textId="3C2DDB2F" w:rsidR="00FA4EFE" w:rsidRPr="00D636C2" w:rsidRDefault="00FA4EFE" w:rsidP="00F8014A">
      <w:pPr>
        <w:spacing w:after="160" w:line="259" w:lineRule="auto"/>
        <w:rPr>
          <w:rFonts w:ascii="Arial" w:eastAsia="Times New Roman" w:hAnsi="Arial" w:cs="DINOT-Light"/>
          <w:color w:val="000000"/>
          <w:sz w:val="18"/>
          <w:szCs w:val="18"/>
        </w:rPr>
      </w:pPr>
    </w:p>
    <w:sectPr w:rsidR="00FA4EFE" w:rsidRPr="00D636C2" w:rsidSect="00037DC9">
      <w:footerReference w:type="even" r:id="rId30"/>
      <w:footerReference w:type="default" r:id="rId31"/>
      <w:footerReference w:type="first" r:id="rId32"/>
      <w:footnotePr>
        <w:numRestart w:val="eachPage"/>
      </w:foot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CAF39" w14:textId="77777777" w:rsidR="005147B9" w:rsidRDefault="005147B9" w:rsidP="00093F52">
      <w:pPr>
        <w:spacing w:after="0" w:line="240" w:lineRule="auto"/>
      </w:pPr>
      <w:r>
        <w:separator/>
      </w:r>
    </w:p>
  </w:endnote>
  <w:endnote w:type="continuationSeparator" w:id="0">
    <w:p w14:paraId="5D79C169" w14:textId="77777777" w:rsidR="005147B9" w:rsidRDefault="005147B9" w:rsidP="00093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OT-Light">
    <w:altName w:val="Calibri"/>
    <w:panose1 w:val="00000000000000000000"/>
    <w:charset w:val="00"/>
    <w:family w:val="swiss"/>
    <w:notTrueType/>
    <w:pitch w:val="variable"/>
    <w:sig w:usb0="800002AF" w:usb1="4000207B" w:usb2="00000008" w:usb3="00000000" w:csb0="00000001" w:csb1="00000000"/>
  </w:font>
  <w:font w:name="Calibre Light">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
    <w:altName w:val="Calibri"/>
    <w:panose1 w:val="00000000000000000000"/>
    <w:charset w:val="00"/>
    <w:family w:val="swiss"/>
    <w:notTrueType/>
    <w:pitch w:val="variable"/>
    <w:sig w:usb0="800000AF" w:usb1="4000207B" w:usb2="00000008" w:usb3="00000000" w:csb0="00000001" w:csb1="00000000"/>
  </w:font>
  <w:font w:name="DINOT-Bold">
    <w:altName w:val="Calibri"/>
    <w:panose1 w:val="00000000000000000000"/>
    <w:charset w:val="00"/>
    <w:family w:val="swiss"/>
    <w:notTrueType/>
    <w:pitch w:val="variable"/>
    <w:sig w:usb0="800002AF" w:usb1="4000207B" w:usb2="00000008" w:usb3="00000000" w:csb0="00000001" w:csb1="00000000"/>
  </w:font>
  <w:font w:name="MinionPro-Regular">
    <w:altName w:val="Calibri"/>
    <w:charset w:val="00"/>
    <w:family w:val="auto"/>
    <w:pitch w:val="variable"/>
    <w:sig w:usb0="60000287" w:usb1="00000001" w:usb2="00000000" w:usb3="00000000" w:csb0="0000019F" w:csb1="00000000"/>
  </w:font>
  <w:font w:name="DINOT-Medium">
    <w:panose1 w:val="00000000000000000000"/>
    <w:charset w:val="00"/>
    <w:family w:val="swiss"/>
    <w:notTrueType/>
    <w:pitch w:val="variable"/>
    <w:sig w:usb0="800002AF" w:usb1="4000207B" w:usb2="00000008" w:usb3="00000000" w:csb0="00000001" w:csb1="00000000"/>
  </w:font>
  <w:font w:name="HelveticaNeueLT Std Lt">
    <w:altName w:val="Times New Roman"/>
    <w:charset w:val="00"/>
    <w:family w:val="auto"/>
    <w:pitch w:val="default"/>
  </w:font>
  <w:font w:name="GillSans Light">
    <w:altName w:val="GillSans Light"/>
    <w:panose1 w:val="00000000000000000000"/>
    <w:charset w:val="00"/>
    <w:family w:val="swiss"/>
    <w:notTrueType/>
    <w:pitch w:val="default"/>
    <w:sig w:usb0="00000003" w:usb1="00000000" w:usb2="00000000" w:usb3="00000000" w:csb0="00000001" w:csb1="00000000"/>
  </w:font>
  <w:font w:name="Gill Sans">
    <w:altName w:val="Gill Sans"/>
    <w:panose1 w:val="00000000000000000000"/>
    <w:charset w:val="00"/>
    <w:family w:val="swiss"/>
    <w:notTrueType/>
    <w:pitch w:val="default"/>
    <w:sig w:usb0="00000003" w:usb1="00000000" w:usb2="00000000" w:usb3="00000000" w:csb0="00000001" w:csb1="00000000"/>
  </w:font>
  <w:font w:name="Calibre (OTF) 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e">
    <w:altName w:val="Calibre"/>
    <w:panose1 w:val="00000000000000000000"/>
    <w:charset w:val="00"/>
    <w:family w:val="swiss"/>
    <w:notTrueType/>
    <w:pitch w:val="variable"/>
    <w:sig w:usb0="00000007" w:usb1="00000000" w:usb2="00000000" w:usb3="00000000" w:csb0="00000093" w:csb1="00000000"/>
  </w:font>
  <w:font w:name="Minion Pro">
    <w:altName w:val="Cambria"/>
    <w:panose1 w:val="00000000000000000000"/>
    <w:charset w:val="00"/>
    <w:family w:val="roman"/>
    <w:notTrueType/>
    <w:pitch w:val="default"/>
  </w:font>
  <w:font w:name="Calibre Semibold">
    <w:altName w:val="Calibri"/>
    <w:panose1 w:val="00000000000000000000"/>
    <w:charset w:val="00"/>
    <w:family w:val="swiss"/>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e Regular">
    <w:altName w:val="Calibre Regular"/>
    <w:panose1 w:val="00000000000000000000"/>
    <w:charset w:val="00"/>
    <w:family w:val="swiss"/>
    <w:notTrueType/>
    <w:pitch w:val="default"/>
    <w:sig w:usb0="00000003" w:usb1="00000000" w:usb2="00000000" w:usb3="00000000" w:csb0="00000001" w:csb1="00000000"/>
  </w:font>
  <w:font w:name="s172">
    <w:altName w:val="Cambria"/>
    <w:panose1 w:val="00000000000000000000"/>
    <w:charset w:val="00"/>
    <w:family w:val="roman"/>
    <w:notTrueType/>
    <w:pitch w:val="default"/>
  </w:font>
  <w:font w:name="Calibre-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E34B" w14:textId="554D11A8" w:rsidR="00BE3EFF" w:rsidRDefault="00BE3EFF">
    <w:pPr>
      <w:pStyle w:val="Footer"/>
    </w:pPr>
    <w:r>
      <w:rPr>
        <w:noProof/>
      </w:rPr>
      <mc:AlternateContent>
        <mc:Choice Requires="wps">
          <w:drawing>
            <wp:anchor distT="0" distB="0" distL="0" distR="0" simplePos="0" relativeHeight="251659264" behindDoc="0" locked="0" layoutInCell="1" allowOverlap="1" wp14:anchorId="08AB4CC0" wp14:editId="6D9BDAAA">
              <wp:simplePos x="635" y="635"/>
              <wp:positionH relativeFrom="page">
                <wp:align>left</wp:align>
              </wp:positionH>
              <wp:positionV relativeFrom="page">
                <wp:align>bottom</wp:align>
              </wp:positionV>
              <wp:extent cx="443865" cy="443865"/>
              <wp:effectExtent l="0" t="0" r="12065" b="0"/>
              <wp:wrapNone/>
              <wp:docPr id="7" name="Text Box 7" descr="Classification: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D07A46" w14:textId="01EFAF44" w:rsidR="00BE3EFF" w:rsidRPr="00BE3EFF" w:rsidRDefault="00BE3EFF" w:rsidP="00BE3EFF">
                          <w:pPr>
                            <w:spacing w:after="0"/>
                            <w:rPr>
                              <w:rFonts w:ascii="Calibri" w:eastAsia="Calibri" w:hAnsi="Calibri" w:cs="Calibri"/>
                              <w:noProof/>
                              <w:color w:val="000000"/>
                              <w:sz w:val="20"/>
                              <w:szCs w:val="20"/>
                            </w:rPr>
                          </w:pPr>
                          <w:r w:rsidRPr="00BE3EFF">
                            <w:rPr>
                              <w:rFonts w:ascii="Calibri" w:eastAsia="Calibri" w:hAnsi="Calibri" w:cs="Calibri"/>
                              <w:noProof/>
                              <w:color w:val="000000"/>
                              <w:sz w:val="20"/>
                              <w:szCs w:val="20"/>
                            </w:rPr>
                            <w:t>Classification: BUSINESS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AB4CC0" id="_x0000_t202" coordsize="21600,21600" o:spt="202" path="m,l,21600r21600,l21600,xe">
              <v:stroke joinstyle="miter"/>
              <v:path gradientshapeok="t" o:connecttype="rect"/>
            </v:shapetype>
            <v:shape id="Text Box 7" o:spid="_x0000_s1035" type="#_x0000_t202" alt="Classification: BUSINESS"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DD07A46" w14:textId="01EFAF44" w:rsidR="00BE3EFF" w:rsidRPr="00BE3EFF" w:rsidRDefault="00BE3EFF" w:rsidP="00BE3EFF">
                    <w:pPr>
                      <w:spacing w:after="0"/>
                      <w:rPr>
                        <w:rFonts w:ascii="Calibri" w:eastAsia="Calibri" w:hAnsi="Calibri" w:cs="Calibri"/>
                        <w:noProof/>
                        <w:color w:val="000000"/>
                        <w:sz w:val="20"/>
                        <w:szCs w:val="20"/>
                      </w:rPr>
                    </w:pPr>
                    <w:r w:rsidRPr="00BE3EFF">
                      <w:rPr>
                        <w:rFonts w:ascii="Calibri" w:eastAsia="Calibri" w:hAnsi="Calibri" w:cs="Calibri"/>
                        <w:noProof/>
                        <w:color w:val="000000"/>
                        <w:sz w:val="20"/>
                        <w:szCs w:val="20"/>
                      </w:rPr>
                      <w:t>Classification: BUSINESS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31A5A" w14:textId="7588D16F" w:rsidR="00093F52" w:rsidRDefault="00BE3EFF" w:rsidP="00EE0058">
    <w:pPr>
      <w:pStyle w:val="Footer"/>
      <w:rPr>
        <w:rFonts w:ascii="Arial" w:hAnsi="Arial" w:cs="Arial"/>
        <w:sz w:val="16"/>
        <w:szCs w:val="16"/>
      </w:rPr>
    </w:pPr>
    <w:r>
      <w:rPr>
        <w:rFonts w:ascii="Arial" w:hAnsi="Arial" w:cs="Arial"/>
        <w:noProof/>
        <w:sz w:val="16"/>
        <w:szCs w:val="16"/>
      </w:rPr>
      <mc:AlternateContent>
        <mc:Choice Requires="wps">
          <w:drawing>
            <wp:anchor distT="0" distB="0" distL="0" distR="0" simplePos="0" relativeHeight="251660288" behindDoc="0" locked="0" layoutInCell="1" allowOverlap="1" wp14:anchorId="553A9905" wp14:editId="557F317E">
              <wp:simplePos x="914400" y="9772650"/>
              <wp:positionH relativeFrom="page">
                <wp:align>left</wp:align>
              </wp:positionH>
              <wp:positionV relativeFrom="page">
                <wp:align>bottom</wp:align>
              </wp:positionV>
              <wp:extent cx="443865" cy="443865"/>
              <wp:effectExtent l="0" t="0" r="12065" b="0"/>
              <wp:wrapNone/>
              <wp:docPr id="21" name="Text Box 21" descr="Classification: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47E799" w14:textId="29D97A73" w:rsidR="00BE3EFF" w:rsidRPr="00BE3EFF" w:rsidRDefault="00BE3EFF" w:rsidP="00BE3EFF">
                          <w:pPr>
                            <w:spacing w:after="0"/>
                            <w:rPr>
                              <w:rFonts w:ascii="Calibri" w:eastAsia="Calibri" w:hAnsi="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3A9905" id="_x0000_t202" coordsize="21600,21600" o:spt="202" path="m,l,21600r21600,l21600,xe">
              <v:stroke joinstyle="miter"/>
              <v:path gradientshapeok="t" o:connecttype="rect"/>
            </v:shapetype>
            <v:shape id="Text Box 21" o:spid="_x0000_s1036" type="#_x0000_t202" alt="Classification: BUSINESS"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6947E799" w14:textId="29D97A73" w:rsidR="00BE3EFF" w:rsidRPr="00BE3EFF" w:rsidRDefault="00BE3EFF" w:rsidP="00BE3EFF">
                    <w:pPr>
                      <w:spacing w:after="0"/>
                      <w:rPr>
                        <w:rFonts w:ascii="Calibri" w:eastAsia="Calibri" w:hAnsi="Calibri" w:cs="Calibri"/>
                        <w:noProof/>
                        <w:color w:val="000000"/>
                        <w:sz w:val="20"/>
                        <w:szCs w:val="20"/>
                      </w:rPr>
                    </w:pPr>
                  </w:p>
                </w:txbxContent>
              </v:textbox>
              <w10:wrap anchorx="page" anchory="page"/>
            </v:shape>
          </w:pict>
        </mc:Fallback>
      </mc:AlternateContent>
    </w:r>
  </w:p>
  <w:p w14:paraId="5AD6CC48" w14:textId="77777777" w:rsidR="00093F52" w:rsidRDefault="00093F52" w:rsidP="008F426E">
    <w:pPr>
      <w:pStyle w:val="Footer"/>
      <w:rPr>
        <w:rFonts w:ascii="Arial" w:hAnsi="Arial" w:cs="Arial"/>
        <w:sz w:val="16"/>
        <w:szCs w:val="16"/>
      </w:rPr>
    </w:pPr>
  </w:p>
  <w:p w14:paraId="7D67BAF9" w14:textId="7AB8584D" w:rsidR="00093F52" w:rsidRPr="008F1FF0" w:rsidRDefault="00093F52">
    <w:pPr>
      <w:pStyle w:val="Footer"/>
      <w:rPr>
        <w:sz w:val="16"/>
        <w:szCs w:val="16"/>
      </w:rPr>
    </w:pPr>
    <w:proofErr w:type="gramStart"/>
    <w:r w:rsidRPr="000F7F29">
      <w:rPr>
        <w:rFonts w:ascii="Arial" w:hAnsi="Arial" w:cs="Arial"/>
        <w:sz w:val="16"/>
        <w:szCs w:val="16"/>
      </w:rPr>
      <w:t>South West</w:t>
    </w:r>
    <w:proofErr w:type="gramEnd"/>
    <w:r w:rsidRPr="000F7F29">
      <w:rPr>
        <w:rFonts w:ascii="Arial" w:hAnsi="Arial" w:cs="Arial"/>
        <w:sz w:val="16"/>
        <w:szCs w:val="16"/>
      </w:rPr>
      <w:t xml:space="preserve"> Water Limited Annual Report</w:t>
    </w:r>
    <w:r>
      <w:rPr>
        <w:rFonts w:ascii="Arial" w:hAnsi="Arial" w:cs="Arial"/>
        <w:sz w:val="16"/>
        <w:szCs w:val="16"/>
      </w:rPr>
      <w:t xml:space="preserve"> and Financial Statements</w:t>
    </w:r>
    <w:r w:rsidRPr="000F7F29">
      <w:rPr>
        <w:rFonts w:ascii="Arial" w:hAnsi="Arial" w:cs="Arial"/>
        <w:sz w:val="16"/>
        <w:szCs w:val="16"/>
      </w:rPr>
      <w:t xml:space="preserve"> 20</w:t>
    </w:r>
    <w:r>
      <w:rPr>
        <w:rFonts w:ascii="Arial" w:hAnsi="Arial" w:cs="Arial"/>
        <w:sz w:val="16"/>
        <w:szCs w:val="16"/>
      </w:rPr>
      <w:t>2</w:t>
    </w:r>
    <w:r w:rsidR="000F1B6E">
      <w:rPr>
        <w:rFonts w:ascii="Arial" w:hAnsi="Arial" w:cs="Arial"/>
        <w:sz w:val="16"/>
        <w:szCs w:val="16"/>
      </w:rPr>
      <w:t>6</w:t>
    </w:r>
    <w:r>
      <w:rPr>
        <w:rFonts w:ascii="Arial" w:hAnsi="Arial" w:cs="Arial"/>
        <w:sz w:val="16"/>
        <w:szCs w:val="16"/>
      </w:rPr>
      <w:t xml:space="preserve">    </w:t>
    </w:r>
    <w:r>
      <w:rPr>
        <w:rFonts w:ascii="Arial" w:hAnsi="Arial" w:cs="Arial"/>
        <w:sz w:val="16"/>
        <w:szCs w:val="16"/>
      </w:rPr>
      <w:tab/>
      <w:t xml:space="preserve">   </w:t>
    </w:r>
    <w:r w:rsidRPr="00566AA1">
      <w:rPr>
        <w:rFonts w:ascii="Arial" w:hAnsi="Arial" w:cs="Arial"/>
        <w:sz w:val="16"/>
        <w:szCs w:val="16"/>
      </w:rPr>
      <w:fldChar w:fldCharType="begin"/>
    </w:r>
    <w:r w:rsidRPr="00566AA1">
      <w:rPr>
        <w:rFonts w:ascii="Arial" w:hAnsi="Arial" w:cs="Arial"/>
        <w:sz w:val="16"/>
        <w:szCs w:val="16"/>
      </w:rPr>
      <w:instrText xml:space="preserve"> PAGE   \* MERGEFORMAT </w:instrText>
    </w:r>
    <w:r w:rsidRPr="00566AA1">
      <w:rPr>
        <w:rFonts w:ascii="Arial" w:hAnsi="Arial" w:cs="Arial"/>
        <w:sz w:val="16"/>
        <w:szCs w:val="16"/>
      </w:rPr>
      <w:fldChar w:fldCharType="separate"/>
    </w:r>
    <w:r>
      <w:rPr>
        <w:rFonts w:ascii="Arial" w:hAnsi="Arial" w:cs="Arial"/>
        <w:noProof/>
        <w:sz w:val="16"/>
        <w:szCs w:val="16"/>
      </w:rPr>
      <w:t>6</w:t>
    </w:r>
    <w:r w:rsidRPr="00566AA1">
      <w:rPr>
        <w:rFonts w:ascii="Arial" w:hAnsi="Arial" w:cs="Arial"/>
        <w:noProof/>
        <w:sz w:val="16"/>
        <w:szCs w:val="16"/>
      </w:rPr>
      <w:fldChar w:fldCharType="end"/>
    </w:r>
    <w:r>
      <w:rPr>
        <w:rFonts w:ascii="Arial" w:hAnsi="Arial" w:cs="Arial"/>
        <w:sz w:val="16"/>
        <w:szCs w:val="16"/>
      </w:rPr>
      <w:tab/>
    </w:r>
    <w:r>
      <w:rPr>
        <w:rFonts w:ascii="Arial" w:hAnsi="Arial" w:cs="Arial"/>
        <w:sz w:val="16"/>
        <w:szCs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C5737" w14:textId="2A11C10A" w:rsidR="00BE3EFF" w:rsidRDefault="00BE3EFF">
    <w:pPr>
      <w:pStyle w:val="Footer"/>
    </w:pPr>
    <w:r>
      <w:rPr>
        <w:noProof/>
      </w:rPr>
      <mc:AlternateContent>
        <mc:Choice Requires="wps">
          <w:drawing>
            <wp:anchor distT="0" distB="0" distL="0" distR="0" simplePos="0" relativeHeight="251658240" behindDoc="0" locked="0" layoutInCell="1" allowOverlap="1" wp14:anchorId="06275B6D" wp14:editId="7883C00F">
              <wp:simplePos x="635" y="635"/>
              <wp:positionH relativeFrom="page">
                <wp:align>left</wp:align>
              </wp:positionH>
              <wp:positionV relativeFrom="page">
                <wp:align>bottom</wp:align>
              </wp:positionV>
              <wp:extent cx="443865" cy="443865"/>
              <wp:effectExtent l="0" t="0" r="12065" b="0"/>
              <wp:wrapNone/>
              <wp:docPr id="6" name="Text Box 6" descr="Classification: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9EFAC3" w14:textId="12070247" w:rsidR="00BE3EFF" w:rsidRPr="00BE3EFF" w:rsidRDefault="00BE3EFF" w:rsidP="00BE3EFF">
                          <w:pPr>
                            <w:spacing w:after="0"/>
                            <w:rPr>
                              <w:rFonts w:ascii="Calibri" w:eastAsia="Calibri" w:hAnsi="Calibri" w:cs="Calibri"/>
                              <w:noProof/>
                              <w:color w:val="000000"/>
                              <w:sz w:val="20"/>
                              <w:szCs w:val="20"/>
                            </w:rPr>
                          </w:pPr>
                          <w:r w:rsidRPr="00BE3EFF">
                            <w:rPr>
                              <w:rFonts w:ascii="Calibri" w:eastAsia="Calibri" w:hAnsi="Calibri" w:cs="Calibri"/>
                              <w:noProof/>
                              <w:color w:val="000000"/>
                              <w:sz w:val="20"/>
                              <w:szCs w:val="20"/>
                            </w:rPr>
                            <w:t>Classification: BUSINESS</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6275B6D" id="_x0000_t202" coordsize="21600,21600" o:spt="202" path="m,l,21600r21600,l21600,xe">
              <v:stroke joinstyle="miter"/>
              <v:path gradientshapeok="t" o:connecttype="rect"/>
            </v:shapetype>
            <v:shape id="Text Box 6" o:spid="_x0000_s1037" type="#_x0000_t202" alt="Classification: BUSINESS"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49EFAC3" w14:textId="12070247" w:rsidR="00BE3EFF" w:rsidRPr="00BE3EFF" w:rsidRDefault="00BE3EFF" w:rsidP="00BE3EFF">
                    <w:pPr>
                      <w:spacing w:after="0"/>
                      <w:rPr>
                        <w:rFonts w:ascii="Calibri" w:eastAsia="Calibri" w:hAnsi="Calibri" w:cs="Calibri"/>
                        <w:noProof/>
                        <w:color w:val="000000"/>
                        <w:sz w:val="20"/>
                        <w:szCs w:val="20"/>
                      </w:rPr>
                    </w:pPr>
                    <w:r w:rsidRPr="00BE3EFF">
                      <w:rPr>
                        <w:rFonts w:ascii="Calibri" w:eastAsia="Calibri" w:hAnsi="Calibri" w:cs="Calibri"/>
                        <w:noProof/>
                        <w:color w:val="000000"/>
                        <w:sz w:val="20"/>
                        <w:szCs w:val="20"/>
                      </w:rPr>
                      <w:t>Classification: BUSINESS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491C6" w14:textId="77777777" w:rsidR="005147B9" w:rsidRDefault="005147B9" w:rsidP="00093F52">
      <w:pPr>
        <w:spacing w:after="0" w:line="240" w:lineRule="auto"/>
      </w:pPr>
      <w:r>
        <w:separator/>
      </w:r>
    </w:p>
  </w:footnote>
  <w:footnote w:type="continuationSeparator" w:id="0">
    <w:p w14:paraId="4E9DE2A9" w14:textId="77777777" w:rsidR="005147B9" w:rsidRDefault="005147B9" w:rsidP="00093F52">
      <w:pPr>
        <w:spacing w:after="0" w:line="240" w:lineRule="auto"/>
      </w:pPr>
      <w:r>
        <w:continuationSeparator/>
      </w:r>
    </w:p>
  </w:footnote>
  <w:footnote w:id="1">
    <w:p w14:paraId="24CB1CC8" w14:textId="70F1247B" w:rsidR="00B2617F" w:rsidRPr="00B2617F" w:rsidRDefault="00B2617F" w:rsidP="00B2617F">
      <w:pPr>
        <w:pStyle w:val="FootnoteText"/>
        <w:rPr>
          <w:rFonts w:ascii="Arial" w:hAnsi="Arial" w:cs="Arial"/>
        </w:rPr>
      </w:pPr>
      <w:r w:rsidRPr="00B2617F">
        <w:rPr>
          <w:rStyle w:val="FootnoteReference"/>
          <w:rFonts w:ascii="Arial" w:hAnsi="Arial" w:cs="Arial"/>
          <w:sz w:val="16"/>
          <w:szCs w:val="16"/>
        </w:rPr>
        <w:footnoteRef/>
      </w:r>
      <w:r w:rsidRPr="00B2617F">
        <w:rPr>
          <w:rFonts w:ascii="Arial" w:hAnsi="Arial" w:cs="Arial"/>
          <w:sz w:val="16"/>
          <w:szCs w:val="16"/>
        </w:rPr>
        <w:t xml:space="preserve"> Net ODI penalty across water and wastewater (excluding customer measures of experience) for both in-period and end of AMP measures, reflecting adjustments for items under review with Ofwat and third-party impacts. </w:t>
      </w:r>
    </w:p>
  </w:footnote>
  <w:footnote w:id="2">
    <w:p w14:paraId="5B32F9CD" w14:textId="5BDBDE38" w:rsidR="00BE79A1" w:rsidRPr="006C164D" w:rsidRDefault="00BE79A1">
      <w:pPr>
        <w:pStyle w:val="FootnoteText"/>
        <w:rPr>
          <w:rFonts w:ascii="Arial" w:hAnsi="Arial" w:cs="Arial"/>
          <w:sz w:val="16"/>
          <w:szCs w:val="16"/>
        </w:rPr>
      </w:pPr>
      <w:r w:rsidRPr="006C164D">
        <w:rPr>
          <w:rStyle w:val="FootnoteReference"/>
          <w:rFonts w:ascii="Arial" w:hAnsi="Arial" w:cs="Arial"/>
          <w:sz w:val="16"/>
          <w:szCs w:val="16"/>
        </w:rPr>
        <w:footnoteRef/>
      </w:r>
      <w:r w:rsidRPr="006C164D">
        <w:rPr>
          <w:rFonts w:ascii="Arial" w:hAnsi="Arial" w:cs="Arial"/>
          <w:sz w:val="16"/>
          <w:szCs w:val="16"/>
        </w:rPr>
        <w:t xml:space="preserve"> In forecast outturn prices</w:t>
      </w:r>
    </w:p>
  </w:footnote>
  <w:footnote w:id="3">
    <w:p w14:paraId="1DD2ED58" w14:textId="63CBB2FD" w:rsidR="00773DC6" w:rsidRDefault="00773DC6">
      <w:pPr>
        <w:pStyle w:val="FootnoteText"/>
      </w:pPr>
      <w:r>
        <w:rPr>
          <w:rStyle w:val="FootnoteReference"/>
        </w:rPr>
        <w:footnoteRef/>
      </w:r>
      <w:r>
        <w:t xml:space="preserve"> </w:t>
      </w:r>
      <w:r w:rsidRPr="006C164D">
        <w:rPr>
          <w:rFonts w:ascii="Arial" w:hAnsi="Arial" w:cs="Arial"/>
          <w:sz w:val="16"/>
          <w:szCs w:val="16"/>
        </w:rPr>
        <w:t>In forecast outturn prices</w:t>
      </w:r>
    </w:p>
  </w:footnote>
  <w:footnote w:id="4">
    <w:p w14:paraId="65646B11" w14:textId="32E599EA" w:rsidR="00D627AA" w:rsidRPr="00773DC6" w:rsidRDefault="00D627AA">
      <w:pPr>
        <w:pStyle w:val="FootnoteText"/>
        <w:rPr>
          <w:rFonts w:ascii="Arial" w:hAnsi="Arial" w:cs="Arial"/>
          <w:sz w:val="16"/>
          <w:szCs w:val="16"/>
        </w:rPr>
      </w:pPr>
      <w:r w:rsidRPr="00773DC6">
        <w:rPr>
          <w:rStyle w:val="FootnoteReference"/>
          <w:rFonts w:ascii="Arial" w:hAnsi="Arial" w:cs="Arial"/>
          <w:sz w:val="16"/>
          <w:szCs w:val="16"/>
        </w:rPr>
        <w:footnoteRef/>
      </w:r>
      <w:r w:rsidRPr="00773DC6">
        <w:rPr>
          <w:rFonts w:ascii="Arial" w:hAnsi="Arial" w:cs="Arial"/>
          <w:sz w:val="16"/>
          <w:szCs w:val="16"/>
        </w:rPr>
        <w:t xml:space="preserve"> </w:t>
      </w:r>
      <w:r w:rsidR="00773DC6">
        <w:rPr>
          <w:rFonts w:ascii="Arial" w:hAnsi="Arial" w:cs="Arial"/>
          <w:sz w:val="16"/>
          <w:szCs w:val="16"/>
        </w:rPr>
        <w:t>In 2022/23 prices</w:t>
      </w:r>
    </w:p>
  </w:footnote>
  <w:footnote w:id="5">
    <w:p w14:paraId="59949594" w14:textId="2FEFB76E" w:rsidR="00D627AA" w:rsidRPr="004B6CB0" w:rsidRDefault="00D627AA">
      <w:pPr>
        <w:pStyle w:val="FootnoteText"/>
        <w:rPr>
          <w:rFonts w:ascii="Arial" w:hAnsi="Arial" w:cs="Arial"/>
          <w:sz w:val="16"/>
          <w:szCs w:val="16"/>
        </w:rPr>
      </w:pPr>
      <w:r w:rsidRPr="004B6CB0">
        <w:rPr>
          <w:rStyle w:val="FootnoteReference"/>
          <w:rFonts w:ascii="Arial" w:hAnsi="Arial" w:cs="Arial"/>
          <w:sz w:val="16"/>
          <w:szCs w:val="16"/>
        </w:rPr>
        <w:footnoteRef/>
      </w:r>
      <w:r w:rsidRPr="004B6CB0">
        <w:rPr>
          <w:rFonts w:ascii="Arial" w:hAnsi="Arial" w:cs="Arial"/>
          <w:sz w:val="16"/>
          <w:szCs w:val="16"/>
        </w:rPr>
        <w:t xml:space="preserve"> Customers have benefitted from one or more of our affordability initiatives since 2020</w:t>
      </w:r>
    </w:p>
  </w:footnote>
  <w:footnote w:id="6">
    <w:p w14:paraId="5C329DC1" w14:textId="77777777" w:rsidR="0090552F" w:rsidRPr="00942D4F" w:rsidRDefault="0090552F" w:rsidP="0090552F">
      <w:pPr>
        <w:pStyle w:val="FootnoteText"/>
        <w:rPr>
          <w:rFonts w:ascii="Arial" w:hAnsi="Arial" w:cs="Arial"/>
          <w:sz w:val="16"/>
          <w:szCs w:val="16"/>
        </w:rPr>
      </w:pPr>
      <w:r w:rsidRPr="00942D4F">
        <w:rPr>
          <w:rStyle w:val="FootnoteReference"/>
          <w:rFonts w:ascii="Arial" w:hAnsi="Arial" w:cs="Arial"/>
          <w:sz w:val="16"/>
          <w:szCs w:val="16"/>
        </w:rPr>
        <w:footnoteRef/>
      </w:r>
      <w:r w:rsidRPr="00942D4F">
        <w:rPr>
          <w:rFonts w:ascii="Arial" w:hAnsi="Arial" w:cs="Arial"/>
          <w:sz w:val="16"/>
          <w:szCs w:val="16"/>
        </w:rPr>
        <w:t xml:space="preserve"> In forecast outturn prices</w:t>
      </w:r>
    </w:p>
  </w:footnote>
  <w:footnote w:id="7">
    <w:p w14:paraId="0AE3E918" w14:textId="72199366" w:rsidR="002964CE" w:rsidRPr="00E00466" w:rsidRDefault="002964CE">
      <w:pPr>
        <w:pStyle w:val="FootnoteText"/>
        <w:rPr>
          <w:rFonts w:ascii="Arial" w:hAnsi="Arial" w:cs="Arial"/>
          <w:sz w:val="16"/>
          <w:szCs w:val="16"/>
        </w:rPr>
      </w:pPr>
      <w:r w:rsidRPr="00E00466">
        <w:rPr>
          <w:rStyle w:val="FootnoteReference"/>
          <w:rFonts w:ascii="Arial" w:hAnsi="Arial" w:cs="Arial"/>
          <w:sz w:val="16"/>
          <w:szCs w:val="16"/>
        </w:rPr>
        <w:footnoteRef/>
      </w:r>
      <w:r w:rsidRPr="00E00466">
        <w:rPr>
          <w:rFonts w:ascii="Arial" w:hAnsi="Arial" w:cs="Arial"/>
          <w:sz w:val="16"/>
          <w:szCs w:val="16"/>
        </w:rPr>
        <w:t xml:space="preserve"> In forecast outturn prices</w:t>
      </w:r>
    </w:p>
  </w:footnote>
  <w:footnote w:id="8">
    <w:p w14:paraId="41CCA8BE" w14:textId="39EAAD44" w:rsidR="00326FD9" w:rsidRPr="00841342" w:rsidRDefault="00326FD9">
      <w:pPr>
        <w:pStyle w:val="FootnoteText"/>
        <w:rPr>
          <w:rFonts w:ascii="Arial" w:hAnsi="Arial" w:cs="Arial"/>
          <w:sz w:val="16"/>
          <w:szCs w:val="16"/>
        </w:rPr>
      </w:pPr>
      <w:r w:rsidRPr="00841342">
        <w:rPr>
          <w:rStyle w:val="FootnoteReference"/>
          <w:rFonts w:ascii="Arial" w:hAnsi="Arial" w:cs="Arial"/>
          <w:sz w:val="16"/>
          <w:szCs w:val="16"/>
        </w:rPr>
        <w:footnoteRef/>
      </w:r>
      <w:r w:rsidRPr="00841342">
        <w:rPr>
          <w:rFonts w:ascii="Arial" w:hAnsi="Arial" w:cs="Arial"/>
          <w:sz w:val="16"/>
          <w:szCs w:val="16"/>
        </w:rPr>
        <w:t xml:space="preserve"> Excludes newly designated bathing waters in 2024.</w:t>
      </w:r>
    </w:p>
  </w:footnote>
  <w:footnote w:id="9">
    <w:p w14:paraId="5FFA3443" w14:textId="01DE5767" w:rsidR="00F56951" w:rsidRPr="00F56951" w:rsidRDefault="00F56951" w:rsidP="00F56951">
      <w:pPr>
        <w:pStyle w:val="FootnoteText"/>
        <w:rPr>
          <w:rFonts w:ascii="Arial" w:hAnsi="Arial" w:cs="Arial"/>
        </w:rPr>
      </w:pPr>
      <w:r w:rsidRPr="00F56951">
        <w:rPr>
          <w:rStyle w:val="FootnoteReference"/>
          <w:rFonts w:ascii="Arial" w:hAnsi="Arial" w:cs="Arial"/>
          <w:sz w:val="16"/>
          <w:szCs w:val="16"/>
        </w:rPr>
        <w:footnoteRef/>
      </w:r>
      <w:r w:rsidRPr="00F56951">
        <w:rPr>
          <w:rFonts w:ascii="Arial" w:hAnsi="Arial" w:cs="Arial"/>
          <w:sz w:val="16"/>
          <w:szCs w:val="16"/>
        </w:rPr>
        <w:t xml:space="preserve"> C-MeX</w:t>
      </w:r>
      <w:r>
        <w:rPr>
          <w:rFonts w:ascii="Arial" w:hAnsi="Arial" w:cs="Arial"/>
          <w:sz w:val="16"/>
          <w:szCs w:val="16"/>
        </w:rPr>
        <w:t xml:space="preserve"> </w:t>
      </w:r>
      <w:r w:rsidRPr="00F56951">
        <w:rPr>
          <w:rFonts w:ascii="Arial" w:hAnsi="Arial" w:cs="Arial"/>
          <w:sz w:val="16"/>
          <w:szCs w:val="16"/>
        </w:rPr>
        <w:t>and D-MeX positions reflect final Q4 performance but remain subject to industry review and validation</w:t>
      </w:r>
    </w:p>
  </w:footnote>
  <w:footnote w:id="10">
    <w:p w14:paraId="550D0C9C" w14:textId="7D3B3D3C" w:rsidR="000475DB" w:rsidRPr="00F56951" w:rsidRDefault="000475DB">
      <w:pPr>
        <w:pStyle w:val="FootnoteText"/>
        <w:rPr>
          <w:rFonts w:ascii="Arial" w:hAnsi="Arial" w:cs="Arial"/>
        </w:rPr>
      </w:pPr>
      <w:r w:rsidRPr="00F56951">
        <w:rPr>
          <w:rStyle w:val="FootnoteReference"/>
          <w:rFonts w:ascii="Arial" w:hAnsi="Arial" w:cs="Arial"/>
          <w:sz w:val="16"/>
          <w:szCs w:val="16"/>
        </w:rPr>
        <w:footnoteRef/>
      </w:r>
      <w:r w:rsidRPr="00F56951">
        <w:rPr>
          <w:rFonts w:ascii="Arial" w:hAnsi="Arial" w:cs="Arial"/>
          <w:sz w:val="16"/>
          <w:szCs w:val="16"/>
        </w:rPr>
        <w:t xml:space="preserve"> In forecast outturn prices</w:t>
      </w:r>
    </w:p>
  </w:footnote>
  <w:footnote w:id="11">
    <w:p w14:paraId="71EB3ED9" w14:textId="58751AD0" w:rsidR="00BC756D" w:rsidRDefault="00BC756D">
      <w:pPr>
        <w:pStyle w:val="FootnoteText"/>
      </w:pPr>
      <w:r>
        <w:rPr>
          <w:rStyle w:val="FootnoteReference"/>
        </w:rPr>
        <w:footnoteRef/>
      </w:r>
      <w:r>
        <w:t xml:space="preserve"> </w:t>
      </w:r>
      <w:r w:rsidRPr="00277639">
        <w:rPr>
          <w:rFonts w:ascii="Arial" w:hAnsi="Arial" w:cs="Arial"/>
          <w:sz w:val="16"/>
          <w:szCs w:val="16"/>
        </w:rPr>
        <w:t>Based on net debt to RCV</w:t>
      </w:r>
    </w:p>
  </w:footnote>
  <w:footnote w:id="12">
    <w:p w14:paraId="7FB8D311" w14:textId="53D44F9E" w:rsidR="004C157E" w:rsidRDefault="004C157E">
      <w:pPr>
        <w:pStyle w:val="FootnoteText"/>
      </w:pPr>
      <w:r>
        <w:rPr>
          <w:rStyle w:val="FootnoteReference"/>
        </w:rPr>
        <w:footnoteRef/>
      </w:r>
      <w:r>
        <w:t xml:space="preserve"> </w:t>
      </w:r>
      <w:r w:rsidRPr="00277639">
        <w:rPr>
          <w:rFonts w:ascii="Arial" w:hAnsi="Arial" w:cs="Arial"/>
          <w:sz w:val="16"/>
          <w:szCs w:val="16"/>
        </w:rPr>
        <w:t>A measure of the mean average interest rate payable on net debt, which excludes interest costs not directly associated with net debt</w:t>
      </w:r>
    </w:p>
  </w:footnote>
  <w:footnote w:id="13">
    <w:p w14:paraId="7A51A9EF" w14:textId="145D208E" w:rsidR="003D1D1D" w:rsidRDefault="003D1D1D">
      <w:pPr>
        <w:pStyle w:val="FootnoteText"/>
      </w:pPr>
      <w:r>
        <w:rPr>
          <w:rStyle w:val="FootnoteReference"/>
        </w:rPr>
        <w:footnoteRef/>
      </w:r>
      <w:r>
        <w:t xml:space="preserve"> </w:t>
      </w:r>
      <w:r w:rsidRPr="00277639">
        <w:rPr>
          <w:rFonts w:ascii="Arial" w:hAnsi="Arial" w:cs="Arial"/>
          <w:sz w:val="16"/>
          <w:szCs w:val="16"/>
        </w:rPr>
        <w:t>Euro Medium Term Note</w:t>
      </w:r>
    </w:p>
  </w:footnote>
  <w:footnote w:id="14">
    <w:p w14:paraId="164BC78E" w14:textId="103C8279" w:rsidR="00E77722" w:rsidRDefault="00E77722">
      <w:pPr>
        <w:pStyle w:val="FootnoteText"/>
      </w:pPr>
      <w:r>
        <w:rPr>
          <w:rStyle w:val="FootnoteReference"/>
        </w:rPr>
        <w:footnoteRef/>
      </w:r>
      <w:r>
        <w:t xml:space="preserve"> </w:t>
      </w:r>
      <w:r w:rsidRPr="00907892">
        <w:rPr>
          <w:rFonts w:ascii="Arial" w:hAnsi="Arial" w:cs="Arial"/>
          <w:sz w:val="16"/>
          <w:szCs w:val="16"/>
        </w:rPr>
        <w:t>A measure of the mean average interest rate payable on net debt, which excludes interest costs not directly associated with net debt</w:t>
      </w:r>
    </w:p>
  </w:footnote>
  <w:footnote w:id="15">
    <w:p w14:paraId="6C2DC85E" w14:textId="78A7A6E7" w:rsidR="00CB7CBB" w:rsidRPr="00CB7CBB" w:rsidRDefault="00CB7CBB">
      <w:pPr>
        <w:pStyle w:val="FootnoteText"/>
        <w:rPr>
          <w:rFonts w:ascii="Arial" w:hAnsi="Arial" w:cs="Arial"/>
        </w:rPr>
      </w:pPr>
      <w:r w:rsidRPr="00CB7CBB">
        <w:rPr>
          <w:rStyle w:val="FootnoteReference"/>
          <w:rFonts w:ascii="Arial" w:hAnsi="Arial" w:cs="Arial"/>
          <w:sz w:val="16"/>
          <w:szCs w:val="16"/>
        </w:rPr>
        <w:footnoteRef/>
      </w:r>
      <w:r w:rsidRPr="00CB7CBB">
        <w:rPr>
          <w:rFonts w:ascii="Arial" w:hAnsi="Arial" w:cs="Arial"/>
          <w:sz w:val="16"/>
          <w:szCs w:val="16"/>
        </w:rPr>
        <w:t xml:space="preserve"> In 2022/23 prices</w:t>
      </w:r>
    </w:p>
  </w:footnote>
  <w:footnote w:id="16">
    <w:p w14:paraId="29B98061" w14:textId="5068EF4E" w:rsidR="001507F9" w:rsidRPr="00E43470" w:rsidRDefault="001507F9" w:rsidP="001507F9">
      <w:pPr>
        <w:pStyle w:val="FootnoteText"/>
        <w:rPr>
          <w:rFonts w:ascii="Arial" w:hAnsi="Arial" w:cs="Arial"/>
        </w:rPr>
      </w:pPr>
      <w:r w:rsidRPr="00E43470">
        <w:rPr>
          <w:rStyle w:val="FootnoteReference"/>
          <w:rFonts w:ascii="Arial" w:hAnsi="Arial" w:cs="Arial"/>
          <w:sz w:val="16"/>
          <w:szCs w:val="16"/>
        </w:rPr>
        <w:footnoteRef/>
      </w:r>
      <w:r w:rsidRPr="00E43470">
        <w:rPr>
          <w:rFonts w:ascii="Arial" w:hAnsi="Arial" w:cs="Arial"/>
          <w:sz w:val="16"/>
          <w:szCs w:val="16"/>
        </w:rPr>
        <w:t xml:space="preserve"> </w:t>
      </w:r>
      <w:r w:rsidR="00DC7D16">
        <w:rPr>
          <w:rFonts w:ascii="Arial" w:hAnsi="Arial" w:cs="Arial"/>
          <w:sz w:val="16"/>
          <w:szCs w:val="16"/>
        </w:rPr>
        <w:t>In</w:t>
      </w:r>
      <w:r w:rsidRPr="00E43470">
        <w:rPr>
          <w:rFonts w:ascii="Arial" w:hAnsi="Arial" w:cs="Arial"/>
          <w:sz w:val="16"/>
          <w:szCs w:val="16"/>
        </w:rPr>
        <w:t xml:space="preserve"> forecast outturn prices</w:t>
      </w:r>
    </w:p>
  </w:footnote>
  <w:footnote w:id="17">
    <w:p w14:paraId="43AABACC" w14:textId="6E426B33" w:rsidR="00792F67" w:rsidRPr="0017687E" w:rsidRDefault="00792F67">
      <w:pPr>
        <w:pStyle w:val="FootnoteText"/>
        <w:rPr>
          <w:rFonts w:ascii="Arial" w:hAnsi="Arial" w:cs="Arial"/>
        </w:rPr>
      </w:pPr>
      <w:r w:rsidRPr="0017687E">
        <w:rPr>
          <w:rStyle w:val="FootnoteReference"/>
          <w:rFonts w:ascii="Arial" w:hAnsi="Arial" w:cs="Arial"/>
          <w:sz w:val="16"/>
          <w:szCs w:val="16"/>
        </w:rPr>
        <w:footnoteRef/>
      </w:r>
      <w:r w:rsidRPr="0017687E">
        <w:rPr>
          <w:rFonts w:ascii="Arial" w:hAnsi="Arial" w:cs="Arial"/>
          <w:sz w:val="16"/>
          <w:szCs w:val="16"/>
        </w:rPr>
        <w:t xml:space="preserve"> In forecast outturn prices</w:t>
      </w:r>
    </w:p>
  </w:footnote>
  <w:footnote w:id="18">
    <w:p w14:paraId="3530E24A" w14:textId="1719DDED" w:rsidR="00697B5A" w:rsidRPr="00697B5A" w:rsidRDefault="00BE021D">
      <w:pPr>
        <w:pStyle w:val="FootnoteText"/>
        <w:rPr>
          <w:rFonts w:ascii="Arial" w:hAnsi="Arial" w:cs="Arial"/>
        </w:rPr>
      </w:pPr>
      <w:r>
        <w:rPr>
          <w:rStyle w:val="FootnoteReference"/>
          <w:rFonts w:ascii="Arial" w:hAnsi="Arial" w:cs="Arial"/>
          <w:sz w:val="16"/>
          <w:szCs w:val="16"/>
        </w:rPr>
        <w:t>2</w:t>
      </w:r>
      <w:r w:rsidRPr="00697B5A">
        <w:rPr>
          <w:rFonts w:ascii="Arial" w:hAnsi="Arial" w:cs="Arial"/>
          <w:sz w:val="16"/>
          <w:szCs w:val="16"/>
        </w:rPr>
        <w:t xml:space="preserve"> </w:t>
      </w:r>
      <w:r w:rsidR="00E36469">
        <w:rPr>
          <w:rFonts w:ascii="Arial" w:hAnsi="Arial" w:cs="Arial"/>
          <w:sz w:val="16"/>
          <w:szCs w:val="16"/>
        </w:rPr>
        <w:t>In</w:t>
      </w:r>
      <w:r w:rsidR="00697B5A" w:rsidRPr="00697B5A">
        <w:rPr>
          <w:rFonts w:ascii="Arial" w:hAnsi="Arial" w:cs="Arial"/>
          <w:sz w:val="16"/>
          <w:szCs w:val="16"/>
        </w:rPr>
        <w:t xml:space="preserve"> forecast outturn prices</w:t>
      </w:r>
    </w:p>
  </w:footnote>
  <w:footnote w:id="19">
    <w:p w14:paraId="652B8D54" w14:textId="4461F7E5" w:rsidR="000724CA" w:rsidRDefault="00DC77DD">
      <w:pPr>
        <w:pStyle w:val="FootnoteText"/>
      </w:pPr>
      <w:r>
        <w:rPr>
          <w:rStyle w:val="FootnoteReference"/>
          <w:rFonts w:ascii="Arial" w:hAnsi="Arial" w:cs="Arial"/>
          <w:sz w:val="16"/>
          <w:szCs w:val="16"/>
        </w:rPr>
        <w:t>2</w:t>
      </w:r>
      <w:r w:rsidRPr="00697B5A">
        <w:rPr>
          <w:rFonts w:ascii="Arial" w:hAnsi="Arial" w:cs="Arial"/>
          <w:sz w:val="16"/>
          <w:szCs w:val="16"/>
        </w:rPr>
        <w:t xml:space="preserve"> </w:t>
      </w:r>
      <w:r>
        <w:rPr>
          <w:rFonts w:ascii="Arial" w:hAnsi="Arial" w:cs="Arial"/>
          <w:sz w:val="16"/>
          <w:szCs w:val="16"/>
        </w:rPr>
        <w:t>In</w:t>
      </w:r>
      <w:r w:rsidRPr="00697B5A">
        <w:rPr>
          <w:rFonts w:ascii="Arial" w:hAnsi="Arial" w:cs="Arial"/>
          <w:sz w:val="16"/>
          <w:szCs w:val="16"/>
        </w:rPr>
        <w:t xml:space="preserve"> forecast outturn prices</w:t>
      </w:r>
    </w:p>
  </w:footnote>
  <w:footnote w:id="20">
    <w:p w14:paraId="28C40AB5" w14:textId="77777777" w:rsidR="000724CA" w:rsidRDefault="000724CA">
      <w:pPr>
        <w:pStyle w:val="FootnoteText"/>
      </w:pPr>
      <w:r>
        <w:rPr>
          <w:rStyle w:val="FootnoteReference"/>
        </w:rPr>
        <w:footnoteRef/>
      </w:r>
      <w:r>
        <w:t xml:space="preserve"> </w:t>
      </w:r>
      <w:r w:rsidRPr="00D636C2">
        <w:rPr>
          <w:rFonts w:ascii="Arial" w:hAnsi="Arial" w:cs="Arial"/>
          <w:sz w:val="16"/>
          <w:szCs w:val="16"/>
        </w:rPr>
        <w:t xml:space="preserve">Based on </w:t>
      </w:r>
      <w:r w:rsidRPr="00D636C2">
        <w:rPr>
          <w:rFonts w:ascii="Arial" w:hAnsi="Arial" w:cs="Arial"/>
          <w:sz w:val="16"/>
          <w:szCs w:val="16"/>
        </w:rPr>
        <w:t>South West Water group of companies</w:t>
      </w:r>
    </w:p>
  </w:footnote>
  <w:footnote w:id="21">
    <w:p w14:paraId="18C120A4" w14:textId="7660D8AD" w:rsidR="003D1D1D" w:rsidRDefault="003D1D1D">
      <w:pPr>
        <w:pStyle w:val="FootnoteText"/>
      </w:pPr>
      <w:r>
        <w:rPr>
          <w:rStyle w:val="FootnoteReference"/>
        </w:rPr>
        <w:footnoteRef/>
      </w:r>
      <w:r>
        <w:t xml:space="preserve"> </w:t>
      </w:r>
      <w:r w:rsidRPr="00277639">
        <w:rPr>
          <w:rFonts w:ascii="Arial" w:hAnsi="Arial" w:cs="Arial"/>
          <w:sz w:val="16"/>
          <w:szCs w:val="16"/>
        </w:rPr>
        <w:t>Euro Medium Term Note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90A08D0"/>
    <w:lvl w:ilvl="0">
      <w:start w:val="1"/>
      <w:numFmt w:val="bullet"/>
      <w:pStyle w:val="ListBullet"/>
      <w:lvlText w:val=""/>
      <w:lvlJc w:val="left"/>
      <w:pPr>
        <w:tabs>
          <w:tab w:val="num" w:pos="3685"/>
        </w:tabs>
        <w:ind w:left="3685" w:hanging="360"/>
      </w:pPr>
      <w:rPr>
        <w:rFonts w:ascii="Symbol" w:hAnsi="Symbol" w:hint="default"/>
      </w:rPr>
    </w:lvl>
  </w:abstractNum>
  <w:abstractNum w:abstractNumId="1" w15:restartNumberingAfterBreak="0">
    <w:nsid w:val="055004A6"/>
    <w:multiLevelType w:val="hybridMultilevel"/>
    <w:tmpl w:val="6A163D0A"/>
    <w:lvl w:ilvl="0" w:tplc="F60A92C8">
      <w:start w:val="1"/>
      <w:numFmt w:val="decimal"/>
      <w:lvlText w:val="%1."/>
      <w:lvlJc w:val="left"/>
      <w:pPr>
        <w:ind w:left="720" w:hanging="360"/>
      </w:pPr>
      <w:rPr>
        <w:rFonts w:eastAsiaTheme="minorHAnsi" w:cs="Arial" w:hint="default"/>
        <w:color w:val="auto"/>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252C1"/>
    <w:multiLevelType w:val="hybridMultilevel"/>
    <w:tmpl w:val="7A0EFB0C"/>
    <w:lvl w:ilvl="0" w:tplc="9812662E">
      <w:start w:val="1"/>
      <w:numFmt w:val="decimal"/>
      <w:lvlText w:val="%1."/>
      <w:lvlJc w:val="left"/>
      <w:pPr>
        <w:ind w:left="720" w:hanging="360"/>
      </w:pPr>
      <w:rPr>
        <w:rFonts w:ascii="Arial" w:eastAsiaTheme="minorHAnsi" w:hAnsi="Arial" w:cs="Arial"/>
        <w:b w:val="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A56AC6"/>
    <w:multiLevelType w:val="hybridMultilevel"/>
    <w:tmpl w:val="D3782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4563D"/>
    <w:multiLevelType w:val="hybridMultilevel"/>
    <w:tmpl w:val="35D2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753A9"/>
    <w:multiLevelType w:val="hybridMultilevel"/>
    <w:tmpl w:val="FC362D2C"/>
    <w:lvl w:ilvl="0" w:tplc="55785E78">
      <w:start w:val="1"/>
      <w:numFmt w:val="bullet"/>
      <w:pStyle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4" w:hanging="284"/>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31242"/>
    <w:multiLevelType w:val="hybridMultilevel"/>
    <w:tmpl w:val="4CA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52227"/>
    <w:multiLevelType w:val="hybridMultilevel"/>
    <w:tmpl w:val="EEDC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B32AF4"/>
    <w:multiLevelType w:val="hybridMultilevel"/>
    <w:tmpl w:val="0D585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B00622"/>
    <w:multiLevelType w:val="hybridMultilevel"/>
    <w:tmpl w:val="10BA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92705"/>
    <w:multiLevelType w:val="hybridMultilevel"/>
    <w:tmpl w:val="5DAC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56DD8"/>
    <w:multiLevelType w:val="hybridMultilevel"/>
    <w:tmpl w:val="AEFC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EF6FBC"/>
    <w:multiLevelType w:val="hybridMultilevel"/>
    <w:tmpl w:val="15B41A30"/>
    <w:lvl w:ilvl="0" w:tplc="08090001">
      <w:start w:val="1"/>
      <w:numFmt w:val="bullet"/>
      <w:lvlText w:val=""/>
      <w:lvlJc w:val="left"/>
      <w:pPr>
        <w:ind w:left="720" w:hanging="360"/>
      </w:pPr>
      <w:rPr>
        <w:rFonts w:ascii="Symbol" w:hAnsi="Symbol" w:hint="default"/>
      </w:rPr>
    </w:lvl>
    <w:lvl w:ilvl="1" w:tplc="1C22C30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C4F50"/>
    <w:multiLevelType w:val="hybridMultilevel"/>
    <w:tmpl w:val="D3F61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85200E"/>
    <w:multiLevelType w:val="hybridMultilevel"/>
    <w:tmpl w:val="3E943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F30B56"/>
    <w:multiLevelType w:val="hybridMultilevel"/>
    <w:tmpl w:val="33E8B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9D0113"/>
    <w:multiLevelType w:val="hybridMultilevel"/>
    <w:tmpl w:val="C46CF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9E2288"/>
    <w:multiLevelType w:val="hybridMultilevel"/>
    <w:tmpl w:val="FCF8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AE2951"/>
    <w:multiLevelType w:val="multilevel"/>
    <w:tmpl w:val="CC849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B06C38"/>
    <w:multiLevelType w:val="hybridMultilevel"/>
    <w:tmpl w:val="BE4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D411CA"/>
    <w:multiLevelType w:val="hybridMultilevel"/>
    <w:tmpl w:val="6D40C0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152CD2"/>
    <w:multiLevelType w:val="hybridMultilevel"/>
    <w:tmpl w:val="4744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8C189A"/>
    <w:multiLevelType w:val="hybridMultilevel"/>
    <w:tmpl w:val="0466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7910F8"/>
    <w:multiLevelType w:val="hybridMultilevel"/>
    <w:tmpl w:val="439C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211C62"/>
    <w:multiLevelType w:val="hybridMultilevel"/>
    <w:tmpl w:val="28E89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8D3BE9"/>
    <w:multiLevelType w:val="hybridMultilevel"/>
    <w:tmpl w:val="267E2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982429"/>
    <w:multiLevelType w:val="hybridMultilevel"/>
    <w:tmpl w:val="97BA3670"/>
    <w:lvl w:ilvl="0" w:tplc="08090001">
      <w:start w:val="1"/>
      <w:numFmt w:val="bullet"/>
      <w:lvlText w:val=""/>
      <w:lvlJc w:val="left"/>
      <w:pPr>
        <w:ind w:left="360" w:hanging="360"/>
      </w:pPr>
      <w:rPr>
        <w:rFonts w:ascii="Symbol" w:hAnsi="Symbol" w:hint="default"/>
      </w:rPr>
    </w:lvl>
    <w:lvl w:ilvl="1" w:tplc="33546FDA">
      <w:numFmt w:val="bullet"/>
      <w:lvlText w:val="•"/>
      <w:lvlJc w:val="left"/>
      <w:pPr>
        <w:ind w:left="1080" w:hanging="360"/>
      </w:pPr>
      <w:rPr>
        <w:rFonts w:ascii="Arial" w:eastAsia="Times New Roman" w:hAnsi="Arial" w:cs="Arial" w:hint="default"/>
      </w:rPr>
    </w:lvl>
    <w:lvl w:ilvl="2" w:tplc="EF7AC3B0">
      <w:numFmt w:val="bullet"/>
      <w:lvlText w:val="-"/>
      <w:lvlJc w:val="left"/>
      <w:pPr>
        <w:ind w:left="1800" w:hanging="360"/>
      </w:pPr>
      <w:rPr>
        <w:rFonts w:ascii="Arial" w:eastAsiaTheme="minorHAnsi"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7BC1B46"/>
    <w:multiLevelType w:val="hybridMultilevel"/>
    <w:tmpl w:val="F2DA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9401D5"/>
    <w:multiLevelType w:val="hybridMultilevel"/>
    <w:tmpl w:val="10807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443874"/>
    <w:multiLevelType w:val="hybridMultilevel"/>
    <w:tmpl w:val="EA846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B35484"/>
    <w:multiLevelType w:val="hybridMultilevel"/>
    <w:tmpl w:val="61C2D37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ABA50E5"/>
    <w:multiLevelType w:val="hybridMultilevel"/>
    <w:tmpl w:val="BEC8B17C"/>
    <w:lvl w:ilvl="0" w:tplc="502C35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8E30D1"/>
    <w:multiLevelType w:val="hybridMultilevel"/>
    <w:tmpl w:val="C0D2C1B2"/>
    <w:lvl w:ilvl="0" w:tplc="4538F14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0777D5A"/>
    <w:multiLevelType w:val="multilevel"/>
    <w:tmpl w:val="CC849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7E0979"/>
    <w:multiLevelType w:val="hybridMultilevel"/>
    <w:tmpl w:val="75FCC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0C826AE"/>
    <w:multiLevelType w:val="hybridMultilevel"/>
    <w:tmpl w:val="54E096BE"/>
    <w:lvl w:ilvl="0" w:tplc="963C128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12D4C66"/>
    <w:multiLevelType w:val="hybridMultilevel"/>
    <w:tmpl w:val="6BF4C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874E57"/>
    <w:multiLevelType w:val="hybridMultilevel"/>
    <w:tmpl w:val="7A0EFB0C"/>
    <w:lvl w:ilvl="0" w:tplc="FFFFFFFF">
      <w:start w:val="1"/>
      <w:numFmt w:val="decimal"/>
      <w:lvlText w:val="%1."/>
      <w:lvlJc w:val="left"/>
      <w:pPr>
        <w:ind w:left="720" w:hanging="360"/>
      </w:pPr>
      <w:rPr>
        <w:rFonts w:ascii="Arial" w:eastAsiaTheme="minorHAnsi" w:hAnsi="Arial" w:cs="Arial"/>
        <w:b w:val="0"/>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215084F"/>
    <w:multiLevelType w:val="multilevel"/>
    <w:tmpl w:val="CC849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B339D4"/>
    <w:multiLevelType w:val="hybridMultilevel"/>
    <w:tmpl w:val="54CA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B91FCC"/>
    <w:multiLevelType w:val="hybridMultilevel"/>
    <w:tmpl w:val="36A4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E23C1C"/>
    <w:multiLevelType w:val="hybridMultilevel"/>
    <w:tmpl w:val="681C883A"/>
    <w:lvl w:ilvl="0" w:tplc="378451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BD0C4F"/>
    <w:multiLevelType w:val="hybridMultilevel"/>
    <w:tmpl w:val="AEBCF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43103E0"/>
    <w:multiLevelType w:val="hybridMultilevel"/>
    <w:tmpl w:val="A7B20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9B69F4"/>
    <w:multiLevelType w:val="hybridMultilevel"/>
    <w:tmpl w:val="1C1C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D204D9"/>
    <w:multiLevelType w:val="hybridMultilevel"/>
    <w:tmpl w:val="BB8C6738"/>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6" w15:restartNumberingAfterBreak="0">
    <w:nsid w:val="362860BF"/>
    <w:multiLevelType w:val="hybridMultilevel"/>
    <w:tmpl w:val="8D1A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1B1BA5"/>
    <w:multiLevelType w:val="hybridMultilevel"/>
    <w:tmpl w:val="59D8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49754A"/>
    <w:multiLevelType w:val="hybridMultilevel"/>
    <w:tmpl w:val="C52011F0"/>
    <w:lvl w:ilvl="0" w:tplc="B8E25028">
      <w:start w:val="1"/>
      <w:numFmt w:val="bullet"/>
      <w:pStyle w:val="B03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8D0344F"/>
    <w:multiLevelType w:val="hybridMultilevel"/>
    <w:tmpl w:val="27985E52"/>
    <w:lvl w:ilvl="0" w:tplc="E6445B38">
      <w:start w:val="1"/>
      <w:numFmt w:val="lowerRoman"/>
      <w:lvlText w:val="%1)"/>
      <w:lvlJc w:val="left"/>
      <w:pPr>
        <w:ind w:left="1440" w:hanging="720"/>
      </w:pPr>
      <w:rPr>
        <w:rFonts w:ascii="Arial" w:eastAsia="Times New Roman" w:hAnsi="Arial" w:cs="DINOT-Ligh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394F487D"/>
    <w:multiLevelType w:val="hybridMultilevel"/>
    <w:tmpl w:val="6D0E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4A6F8D"/>
    <w:multiLevelType w:val="hybridMultilevel"/>
    <w:tmpl w:val="8A00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ABF5EDC"/>
    <w:multiLevelType w:val="hybridMultilevel"/>
    <w:tmpl w:val="6F987FD6"/>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AFF1A4D"/>
    <w:multiLevelType w:val="hybridMultilevel"/>
    <w:tmpl w:val="3EAA6D5C"/>
    <w:lvl w:ilvl="0" w:tplc="05E44C5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B712CF3"/>
    <w:multiLevelType w:val="hybridMultilevel"/>
    <w:tmpl w:val="A224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A73BF0"/>
    <w:multiLevelType w:val="hybridMultilevel"/>
    <w:tmpl w:val="4E46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E2187C"/>
    <w:multiLevelType w:val="hybridMultilevel"/>
    <w:tmpl w:val="BAFE2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C53766B"/>
    <w:multiLevelType w:val="hybridMultilevel"/>
    <w:tmpl w:val="514C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AD7C82"/>
    <w:multiLevelType w:val="multilevel"/>
    <w:tmpl w:val="69F65EC2"/>
    <w:lvl w:ilvl="0">
      <w:start w:val="1"/>
      <w:numFmt w:val="bullet"/>
      <w:pStyle w:val="EYBulletedList1"/>
      <w:lvlText w:val="►"/>
      <w:lvlJc w:val="left"/>
      <w:pPr>
        <w:tabs>
          <w:tab w:val="num" w:pos="1275"/>
        </w:tabs>
        <w:ind w:left="1275" w:hanging="425"/>
      </w:pPr>
      <w:rPr>
        <w:rFonts w:ascii="Arial" w:hAnsi="Arial" w:cs="Times New Roman" w:hint="default"/>
        <w:color w:val="auto"/>
        <w:sz w:val="16"/>
        <w:szCs w:val="24"/>
      </w:rPr>
    </w:lvl>
    <w:lvl w:ilvl="1">
      <w:start w:val="1"/>
      <w:numFmt w:val="bullet"/>
      <w:lvlText w:val="►"/>
      <w:lvlJc w:val="left"/>
      <w:pPr>
        <w:tabs>
          <w:tab w:val="num" w:pos="1701"/>
        </w:tabs>
        <w:ind w:left="1701" w:hanging="426"/>
      </w:pPr>
      <w:rPr>
        <w:rFonts w:ascii="Arial" w:hAnsi="Arial" w:cs="Times New Roman" w:hint="default"/>
        <w:color w:val="auto"/>
        <w:sz w:val="16"/>
        <w:szCs w:val="24"/>
      </w:rPr>
    </w:lvl>
    <w:lvl w:ilvl="2">
      <w:start w:val="1"/>
      <w:numFmt w:val="bullet"/>
      <w:pStyle w:val="EYBulletedList3"/>
      <w:lvlText w:val="►"/>
      <w:lvlJc w:val="left"/>
      <w:pPr>
        <w:tabs>
          <w:tab w:val="num" w:pos="2126"/>
        </w:tabs>
        <w:ind w:left="2126" w:hanging="425"/>
      </w:pPr>
      <w:rPr>
        <w:rFonts w:ascii="Arial" w:hAnsi="Arial" w:cs="Times New Roman" w:hint="default"/>
        <w:color w:val="auto"/>
        <w:sz w:val="16"/>
        <w:szCs w:val="24"/>
      </w:rPr>
    </w:lvl>
    <w:lvl w:ilvl="3">
      <w:start w:val="1"/>
      <w:numFmt w:val="bullet"/>
      <w:lvlText w:val="►"/>
      <w:lvlJc w:val="left"/>
      <w:pPr>
        <w:tabs>
          <w:tab w:val="num" w:pos="850"/>
        </w:tabs>
        <w:ind w:left="850" w:firstLine="0"/>
      </w:pPr>
      <w:rPr>
        <w:rFonts w:ascii="Arial" w:hAnsi="Arial" w:cs="Times New Roman" w:hint="default"/>
        <w:color w:val="auto"/>
        <w:sz w:val="16"/>
        <w:szCs w:val="24"/>
      </w:rPr>
    </w:lvl>
    <w:lvl w:ilvl="4">
      <w:start w:val="1"/>
      <w:numFmt w:val="bullet"/>
      <w:lvlText w:val="►"/>
      <w:lvlJc w:val="left"/>
      <w:pPr>
        <w:tabs>
          <w:tab w:val="num" w:pos="850"/>
        </w:tabs>
        <w:ind w:left="850" w:firstLine="0"/>
      </w:pPr>
      <w:rPr>
        <w:rFonts w:ascii="Arial" w:hAnsi="Arial" w:cs="Times New Roman" w:hint="default"/>
        <w:color w:val="auto"/>
        <w:sz w:val="16"/>
        <w:szCs w:val="24"/>
      </w:rPr>
    </w:lvl>
    <w:lvl w:ilvl="5">
      <w:start w:val="1"/>
      <w:numFmt w:val="bullet"/>
      <w:lvlText w:val="►"/>
      <w:lvlJc w:val="left"/>
      <w:pPr>
        <w:tabs>
          <w:tab w:val="num" w:pos="850"/>
        </w:tabs>
        <w:ind w:left="850" w:firstLine="0"/>
      </w:pPr>
      <w:rPr>
        <w:rFonts w:ascii="Arial" w:hAnsi="Arial" w:cs="Times New Roman" w:hint="default"/>
        <w:color w:val="auto"/>
        <w:sz w:val="16"/>
        <w:szCs w:val="24"/>
      </w:rPr>
    </w:lvl>
    <w:lvl w:ilvl="6">
      <w:start w:val="1"/>
      <w:numFmt w:val="none"/>
      <w:suff w:val="nothing"/>
      <w:lvlText w:val=""/>
      <w:lvlJc w:val="left"/>
      <w:pPr>
        <w:ind w:left="3730" w:firstLine="0"/>
      </w:pPr>
      <w:rPr>
        <w:rFonts w:hint="default"/>
      </w:rPr>
    </w:lvl>
    <w:lvl w:ilvl="7">
      <w:start w:val="1"/>
      <w:numFmt w:val="none"/>
      <w:suff w:val="nothing"/>
      <w:lvlText w:val=""/>
      <w:lvlJc w:val="left"/>
      <w:pPr>
        <w:ind w:left="3730" w:firstLine="0"/>
      </w:pPr>
      <w:rPr>
        <w:rFonts w:hint="default"/>
      </w:rPr>
    </w:lvl>
    <w:lvl w:ilvl="8">
      <w:start w:val="1"/>
      <w:numFmt w:val="none"/>
      <w:suff w:val="nothing"/>
      <w:lvlText w:val=""/>
      <w:lvlJc w:val="left"/>
      <w:pPr>
        <w:ind w:left="3730" w:firstLine="0"/>
      </w:pPr>
      <w:rPr>
        <w:rFonts w:hint="default"/>
      </w:rPr>
    </w:lvl>
  </w:abstractNum>
  <w:abstractNum w:abstractNumId="59" w15:restartNumberingAfterBreak="0">
    <w:nsid w:val="3CB40CDF"/>
    <w:multiLevelType w:val="hybridMultilevel"/>
    <w:tmpl w:val="08C2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D3D1BCF"/>
    <w:multiLevelType w:val="hybridMultilevel"/>
    <w:tmpl w:val="E73C6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DA94295"/>
    <w:multiLevelType w:val="hybridMultilevel"/>
    <w:tmpl w:val="F2148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E737C24"/>
    <w:multiLevelType w:val="hybridMultilevel"/>
    <w:tmpl w:val="9B405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0A669D0"/>
    <w:multiLevelType w:val="hybridMultilevel"/>
    <w:tmpl w:val="4E48936C"/>
    <w:lvl w:ilvl="0" w:tplc="76D8BB00">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1396402"/>
    <w:multiLevelType w:val="hybridMultilevel"/>
    <w:tmpl w:val="EFE2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1F634BD"/>
    <w:multiLevelType w:val="hybridMultilevel"/>
    <w:tmpl w:val="0AD6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2AB5437"/>
    <w:multiLevelType w:val="hybridMultilevel"/>
    <w:tmpl w:val="EE58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B751021"/>
    <w:multiLevelType w:val="hybridMultilevel"/>
    <w:tmpl w:val="D260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C094088"/>
    <w:multiLevelType w:val="hybridMultilevel"/>
    <w:tmpl w:val="10807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F774C87"/>
    <w:multiLevelType w:val="hybridMultilevel"/>
    <w:tmpl w:val="30A4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0297E69"/>
    <w:multiLevelType w:val="hybridMultilevel"/>
    <w:tmpl w:val="93583846"/>
    <w:lvl w:ilvl="0" w:tplc="E294F4E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0EA6D6F"/>
    <w:multiLevelType w:val="hybridMultilevel"/>
    <w:tmpl w:val="06C88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13D466A"/>
    <w:multiLevelType w:val="hybridMultilevel"/>
    <w:tmpl w:val="0F96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6B0460"/>
    <w:multiLevelType w:val="hybridMultilevel"/>
    <w:tmpl w:val="F166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4712FCD"/>
    <w:multiLevelType w:val="hybridMultilevel"/>
    <w:tmpl w:val="0FC0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4840925"/>
    <w:multiLevelType w:val="hybridMultilevel"/>
    <w:tmpl w:val="F50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522455F"/>
    <w:multiLevelType w:val="hybridMultilevel"/>
    <w:tmpl w:val="51C8D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53F1658"/>
    <w:multiLevelType w:val="hybridMultilevel"/>
    <w:tmpl w:val="ABEC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5D5169A"/>
    <w:multiLevelType w:val="hybridMultilevel"/>
    <w:tmpl w:val="4AAA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7437408"/>
    <w:multiLevelType w:val="hybridMultilevel"/>
    <w:tmpl w:val="2AA0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7D714A4"/>
    <w:multiLevelType w:val="hybridMultilevel"/>
    <w:tmpl w:val="14B4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8742954"/>
    <w:multiLevelType w:val="hybridMultilevel"/>
    <w:tmpl w:val="B22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92E0DDB"/>
    <w:multiLevelType w:val="hybridMultilevel"/>
    <w:tmpl w:val="75E69888"/>
    <w:lvl w:ilvl="0" w:tplc="25546D14">
      <w:numFmt w:val="bullet"/>
      <w:lvlText w:val="•"/>
      <w:lvlJc w:val="left"/>
      <w:pPr>
        <w:ind w:left="231" w:hanging="171"/>
      </w:pPr>
      <w:rPr>
        <w:rFonts w:ascii="Calibre Light" w:eastAsia="Calibre Light" w:hAnsi="Calibre Light" w:cs="Calibre Light" w:hint="default"/>
        <w:color w:val="4A4A49"/>
        <w:spacing w:val="-2"/>
        <w:w w:val="100"/>
        <w:sz w:val="16"/>
        <w:szCs w:val="16"/>
        <w:lang w:val="en-GB" w:eastAsia="en-GB" w:bidi="en-GB"/>
      </w:rPr>
    </w:lvl>
    <w:lvl w:ilvl="1" w:tplc="2D3CAE0C">
      <w:numFmt w:val="bullet"/>
      <w:lvlText w:val="•"/>
      <w:lvlJc w:val="left"/>
      <w:pPr>
        <w:ind w:left="989" w:hanging="171"/>
      </w:pPr>
      <w:rPr>
        <w:rFonts w:hint="default"/>
        <w:lang w:val="en-GB" w:eastAsia="en-GB" w:bidi="en-GB"/>
      </w:rPr>
    </w:lvl>
    <w:lvl w:ilvl="2" w:tplc="B3A8E272">
      <w:numFmt w:val="bullet"/>
      <w:lvlText w:val="•"/>
      <w:lvlJc w:val="left"/>
      <w:pPr>
        <w:ind w:left="1739" w:hanging="171"/>
      </w:pPr>
      <w:rPr>
        <w:rFonts w:hint="default"/>
        <w:lang w:val="en-GB" w:eastAsia="en-GB" w:bidi="en-GB"/>
      </w:rPr>
    </w:lvl>
    <w:lvl w:ilvl="3" w:tplc="AD541C1A">
      <w:numFmt w:val="bullet"/>
      <w:lvlText w:val="•"/>
      <w:lvlJc w:val="left"/>
      <w:pPr>
        <w:ind w:left="2489" w:hanging="171"/>
      </w:pPr>
      <w:rPr>
        <w:rFonts w:hint="default"/>
        <w:lang w:val="en-GB" w:eastAsia="en-GB" w:bidi="en-GB"/>
      </w:rPr>
    </w:lvl>
    <w:lvl w:ilvl="4" w:tplc="757C7CD2">
      <w:numFmt w:val="bullet"/>
      <w:lvlText w:val="•"/>
      <w:lvlJc w:val="left"/>
      <w:pPr>
        <w:ind w:left="3239" w:hanging="171"/>
      </w:pPr>
      <w:rPr>
        <w:rFonts w:hint="default"/>
        <w:lang w:val="en-GB" w:eastAsia="en-GB" w:bidi="en-GB"/>
      </w:rPr>
    </w:lvl>
    <w:lvl w:ilvl="5" w:tplc="F7064E0A">
      <w:numFmt w:val="bullet"/>
      <w:lvlText w:val="•"/>
      <w:lvlJc w:val="left"/>
      <w:pPr>
        <w:ind w:left="3989" w:hanging="171"/>
      </w:pPr>
      <w:rPr>
        <w:rFonts w:hint="default"/>
        <w:lang w:val="en-GB" w:eastAsia="en-GB" w:bidi="en-GB"/>
      </w:rPr>
    </w:lvl>
    <w:lvl w:ilvl="6" w:tplc="27DCAF5E">
      <w:numFmt w:val="bullet"/>
      <w:lvlText w:val="•"/>
      <w:lvlJc w:val="left"/>
      <w:pPr>
        <w:ind w:left="4739" w:hanging="171"/>
      </w:pPr>
      <w:rPr>
        <w:rFonts w:hint="default"/>
        <w:lang w:val="en-GB" w:eastAsia="en-GB" w:bidi="en-GB"/>
      </w:rPr>
    </w:lvl>
    <w:lvl w:ilvl="7" w:tplc="59048828">
      <w:numFmt w:val="bullet"/>
      <w:lvlText w:val="•"/>
      <w:lvlJc w:val="left"/>
      <w:pPr>
        <w:ind w:left="5489" w:hanging="171"/>
      </w:pPr>
      <w:rPr>
        <w:rFonts w:hint="default"/>
        <w:lang w:val="en-GB" w:eastAsia="en-GB" w:bidi="en-GB"/>
      </w:rPr>
    </w:lvl>
    <w:lvl w:ilvl="8" w:tplc="FD3A4AF6">
      <w:numFmt w:val="bullet"/>
      <w:lvlText w:val="•"/>
      <w:lvlJc w:val="left"/>
      <w:pPr>
        <w:ind w:left="6239" w:hanging="171"/>
      </w:pPr>
      <w:rPr>
        <w:rFonts w:hint="default"/>
        <w:lang w:val="en-GB" w:eastAsia="en-GB" w:bidi="en-GB"/>
      </w:rPr>
    </w:lvl>
  </w:abstractNum>
  <w:abstractNum w:abstractNumId="83" w15:restartNumberingAfterBreak="0">
    <w:nsid w:val="5A2A41B8"/>
    <w:multiLevelType w:val="hybridMultilevel"/>
    <w:tmpl w:val="E3B0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A692A69"/>
    <w:multiLevelType w:val="hybridMultilevel"/>
    <w:tmpl w:val="7062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AF70F8A"/>
    <w:multiLevelType w:val="hybridMultilevel"/>
    <w:tmpl w:val="C1B0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D9732E3"/>
    <w:multiLevelType w:val="hybridMultilevel"/>
    <w:tmpl w:val="D2AA5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DC34354"/>
    <w:multiLevelType w:val="hybridMultilevel"/>
    <w:tmpl w:val="F79CDA22"/>
    <w:lvl w:ilvl="0" w:tplc="08090001">
      <w:start w:val="1"/>
      <w:numFmt w:val="bullet"/>
      <w:lvlText w:val=""/>
      <w:lvlJc w:val="left"/>
      <w:pPr>
        <w:ind w:left="720" w:hanging="360"/>
      </w:pPr>
      <w:rPr>
        <w:rFonts w:ascii="Symbol" w:hAnsi="Symbol" w:hint="default"/>
      </w:rPr>
    </w:lvl>
    <w:lvl w:ilvl="1" w:tplc="A79C943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EF34949"/>
    <w:multiLevelType w:val="hybridMultilevel"/>
    <w:tmpl w:val="73620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16662F9"/>
    <w:multiLevelType w:val="hybridMultilevel"/>
    <w:tmpl w:val="66CE6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1721546"/>
    <w:multiLevelType w:val="hybridMultilevel"/>
    <w:tmpl w:val="C5A6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3C6CDE"/>
    <w:multiLevelType w:val="hybridMultilevel"/>
    <w:tmpl w:val="C544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24542B0"/>
    <w:multiLevelType w:val="hybridMultilevel"/>
    <w:tmpl w:val="3D929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27E420C"/>
    <w:multiLevelType w:val="hybridMultilevel"/>
    <w:tmpl w:val="304AE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43753FE"/>
    <w:multiLevelType w:val="multilevel"/>
    <w:tmpl w:val="CC849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4323E4"/>
    <w:multiLevelType w:val="hybridMultilevel"/>
    <w:tmpl w:val="5166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5221E2F"/>
    <w:multiLevelType w:val="hybridMultilevel"/>
    <w:tmpl w:val="030A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52E6CD8"/>
    <w:multiLevelType w:val="hybridMultilevel"/>
    <w:tmpl w:val="BE3A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5CB5E4E"/>
    <w:multiLevelType w:val="hybridMultilevel"/>
    <w:tmpl w:val="3AF6507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66CE276D"/>
    <w:multiLevelType w:val="hybridMultilevel"/>
    <w:tmpl w:val="64A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7F269D3"/>
    <w:multiLevelType w:val="hybridMultilevel"/>
    <w:tmpl w:val="1CF66F10"/>
    <w:lvl w:ilvl="0" w:tplc="08090001">
      <w:start w:val="1"/>
      <w:numFmt w:val="bullet"/>
      <w:lvlText w:val=""/>
      <w:lvlJc w:val="left"/>
      <w:pPr>
        <w:ind w:left="1036" w:hanging="360"/>
      </w:pPr>
      <w:rPr>
        <w:rFonts w:ascii="Symbol" w:hAnsi="Symbol" w:hint="default"/>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101" w15:restartNumberingAfterBreak="0">
    <w:nsid w:val="68974196"/>
    <w:multiLevelType w:val="hybridMultilevel"/>
    <w:tmpl w:val="3E8AA7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AE50E66"/>
    <w:multiLevelType w:val="hybridMultilevel"/>
    <w:tmpl w:val="455A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B9A350D"/>
    <w:multiLevelType w:val="hybridMultilevel"/>
    <w:tmpl w:val="FF74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BDE6C17"/>
    <w:multiLevelType w:val="multilevel"/>
    <w:tmpl w:val="14ECE53E"/>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6F36320F"/>
    <w:multiLevelType w:val="multilevel"/>
    <w:tmpl w:val="CC849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FD1773E"/>
    <w:multiLevelType w:val="multilevel"/>
    <w:tmpl w:val="CC849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FE86574"/>
    <w:multiLevelType w:val="multilevel"/>
    <w:tmpl w:val="CC849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01A6DA3"/>
    <w:multiLevelType w:val="hybridMultilevel"/>
    <w:tmpl w:val="4A4A5D38"/>
    <w:lvl w:ilvl="0" w:tplc="9ECA1826">
      <w:start w:val="1"/>
      <w:numFmt w:val="decimal"/>
      <w:lvlText w:val="%1."/>
      <w:lvlJc w:val="left"/>
      <w:pPr>
        <w:ind w:left="720" w:hanging="360"/>
      </w:pPr>
      <w:rPr>
        <w:rFonts w:ascii="Arial" w:hAnsi="Arial" w:cs="Arial"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11C1F4F"/>
    <w:multiLevelType w:val="hybridMultilevel"/>
    <w:tmpl w:val="8016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1E10666"/>
    <w:multiLevelType w:val="hybridMultilevel"/>
    <w:tmpl w:val="589E0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723C48AA"/>
    <w:multiLevelType w:val="multilevel"/>
    <w:tmpl w:val="189C5F48"/>
    <w:name w:val="AddNumbering"/>
    <w:lvl w:ilvl="0">
      <w:start w:val="1"/>
      <w:numFmt w:val="decimal"/>
      <w:lvlRestart w:val="0"/>
      <w:lvlText w:val="%1."/>
      <w:lvlJc w:val="left"/>
      <w:pPr>
        <w:tabs>
          <w:tab w:val="num" w:pos="0"/>
        </w:tabs>
        <w:ind w:left="0" w:hanging="850"/>
      </w:pPr>
      <w:rPr>
        <w:rFonts w:hint="default"/>
        <w:b/>
        <w:color w:val="7F7E82"/>
        <w:sz w:val="32"/>
      </w:rPr>
    </w:lvl>
    <w:lvl w:ilvl="1">
      <w:start w:val="1"/>
      <w:numFmt w:val="decimal"/>
      <w:pStyle w:val="EYHeading1"/>
      <w:lvlText w:val="%1.%2"/>
      <w:lvlJc w:val="left"/>
      <w:pPr>
        <w:tabs>
          <w:tab w:val="num" w:pos="0"/>
        </w:tabs>
        <w:ind w:left="0" w:hanging="850"/>
      </w:pPr>
      <w:rPr>
        <w:rFonts w:hint="default"/>
        <w:b/>
        <w:i w:val="0"/>
        <w:color w:val="000000"/>
        <w:sz w:val="20"/>
        <w:szCs w:val="20"/>
      </w:rPr>
    </w:lvl>
    <w:lvl w:ilvl="2">
      <w:start w:val="1"/>
      <w:numFmt w:val="decimal"/>
      <w:pStyle w:val="EYHeading3"/>
      <w:lvlText w:val="%1.%2.%3"/>
      <w:lvlJc w:val="left"/>
      <w:pPr>
        <w:tabs>
          <w:tab w:val="num" w:pos="0"/>
        </w:tabs>
        <w:ind w:left="0" w:hanging="850"/>
      </w:pPr>
      <w:rPr>
        <w:rFonts w:hint="default"/>
        <w:b/>
        <w:i w:val="0"/>
        <w:color w:val="000000"/>
        <w:sz w:val="24"/>
      </w:rPr>
    </w:lvl>
    <w:lvl w:ilvl="3">
      <w:start w:val="1"/>
      <w:numFmt w:val="decimal"/>
      <w:pStyle w:val="EYHeading4"/>
      <w:lvlText w:val="%1.%2.%3.%4"/>
      <w:lvlJc w:val="left"/>
      <w:pPr>
        <w:tabs>
          <w:tab w:val="num" w:pos="0"/>
        </w:tabs>
        <w:ind w:left="0" w:hanging="850"/>
      </w:pPr>
      <w:rPr>
        <w:rFonts w:hint="default"/>
        <w:b/>
        <w:i w:val="0"/>
        <w:color w:val="000000"/>
        <w:sz w:val="2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2" w15:restartNumberingAfterBreak="0">
    <w:nsid w:val="73A37718"/>
    <w:multiLevelType w:val="multilevel"/>
    <w:tmpl w:val="95A8BCC4"/>
    <w:lvl w:ilvl="0">
      <w:start w:val="1"/>
      <w:numFmt w:val="bullet"/>
      <w:pStyle w:val="EYTablebullet1"/>
      <w:lvlText w:val="►"/>
      <w:lvlJc w:val="left"/>
      <w:pPr>
        <w:tabs>
          <w:tab w:val="num" w:pos="142"/>
        </w:tabs>
        <w:ind w:left="142" w:hanging="142"/>
      </w:pPr>
      <w:rPr>
        <w:rFonts w:ascii="Arial" w:hAnsi="Arial" w:cs="Times New Roman" w:hint="default"/>
        <w:b w:val="0"/>
        <w:bCs/>
        <w:i w:val="0"/>
        <w:color w:val="auto"/>
        <w:sz w:val="12"/>
        <w:szCs w:val="24"/>
      </w:rPr>
    </w:lvl>
    <w:lvl w:ilvl="1">
      <w:start w:val="1"/>
      <w:numFmt w:val="bullet"/>
      <w:pStyle w:val="EYTablebullet2"/>
      <w:lvlText w:val="►"/>
      <w:lvlJc w:val="left"/>
      <w:pPr>
        <w:tabs>
          <w:tab w:val="num" w:pos="284"/>
        </w:tabs>
        <w:ind w:left="284" w:hanging="142"/>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113" w15:restartNumberingAfterBreak="0">
    <w:nsid w:val="743B489C"/>
    <w:multiLevelType w:val="hybridMultilevel"/>
    <w:tmpl w:val="FEA00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4CE4854"/>
    <w:multiLevelType w:val="hybridMultilevel"/>
    <w:tmpl w:val="14ECE53E"/>
    <w:lvl w:ilvl="0" w:tplc="5E507F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4EB21C8"/>
    <w:multiLevelType w:val="hybridMultilevel"/>
    <w:tmpl w:val="80FA935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6" w15:restartNumberingAfterBreak="0">
    <w:nsid w:val="750929CE"/>
    <w:multiLevelType w:val="hybridMultilevel"/>
    <w:tmpl w:val="1C0E8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53543D3"/>
    <w:multiLevelType w:val="hybridMultilevel"/>
    <w:tmpl w:val="8C66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60E5B98"/>
    <w:multiLevelType w:val="hybridMultilevel"/>
    <w:tmpl w:val="4B0E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70A0A3A"/>
    <w:multiLevelType w:val="hybridMultilevel"/>
    <w:tmpl w:val="0E926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72B0347"/>
    <w:multiLevelType w:val="hybridMultilevel"/>
    <w:tmpl w:val="848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7E15147"/>
    <w:multiLevelType w:val="hybridMultilevel"/>
    <w:tmpl w:val="C7EE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91C78E0"/>
    <w:multiLevelType w:val="hybridMultilevel"/>
    <w:tmpl w:val="2A7C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A2B0543"/>
    <w:multiLevelType w:val="hybridMultilevel"/>
    <w:tmpl w:val="1AE6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A3222D8"/>
    <w:multiLevelType w:val="hybridMultilevel"/>
    <w:tmpl w:val="02C0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BC464B8"/>
    <w:multiLevelType w:val="hybridMultilevel"/>
    <w:tmpl w:val="4A32F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CA462EE"/>
    <w:multiLevelType w:val="hybridMultilevel"/>
    <w:tmpl w:val="2668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D3110C2"/>
    <w:multiLevelType w:val="hybridMultilevel"/>
    <w:tmpl w:val="4A56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DE63F45"/>
    <w:multiLevelType w:val="hybridMultilevel"/>
    <w:tmpl w:val="E2883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4534705">
    <w:abstractNumId w:val="103"/>
  </w:num>
  <w:num w:numId="2" w16cid:durableId="1439132850">
    <w:abstractNumId w:val="48"/>
  </w:num>
  <w:num w:numId="3" w16cid:durableId="83694173">
    <w:abstractNumId w:val="19"/>
  </w:num>
  <w:num w:numId="4" w16cid:durableId="1702510217">
    <w:abstractNumId w:val="16"/>
  </w:num>
  <w:num w:numId="5" w16cid:durableId="1654869775">
    <w:abstractNumId w:val="0"/>
  </w:num>
  <w:num w:numId="6" w16cid:durableId="1954021729">
    <w:abstractNumId w:val="58"/>
  </w:num>
  <w:num w:numId="7" w16cid:durableId="1306427255">
    <w:abstractNumId w:val="111"/>
  </w:num>
  <w:num w:numId="8" w16cid:durableId="1137062511">
    <w:abstractNumId w:val="101"/>
  </w:num>
  <w:num w:numId="9" w16cid:durableId="1298414193">
    <w:abstractNumId w:val="14"/>
  </w:num>
  <w:num w:numId="10" w16cid:durableId="1059401521">
    <w:abstractNumId w:val="76"/>
  </w:num>
  <w:num w:numId="11" w16cid:durableId="1915387666">
    <w:abstractNumId w:val="26"/>
  </w:num>
  <w:num w:numId="12" w16cid:durableId="571892552">
    <w:abstractNumId w:val="116"/>
  </w:num>
  <w:num w:numId="13" w16cid:durableId="848641003">
    <w:abstractNumId w:val="57"/>
  </w:num>
  <w:num w:numId="14" w16cid:durableId="1297565422">
    <w:abstractNumId w:val="83"/>
  </w:num>
  <w:num w:numId="15" w16cid:durableId="1023941738">
    <w:abstractNumId w:val="12"/>
  </w:num>
  <w:num w:numId="16" w16cid:durableId="1425615106">
    <w:abstractNumId w:val="122"/>
  </w:num>
  <w:num w:numId="17" w16cid:durableId="1729960449">
    <w:abstractNumId w:val="67"/>
  </w:num>
  <w:num w:numId="18" w16cid:durableId="1266577473">
    <w:abstractNumId w:val="36"/>
  </w:num>
  <w:num w:numId="19" w16cid:durableId="823737694">
    <w:abstractNumId w:val="99"/>
  </w:num>
  <w:num w:numId="20" w16cid:durableId="1282999102">
    <w:abstractNumId w:val="49"/>
  </w:num>
  <w:num w:numId="21" w16cid:durableId="1065762380">
    <w:abstractNumId w:val="82"/>
  </w:num>
  <w:num w:numId="22" w16cid:durableId="1406955395">
    <w:abstractNumId w:val="114"/>
  </w:num>
  <w:num w:numId="23" w16cid:durableId="1599406702">
    <w:abstractNumId w:val="32"/>
  </w:num>
  <w:num w:numId="24" w16cid:durableId="959916582">
    <w:abstractNumId w:val="53"/>
  </w:num>
  <w:num w:numId="25" w16cid:durableId="2144886015">
    <w:abstractNumId w:val="63"/>
  </w:num>
  <w:num w:numId="26" w16cid:durableId="1476920697">
    <w:abstractNumId w:val="59"/>
  </w:num>
  <w:num w:numId="27" w16cid:durableId="730615187">
    <w:abstractNumId w:val="62"/>
  </w:num>
  <w:num w:numId="28" w16cid:durableId="33235954">
    <w:abstractNumId w:val="110"/>
  </w:num>
  <w:num w:numId="29" w16cid:durableId="1859812854">
    <w:abstractNumId w:val="31"/>
  </w:num>
  <w:num w:numId="30" w16cid:durableId="611329274">
    <w:abstractNumId w:val="41"/>
  </w:num>
  <w:num w:numId="31" w16cid:durableId="398865189">
    <w:abstractNumId w:val="56"/>
  </w:num>
  <w:num w:numId="32" w16cid:durableId="959725442">
    <w:abstractNumId w:val="4"/>
  </w:num>
  <w:num w:numId="33" w16cid:durableId="817379531">
    <w:abstractNumId w:val="45"/>
  </w:num>
  <w:num w:numId="34" w16cid:durableId="573245560">
    <w:abstractNumId w:val="54"/>
  </w:num>
  <w:num w:numId="35" w16cid:durableId="706301405">
    <w:abstractNumId w:val="95"/>
  </w:num>
  <w:num w:numId="36" w16cid:durableId="1619531390">
    <w:abstractNumId w:val="119"/>
  </w:num>
  <w:num w:numId="37" w16cid:durableId="641082390">
    <w:abstractNumId w:val="52"/>
  </w:num>
  <w:num w:numId="38" w16cid:durableId="1593857810">
    <w:abstractNumId w:val="34"/>
  </w:num>
  <w:num w:numId="39" w16cid:durableId="370375468">
    <w:abstractNumId w:val="13"/>
  </w:num>
  <w:num w:numId="40" w16cid:durableId="475875987">
    <w:abstractNumId w:val="124"/>
  </w:num>
  <w:num w:numId="41" w16cid:durableId="1703286716">
    <w:abstractNumId w:val="112"/>
  </w:num>
  <w:num w:numId="42" w16cid:durableId="1751271273">
    <w:abstractNumId w:val="113"/>
  </w:num>
  <w:num w:numId="43" w16cid:durableId="748814397">
    <w:abstractNumId w:val="100"/>
  </w:num>
  <w:num w:numId="44" w16cid:durableId="595400737">
    <w:abstractNumId w:val="42"/>
  </w:num>
  <w:num w:numId="45" w16cid:durableId="360012178">
    <w:abstractNumId w:val="68"/>
  </w:num>
  <w:num w:numId="46" w16cid:durableId="2101564298">
    <w:abstractNumId w:val="6"/>
  </w:num>
  <w:num w:numId="47" w16cid:durableId="1358313744">
    <w:abstractNumId w:val="78"/>
  </w:num>
  <w:num w:numId="48" w16cid:durableId="1454012658">
    <w:abstractNumId w:val="20"/>
  </w:num>
  <w:num w:numId="49" w16cid:durableId="2058892759">
    <w:abstractNumId w:val="47"/>
  </w:num>
  <w:num w:numId="50" w16cid:durableId="943073048">
    <w:abstractNumId w:val="8"/>
  </w:num>
  <w:num w:numId="51" w16cid:durableId="622468655">
    <w:abstractNumId w:val="43"/>
  </w:num>
  <w:num w:numId="52" w16cid:durableId="1996034939">
    <w:abstractNumId w:val="127"/>
  </w:num>
  <w:num w:numId="53" w16cid:durableId="1934894969">
    <w:abstractNumId w:val="120"/>
  </w:num>
  <w:num w:numId="54" w16cid:durableId="1551188090">
    <w:abstractNumId w:val="81"/>
  </w:num>
  <w:num w:numId="55" w16cid:durableId="1889955639">
    <w:abstractNumId w:val="85"/>
  </w:num>
  <w:num w:numId="56" w16cid:durableId="194930392">
    <w:abstractNumId w:val="108"/>
  </w:num>
  <w:num w:numId="57" w16cid:durableId="83578609">
    <w:abstractNumId w:val="64"/>
  </w:num>
  <w:num w:numId="58" w16cid:durableId="1132598830">
    <w:abstractNumId w:val="22"/>
  </w:num>
  <w:num w:numId="59" w16cid:durableId="676736281">
    <w:abstractNumId w:val="73"/>
  </w:num>
  <w:num w:numId="60" w16cid:durableId="161163705">
    <w:abstractNumId w:val="89"/>
  </w:num>
  <w:num w:numId="61" w16cid:durableId="2142191124">
    <w:abstractNumId w:val="5"/>
  </w:num>
  <w:num w:numId="62" w16cid:durableId="2114199660">
    <w:abstractNumId w:val="126"/>
  </w:num>
  <w:num w:numId="63" w16cid:durableId="786193702">
    <w:abstractNumId w:val="80"/>
  </w:num>
  <w:num w:numId="64" w16cid:durableId="353965259">
    <w:abstractNumId w:val="77"/>
  </w:num>
  <w:num w:numId="65" w16cid:durableId="1156608493">
    <w:abstractNumId w:val="75"/>
  </w:num>
  <w:num w:numId="66" w16cid:durableId="66221886">
    <w:abstractNumId w:val="88"/>
  </w:num>
  <w:num w:numId="67" w16cid:durableId="1261568668">
    <w:abstractNumId w:val="74"/>
  </w:num>
  <w:num w:numId="68" w16cid:durableId="583103379">
    <w:abstractNumId w:val="35"/>
  </w:num>
  <w:num w:numId="69" w16cid:durableId="1769694617">
    <w:abstractNumId w:val="118"/>
  </w:num>
  <w:num w:numId="70" w16cid:durableId="2026251653">
    <w:abstractNumId w:val="24"/>
  </w:num>
  <w:num w:numId="71" w16cid:durableId="953249240">
    <w:abstractNumId w:val="50"/>
  </w:num>
  <w:num w:numId="72" w16cid:durableId="1422868058">
    <w:abstractNumId w:val="60"/>
  </w:num>
  <w:num w:numId="73" w16cid:durableId="1762289969">
    <w:abstractNumId w:val="51"/>
  </w:num>
  <w:num w:numId="74" w16cid:durableId="1141001686">
    <w:abstractNumId w:val="93"/>
  </w:num>
  <w:num w:numId="75" w16cid:durableId="226034145">
    <w:abstractNumId w:val="72"/>
  </w:num>
  <w:num w:numId="76" w16cid:durableId="834607227">
    <w:abstractNumId w:val="71"/>
  </w:num>
  <w:num w:numId="77" w16cid:durableId="204373129">
    <w:abstractNumId w:val="97"/>
  </w:num>
  <w:num w:numId="78" w16cid:durableId="587227264">
    <w:abstractNumId w:val="69"/>
  </w:num>
  <w:num w:numId="79" w16cid:durableId="64112235">
    <w:abstractNumId w:val="30"/>
  </w:num>
  <w:num w:numId="80" w16cid:durableId="30811978">
    <w:abstractNumId w:val="128"/>
  </w:num>
  <w:num w:numId="81" w16cid:durableId="284967406">
    <w:abstractNumId w:val="9"/>
  </w:num>
  <w:num w:numId="82" w16cid:durableId="2034573393">
    <w:abstractNumId w:val="7"/>
  </w:num>
  <w:num w:numId="83" w16cid:durableId="483006943">
    <w:abstractNumId w:val="40"/>
  </w:num>
  <w:num w:numId="84" w16cid:durableId="1267229059">
    <w:abstractNumId w:val="11"/>
  </w:num>
  <w:num w:numId="85" w16cid:durableId="193543284">
    <w:abstractNumId w:val="117"/>
  </w:num>
  <w:num w:numId="86" w16cid:durableId="1554728365">
    <w:abstractNumId w:val="55"/>
  </w:num>
  <w:num w:numId="87" w16cid:durableId="2119451400">
    <w:abstractNumId w:val="79"/>
  </w:num>
  <w:num w:numId="88" w16cid:durableId="2019962906">
    <w:abstractNumId w:val="10"/>
  </w:num>
  <w:num w:numId="89" w16cid:durableId="774789876">
    <w:abstractNumId w:val="3"/>
  </w:num>
  <w:num w:numId="90" w16cid:durableId="223369077">
    <w:abstractNumId w:val="105"/>
  </w:num>
  <w:num w:numId="91" w16cid:durableId="1382826684">
    <w:abstractNumId w:val="107"/>
  </w:num>
  <w:num w:numId="92" w16cid:durableId="1916474631">
    <w:abstractNumId w:val="106"/>
  </w:num>
  <w:num w:numId="93" w16cid:durableId="627011467">
    <w:abstractNumId w:val="94"/>
  </w:num>
  <w:num w:numId="94" w16cid:durableId="613054893">
    <w:abstractNumId w:val="33"/>
  </w:num>
  <w:num w:numId="95" w16cid:durableId="777603985">
    <w:abstractNumId w:val="38"/>
  </w:num>
  <w:num w:numId="96" w16cid:durableId="2108308240">
    <w:abstractNumId w:val="18"/>
  </w:num>
  <w:num w:numId="97" w16cid:durableId="188954839">
    <w:abstractNumId w:val="92"/>
  </w:num>
  <w:num w:numId="98" w16cid:durableId="449131035">
    <w:abstractNumId w:val="123"/>
  </w:num>
  <w:num w:numId="99" w16cid:durableId="369232265">
    <w:abstractNumId w:val="102"/>
  </w:num>
  <w:num w:numId="100" w16cid:durableId="994531761">
    <w:abstractNumId w:val="21"/>
  </w:num>
  <w:num w:numId="101" w16cid:durableId="665984787">
    <w:abstractNumId w:val="91"/>
  </w:num>
  <w:num w:numId="102" w16cid:durableId="1929386358">
    <w:abstractNumId w:val="109"/>
  </w:num>
  <w:num w:numId="103" w16cid:durableId="1466658078">
    <w:abstractNumId w:val="86"/>
  </w:num>
  <w:num w:numId="104" w16cid:durableId="1919048078">
    <w:abstractNumId w:val="84"/>
  </w:num>
  <w:num w:numId="105" w16cid:durableId="725683350">
    <w:abstractNumId w:val="17"/>
  </w:num>
  <w:num w:numId="106" w16cid:durableId="190343652">
    <w:abstractNumId w:val="104"/>
  </w:num>
  <w:num w:numId="107" w16cid:durableId="1198618083">
    <w:abstractNumId w:val="90"/>
  </w:num>
  <w:num w:numId="108" w16cid:durableId="1247571619">
    <w:abstractNumId w:val="23"/>
  </w:num>
  <w:num w:numId="109" w16cid:durableId="923227895">
    <w:abstractNumId w:val="15"/>
  </w:num>
  <w:num w:numId="110" w16cid:durableId="263147671">
    <w:abstractNumId w:val="125"/>
  </w:num>
  <w:num w:numId="111" w16cid:durableId="210459565">
    <w:abstractNumId w:val="96"/>
  </w:num>
  <w:num w:numId="112" w16cid:durableId="847909704">
    <w:abstractNumId w:val="27"/>
  </w:num>
  <w:num w:numId="113" w16cid:durableId="2034990354">
    <w:abstractNumId w:val="61"/>
  </w:num>
  <w:num w:numId="114" w16cid:durableId="127627438">
    <w:abstractNumId w:val="98"/>
  </w:num>
  <w:num w:numId="115" w16cid:durableId="541524505">
    <w:abstractNumId w:val="39"/>
  </w:num>
  <w:num w:numId="116" w16cid:durableId="611471310">
    <w:abstractNumId w:val="70"/>
  </w:num>
  <w:num w:numId="117" w16cid:durableId="1221945890">
    <w:abstractNumId w:val="121"/>
  </w:num>
  <w:num w:numId="118" w16cid:durableId="1853254517">
    <w:abstractNumId w:val="65"/>
  </w:num>
  <w:num w:numId="119" w16cid:durableId="1090782366">
    <w:abstractNumId w:val="66"/>
  </w:num>
  <w:num w:numId="120" w16cid:durableId="1307275726">
    <w:abstractNumId w:val="87"/>
  </w:num>
  <w:num w:numId="121" w16cid:durableId="282075557">
    <w:abstractNumId w:val="2"/>
  </w:num>
  <w:num w:numId="122" w16cid:durableId="753893285">
    <w:abstractNumId w:val="25"/>
  </w:num>
  <w:num w:numId="123" w16cid:durableId="1779989005">
    <w:abstractNumId w:val="29"/>
  </w:num>
  <w:num w:numId="124" w16cid:durableId="1529217283">
    <w:abstractNumId w:val="115"/>
  </w:num>
  <w:num w:numId="125" w16cid:durableId="644890104">
    <w:abstractNumId w:val="37"/>
  </w:num>
  <w:num w:numId="126" w16cid:durableId="1400983756">
    <w:abstractNumId w:val="1"/>
  </w:num>
  <w:num w:numId="127" w16cid:durableId="1775586907">
    <w:abstractNumId w:val="28"/>
  </w:num>
  <w:num w:numId="128" w16cid:durableId="1732458517">
    <w:abstractNumId w:val="46"/>
  </w:num>
  <w:num w:numId="129" w16cid:durableId="1929074257">
    <w:abstractNumId w:val="4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F52"/>
    <w:rsid w:val="0000123D"/>
    <w:rsid w:val="00001838"/>
    <w:rsid w:val="000018A7"/>
    <w:rsid w:val="00002B2F"/>
    <w:rsid w:val="00002D94"/>
    <w:rsid w:val="0000324C"/>
    <w:rsid w:val="00003276"/>
    <w:rsid w:val="000035AF"/>
    <w:rsid w:val="000036BE"/>
    <w:rsid w:val="00003A3A"/>
    <w:rsid w:val="00003B38"/>
    <w:rsid w:val="0000416A"/>
    <w:rsid w:val="000046F8"/>
    <w:rsid w:val="000053F0"/>
    <w:rsid w:val="0000637D"/>
    <w:rsid w:val="00006E52"/>
    <w:rsid w:val="00007570"/>
    <w:rsid w:val="00007821"/>
    <w:rsid w:val="00007CC4"/>
    <w:rsid w:val="00007D51"/>
    <w:rsid w:val="00010111"/>
    <w:rsid w:val="00010A1B"/>
    <w:rsid w:val="00010B45"/>
    <w:rsid w:val="0001125B"/>
    <w:rsid w:val="00011407"/>
    <w:rsid w:val="00011997"/>
    <w:rsid w:val="00011BDB"/>
    <w:rsid w:val="00012158"/>
    <w:rsid w:val="000123C1"/>
    <w:rsid w:val="00012E9F"/>
    <w:rsid w:val="00012EF4"/>
    <w:rsid w:val="000133A5"/>
    <w:rsid w:val="00013493"/>
    <w:rsid w:val="00013603"/>
    <w:rsid w:val="00013BD8"/>
    <w:rsid w:val="00013EF4"/>
    <w:rsid w:val="0001436D"/>
    <w:rsid w:val="0001469F"/>
    <w:rsid w:val="0001487B"/>
    <w:rsid w:val="00014AC1"/>
    <w:rsid w:val="00014E46"/>
    <w:rsid w:val="00014F9A"/>
    <w:rsid w:val="00015247"/>
    <w:rsid w:val="000159C8"/>
    <w:rsid w:val="0001699B"/>
    <w:rsid w:val="00016E73"/>
    <w:rsid w:val="000170F8"/>
    <w:rsid w:val="00017538"/>
    <w:rsid w:val="00017820"/>
    <w:rsid w:val="00017F0D"/>
    <w:rsid w:val="000204B2"/>
    <w:rsid w:val="00020E3E"/>
    <w:rsid w:val="0002117B"/>
    <w:rsid w:val="000224F5"/>
    <w:rsid w:val="00022B78"/>
    <w:rsid w:val="00022C09"/>
    <w:rsid w:val="00023906"/>
    <w:rsid w:val="00023A96"/>
    <w:rsid w:val="00024161"/>
    <w:rsid w:val="00024B1C"/>
    <w:rsid w:val="00025D6C"/>
    <w:rsid w:val="0002663E"/>
    <w:rsid w:val="00026C2B"/>
    <w:rsid w:val="00026F80"/>
    <w:rsid w:val="000272D0"/>
    <w:rsid w:val="00027797"/>
    <w:rsid w:val="000279A1"/>
    <w:rsid w:val="00027D53"/>
    <w:rsid w:val="000300CF"/>
    <w:rsid w:val="000312B9"/>
    <w:rsid w:val="00031518"/>
    <w:rsid w:val="00031EB2"/>
    <w:rsid w:val="00032104"/>
    <w:rsid w:val="00032678"/>
    <w:rsid w:val="000327F9"/>
    <w:rsid w:val="00032DE7"/>
    <w:rsid w:val="00032E5E"/>
    <w:rsid w:val="000332DB"/>
    <w:rsid w:val="0003358B"/>
    <w:rsid w:val="000336ED"/>
    <w:rsid w:val="00033AB7"/>
    <w:rsid w:val="00033C58"/>
    <w:rsid w:val="00033EFB"/>
    <w:rsid w:val="0003415F"/>
    <w:rsid w:val="000341C2"/>
    <w:rsid w:val="000346DC"/>
    <w:rsid w:val="00034D18"/>
    <w:rsid w:val="00034FF7"/>
    <w:rsid w:val="000353EC"/>
    <w:rsid w:val="00035784"/>
    <w:rsid w:val="00035FC8"/>
    <w:rsid w:val="00037B4F"/>
    <w:rsid w:val="00037D73"/>
    <w:rsid w:val="00037DC9"/>
    <w:rsid w:val="00040236"/>
    <w:rsid w:val="00040BD7"/>
    <w:rsid w:val="000410E5"/>
    <w:rsid w:val="00041973"/>
    <w:rsid w:val="000420C1"/>
    <w:rsid w:val="00042CCC"/>
    <w:rsid w:val="00043473"/>
    <w:rsid w:val="0004369F"/>
    <w:rsid w:val="00043983"/>
    <w:rsid w:val="00043EC4"/>
    <w:rsid w:val="00044043"/>
    <w:rsid w:val="00044253"/>
    <w:rsid w:val="00044283"/>
    <w:rsid w:val="00044846"/>
    <w:rsid w:val="00045A2B"/>
    <w:rsid w:val="00045A3F"/>
    <w:rsid w:val="00046E88"/>
    <w:rsid w:val="00046EC7"/>
    <w:rsid w:val="00046F1D"/>
    <w:rsid w:val="000475DB"/>
    <w:rsid w:val="0004795E"/>
    <w:rsid w:val="00047CDC"/>
    <w:rsid w:val="00050097"/>
    <w:rsid w:val="000504B0"/>
    <w:rsid w:val="00050D0A"/>
    <w:rsid w:val="0005167D"/>
    <w:rsid w:val="00051773"/>
    <w:rsid w:val="00052B7B"/>
    <w:rsid w:val="00053A75"/>
    <w:rsid w:val="00053AB0"/>
    <w:rsid w:val="00054630"/>
    <w:rsid w:val="00055993"/>
    <w:rsid w:val="00056024"/>
    <w:rsid w:val="00056484"/>
    <w:rsid w:val="00056765"/>
    <w:rsid w:val="00056F26"/>
    <w:rsid w:val="000571E2"/>
    <w:rsid w:val="00057D91"/>
    <w:rsid w:val="000603B2"/>
    <w:rsid w:val="00061253"/>
    <w:rsid w:val="00061C46"/>
    <w:rsid w:val="000624B5"/>
    <w:rsid w:val="00062D3C"/>
    <w:rsid w:val="0006361F"/>
    <w:rsid w:val="00063E97"/>
    <w:rsid w:val="000657C6"/>
    <w:rsid w:val="00065B1A"/>
    <w:rsid w:val="00065BC7"/>
    <w:rsid w:val="000660BA"/>
    <w:rsid w:val="000665BC"/>
    <w:rsid w:val="00067C58"/>
    <w:rsid w:val="00067D49"/>
    <w:rsid w:val="000708E4"/>
    <w:rsid w:val="00070B7D"/>
    <w:rsid w:val="00071644"/>
    <w:rsid w:val="000718E1"/>
    <w:rsid w:val="00071B66"/>
    <w:rsid w:val="000720D4"/>
    <w:rsid w:val="000724CA"/>
    <w:rsid w:val="0007253A"/>
    <w:rsid w:val="0007273C"/>
    <w:rsid w:val="00072B06"/>
    <w:rsid w:val="00072C7F"/>
    <w:rsid w:val="0007420C"/>
    <w:rsid w:val="00074855"/>
    <w:rsid w:val="000750C4"/>
    <w:rsid w:val="000751D9"/>
    <w:rsid w:val="00075241"/>
    <w:rsid w:val="0007630C"/>
    <w:rsid w:val="00076738"/>
    <w:rsid w:val="00076AE1"/>
    <w:rsid w:val="000771EC"/>
    <w:rsid w:val="0007749D"/>
    <w:rsid w:val="00080450"/>
    <w:rsid w:val="00080AB0"/>
    <w:rsid w:val="00080BA8"/>
    <w:rsid w:val="00081803"/>
    <w:rsid w:val="0008372D"/>
    <w:rsid w:val="00083856"/>
    <w:rsid w:val="0008397E"/>
    <w:rsid w:val="00083BBC"/>
    <w:rsid w:val="00083C40"/>
    <w:rsid w:val="000853D1"/>
    <w:rsid w:val="000859AB"/>
    <w:rsid w:val="00085C9E"/>
    <w:rsid w:val="0008672C"/>
    <w:rsid w:val="0008761A"/>
    <w:rsid w:val="000878C2"/>
    <w:rsid w:val="00087CE8"/>
    <w:rsid w:val="00090284"/>
    <w:rsid w:val="00091018"/>
    <w:rsid w:val="00091643"/>
    <w:rsid w:val="0009166B"/>
    <w:rsid w:val="000916EA"/>
    <w:rsid w:val="000918BE"/>
    <w:rsid w:val="00091A55"/>
    <w:rsid w:val="00091F66"/>
    <w:rsid w:val="000925DF"/>
    <w:rsid w:val="000926CE"/>
    <w:rsid w:val="00092ADC"/>
    <w:rsid w:val="00092BD7"/>
    <w:rsid w:val="00093114"/>
    <w:rsid w:val="00093584"/>
    <w:rsid w:val="00093F52"/>
    <w:rsid w:val="00094183"/>
    <w:rsid w:val="0009456A"/>
    <w:rsid w:val="00094D24"/>
    <w:rsid w:val="00095B1A"/>
    <w:rsid w:val="0009676F"/>
    <w:rsid w:val="0009775B"/>
    <w:rsid w:val="00097E51"/>
    <w:rsid w:val="000A02EF"/>
    <w:rsid w:val="000A0A42"/>
    <w:rsid w:val="000A0ADC"/>
    <w:rsid w:val="000A0AFF"/>
    <w:rsid w:val="000A1079"/>
    <w:rsid w:val="000A1579"/>
    <w:rsid w:val="000A1B4B"/>
    <w:rsid w:val="000A1D6A"/>
    <w:rsid w:val="000A1FCF"/>
    <w:rsid w:val="000A2999"/>
    <w:rsid w:val="000A3248"/>
    <w:rsid w:val="000A3494"/>
    <w:rsid w:val="000A3952"/>
    <w:rsid w:val="000A40BB"/>
    <w:rsid w:val="000A41D6"/>
    <w:rsid w:val="000A51B7"/>
    <w:rsid w:val="000A52E5"/>
    <w:rsid w:val="000A5732"/>
    <w:rsid w:val="000A5B2D"/>
    <w:rsid w:val="000A5D7E"/>
    <w:rsid w:val="000A643E"/>
    <w:rsid w:val="000A6679"/>
    <w:rsid w:val="000A6F58"/>
    <w:rsid w:val="000A6FEB"/>
    <w:rsid w:val="000A71F8"/>
    <w:rsid w:val="000A732D"/>
    <w:rsid w:val="000A7A3C"/>
    <w:rsid w:val="000B07E5"/>
    <w:rsid w:val="000B08E0"/>
    <w:rsid w:val="000B1D73"/>
    <w:rsid w:val="000B24CD"/>
    <w:rsid w:val="000B3044"/>
    <w:rsid w:val="000B3239"/>
    <w:rsid w:val="000B3630"/>
    <w:rsid w:val="000B39FF"/>
    <w:rsid w:val="000B48CF"/>
    <w:rsid w:val="000B5486"/>
    <w:rsid w:val="000B5DE4"/>
    <w:rsid w:val="000B6343"/>
    <w:rsid w:val="000B64C0"/>
    <w:rsid w:val="000B64C2"/>
    <w:rsid w:val="000B70D0"/>
    <w:rsid w:val="000B72C7"/>
    <w:rsid w:val="000B7C31"/>
    <w:rsid w:val="000C01E1"/>
    <w:rsid w:val="000C07AE"/>
    <w:rsid w:val="000C08D6"/>
    <w:rsid w:val="000C0AEF"/>
    <w:rsid w:val="000C0DB1"/>
    <w:rsid w:val="000C0DEB"/>
    <w:rsid w:val="000C359F"/>
    <w:rsid w:val="000C37EA"/>
    <w:rsid w:val="000C38A9"/>
    <w:rsid w:val="000C3F95"/>
    <w:rsid w:val="000C41AC"/>
    <w:rsid w:val="000C44F3"/>
    <w:rsid w:val="000C453E"/>
    <w:rsid w:val="000C484E"/>
    <w:rsid w:val="000C4DB8"/>
    <w:rsid w:val="000C55D9"/>
    <w:rsid w:val="000C5EDE"/>
    <w:rsid w:val="000C5EFE"/>
    <w:rsid w:val="000C6314"/>
    <w:rsid w:val="000C6AB4"/>
    <w:rsid w:val="000C72B5"/>
    <w:rsid w:val="000C75A6"/>
    <w:rsid w:val="000C7FAF"/>
    <w:rsid w:val="000D0F21"/>
    <w:rsid w:val="000D106F"/>
    <w:rsid w:val="000D1C21"/>
    <w:rsid w:val="000D23CF"/>
    <w:rsid w:val="000D23F7"/>
    <w:rsid w:val="000D2406"/>
    <w:rsid w:val="000D2575"/>
    <w:rsid w:val="000D2D29"/>
    <w:rsid w:val="000D2F60"/>
    <w:rsid w:val="000D318D"/>
    <w:rsid w:val="000D319F"/>
    <w:rsid w:val="000D3BB8"/>
    <w:rsid w:val="000D432C"/>
    <w:rsid w:val="000D4722"/>
    <w:rsid w:val="000D5607"/>
    <w:rsid w:val="000D5643"/>
    <w:rsid w:val="000D5783"/>
    <w:rsid w:val="000D5F17"/>
    <w:rsid w:val="000D67AB"/>
    <w:rsid w:val="000D7433"/>
    <w:rsid w:val="000E05D2"/>
    <w:rsid w:val="000E14D0"/>
    <w:rsid w:val="000E24E1"/>
    <w:rsid w:val="000E27C7"/>
    <w:rsid w:val="000E27ED"/>
    <w:rsid w:val="000E28CE"/>
    <w:rsid w:val="000E2D63"/>
    <w:rsid w:val="000E4C29"/>
    <w:rsid w:val="000E522B"/>
    <w:rsid w:val="000E68C6"/>
    <w:rsid w:val="000E6C31"/>
    <w:rsid w:val="000E6F21"/>
    <w:rsid w:val="000E779A"/>
    <w:rsid w:val="000F04E7"/>
    <w:rsid w:val="000F073D"/>
    <w:rsid w:val="000F079C"/>
    <w:rsid w:val="000F0C36"/>
    <w:rsid w:val="000F1B6E"/>
    <w:rsid w:val="000F2058"/>
    <w:rsid w:val="000F297D"/>
    <w:rsid w:val="000F29E1"/>
    <w:rsid w:val="000F34DF"/>
    <w:rsid w:val="000F47E5"/>
    <w:rsid w:val="000F499E"/>
    <w:rsid w:val="000F515A"/>
    <w:rsid w:val="000F575D"/>
    <w:rsid w:val="000F5FFE"/>
    <w:rsid w:val="000F6289"/>
    <w:rsid w:val="000F6414"/>
    <w:rsid w:val="000F6764"/>
    <w:rsid w:val="000F68B2"/>
    <w:rsid w:val="000F6F81"/>
    <w:rsid w:val="000F7F34"/>
    <w:rsid w:val="00100136"/>
    <w:rsid w:val="001005E0"/>
    <w:rsid w:val="00101517"/>
    <w:rsid w:val="001016B6"/>
    <w:rsid w:val="00101D81"/>
    <w:rsid w:val="00103A3B"/>
    <w:rsid w:val="00103C81"/>
    <w:rsid w:val="00103CF9"/>
    <w:rsid w:val="00103DE8"/>
    <w:rsid w:val="00104831"/>
    <w:rsid w:val="00104A10"/>
    <w:rsid w:val="00104B12"/>
    <w:rsid w:val="00105555"/>
    <w:rsid w:val="00105A55"/>
    <w:rsid w:val="00106B6E"/>
    <w:rsid w:val="00107056"/>
    <w:rsid w:val="0010730C"/>
    <w:rsid w:val="0011019D"/>
    <w:rsid w:val="001105EF"/>
    <w:rsid w:val="00111E1A"/>
    <w:rsid w:val="00113F40"/>
    <w:rsid w:val="0011402B"/>
    <w:rsid w:val="0011487F"/>
    <w:rsid w:val="001151E7"/>
    <w:rsid w:val="001152FD"/>
    <w:rsid w:val="001172D4"/>
    <w:rsid w:val="0012086E"/>
    <w:rsid w:val="00120AFC"/>
    <w:rsid w:val="00120D3D"/>
    <w:rsid w:val="00121160"/>
    <w:rsid w:val="001212A1"/>
    <w:rsid w:val="001230A4"/>
    <w:rsid w:val="0012410C"/>
    <w:rsid w:val="001247B4"/>
    <w:rsid w:val="001265B8"/>
    <w:rsid w:val="00126626"/>
    <w:rsid w:val="00126972"/>
    <w:rsid w:val="0012751D"/>
    <w:rsid w:val="001307FE"/>
    <w:rsid w:val="00131F86"/>
    <w:rsid w:val="00132002"/>
    <w:rsid w:val="00132402"/>
    <w:rsid w:val="001330AF"/>
    <w:rsid w:val="0013317A"/>
    <w:rsid w:val="0013368C"/>
    <w:rsid w:val="001338B5"/>
    <w:rsid w:val="00133AD1"/>
    <w:rsid w:val="00134516"/>
    <w:rsid w:val="00134A0F"/>
    <w:rsid w:val="001350BE"/>
    <w:rsid w:val="001356ED"/>
    <w:rsid w:val="00135C85"/>
    <w:rsid w:val="00136CDC"/>
    <w:rsid w:val="0013759F"/>
    <w:rsid w:val="00137644"/>
    <w:rsid w:val="00137A60"/>
    <w:rsid w:val="00137F9F"/>
    <w:rsid w:val="0014056C"/>
    <w:rsid w:val="001407E8"/>
    <w:rsid w:val="00141756"/>
    <w:rsid w:val="0014263D"/>
    <w:rsid w:val="001428F0"/>
    <w:rsid w:val="0014295C"/>
    <w:rsid w:val="0014335F"/>
    <w:rsid w:val="00143BFB"/>
    <w:rsid w:val="001448CD"/>
    <w:rsid w:val="0014496D"/>
    <w:rsid w:val="00144A37"/>
    <w:rsid w:val="00144D64"/>
    <w:rsid w:val="00144E3D"/>
    <w:rsid w:val="00145558"/>
    <w:rsid w:val="00145904"/>
    <w:rsid w:val="00145F26"/>
    <w:rsid w:val="001464E1"/>
    <w:rsid w:val="00146D43"/>
    <w:rsid w:val="00146E08"/>
    <w:rsid w:val="00147058"/>
    <w:rsid w:val="001472D4"/>
    <w:rsid w:val="00147639"/>
    <w:rsid w:val="00147705"/>
    <w:rsid w:val="00147902"/>
    <w:rsid w:val="00147CC1"/>
    <w:rsid w:val="00147DD4"/>
    <w:rsid w:val="00147E9C"/>
    <w:rsid w:val="001507F9"/>
    <w:rsid w:val="00150891"/>
    <w:rsid w:val="001509AA"/>
    <w:rsid w:val="00150FB1"/>
    <w:rsid w:val="00151071"/>
    <w:rsid w:val="0015163B"/>
    <w:rsid w:val="00151A2C"/>
    <w:rsid w:val="00152365"/>
    <w:rsid w:val="00152658"/>
    <w:rsid w:val="00152BA0"/>
    <w:rsid w:val="0015352D"/>
    <w:rsid w:val="001535D1"/>
    <w:rsid w:val="00153AE0"/>
    <w:rsid w:val="00153F31"/>
    <w:rsid w:val="00153FF7"/>
    <w:rsid w:val="001541D8"/>
    <w:rsid w:val="001542AF"/>
    <w:rsid w:val="001547BD"/>
    <w:rsid w:val="00154AC4"/>
    <w:rsid w:val="001557C6"/>
    <w:rsid w:val="001559B1"/>
    <w:rsid w:val="00155C51"/>
    <w:rsid w:val="0015600B"/>
    <w:rsid w:val="0015691D"/>
    <w:rsid w:val="00156F20"/>
    <w:rsid w:val="001577CC"/>
    <w:rsid w:val="0016053D"/>
    <w:rsid w:val="00160653"/>
    <w:rsid w:val="00160738"/>
    <w:rsid w:val="00160E97"/>
    <w:rsid w:val="001611E4"/>
    <w:rsid w:val="001613EF"/>
    <w:rsid w:val="001615C7"/>
    <w:rsid w:val="00161E81"/>
    <w:rsid w:val="001621C9"/>
    <w:rsid w:val="00162B82"/>
    <w:rsid w:val="0016321E"/>
    <w:rsid w:val="00163376"/>
    <w:rsid w:val="0016397F"/>
    <w:rsid w:val="00163F75"/>
    <w:rsid w:val="0016495A"/>
    <w:rsid w:val="00164BB5"/>
    <w:rsid w:val="0016563F"/>
    <w:rsid w:val="00165FAA"/>
    <w:rsid w:val="00166DDC"/>
    <w:rsid w:val="001671B6"/>
    <w:rsid w:val="00167331"/>
    <w:rsid w:val="001673DC"/>
    <w:rsid w:val="001673EC"/>
    <w:rsid w:val="001674D1"/>
    <w:rsid w:val="001677E7"/>
    <w:rsid w:val="00167A15"/>
    <w:rsid w:val="00167BB8"/>
    <w:rsid w:val="00167BE3"/>
    <w:rsid w:val="001706F4"/>
    <w:rsid w:val="00170700"/>
    <w:rsid w:val="00170939"/>
    <w:rsid w:val="00170F2E"/>
    <w:rsid w:val="00171235"/>
    <w:rsid w:val="00172298"/>
    <w:rsid w:val="001723B0"/>
    <w:rsid w:val="00172C09"/>
    <w:rsid w:val="00172E24"/>
    <w:rsid w:val="001734BF"/>
    <w:rsid w:val="00173733"/>
    <w:rsid w:val="00174BF4"/>
    <w:rsid w:val="00174D09"/>
    <w:rsid w:val="00175415"/>
    <w:rsid w:val="00175DD7"/>
    <w:rsid w:val="0017687E"/>
    <w:rsid w:val="0017700C"/>
    <w:rsid w:val="001770A0"/>
    <w:rsid w:val="0017726C"/>
    <w:rsid w:val="00177DDB"/>
    <w:rsid w:val="001800EF"/>
    <w:rsid w:val="00180817"/>
    <w:rsid w:val="00180DFA"/>
    <w:rsid w:val="00181648"/>
    <w:rsid w:val="0018199A"/>
    <w:rsid w:val="00181D01"/>
    <w:rsid w:val="00181F53"/>
    <w:rsid w:val="001829FF"/>
    <w:rsid w:val="00182A07"/>
    <w:rsid w:val="00182A4C"/>
    <w:rsid w:val="0018348C"/>
    <w:rsid w:val="00184753"/>
    <w:rsid w:val="00184AFB"/>
    <w:rsid w:val="00184EF3"/>
    <w:rsid w:val="00185131"/>
    <w:rsid w:val="001853EA"/>
    <w:rsid w:val="001857E1"/>
    <w:rsid w:val="00185A58"/>
    <w:rsid w:val="00186211"/>
    <w:rsid w:val="00186452"/>
    <w:rsid w:val="00186EB0"/>
    <w:rsid w:val="001870F0"/>
    <w:rsid w:val="00187493"/>
    <w:rsid w:val="001913CD"/>
    <w:rsid w:val="00191F35"/>
    <w:rsid w:val="0019215B"/>
    <w:rsid w:val="001922FF"/>
    <w:rsid w:val="00192531"/>
    <w:rsid w:val="001925D9"/>
    <w:rsid w:val="00192954"/>
    <w:rsid w:val="00192B7C"/>
    <w:rsid w:val="00192DE5"/>
    <w:rsid w:val="00193CA2"/>
    <w:rsid w:val="001954CD"/>
    <w:rsid w:val="00195536"/>
    <w:rsid w:val="00195A5B"/>
    <w:rsid w:val="00195CD4"/>
    <w:rsid w:val="001960C1"/>
    <w:rsid w:val="001963FE"/>
    <w:rsid w:val="00196479"/>
    <w:rsid w:val="0019661E"/>
    <w:rsid w:val="00197148"/>
    <w:rsid w:val="001A0D2E"/>
    <w:rsid w:val="001A0DAC"/>
    <w:rsid w:val="001A1875"/>
    <w:rsid w:val="001A1CD1"/>
    <w:rsid w:val="001A1E8E"/>
    <w:rsid w:val="001A2365"/>
    <w:rsid w:val="001A2567"/>
    <w:rsid w:val="001A2E01"/>
    <w:rsid w:val="001A2FE0"/>
    <w:rsid w:val="001A3F6E"/>
    <w:rsid w:val="001A42C2"/>
    <w:rsid w:val="001A4B9D"/>
    <w:rsid w:val="001A4ECD"/>
    <w:rsid w:val="001A542B"/>
    <w:rsid w:val="001A62DC"/>
    <w:rsid w:val="001A6B40"/>
    <w:rsid w:val="001B0374"/>
    <w:rsid w:val="001B0831"/>
    <w:rsid w:val="001B0ADF"/>
    <w:rsid w:val="001B12D5"/>
    <w:rsid w:val="001B1779"/>
    <w:rsid w:val="001B18C9"/>
    <w:rsid w:val="001B2374"/>
    <w:rsid w:val="001B2BD6"/>
    <w:rsid w:val="001B37E6"/>
    <w:rsid w:val="001B3E8D"/>
    <w:rsid w:val="001B4215"/>
    <w:rsid w:val="001B4509"/>
    <w:rsid w:val="001B5BF2"/>
    <w:rsid w:val="001B5D00"/>
    <w:rsid w:val="001B616E"/>
    <w:rsid w:val="001B64E1"/>
    <w:rsid w:val="001B65F2"/>
    <w:rsid w:val="001B6BDD"/>
    <w:rsid w:val="001B71D0"/>
    <w:rsid w:val="001C0211"/>
    <w:rsid w:val="001C0BAE"/>
    <w:rsid w:val="001C0FFA"/>
    <w:rsid w:val="001C39D7"/>
    <w:rsid w:val="001C3F13"/>
    <w:rsid w:val="001C3F2E"/>
    <w:rsid w:val="001C41A7"/>
    <w:rsid w:val="001C44C8"/>
    <w:rsid w:val="001C4893"/>
    <w:rsid w:val="001C5672"/>
    <w:rsid w:val="001C5829"/>
    <w:rsid w:val="001C658F"/>
    <w:rsid w:val="001C6744"/>
    <w:rsid w:val="001C6CFC"/>
    <w:rsid w:val="001C70AC"/>
    <w:rsid w:val="001C761B"/>
    <w:rsid w:val="001C7B69"/>
    <w:rsid w:val="001D096D"/>
    <w:rsid w:val="001D0C94"/>
    <w:rsid w:val="001D116D"/>
    <w:rsid w:val="001D212D"/>
    <w:rsid w:val="001D24D7"/>
    <w:rsid w:val="001D265C"/>
    <w:rsid w:val="001D3974"/>
    <w:rsid w:val="001D47F1"/>
    <w:rsid w:val="001D4BCD"/>
    <w:rsid w:val="001D4C0E"/>
    <w:rsid w:val="001D4C98"/>
    <w:rsid w:val="001D4D65"/>
    <w:rsid w:val="001D5231"/>
    <w:rsid w:val="001D5331"/>
    <w:rsid w:val="001D5942"/>
    <w:rsid w:val="001D630A"/>
    <w:rsid w:val="001D6781"/>
    <w:rsid w:val="001D6963"/>
    <w:rsid w:val="001D6C6F"/>
    <w:rsid w:val="001D6E0D"/>
    <w:rsid w:val="001D7F0D"/>
    <w:rsid w:val="001E036D"/>
    <w:rsid w:val="001E052D"/>
    <w:rsid w:val="001E077E"/>
    <w:rsid w:val="001E0C2B"/>
    <w:rsid w:val="001E0EF7"/>
    <w:rsid w:val="001E1AD7"/>
    <w:rsid w:val="001E1DF3"/>
    <w:rsid w:val="001E1F35"/>
    <w:rsid w:val="001E267D"/>
    <w:rsid w:val="001E2C42"/>
    <w:rsid w:val="001E3CA3"/>
    <w:rsid w:val="001E40D1"/>
    <w:rsid w:val="001E40EE"/>
    <w:rsid w:val="001E41B7"/>
    <w:rsid w:val="001E5278"/>
    <w:rsid w:val="001E5E5D"/>
    <w:rsid w:val="001E6243"/>
    <w:rsid w:val="001E64CE"/>
    <w:rsid w:val="001E6643"/>
    <w:rsid w:val="001E6A6F"/>
    <w:rsid w:val="001E6B7C"/>
    <w:rsid w:val="001E6C14"/>
    <w:rsid w:val="001E7F39"/>
    <w:rsid w:val="001F012C"/>
    <w:rsid w:val="001F0236"/>
    <w:rsid w:val="001F02BB"/>
    <w:rsid w:val="001F0818"/>
    <w:rsid w:val="001F0B6F"/>
    <w:rsid w:val="001F1491"/>
    <w:rsid w:val="001F1745"/>
    <w:rsid w:val="001F2C8B"/>
    <w:rsid w:val="001F3248"/>
    <w:rsid w:val="001F380E"/>
    <w:rsid w:val="001F3A42"/>
    <w:rsid w:val="001F3F03"/>
    <w:rsid w:val="001F40A7"/>
    <w:rsid w:val="001F4528"/>
    <w:rsid w:val="001F4D48"/>
    <w:rsid w:val="001F5CCA"/>
    <w:rsid w:val="001F5DED"/>
    <w:rsid w:val="001F6ABB"/>
    <w:rsid w:val="001F6FBD"/>
    <w:rsid w:val="001F7002"/>
    <w:rsid w:val="0020035B"/>
    <w:rsid w:val="00200577"/>
    <w:rsid w:val="00200C2D"/>
    <w:rsid w:val="00201DB9"/>
    <w:rsid w:val="00202953"/>
    <w:rsid w:val="00203C8C"/>
    <w:rsid w:val="00205685"/>
    <w:rsid w:val="002057F7"/>
    <w:rsid w:val="00206843"/>
    <w:rsid w:val="00206B14"/>
    <w:rsid w:val="002077C3"/>
    <w:rsid w:val="00207DB3"/>
    <w:rsid w:val="002105FC"/>
    <w:rsid w:val="002106C0"/>
    <w:rsid w:val="00210A88"/>
    <w:rsid w:val="00210D54"/>
    <w:rsid w:val="002114B2"/>
    <w:rsid w:val="00211D78"/>
    <w:rsid w:val="00211DFA"/>
    <w:rsid w:val="00213095"/>
    <w:rsid w:val="002132EC"/>
    <w:rsid w:val="00213512"/>
    <w:rsid w:val="00213661"/>
    <w:rsid w:val="0021465E"/>
    <w:rsid w:val="00214903"/>
    <w:rsid w:val="0021498F"/>
    <w:rsid w:val="00215ED6"/>
    <w:rsid w:val="00216BE0"/>
    <w:rsid w:val="0021780C"/>
    <w:rsid w:val="00217ABF"/>
    <w:rsid w:val="00217E9F"/>
    <w:rsid w:val="002204A2"/>
    <w:rsid w:val="002205AA"/>
    <w:rsid w:val="0022082B"/>
    <w:rsid w:val="002208D7"/>
    <w:rsid w:val="00220A22"/>
    <w:rsid w:val="00220A3B"/>
    <w:rsid w:val="00221A5A"/>
    <w:rsid w:val="00222287"/>
    <w:rsid w:val="002222FD"/>
    <w:rsid w:val="0022238E"/>
    <w:rsid w:val="00222E9F"/>
    <w:rsid w:val="00222F4D"/>
    <w:rsid w:val="0022358F"/>
    <w:rsid w:val="00223990"/>
    <w:rsid w:val="0022406F"/>
    <w:rsid w:val="002244E3"/>
    <w:rsid w:val="00224B82"/>
    <w:rsid w:val="00224C9A"/>
    <w:rsid w:val="00224E00"/>
    <w:rsid w:val="0022672D"/>
    <w:rsid w:val="00226B7B"/>
    <w:rsid w:val="00227946"/>
    <w:rsid w:val="00227B39"/>
    <w:rsid w:val="00227CEE"/>
    <w:rsid w:val="0023118A"/>
    <w:rsid w:val="0023163E"/>
    <w:rsid w:val="00231B02"/>
    <w:rsid w:val="00231C9B"/>
    <w:rsid w:val="00231DAB"/>
    <w:rsid w:val="00231E1E"/>
    <w:rsid w:val="0023201F"/>
    <w:rsid w:val="0023294C"/>
    <w:rsid w:val="00232D94"/>
    <w:rsid w:val="00233223"/>
    <w:rsid w:val="00233A31"/>
    <w:rsid w:val="00233EEE"/>
    <w:rsid w:val="0023528F"/>
    <w:rsid w:val="00236117"/>
    <w:rsid w:val="0023671E"/>
    <w:rsid w:val="002368CB"/>
    <w:rsid w:val="00237298"/>
    <w:rsid w:val="00237301"/>
    <w:rsid w:val="002377E8"/>
    <w:rsid w:val="00240454"/>
    <w:rsid w:val="002406BD"/>
    <w:rsid w:val="00241515"/>
    <w:rsid w:val="00241E86"/>
    <w:rsid w:val="002420A4"/>
    <w:rsid w:val="00242167"/>
    <w:rsid w:val="0024249D"/>
    <w:rsid w:val="002428BB"/>
    <w:rsid w:val="0024293B"/>
    <w:rsid w:val="00242ED8"/>
    <w:rsid w:val="00243D7F"/>
    <w:rsid w:val="00244072"/>
    <w:rsid w:val="002446DE"/>
    <w:rsid w:val="00244DD2"/>
    <w:rsid w:val="00245851"/>
    <w:rsid w:val="00246A89"/>
    <w:rsid w:val="0024721C"/>
    <w:rsid w:val="00247543"/>
    <w:rsid w:val="00247A8C"/>
    <w:rsid w:val="00247C4A"/>
    <w:rsid w:val="00247FA1"/>
    <w:rsid w:val="002506A3"/>
    <w:rsid w:val="002521B4"/>
    <w:rsid w:val="002522C6"/>
    <w:rsid w:val="00252742"/>
    <w:rsid w:val="00252F53"/>
    <w:rsid w:val="00253531"/>
    <w:rsid w:val="00253DE8"/>
    <w:rsid w:val="00254315"/>
    <w:rsid w:val="00254380"/>
    <w:rsid w:val="002544E4"/>
    <w:rsid w:val="00254BF4"/>
    <w:rsid w:val="00254E21"/>
    <w:rsid w:val="00255223"/>
    <w:rsid w:val="00255559"/>
    <w:rsid w:val="00255832"/>
    <w:rsid w:val="00255F3C"/>
    <w:rsid w:val="002560BF"/>
    <w:rsid w:val="00257AC7"/>
    <w:rsid w:val="00257EDD"/>
    <w:rsid w:val="0026091E"/>
    <w:rsid w:val="00260C36"/>
    <w:rsid w:val="00261069"/>
    <w:rsid w:val="002611B6"/>
    <w:rsid w:val="002618CD"/>
    <w:rsid w:val="00261A6E"/>
    <w:rsid w:val="00261B45"/>
    <w:rsid w:val="00261D5D"/>
    <w:rsid w:val="002622FF"/>
    <w:rsid w:val="00262E02"/>
    <w:rsid w:val="002630ED"/>
    <w:rsid w:val="00263232"/>
    <w:rsid w:val="002632D8"/>
    <w:rsid w:val="00263462"/>
    <w:rsid w:val="0026397C"/>
    <w:rsid w:val="00263AFA"/>
    <w:rsid w:val="00263D2B"/>
    <w:rsid w:val="002644B0"/>
    <w:rsid w:val="002645BB"/>
    <w:rsid w:val="00265089"/>
    <w:rsid w:val="0026531E"/>
    <w:rsid w:val="00265570"/>
    <w:rsid w:val="0026561E"/>
    <w:rsid w:val="00265BDD"/>
    <w:rsid w:val="00266361"/>
    <w:rsid w:val="00266692"/>
    <w:rsid w:val="00266D5C"/>
    <w:rsid w:val="00267376"/>
    <w:rsid w:val="002677B2"/>
    <w:rsid w:val="00270426"/>
    <w:rsid w:val="0027061A"/>
    <w:rsid w:val="00270C9F"/>
    <w:rsid w:val="0027105E"/>
    <w:rsid w:val="0027118F"/>
    <w:rsid w:val="00271238"/>
    <w:rsid w:val="00271901"/>
    <w:rsid w:val="00271C2A"/>
    <w:rsid w:val="00273730"/>
    <w:rsid w:val="00274799"/>
    <w:rsid w:val="0027479B"/>
    <w:rsid w:val="002749E9"/>
    <w:rsid w:val="00274D2B"/>
    <w:rsid w:val="002758E5"/>
    <w:rsid w:val="00275A2C"/>
    <w:rsid w:val="00275C71"/>
    <w:rsid w:val="002764E9"/>
    <w:rsid w:val="0027684D"/>
    <w:rsid w:val="00276F4D"/>
    <w:rsid w:val="002774F5"/>
    <w:rsid w:val="00277639"/>
    <w:rsid w:val="0027778F"/>
    <w:rsid w:val="00280277"/>
    <w:rsid w:val="002807C9"/>
    <w:rsid w:val="00282B12"/>
    <w:rsid w:val="0028340B"/>
    <w:rsid w:val="002836B5"/>
    <w:rsid w:val="00283719"/>
    <w:rsid w:val="00283FBB"/>
    <w:rsid w:val="002846EA"/>
    <w:rsid w:val="002847C1"/>
    <w:rsid w:val="00284E02"/>
    <w:rsid w:val="002855FD"/>
    <w:rsid w:val="00285989"/>
    <w:rsid w:val="00285E9D"/>
    <w:rsid w:val="002868BE"/>
    <w:rsid w:val="00286A45"/>
    <w:rsid w:val="00286F28"/>
    <w:rsid w:val="00286F94"/>
    <w:rsid w:val="0028750E"/>
    <w:rsid w:val="002876DF"/>
    <w:rsid w:val="00287C58"/>
    <w:rsid w:val="00287CE6"/>
    <w:rsid w:val="002902B7"/>
    <w:rsid w:val="002902C6"/>
    <w:rsid w:val="00290856"/>
    <w:rsid w:val="0029132E"/>
    <w:rsid w:val="00291E41"/>
    <w:rsid w:val="00291F37"/>
    <w:rsid w:val="00292546"/>
    <w:rsid w:val="00292BFA"/>
    <w:rsid w:val="00293373"/>
    <w:rsid w:val="00294283"/>
    <w:rsid w:val="00294703"/>
    <w:rsid w:val="00294750"/>
    <w:rsid w:val="00294AD0"/>
    <w:rsid w:val="00294F7D"/>
    <w:rsid w:val="00295546"/>
    <w:rsid w:val="0029599A"/>
    <w:rsid w:val="002964CE"/>
    <w:rsid w:val="002969B3"/>
    <w:rsid w:val="002970CA"/>
    <w:rsid w:val="00297665"/>
    <w:rsid w:val="00297917"/>
    <w:rsid w:val="00297955"/>
    <w:rsid w:val="00297BCA"/>
    <w:rsid w:val="002A0630"/>
    <w:rsid w:val="002A1355"/>
    <w:rsid w:val="002A143B"/>
    <w:rsid w:val="002A1DC9"/>
    <w:rsid w:val="002A3D00"/>
    <w:rsid w:val="002A47E1"/>
    <w:rsid w:val="002A587B"/>
    <w:rsid w:val="002A5F95"/>
    <w:rsid w:val="002A6341"/>
    <w:rsid w:val="002A6673"/>
    <w:rsid w:val="002A696A"/>
    <w:rsid w:val="002A6B63"/>
    <w:rsid w:val="002A6F0A"/>
    <w:rsid w:val="002A728C"/>
    <w:rsid w:val="002A73E2"/>
    <w:rsid w:val="002B0DE0"/>
    <w:rsid w:val="002B11F6"/>
    <w:rsid w:val="002B1201"/>
    <w:rsid w:val="002B1BC6"/>
    <w:rsid w:val="002B2760"/>
    <w:rsid w:val="002B3007"/>
    <w:rsid w:val="002B30FE"/>
    <w:rsid w:val="002B3AC1"/>
    <w:rsid w:val="002B3AED"/>
    <w:rsid w:val="002B3DF2"/>
    <w:rsid w:val="002B4432"/>
    <w:rsid w:val="002B48CB"/>
    <w:rsid w:val="002B5A45"/>
    <w:rsid w:val="002B5BAC"/>
    <w:rsid w:val="002B5F28"/>
    <w:rsid w:val="002B5F34"/>
    <w:rsid w:val="002B68A8"/>
    <w:rsid w:val="002B6B30"/>
    <w:rsid w:val="002B6B88"/>
    <w:rsid w:val="002B6D1B"/>
    <w:rsid w:val="002B6E3A"/>
    <w:rsid w:val="002B6F60"/>
    <w:rsid w:val="002B7407"/>
    <w:rsid w:val="002B7682"/>
    <w:rsid w:val="002B7A7A"/>
    <w:rsid w:val="002B7AB2"/>
    <w:rsid w:val="002B7F76"/>
    <w:rsid w:val="002C0723"/>
    <w:rsid w:val="002C12F5"/>
    <w:rsid w:val="002C35D6"/>
    <w:rsid w:val="002C4219"/>
    <w:rsid w:val="002C45F4"/>
    <w:rsid w:val="002C460E"/>
    <w:rsid w:val="002C549B"/>
    <w:rsid w:val="002C5649"/>
    <w:rsid w:val="002C6D17"/>
    <w:rsid w:val="002C6F4C"/>
    <w:rsid w:val="002C7256"/>
    <w:rsid w:val="002C74FA"/>
    <w:rsid w:val="002C7511"/>
    <w:rsid w:val="002C772A"/>
    <w:rsid w:val="002D0B6B"/>
    <w:rsid w:val="002D0D4D"/>
    <w:rsid w:val="002D10C5"/>
    <w:rsid w:val="002D1FD2"/>
    <w:rsid w:val="002D2AF3"/>
    <w:rsid w:val="002D2C3E"/>
    <w:rsid w:val="002D355D"/>
    <w:rsid w:val="002D35EC"/>
    <w:rsid w:val="002D398C"/>
    <w:rsid w:val="002D3E2F"/>
    <w:rsid w:val="002D406F"/>
    <w:rsid w:val="002D40E3"/>
    <w:rsid w:val="002D474A"/>
    <w:rsid w:val="002D4A9B"/>
    <w:rsid w:val="002D5256"/>
    <w:rsid w:val="002D5759"/>
    <w:rsid w:val="002D57C2"/>
    <w:rsid w:val="002D5C27"/>
    <w:rsid w:val="002D5C99"/>
    <w:rsid w:val="002D6603"/>
    <w:rsid w:val="002D6E6F"/>
    <w:rsid w:val="002D6FC7"/>
    <w:rsid w:val="002D70AC"/>
    <w:rsid w:val="002D7282"/>
    <w:rsid w:val="002D72EB"/>
    <w:rsid w:val="002D73FF"/>
    <w:rsid w:val="002E0DBA"/>
    <w:rsid w:val="002E0E53"/>
    <w:rsid w:val="002E283F"/>
    <w:rsid w:val="002E4025"/>
    <w:rsid w:val="002E4682"/>
    <w:rsid w:val="002E4815"/>
    <w:rsid w:val="002E567B"/>
    <w:rsid w:val="002E5ADB"/>
    <w:rsid w:val="002E5C97"/>
    <w:rsid w:val="002E5D90"/>
    <w:rsid w:val="002E5E4E"/>
    <w:rsid w:val="002E6A94"/>
    <w:rsid w:val="002E7882"/>
    <w:rsid w:val="002E7909"/>
    <w:rsid w:val="002F03E2"/>
    <w:rsid w:val="002F04D2"/>
    <w:rsid w:val="002F1793"/>
    <w:rsid w:val="002F1A54"/>
    <w:rsid w:val="002F2053"/>
    <w:rsid w:val="002F2D32"/>
    <w:rsid w:val="002F3B9C"/>
    <w:rsid w:val="002F3BBD"/>
    <w:rsid w:val="002F3E5A"/>
    <w:rsid w:val="002F3F6C"/>
    <w:rsid w:val="002F4D1F"/>
    <w:rsid w:val="002F5853"/>
    <w:rsid w:val="002F5A68"/>
    <w:rsid w:val="002F5FA5"/>
    <w:rsid w:val="002F63CE"/>
    <w:rsid w:val="002F643A"/>
    <w:rsid w:val="002F6FD1"/>
    <w:rsid w:val="002F703D"/>
    <w:rsid w:val="002F7B93"/>
    <w:rsid w:val="00300456"/>
    <w:rsid w:val="003008EE"/>
    <w:rsid w:val="00300B8D"/>
    <w:rsid w:val="00300CF2"/>
    <w:rsid w:val="00301039"/>
    <w:rsid w:val="003010BB"/>
    <w:rsid w:val="0030152B"/>
    <w:rsid w:val="003017E1"/>
    <w:rsid w:val="003018AC"/>
    <w:rsid w:val="00302142"/>
    <w:rsid w:val="00302385"/>
    <w:rsid w:val="0030280E"/>
    <w:rsid w:val="00302A53"/>
    <w:rsid w:val="00302B26"/>
    <w:rsid w:val="00302C62"/>
    <w:rsid w:val="00303954"/>
    <w:rsid w:val="00303D2D"/>
    <w:rsid w:val="00303E48"/>
    <w:rsid w:val="003042B5"/>
    <w:rsid w:val="00304DB5"/>
    <w:rsid w:val="0030539C"/>
    <w:rsid w:val="00305B9F"/>
    <w:rsid w:val="00306534"/>
    <w:rsid w:val="00306DEA"/>
    <w:rsid w:val="00307865"/>
    <w:rsid w:val="00307F46"/>
    <w:rsid w:val="00310A0D"/>
    <w:rsid w:val="00310C52"/>
    <w:rsid w:val="003118DA"/>
    <w:rsid w:val="00311BFE"/>
    <w:rsid w:val="0031217E"/>
    <w:rsid w:val="0031219E"/>
    <w:rsid w:val="00312759"/>
    <w:rsid w:val="003127F1"/>
    <w:rsid w:val="003130BC"/>
    <w:rsid w:val="00313C70"/>
    <w:rsid w:val="00313E8A"/>
    <w:rsid w:val="00314E67"/>
    <w:rsid w:val="00315A86"/>
    <w:rsid w:val="00315AD3"/>
    <w:rsid w:val="00317662"/>
    <w:rsid w:val="00317946"/>
    <w:rsid w:val="00317BD2"/>
    <w:rsid w:val="00320C8C"/>
    <w:rsid w:val="00321F0C"/>
    <w:rsid w:val="0032250B"/>
    <w:rsid w:val="00322A30"/>
    <w:rsid w:val="00322A5E"/>
    <w:rsid w:val="003232A2"/>
    <w:rsid w:val="00323B84"/>
    <w:rsid w:val="00324066"/>
    <w:rsid w:val="00324ADD"/>
    <w:rsid w:val="00325332"/>
    <w:rsid w:val="0032557D"/>
    <w:rsid w:val="00326115"/>
    <w:rsid w:val="00326211"/>
    <w:rsid w:val="0032629B"/>
    <w:rsid w:val="00326638"/>
    <w:rsid w:val="00326804"/>
    <w:rsid w:val="00326B87"/>
    <w:rsid w:val="00326FD9"/>
    <w:rsid w:val="00327B73"/>
    <w:rsid w:val="00327EBD"/>
    <w:rsid w:val="00330BEB"/>
    <w:rsid w:val="00330FC0"/>
    <w:rsid w:val="00332CFF"/>
    <w:rsid w:val="00332EB2"/>
    <w:rsid w:val="00333DEC"/>
    <w:rsid w:val="0033434C"/>
    <w:rsid w:val="003365EC"/>
    <w:rsid w:val="003366F3"/>
    <w:rsid w:val="003374F9"/>
    <w:rsid w:val="00337CC9"/>
    <w:rsid w:val="003406A0"/>
    <w:rsid w:val="00340969"/>
    <w:rsid w:val="0034122E"/>
    <w:rsid w:val="00341EE2"/>
    <w:rsid w:val="00341F67"/>
    <w:rsid w:val="003420B6"/>
    <w:rsid w:val="0034244B"/>
    <w:rsid w:val="00342E99"/>
    <w:rsid w:val="00343C39"/>
    <w:rsid w:val="0034443F"/>
    <w:rsid w:val="0034465D"/>
    <w:rsid w:val="003449FB"/>
    <w:rsid w:val="00344BC7"/>
    <w:rsid w:val="00344BE5"/>
    <w:rsid w:val="00345191"/>
    <w:rsid w:val="003454C0"/>
    <w:rsid w:val="003455E9"/>
    <w:rsid w:val="003457C3"/>
    <w:rsid w:val="00345A2C"/>
    <w:rsid w:val="00345C01"/>
    <w:rsid w:val="00346049"/>
    <w:rsid w:val="003460A3"/>
    <w:rsid w:val="003462AE"/>
    <w:rsid w:val="00346807"/>
    <w:rsid w:val="00346ACC"/>
    <w:rsid w:val="00346DC0"/>
    <w:rsid w:val="0034742A"/>
    <w:rsid w:val="0034757D"/>
    <w:rsid w:val="003475D4"/>
    <w:rsid w:val="00347AA2"/>
    <w:rsid w:val="00350214"/>
    <w:rsid w:val="003506FC"/>
    <w:rsid w:val="00350E99"/>
    <w:rsid w:val="003511E5"/>
    <w:rsid w:val="00351D8D"/>
    <w:rsid w:val="00352445"/>
    <w:rsid w:val="00352830"/>
    <w:rsid w:val="003534F1"/>
    <w:rsid w:val="003539F6"/>
    <w:rsid w:val="00354234"/>
    <w:rsid w:val="0035464E"/>
    <w:rsid w:val="00354BF3"/>
    <w:rsid w:val="003553B0"/>
    <w:rsid w:val="00355489"/>
    <w:rsid w:val="003554D0"/>
    <w:rsid w:val="0035569E"/>
    <w:rsid w:val="003556CE"/>
    <w:rsid w:val="00356AB1"/>
    <w:rsid w:val="00360566"/>
    <w:rsid w:val="00360B3D"/>
    <w:rsid w:val="003610D6"/>
    <w:rsid w:val="003610DF"/>
    <w:rsid w:val="003612AD"/>
    <w:rsid w:val="00361486"/>
    <w:rsid w:val="00361AB5"/>
    <w:rsid w:val="00361F70"/>
    <w:rsid w:val="003630BF"/>
    <w:rsid w:val="0036323F"/>
    <w:rsid w:val="00363627"/>
    <w:rsid w:val="00364718"/>
    <w:rsid w:val="00364C12"/>
    <w:rsid w:val="00365224"/>
    <w:rsid w:val="00365801"/>
    <w:rsid w:val="003660D9"/>
    <w:rsid w:val="00366384"/>
    <w:rsid w:val="00366B7C"/>
    <w:rsid w:val="003677F3"/>
    <w:rsid w:val="00371141"/>
    <w:rsid w:val="00371B80"/>
    <w:rsid w:val="00371C0E"/>
    <w:rsid w:val="00372F0A"/>
    <w:rsid w:val="00373289"/>
    <w:rsid w:val="003757B5"/>
    <w:rsid w:val="003759BE"/>
    <w:rsid w:val="003759DD"/>
    <w:rsid w:val="00375AB8"/>
    <w:rsid w:val="00375FFF"/>
    <w:rsid w:val="00376C8F"/>
    <w:rsid w:val="003772C7"/>
    <w:rsid w:val="003775C8"/>
    <w:rsid w:val="00377CDD"/>
    <w:rsid w:val="00377F06"/>
    <w:rsid w:val="00380082"/>
    <w:rsid w:val="00380FFF"/>
    <w:rsid w:val="0038106D"/>
    <w:rsid w:val="0038147D"/>
    <w:rsid w:val="00381655"/>
    <w:rsid w:val="00381AEA"/>
    <w:rsid w:val="00381B11"/>
    <w:rsid w:val="00381C7E"/>
    <w:rsid w:val="00381C98"/>
    <w:rsid w:val="00381CA3"/>
    <w:rsid w:val="00381CC7"/>
    <w:rsid w:val="003828F5"/>
    <w:rsid w:val="00382991"/>
    <w:rsid w:val="003829D2"/>
    <w:rsid w:val="00382B94"/>
    <w:rsid w:val="00382F62"/>
    <w:rsid w:val="0038320D"/>
    <w:rsid w:val="00383722"/>
    <w:rsid w:val="003837A6"/>
    <w:rsid w:val="00383B7D"/>
    <w:rsid w:val="00384362"/>
    <w:rsid w:val="003843EA"/>
    <w:rsid w:val="00384722"/>
    <w:rsid w:val="00384FEF"/>
    <w:rsid w:val="003851FE"/>
    <w:rsid w:val="00385377"/>
    <w:rsid w:val="00385DC8"/>
    <w:rsid w:val="00385ED2"/>
    <w:rsid w:val="00385FF5"/>
    <w:rsid w:val="00386567"/>
    <w:rsid w:val="003868CA"/>
    <w:rsid w:val="00386CF6"/>
    <w:rsid w:val="003876EE"/>
    <w:rsid w:val="00387E00"/>
    <w:rsid w:val="003901D6"/>
    <w:rsid w:val="00390ECE"/>
    <w:rsid w:val="00391382"/>
    <w:rsid w:val="00391520"/>
    <w:rsid w:val="00391A32"/>
    <w:rsid w:val="00392D04"/>
    <w:rsid w:val="00392F62"/>
    <w:rsid w:val="00393163"/>
    <w:rsid w:val="0039345F"/>
    <w:rsid w:val="003938A7"/>
    <w:rsid w:val="00394F5E"/>
    <w:rsid w:val="003955FB"/>
    <w:rsid w:val="00395BA3"/>
    <w:rsid w:val="00395DE4"/>
    <w:rsid w:val="00396103"/>
    <w:rsid w:val="00396652"/>
    <w:rsid w:val="0039681F"/>
    <w:rsid w:val="00396AC7"/>
    <w:rsid w:val="00397205"/>
    <w:rsid w:val="00397E61"/>
    <w:rsid w:val="003A04CE"/>
    <w:rsid w:val="003A107D"/>
    <w:rsid w:val="003A1224"/>
    <w:rsid w:val="003A1AFB"/>
    <w:rsid w:val="003A1D26"/>
    <w:rsid w:val="003A1E76"/>
    <w:rsid w:val="003A257D"/>
    <w:rsid w:val="003A3105"/>
    <w:rsid w:val="003A3F2E"/>
    <w:rsid w:val="003A4098"/>
    <w:rsid w:val="003A4269"/>
    <w:rsid w:val="003A47F9"/>
    <w:rsid w:val="003A5984"/>
    <w:rsid w:val="003A5D8C"/>
    <w:rsid w:val="003A6367"/>
    <w:rsid w:val="003A69BF"/>
    <w:rsid w:val="003A6A8A"/>
    <w:rsid w:val="003A72B1"/>
    <w:rsid w:val="003A76F6"/>
    <w:rsid w:val="003A7777"/>
    <w:rsid w:val="003A7C52"/>
    <w:rsid w:val="003B00EF"/>
    <w:rsid w:val="003B02C2"/>
    <w:rsid w:val="003B08E2"/>
    <w:rsid w:val="003B0C3C"/>
    <w:rsid w:val="003B2A61"/>
    <w:rsid w:val="003B2E3B"/>
    <w:rsid w:val="003B31A9"/>
    <w:rsid w:val="003B3593"/>
    <w:rsid w:val="003B36A4"/>
    <w:rsid w:val="003B3F8F"/>
    <w:rsid w:val="003B431B"/>
    <w:rsid w:val="003B4842"/>
    <w:rsid w:val="003B49C3"/>
    <w:rsid w:val="003B5873"/>
    <w:rsid w:val="003B5CB3"/>
    <w:rsid w:val="003B5EC0"/>
    <w:rsid w:val="003B654C"/>
    <w:rsid w:val="003B6FB7"/>
    <w:rsid w:val="003B7273"/>
    <w:rsid w:val="003B7990"/>
    <w:rsid w:val="003C0017"/>
    <w:rsid w:val="003C058C"/>
    <w:rsid w:val="003C0E41"/>
    <w:rsid w:val="003C1A88"/>
    <w:rsid w:val="003C1E6F"/>
    <w:rsid w:val="003C206B"/>
    <w:rsid w:val="003C2C70"/>
    <w:rsid w:val="003C302E"/>
    <w:rsid w:val="003C30C3"/>
    <w:rsid w:val="003C30DB"/>
    <w:rsid w:val="003C3253"/>
    <w:rsid w:val="003C3505"/>
    <w:rsid w:val="003C35CA"/>
    <w:rsid w:val="003C37F7"/>
    <w:rsid w:val="003C3D34"/>
    <w:rsid w:val="003C3D62"/>
    <w:rsid w:val="003C3FCC"/>
    <w:rsid w:val="003C42FA"/>
    <w:rsid w:val="003C4343"/>
    <w:rsid w:val="003C467F"/>
    <w:rsid w:val="003C4B75"/>
    <w:rsid w:val="003C52C5"/>
    <w:rsid w:val="003C5415"/>
    <w:rsid w:val="003C54D5"/>
    <w:rsid w:val="003C5CB4"/>
    <w:rsid w:val="003C60CF"/>
    <w:rsid w:val="003C72AE"/>
    <w:rsid w:val="003C747D"/>
    <w:rsid w:val="003C76D5"/>
    <w:rsid w:val="003C76FB"/>
    <w:rsid w:val="003D014B"/>
    <w:rsid w:val="003D0915"/>
    <w:rsid w:val="003D0FDB"/>
    <w:rsid w:val="003D1623"/>
    <w:rsid w:val="003D1633"/>
    <w:rsid w:val="003D1D1D"/>
    <w:rsid w:val="003D244B"/>
    <w:rsid w:val="003D2C93"/>
    <w:rsid w:val="003D3785"/>
    <w:rsid w:val="003D3B6F"/>
    <w:rsid w:val="003D3BAB"/>
    <w:rsid w:val="003D415E"/>
    <w:rsid w:val="003D4479"/>
    <w:rsid w:val="003D4809"/>
    <w:rsid w:val="003D4C72"/>
    <w:rsid w:val="003D4D20"/>
    <w:rsid w:val="003D5018"/>
    <w:rsid w:val="003D5254"/>
    <w:rsid w:val="003D5322"/>
    <w:rsid w:val="003D56AB"/>
    <w:rsid w:val="003D6049"/>
    <w:rsid w:val="003D624B"/>
    <w:rsid w:val="003D64B2"/>
    <w:rsid w:val="003D65CA"/>
    <w:rsid w:val="003D66DF"/>
    <w:rsid w:val="003D6C25"/>
    <w:rsid w:val="003D7168"/>
    <w:rsid w:val="003D72B2"/>
    <w:rsid w:val="003D7998"/>
    <w:rsid w:val="003D7B71"/>
    <w:rsid w:val="003D7BC8"/>
    <w:rsid w:val="003D7DE1"/>
    <w:rsid w:val="003E070F"/>
    <w:rsid w:val="003E14FD"/>
    <w:rsid w:val="003E1694"/>
    <w:rsid w:val="003E2411"/>
    <w:rsid w:val="003E3F0C"/>
    <w:rsid w:val="003E4195"/>
    <w:rsid w:val="003E4447"/>
    <w:rsid w:val="003E5266"/>
    <w:rsid w:val="003E6BA8"/>
    <w:rsid w:val="003F02A7"/>
    <w:rsid w:val="003F098F"/>
    <w:rsid w:val="003F09FC"/>
    <w:rsid w:val="003F0C7D"/>
    <w:rsid w:val="003F253E"/>
    <w:rsid w:val="003F2AD1"/>
    <w:rsid w:val="003F2D2F"/>
    <w:rsid w:val="003F34DB"/>
    <w:rsid w:val="003F3FAD"/>
    <w:rsid w:val="003F4984"/>
    <w:rsid w:val="003F5636"/>
    <w:rsid w:val="003F7325"/>
    <w:rsid w:val="003F7A95"/>
    <w:rsid w:val="003F7E15"/>
    <w:rsid w:val="003F7F35"/>
    <w:rsid w:val="00400874"/>
    <w:rsid w:val="00400E9F"/>
    <w:rsid w:val="00401220"/>
    <w:rsid w:val="00401D17"/>
    <w:rsid w:val="00401D5B"/>
    <w:rsid w:val="00402244"/>
    <w:rsid w:val="00403508"/>
    <w:rsid w:val="004037F0"/>
    <w:rsid w:val="00403A7A"/>
    <w:rsid w:val="004040C1"/>
    <w:rsid w:val="00404653"/>
    <w:rsid w:val="00404BCA"/>
    <w:rsid w:val="00406483"/>
    <w:rsid w:val="004067DC"/>
    <w:rsid w:val="00406854"/>
    <w:rsid w:val="00407609"/>
    <w:rsid w:val="0040790C"/>
    <w:rsid w:val="00410573"/>
    <w:rsid w:val="004118FC"/>
    <w:rsid w:val="00411D0A"/>
    <w:rsid w:val="00411F29"/>
    <w:rsid w:val="004123B5"/>
    <w:rsid w:val="004123B6"/>
    <w:rsid w:val="00412882"/>
    <w:rsid w:val="00412B50"/>
    <w:rsid w:val="00413BBF"/>
    <w:rsid w:val="00414581"/>
    <w:rsid w:val="00414826"/>
    <w:rsid w:val="00415AFC"/>
    <w:rsid w:val="00416667"/>
    <w:rsid w:val="004169C5"/>
    <w:rsid w:val="00416C59"/>
    <w:rsid w:val="00417427"/>
    <w:rsid w:val="00417720"/>
    <w:rsid w:val="0042057B"/>
    <w:rsid w:val="00421043"/>
    <w:rsid w:val="00421B6D"/>
    <w:rsid w:val="00422297"/>
    <w:rsid w:val="00423977"/>
    <w:rsid w:val="00423B2C"/>
    <w:rsid w:val="00423B89"/>
    <w:rsid w:val="00423BC5"/>
    <w:rsid w:val="00424569"/>
    <w:rsid w:val="004247F3"/>
    <w:rsid w:val="00424DBC"/>
    <w:rsid w:val="004255E5"/>
    <w:rsid w:val="00425A0A"/>
    <w:rsid w:val="00425AAF"/>
    <w:rsid w:val="004271BD"/>
    <w:rsid w:val="004276E8"/>
    <w:rsid w:val="004279E7"/>
    <w:rsid w:val="00430121"/>
    <w:rsid w:val="00431A6E"/>
    <w:rsid w:val="00432D7A"/>
    <w:rsid w:val="00433057"/>
    <w:rsid w:val="004331A4"/>
    <w:rsid w:val="00433707"/>
    <w:rsid w:val="00433E9F"/>
    <w:rsid w:val="00435119"/>
    <w:rsid w:val="004361CE"/>
    <w:rsid w:val="00436846"/>
    <w:rsid w:val="00436AD3"/>
    <w:rsid w:val="00436BA3"/>
    <w:rsid w:val="00436DFF"/>
    <w:rsid w:val="00437310"/>
    <w:rsid w:val="004400E8"/>
    <w:rsid w:val="00440C1A"/>
    <w:rsid w:val="004419B8"/>
    <w:rsid w:val="00441C13"/>
    <w:rsid w:val="004422F6"/>
    <w:rsid w:val="00442766"/>
    <w:rsid w:val="00442BBB"/>
    <w:rsid w:val="004432E9"/>
    <w:rsid w:val="00443494"/>
    <w:rsid w:val="00443F7F"/>
    <w:rsid w:val="0044400D"/>
    <w:rsid w:val="00444509"/>
    <w:rsid w:val="0044475B"/>
    <w:rsid w:val="004447C6"/>
    <w:rsid w:val="004448F5"/>
    <w:rsid w:val="00444D45"/>
    <w:rsid w:val="00445D3F"/>
    <w:rsid w:val="00446252"/>
    <w:rsid w:val="0044631A"/>
    <w:rsid w:val="0044654C"/>
    <w:rsid w:val="00446AF4"/>
    <w:rsid w:val="00446DF8"/>
    <w:rsid w:val="00446FDD"/>
    <w:rsid w:val="00447EB2"/>
    <w:rsid w:val="00450CC3"/>
    <w:rsid w:val="00450D37"/>
    <w:rsid w:val="00451AB1"/>
    <w:rsid w:val="004524D1"/>
    <w:rsid w:val="00452531"/>
    <w:rsid w:val="00455510"/>
    <w:rsid w:val="00455DB9"/>
    <w:rsid w:val="00456174"/>
    <w:rsid w:val="00456D27"/>
    <w:rsid w:val="00457BD6"/>
    <w:rsid w:val="00457C8E"/>
    <w:rsid w:val="004606ED"/>
    <w:rsid w:val="00461469"/>
    <w:rsid w:val="00461910"/>
    <w:rsid w:val="004625A7"/>
    <w:rsid w:val="00462A19"/>
    <w:rsid w:val="004632DA"/>
    <w:rsid w:val="004640F0"/>
    <w:rsid w:val="004646CA"/>
    <w:rsid w:val="004649C9"/>
    <w:rsid w:val="00465A31"/>
    <w:rsid w:val="00466259"/>
    <w:rsid w:val="00466503"/>
    <w:rsid w:val="00466A81"/>
    <w:rsid w:val="00466EB0"/>
    <w:rsid w:val="0046757B"/>
    <w:rsid w:val="00467822"/>
    <w:rsid w:val="00470CC0"/>
    <w:rsid w:val="00470E1F"/>
    <w:rsid w:val="004711E3"/>
    <w:rsid w:val="00471B42"/>
    <w:rsid w:val="004725C6"/>
    <w:rsid w:val="00472B20"/>
    <w:rsid w:val="004730C7"/>
    <w:rsid w:val="00473562"/>
    <w:rsid w:val="004738EB"/>
    <w:rsid w:val="00474769"/>
    <w:rsid w:val="00474D71"/>
    <w:rsid w:val="0047533A"/>
    <w:rsid w:val="00475D35"/>
    <w:rsid w:val="00476329"/>
    <w:rsid w:val="00476648"/>
    <w:rsid w:val="00476966"/>
    <w:rsid w:val="004773D2"/>
    <w:rsid w:val="0048085E"/>
    <w:rsid w:val="0048142D"/>
    <w:rsid w:val="004815F1"/>
    <w:rsid w:val="004818AF"/>
    <w:rsid w:val="0048239D"/>
    <w:rsid w:val="00482832"/>
    <w:rsid w:val="00482C10"/>
    <w:rsid w:val="0048445D"/>
    <w:rsid w:val="004846CF"/>
    <w:rsid w:val="00484A8E"/>
    <w:rsid w:val="00484DA3"/>
    <w:rsid w:val="00485250"/>
    <w:rsid w:val="00485343"/>
    <w:rsid w:val="004857C6"/>
    <w:rsid w:val="004861C4"/>
    <w:rsid w:val="00486620"/>
    <w:rsid w:val="0049008F"/>
    <w:rsid w:val="0049053C"/>
    <w:rsid w:val="00490D9E"/>
    <w:rsid w:val="00490EA7"/>
    <w:rsid w:val="00491433"/>
    <w:rsid w:val="0049161D"/>
    <w:rsid w:val="00491BA0"/>
    <w:rsid w:val="004933EF"/>
    <w:rsid w:val="00493777"/>
    <w:rsid w:val="00493AEA"/>
    <w:rsid w:val="00493B27"/>
    <w:rsid w:val="00495613"/>
    <w:rsid w:val="00495F95"/>
    <w:rsid w:val="00496141"/>
    <w:rsid w:val="00496245"/>
    <w:rsid w:val="00496A86"/>
    <w:rsid w:val="00496F19"/>
    <w:rsid w:val="0049733E"/>
    <w:rsid w:val="004973B4"/>
    <w:rsid w:val="00497CD3"/>
    <w:rsid w:val="004A0AE2"/>
    <w:rsid w:val="004A0C8E"/>
    <w:rsid w:val="004A1C66"/>
    <w:rsid w:val="004A23F8"/>
    <w:rsid w:val="004A6B65"/>
    <w:rsid w:val="004A6B8B"/>
    <w:rsid w:val="004A71C8"/>
    <w:rsid w:val="004A755B"/>
    <w:rsid w:val="004A75EA"/>
    <w:rsid w:val="004A772F"/>
    <w:rsid w:val="004B0ADA"/>
    <w:rsid w:val="004B0C26"/>
    <w:rsid w:val="004B1205"/>
    <w:rsid w:val="004B225E"/>
    <w:rsid w:val="004B243F"/>
    <w:rsid w:val="004B2C35"/>
    <w:rsid w:val="004B3024"/>
    <w:rsid w:val="004B359C"/>
    <w:rsid w:val="004B3744"/>
    <w:rsid w:val="004B3C52"/>
    <w:rsid w:val="004B4F88"/>
    <w:rsid w:val="004B5197"/>
    <w:rsid w:val="004B5330"/>
    <w:rsid w:val="004B5AA7"/>
    <w:rsid w:val="004B6141"/>
    <w:rsid w:val="004B667E"/>
    <w:rsid w:val="004B66F5"/>
    <w:rsid w:val="004B6CB0"/>
    <w:rsid w:val="004B6ECD"/>
    <w:rsid w:val="004B7E2E"/>
    <w:rsid w:val="004B7E9A"/>
    <w:rsid w:val="004C013B"/>
    <w:rsid w:val="004C0428"/>
    <w:rsid w:val="004C0A9D"/>
    <w:rsid w:val="004C10D2"/>
    <w:rsid w:val="004C157E"/>
    <w:rsid w:val="004C17AD"/>
    <w:rsid w:val="004C1B3D"/>
    <w:rsid w:val="004C27D0"/>
    <w:rsid w:val="004C48A4"/>
    <w:rsid w:val="004C55A2"/>
    <w:rsid w:val="004C59EA"/>
    <w:rsid w:val="004C60DC"/>
    <w:rsid w:val="004C6A77"/>
    <w:rsid w:val="004C711C"/>
    <w:rsid w:val="004C7A49"/>
    <w:rsid w:val="004C7C9A"/>
    <w:rsid w:val="004C7F68"/>
    <w:rsid w:val="004D00B7"/>
    <w:rsid w:val="004D00CA"/>
    <w:rsid w:val="004D04AC"/>
    <w:rsid w:val="004D0D36"/>
    <w:rsid w:val="004D1048"/>
    <w:rsid w:val="004D1069"/>
    <w:rsid w:val="004D1471"/>
    <w:rsid w:val="004D1A51"/>
    <w:rsid w:val="004D1C4F"/>
    <w:rsid w:val="004D1E14"/>
    <w:rsid w:val="004D1FFF"/>
    <w:rsid w:val="004D226F"/>
    <w:rsid w:val="004D2B53"/>
    <w:rsid w:val="004D2CC7"/>
    <w:rsid w:val="004D31D1"/>
    <w:rsid w:val="004D37B3"/>
    <w:rsid w:val="004D397F"/>
    <w:rsid w:val="004D3AC8"/>
    <w:rsid w:val="004D45C7"/>
    <w:rsid w:val="004D488C"/>
    <w:rsid w:val="004D4D4A"/>
    <w:rsid w:val="004D6005"/>
    <w:rsid w:val="004D611E"/>
    <w:rsid w:val="004D64BF"/>
    <w:rsid w:val="004D6819"/>
    <w:rsid w:val="004D6891"/>
    <w:rsid w:val="004D7432"/>
    <w:rsid w:val="004D796C"/>
    <w:rsid w:val="004D7CCA"/>
    <w:rsid w:val="004D7FBA"/>
    <w:rsid w:val="004E00A1"/>
    <w:rsid w:val="004E06CA"/>
    <w:rsid w:val="004E18F5"/>
    <w:rsid w:val="004E1987"/>
    <w:rsid w:val="004E21AE"/>
    <w:rsid w:val="004E22CC"/>
    <w:rsid w:val="004E31B1"/>
    <w:rsid w:val="004E347B"/>
    <w:rsid w:val="004E40F8"/>
    <w:rsid w:val="004E4610"/>
    <w:rsid w:val="004E4D01"/>
    <w:rsid w:val="004E5B0B"/>
    <w:rsid w:val="004E6136"/>
    <w:rsid w:val="004E7395"/>
    <w:rsid w:val="004E7474"/>
    <w:rsid w:val="004E780D"/>
    <w:rsid w:val="004F030D"/>
    <w:rsid w:val="004F035C"/>
    <w:rsid w:val="004F0C51"/>
    <w:rsid w:val="004F1A00"/>
    <w:rsid w:val="004F1A8A"/>
    <w:rsid w:val="004F359E"/>
    <w:rsid w:val="004F3F78"/>
    <w:rsid w:val="004F4C3E"/>
    <w:rsid w:val="004F508F"/>
    <w:rsid w:val="004F53BD"/>
    <w:rsid w:val="004F5953"/>
    <w:rsid w:val="004F603C"/>
    <w:rsid w:val="004F6509"/>
    <w:rsid w:val="004F6674"/>
    <w:rsid w:val="004F6747"/>
    <w:rsid w:val="004F6E46"/>
    <w:rsid w:val="004F703C"/>
    <w:rsid w:val="004F7582"/>
    <w:rsid w:val="004F78EB"/>
    <w:rsid w:val="004F7D3A"/>
    <w:rsid w:val="004F7F5B"/>
    <w:rsid w:val="004F7FDC"/>
    <w:rsid w:val="0050016E"/>
    <w:rsid w:val="00500D70"/>
    <w:rsid w:val="005012A3"/>
    <w:rsid w:val="005013FB"/>
    <w:rsid w:val="00501689"/>
    <w:rsid w:val="00501932"/>
    <w:rsid w:val="00503246"/>
    <w:rsid w:val="00503372"/>
    <w:rsid w:val="0050363C"/>
    <w:rsid w:val="0050496A"/>
    <w:rsid w:val="005053A5"/>
    <w:rsid w:val="00505578"/>
    <w:rsid w:val="00505928"/>
    <w:rsid w:val="00505A43"/>
    <w:rsid w:val="00506514"/>
    <w:rsid w:val="005070D3"/>
    <w:rsid w:val="00507495"/>
    <w:rsid w:val="00507662"/>
    <w:rsid w:val="0051037E"/>
    <w:rsid w:val="005103EE"/>
    <w:rsid w:val="00510B62"/>
    <w:rsid w:val="00510F08"/>
    <w:rsid w:val="005110F3"/>
    <w:rsid w:val="005110F7"/>
    <w:rsid w:val="005113C6"/>
    <w:rsid w:val="005122A0"/>
    <w:rsid w:val="00512579"/>
    <w:rsid w:val="0051270B"/>
    <w:rsid w:val="0051270E"/>
    <w:rsid w:val="005127B6"/>
    <w:rsid w:val="0051398C"/>
    <w:rsid w:val="005147B9"/>
    <w:rsid w:val="00514FFC"/>
    <w:rsid w:val="005152BB"/>
    <w:rsid w:val="005154D0"/>
    <w:rsid w:val="005155FC"/>
    <w:rsid w:val="005156D6"/>
    <w:rsid w:val="0051581B"/>
    <w:rsid w:val="005177AC"/>
    <w:rsid w:val="00517929"/>
    <w:rsid w:val="005211DD"/>
    <w:rsid w:val="00521AD0"/>
    <w:rsid w:val="00521C61"/>
    <w:rsid w:val="005221D8"/>
    <w:rsid w:val="0052288D"/>
    <w:rsid w:val="005234FF"/>
    <w:rsid w:val="00523698"/>
    <w:rsid w:val="0052375B"/>
    <w:rsid w:val="005239C9"/>
    <w:rsid w:val="0052424E"/>
    <w:rsid w:val="00524436"/>
    <w:rsid w:val="00525DF2"/>
    <w:rsid w:val="005260C6"/>
    <w:rsid w:val="0052641D"/>
    <w:rsid w:val="00527427"/>
    <w:rsid w:val="00527B6D"/>
    <w:rsid w:val="00527E97"/>
    <w:rsid w:val="00530FE2"/>
    <w:rsid w:val="00531A2D"/>
    <w:rsid w:val="00531BEF"/>
    <w:rsid w:val="00531DD7"/>
    <w:rsid w:val="00532126"/>
    <w:rsid w:val="005326AF"/>
    <w:rsid w:val="0053295C"/>
    <w:rsid w:val="00532E90"/>
    <w:rsid w:val="0053306C"/>
    <w:rsid w:val="0053333F"/>
    <w:rsid w:val="005334E8"/>
    <w:rsid w:val="00533CF6"/>
    <w:rsid w:val="00533F3D"/>
    <w:rsid w:val="00534022"/>
    <w:rsid w:val="005340C7"/>
    <w:rsid w:val="005344F1"/>
    <w:rsid w:val="00535E34"/>
    <w:rsid w:val="00536395"/>
    <w:rsid w:val="00536557"/>
    <w:rsid w:val="00536CAF"/>
    <w:rsid w:val="00536F21"/>
    <w:rsid w:val="0053772F"/>
    <w:rsid w:val="005377EE"/>
    <w:rsid w:val="00537A07"/>
    <w:rsid w:val="00540A67"/>
    <w:rsid w:val="005410B3"/>
    <w:rsid w:val="0054123F"/>
    <w:rsid w:val="00542AC9"/>
    <w:rsid w:val="00542B21"/>
    <w:rsid w:val="00542F30"/>
    <w:rsid w:val="00544062"/>
    <w:rsid w:val="005445E0"/>
    <w:rsid w:val="0054516B"/>
    <w:rsid w:val="005452B7"/>
    <w:rsid w:val="00546A1B"/>
    <w:rsid w:val="005476C8"/>
    <w:rsid w:val="005504D9"/>
    <w:rsid w:val="0055086E"/>
    <w:rsid w:val="005509E5"/>
    <w:rsid w:val="00550B48"/>
    <w:rsid w:val="005513AA"/>
    <w:rsid w:val="005522B0"/>
    <w:rsid w:val="005522DB"/>
    <w:rsid w:val="005549F5"/>
    <w:rsid w:val="00554FEF"/>
    <w:rsid w:val="005555CE"/>
    <w:rsid w:val="00555A83"/>
    <w:rsid w:val="00556496"/>
    <w:rsid w:val="00556D49"/>
    <w:rsid w:val="00556E33"/>
    <w:rsid w:val="00557665"/>
    <w:rsid w:val="00557A38"/>
    <w:rsid w:val="00557B44"/>
    <w:rsid w:val="00560079"/>
    <w:rsid w:val="00560920"/>
    <w:rsid w:val="00560980"/>
    <w:rsid w:val="00560BD1"/>
    <w:rsid w:val="005611C3"/>
    <w:rsid w:val="005614B4"/>
    <w:rsid w:val="00561535"/>
    <w:rsid w:val="005623F0"/>
    <w:rsid w:val="00563630"/>
    <w:rsid w:val="00563D78"/>
    <w:rsid w:val="0056433A"/>
    <w:rsid w:val="00564E4F"/>
    <w:rsid w:val="00565510"/>
    <w:rsid w:val="0056605E"/>
    <w:rsid w:val="00566A9C"/>
    <w:rsid w:val="00566C2C"/>
    <w:rsid w:val="00567011"/>
    <w:rsid w:val="0056722A"/>
    <w:rsid w:val="005677FA"/>
    <w:rsid w:val="00567CD4"/>
    <w:rsid w:val="00570587"/>
    <w:rsid w:val="005711C1"/>
    <w:rsid w:val="00571561"/>
    <w:rsid w:val="00572613"/>
    <w:rsid w:val="00573455"/>
    <w:rsid w:val="00573638"/>
    <w:rsid w:val="0057390B"/>
    <w:rsid w:val="00573949"/>
    <w:rsid w:val="00573F3B"/>
    <w:rsid w:val="0057404F"/>
    <w:rsid w:val="00574362"/>
    <w:rsid w:val="00574998"/>
    <w:rsid w:val="00574ACB"/>
    <w:rsid w:val="00574AFC"/>
    <w:rsid w:val="005751A4"/>
    <w:rsid w:val="0057555A"/>
    <w:rsid w:val="005763F1"/>
    <w:rsid w:val="005768BC"/>
    <w:rsid w:val="00577C27"/>
    <w:rsid w:val="0058034E"/>
    <w:rsid w:val="00580702"/>
    <w:rsid w:val="00580873"/>
    <w:rsid w:val="00580A35"/>
    <w:rsid w:val="00581BD0"/>
    <w:rsid w:val="005824C2"/>
    <w:rsid w:val="00582631"/>
    <w:rsid w:val="00582A08"/>
    <w:rsid w:val="00583B4B"/>
    <w:rsid w:val="00583EE4"/>
    <w:rsid w:val="0058428A"/>
    <w:rsid w:val="005845C3"/>
    <w:rsid w:val="005852D2"/>
    <w:rsid w:val="00585BC7"/>
    <w:rsid w:val="0058605F"/>
    <w:rsid w:val="00586165"/>
    <w:rsid w:val="0058634B"/>
    <w:rsid w:val="00586722"/>
    <w:rsid w:val="00590185"/>
    <w:rsid w:val="00590218"/>
    <w:rsid w:val="0059021B"/>
    <w:rsid w:val="00590A94"/>
    <w:rsid w:val="00590C8A"/>
    <w:rsid w:val="00591C12"/>
    <w:rsid w:val="005927A4"/>
    <w:rsid w:val="00592E14"/>
    <w:rsid w:val="00593D4B"/>
    <w:rsid w:val="00593F08"/>
    <w:rsid w:val="00593F64"/>
    <w:rsid w:val="00594229"/>
    <w:rsid w:val="00594233"/>
    <w:rsid w:val="005944D4"/>
    <w:rsid w:val="0059510E"/>
    <w:rsid w:val="0059543F"/>
    <w:rsid w:val="005963A3"/>
    <w:rsid w:val="00596B20"/>
    <w:rsid w:val="005972EF"/>
    <w:rsid w:val="00597365"/>
    <w:rsid w:val="005A04C3"/>
    <w:rsid w:val="005A1346"/>
    <w:rsid w:val="005A1914"/>
    <w:rsid w:val="005A1A5C"/>
    <w:rsid w:val="005A1AB8"/>
    <w:rsid w:val="005A2203"/>
    <w:rsid w:val="005A222D"/>
    <w:rsid w:val="005A2469"/>
    <w:rsid w:val="005A276B"/>
    <w:rsid w:val="005A2FB8"/>
    <w:rsid w:val="005A5667"/>
    <w:rsid w:val="005A5668"/>
    <w:rsid w:val="005A598C"/>
    <w:rsid w:val="005A6693"/>
    <w:rsid w:val="005A7430"/>
    <w:rsid w:val="005B0AF8"/>
    <w:rsid w:val="005B0D92"/>
    <w:rsid w:val="005B0EB2"/>
    <w:rsid w:val="005B16C2"/>
    <w:rsid w:val="005B16DE"/>
    <w:rsid w:val="005B16E5"/>
    <w:rsid w:val="005B1D09"/>
    <w:rsid w:val="005B2F49"/>
    <w:rsid w:val="005B2FEB"/>
    <w:rsid w:val="005B3558"/>
    <w:rsid w:val="005B3CE2"/>
    <w:rsid w:val="005B46EE"/>
    <w:rsid w:val="005B4E27"/>
    <w:rsid w:val="005B5564"/>
    <w:rsid w:val="005B5C45"/>
    <w:rsid w:val="005B5D76"/>
    <w:rsid w:val="005B5D9D"/>
    <w:rsid w:val="005B656C"/>
    <w:rsid w:val="005B66C9"/>
    <w:rsid w:val="005B70DC"/>
    <w:rsid w:val="005B7273"/>
    <w:rsid w:val="005B795B"/>
    <w:rsid w:val="005C0834"/>
    <w:rsid w:val="005C08DA"/>
    <w:rsid w:val="005C0C8B"/>
    <w:rsid w:val="005C1BB9"/>
    <w:rsid w:val="005C21FB"/>
    <w:rsid w:val="005C2213"/>
    <w:rsid w:val="005C23B1"/>
    <w:rsid w:val="005C28C7"/>
    <w:rsid w:val="005C2E48"/>
    <w:rsid w:val="005C3317"/>
    <w:rsid w:val="005C352C"/>
    <w:rsid w:val="005C410F"/>
    <w:rsid w:val="005C47F2"/>
    <w:rsid w:val="005C5653"/>
    <w:rsid w:val="005C707B"/>
    <w:rsid w:val="005C72B8"/>
    <w:rsid w:val="005C7F7F"/>
    <w:rsid w:val="005D03F3"/>
    <w:rsid w:val="005D0C1A"/>
    <w:rsid w:val="005D0C8D"/>
    <w:rsid w:val="005D12B3"/>
    <w:rsid w:val="005D17C0"/>
    <w:rsid w:val="005D315A"/>
    <w:rsid w:val="005D3C0A"/>
    <w:rsid w:val="005D453A"/>
    <w:rsid w:val="005D4AF3"/>
    <w:rsid w:val="005D54D4"/>
    <w:rsid w:val="005D5C3E"/>
    <w:rsid w:val="005D5E32"/>
    <w:rsid w:val="005D74E2"/>
    <w:rsid w:val="005E0A18"/>
    <w:rsid w:val="005E0C40"/>
    <w:rsid w:val="005E1410"/>
    <w:rsid w:val="005E1D74"/>
    <w:rsid w:val="005E2471"/>
    <w:rsid w:val="005E297D"/>
    <w:rsid w:val="005E35E8"/>
    <w:rsid w:val="005E3E57"/>
    <w:rsid w:val="005E400B"/>
    <w:rsid w:val="005E5137"/>
    <w:rsid w:val="005E51E2"/>
    <w:rsid w:val="005E5919"/>
    <w:rsid w:val="005E5B99"/>
    <w:rsid w:val="005E5F74"/>
    <w:rsid w:val="005E5FBE"/>
    <w:rsid w:val="005E6964"/>
    <w:rsid w:val="005E79A5"/>
    <w:rsid w:val="005E7E29"/>
    <w:rsid w:val="005F13B9"/>
    <w:rsid w:val="005F13E5"/>
    <w:rsid w:val="005F1570"/>
    <w:rsid w:val="005F170F"/>
    <w:rsid w:val="005F193B"/>
    <w:rsid w:val="005F2239"/>
    <w:rsid w:val="005F2420"/>
    <w:rsid w:val="005F325E"/>
    <w:rsid w:val="005F340B"/>
    <w:rsid w:val="005F3422"/>
    <w:rsid w:val="005F34EF"/>
    <w:rsid w:val="005F360E"/>
    <w:rsid w:val="005F37C0"/>
    <w:rsid w:val="005F4341"/>
    <w:rsid w:val="005F472E"/>
    <w:rsid w:val="005F48DA"/>
    <w:rsid w:val="005F4A04"/>
    <w:rsid w:val="005F4AA3"/>
    <w:rsid w:val="005F4E93"/>
    <w:rsid w:val="005F4FD6"/>
    <w:rsid w:val="005F506B"/>
    <w:rsid w:val="005F546B"/>
    <w:rsid w:val="005F5F22"/>
    <w:rsid w:val="005F6874"/>
    <w:rsid w:val="005F69C8"/>
    <w:rsid w:val="005F6B28"/>
    <w:rsid w:val="005F6CBF"/>
    <w:rsid w:val="005F6F89"/>
    <w:rsid w:val="005F7234"/>
    <w:rsid w:val="005F76D8"/>
    <w:rsid w:val="005F778B"/>
    <w:rsid w:val="005F7F46"/>
    <w:rsid w:val="006008BE"/>
    <w:rsid w:val="0060103F"/>
    <w:rsid w:val="00602037"/>
    <w:rsid w:val="00603253"/>
    <w:rsid w:val="00603706"/>
    <w:rsid w:val="00603AE1"/>
    <w:rsid w:val="0060442C"/>
    <w:rsid w:val="006045AF"/>
    <w:rsid w:val="00604961"/>
    <w:rsid w:val="00604B17"/>
    <w:rsid w:val="0060580D"/>
    <w:rsid w:val="00605B8E"/>
    <w:rsid w:val="00605C9F"/>
    <w:rsid w:val="00605F85"/>
    <w:rsid w:val="00606EB4"/>
    <w:rsid w:val="00607048"/>
    <w:rsid w:val="00607233"/>
    <w:rsid w:val="0060734D"/>
    <w:rsid w:val="0061045E"/>
    <w:rsid w:val="006105C3"/>
    <w:rsid w:val="00610AF6"/>
    <w:rsid w:val="00611A8A"/>
    <w:rsid w:val="00611B69"/>
    <w:rsid w:val="00611F61"/>
    <w:rsid w:val="00612429"/>
    <w:rsid w:val="00612677"/>
    <w:rsid w:val="006136C2"/>
    <w:rsid w:val="006138FF"/>
    <w:rsid w:val="006141D1"/>
    <w:rsid w:val="006151DB"/>
    <w:rsid w:val="006159B5"/>
    <w:rsid w:val="0061653E"/>
    <w:rsid w:val="006167D2"/>
    <w:rsid w:val="00616C9D"/>
    <w:rsid w:val="00620C09"/>
    <w:rsid w:val="00620DDF"/>
    <w:rsid w:val="00621F6F"/>
    <w:rsid w:val="00621FA9"/>
    <w:rsid w:val="00622628"/>
    <w:rsid w:val="006226BD"/>
    <w:rsid w:val="006228AF"/>
    <w:rsid w:val="00622C11"/>
    <w:rsid w:val="00622D91"/>
    <w:rsid w:val="00622E28"/>
    <w:rsid w:val="00622E9D"/>
    <w:rsid w:val="00622EE5"/>
    <w:rsid w:val="00623211"/>
    <w:rsid w:val="006234EE"/>
    <w:rsid w:val="006235F8"/>
    <w:rsid w:val="006238C1"/>
    <w:rsid w:val="0062462A"/>
    <w:rsid w:val="00624BCD"/>
    <w:rsid w:val="00624D60"/>
    <w:rsid w:val="006250BE"/>
    <w:rsid w:val="00625BAA"/>
    <w:rsid w:val="00625BE9"/>
    <w:rsid w:val="00626287"/>
    <w:rsid w:val="00626F0F"/>
    <w:rsid w:val="00627560"/>
    <w:rsid w:val="00627E4B"/>
    <w:rsid w:val="006302BB"/>
    <w:rsid w:val="00630759"/>
    <w:rsid w:val="006308AF"/>
    <w:rsid w:val="00630AF2"/>
    <w:rsid w:val="00631654"/>
    <w:rsid w:val="00631948"/>
    <w:rsid w:val="00631BBB"/>
    <w:rsid w:val="00631F59"/>
    <w:rsid w:val="006324A0"/>
    <w:rsid w:val="00632D4A"/>
    <w:rsid w:val="00633B61"/>
    <w:rsid w:val="006341A6"/>
    <w:rsid w:val="006350D2"/>
    <w:rsid w:val="00635A09"/>
    <w:rsid w:val="00635EBE"/>
    <w:rsid w:val="006369D4"/>
    <w:rsid w:val="00636D74"/>
    <w:rsid w:val="006378D7"/>
    <w:rsid w:val="00640D09"/>
    <w:rsid w:val="006415D1"/>
    <w:rsid w:val="006418FE"/>
    <w:rsid w:val="006419C3"/>
    <w:rsid w:val="00641B45"/>
    <w:rsid w:val="0064245F"/>
    <w:rsid w:val="00642B36"/>
    <w:rsid w:val="00643001"/>
    <w:rsid w:val="006439BF"/>
    <w:rsid w:val="00643D29"/>
    <w:rsid w:val="00643FB1"/>
    <w:rsid w:val="006444C5"/>
    <w:rsid w:val="006448B9"/>
    <w:rsid w:val="006449BC"/>
    <w:rsid w:val="00644F00"/>
    <w:rsid w:val="00644FAB"/>
    <w:rsid w:val="0064506D"/>
    <w:rsid w:val="006452D2"/>
    <w:rsid w:val="00645A34"/>
    <w:rsid w:val="0064618D"/>
    <w:rsid w:val="00646ACF"/>
    <w:rsid w:val="00646F4F"/>
    <w:rsid w:val="00647663"/>
    <w:rsid w:val="006502AA"/>
    <w:rsid w:val="006503BD"/>
    <w:rsid w:val="00650BFE"/>
    <w:rsid w:val="00650D5C"/>
    <w:rsid w:val="0065205B"/>
    <w:rsid w:val="00652B28"/>
    <w:rsid w:val="00652F46"/>
    <w:rsid w:val="00653E56"/>
    <w:rsid w:val="006540E2"/>
    <w:rsid w:val="006546A5"/>
    <w:rsid w:val="00654F5E"/>
    <w:rsid w:val="00654F83"/>
    <w:rsid w:val="00655A17"/>
    <w:rsid w:val="00655DBD"/>
    <w:rsid w:val="006561B0"/>
    <w:rsid w:val="00656322"/>
    <w:rsid w:val="006563DF"/>
    <w:rsid w:val="00656AD1"/>
    <w:rsid w:val="00656C64"/>
    <w:rsid w:val="00657248"/>
    <w:rsid w:val="0065757A"/>
    <w:rsid w:val="00657D18"/>
    <w:rsid w:val="00657D25"/>
    <w:rsid w:val="0066056E"/>
    <w:rsid w:val="00660B3F"/>
    <w:rsid w:val="006614BD"/>
    <w:rsid w:val="006616E3"/>
    <w:rsid w:val="006617C8"/>
    <w:rsid w:val="00662585"/>
    <w:rsid w:val="006625B2"/>
    <w:rsid w:val="006626A8"/>
    <w:rsid w:val="006638B8"/>
    <w:rsid w:val="00663F22"/>
    <w:rsid w:val="006642A0"/>
    <w:rsid w:val="00664626"/>
    <w:rsid w:val="00664CED"/>
    <w:rsid w:val="00664D41"/>
    <w:rsid w:val="00664DE5"/>
    <w:rsid w:val="00665358"/>
    <w:rsid w:val="006657A2"/>
    <w:rsid w:val="006658B4"/>
    <w:rsid w:val="00666532"/>
    <w:rsid w:val="00666BA0"/>
    <w:rsid w:val="00666F61"/>
    <w:rsid w:val="00667169"/>
    <w:rsid w:val="006674DD"/>
    <w:rsid w:val="00667549"/>
    <w:rsid w:val="0067284E"/>
    <w:rsid w:val="00673188"/>
    <w:rsid w:val="00673657"/>
    <w:rsid w:val="006738D2"/>
    <w:rsid w:val="00673B52"/>
    <w:rsid w:val="00673DB3"/>
    <w:rsid w:val="006740D2"/>
    <w:rsid w:val="00674368"/>
    <w:rsid w:val="00674C2C"/>
    <w:rsid w:val="006750E1"/>
    <w:rsid w:val="006757AC"/>
    <w:rsid w:val="006760C3"/>
    <w:rsid w:val="00676871"/>
    <w:rsid w:val="00676949"/>
    <w:rsid w:val="00676AD5"/>
    <w:rsid w:val="00676DBA"/>
    <w:rsid w:val="00677E4A"/>
    <w:rsid w:val="00680C9F"/>
    <w:rsid w:val="00680DB2"/>
    <w:rsid w:val="00681565"/>
    <w:rsid w:val="00681582"/>
    <w:rsid w:val="0068164D"/>
    <w:rsid w:val="00681B1A"/>
    <w:rsid w:val="00682032"/>
    <w:rsid w:val="00682228"/>
    <w:rsid w:val="006824C0"/>
    <w:rsid w:val="006824DC"/>
    <w:rsid w:val="00682DF8"/>
    <w:rsid w:val="006836DD"/>
    <w:rsid w:val="00684183"/>
    <w:rsid w:val="006857A6"/>
    <w:rsid w:val="00685DE5"/>
    <w:rsid w:val="00687665"/>
    <w:rsid w:val="00690079"/>
    <w:rsid w:val="00690E7B"/>
    <w:rsid w:val="00691219"/>
    <w:rsid w:val="00691A23"/>
    <w:rsid w:val="00691B03"/>
    <w:rsid w:val="00692112"/>
    <w:rsid w:val="00692123"/>
    <w:rsid w:val="00692207"/>
    <w:rsid w:val="00692325"/>
    <w:rsid w:val="00692B9B"/>
    <w:rsid w:val="00692F35"/>
    <w:rsid w:val="006930F2"/>
    <w:rsid w:val="00693423"/>
    <w:rsid w:val="0069379D"/>
    <w:rsid w:val="00693CE2"/>
    <w:rsid w:val="0069525B"/>
    <w:rsid w:val="00697B5A"/>
    <w:rsid w:val="006A01EB"/>
    <w:rsid w:val="006A0C09"/>
    <w:rsid w:val="006A16BF"/>
    <w:rsid w:val="006A18C5"/>
    <w:rsid w:val="006A1A0A"/>
    <w:rsid w:val="006A21A0"/>
    <w:rsid w:val="006A2664"/>
    <w:rsid w:val="006A2B35"/>
    <w:rsid w:val="006A4633"/>
    <w:rsid w:val="006A4A5E"/>
    <w:rsid w:val="006A4AFB"/>
    <w:rsid w:val="006A4C5A"/>
    <w:rsid w:val="006A51AB"/>
    <w:rsid w:val="006A5A97"/>
    <w:rsid w:val="006A5B25"/>
    <w:rsid w:val="006A5F0D"/>
    <w:rsid w:val="006A62E4"/>
    <w:rsid w:val="006A635C"/>
    <w:rsid w:val="006A66BB"/>
    <w:rsid w:val="006B01BE"/>
    <w:rsid w:val="006B0843"/>
    <w:rsid w:val="006B098E"/>
    <w:rsid w:val="006B0FF3"/>
    <w:rsid w:val="006B1549"/>
    <w:rsid w:val="006B1746"/>
    <w:rsid w:val="006B1D3E"/>
    <w:rsid w:val="006B2CF0"/>
    <w:rsid w:val="006B39EE"/>
    <w:rsid w:val="006B4EFA"/>
    <w:rsid w:val="006B551C"/>
    <w:rsid w:val="006B58BC"/>
    <w:rsid w:val="006B6080"/>
    <w:rsid w:val="006B60F5"/>
    <w:rsid w:val="006B6178"/>
    <w:rsid w:val="006B63E1"/>
    <w:rsid w:val="006B6522"/>
    <w:rsid w:val="006B6A7C"/>
    <w:rsid w:val="006B773B"/>
    <w:rsid w:val="006B7C21"/>
    <w:rsid w:val="006C005A"/>
    <w:rsid w:val="006C0242"/>
    <w:rsid w:val="006C0263"/>
    <w:rsid w:val="006C0A0C"/>
    <w:rsid w:val="006C11B6"/>
    <w:rsid w:val="006C1381"/>
    <w:rsid w:val="006C164D"/>
    <w:rsid w:val="006C1BA9"/>
    <w:rsid w:val="006C2FBB"/>
    <w:rsid w:val="006C31A6"/>
    <w:rsid w:val="006C3B36"/>
    <w:rsid w:val="006C4A65"/>
    <w:rsid w:val="006C4A79"/>
    <w:rsid w:val="006C52E1"/>
    <w:rsid w:val="006C536C"/>
    <w:rsid w:val="006C730C"/>
    <w:rsid w:val="006C79D3"/>
    <w:rsid w:val="006C7BF0"/>
    <w:rsid w:val="006D02E9"/>
    <w:rsid w:val="006D074B"/>
    <w:rsid w:val="006D18DA"/>
    <w:rsid w:val="006D1E7C"/>
    <w:rsid w:val="006D2055"/>
    <w:rsid w:val="006D2B46"/>
    <w:rsid w:val="006D2D11"/>
    <w:rsid w:val="006D3CAA"/>
    <w:rsid w:val="006D3F09"/>
    <w:rsid w:val="006D4259"/>
    <w:rsid w:val="006D4372"/>
    <w:rsid w:val="006D4556"/>
    <w:rsid w:val="006D4760"/>
    <w:rsid w:val="006D479D"/>
    <w:rsid w:val="006D533E"/>
    <w:rsid w:val="006D5BC2"/>
    <w:rsid w:val="006D5BEF"/>
    <w:rsid w:val="006D5CF6"/>
    <w:rsid w:val="006D72FD"/>
    <w:rsid w:val="006D7B54"/>
    <w:rsid w:val="006D7B55"/>
    <w:rsid w:val="006E0C7A"/>
    <w:rsid w:val="006E22F3"/>
    <w:rsid w:val="006E311E"/>
    <w:rsid w:val="006E3CCA"/>
    <w:rsid w:val="006E4E01"/>
    <w:rsid w:val="006E5342"/>
    <w:rsid w:val="006E5847"/>
    <w:rsid w:val="006E5CE2"/>
    <w:rsid w:val="006E6136"/>
    <w:rsid w:val="006E62F6"/>
    <w:rsid w:val="006E690A"/>
    <w:rsid w:val="006E6CC8"/>
    <w:rsid w:val="006E6DF3"/>
    <w:rsid w:val="006E7BCC"/>
    <w:rsid w:val="006E7DCB"/>
    <w:rsid w:val="006F016C"/>
    <w:rsid w:val="006F01C1"/>
    <w:rsid w:val="006F0580"/>
    <w:rsid w:val="006F195B"/>
    <w:rsid w:val="006F1A19"/>
    <w:rsid w:val="006F28B0"/>
    <w:rsid w:val="006F3291"/>
    <w:rsid w:val="006F3AE7"/>
    <w:rsid w:val="006F3FDE"/>
    <w:rsid w:val="006F4CF9"/>
    <w:rsid w:val="006F4DBC"/>
    <w:rsid w:val="006F5302"/>
    <w:rsid w:val="006F56FC"/>
    <w:rsid w:val="006F597E"/>
    <w:rsid w:val="006F5A51"/>
    <w:rsid w:val="006F5A97"/>
    <w:rsid w:val="006F64E3"/>
    <w:rsid w:val="006F7827"/>
    <w:rsid w:val="006F7C85"/>
    <w:rsid w:val="007001BD"/>
    <w:rsid w:val="0070023E"/>
    <w:rsid w:val="0070057F"/>
    <w:rsid w:val="00700DB3"/>
    <w:rsid w:val="00700E9A"/>
    <w:rsid w:val="0070129A"/>
    <w:rsid w:val="00701605"/>
    <w:rsid w:val="00702243"/>
    <w:rsid w:val="00702519"/>
    <w:rsid w:val="0070274C"/>
    <w:rsid w:val="007027F3"/>
    <w:rsid w:val="00703177"/>
    <w:rsid w:val="00704113"/>
    <w:rsid w:val="00704734"/>
    <w:rsid w:val="00704B58"/>
    <w:rsid w:val="00705A97"/>
    <w:rsid w:val="00706620"/>
    <w:rsid w:val="00707848"/>
    <w:rsid w:val="00707900"/>
    <w:rsid w:val="00707B97"/>
    <w:rsid w:val="007103D1"/>
    <w:rsid w:val="0071063F"/>
    <w:rsid w:val="0071286B"/>
    <w:rsid w:val="0071311A"/>
    <w:rsid w:val="00713B0B"/>
    <w:rsid w:val="00713B79"/>
    <w:rsid w:val="007144E6"/>
    <w:rsid w:val="007148B4"/>
    <w:rsid w:val="00715196"/>
    <w:rsid w:val="007152EE"/>
    <w:rsid w:val="00715786"/>
    <w:rsid w:val="00716008"/>
    <w:rsid w:val="007160DC"/>
    <w:rsid w:val="00716409"/>
    <w:rsid w:val="007167C6"/>
    <w:rsid w:val="00716CF2"/>
    <w:rsid w:val="00716FE2"/>
    <w:rsid w:val="00717091"/>
    <w:rsid w:val="00717DA2"/>
    <w:rsid w:val="00720181"/>
    <w:rsid w:val="00720610"/>
    <w:rsid w:val="00720CCB"/>
    <w:rsid w:val="00720EAB"/>
    <w:rsid w:val="00721274"/>
    <w:rsid w:val="00721498"/>
    <w:rsid w:val="0072221F"/>
    <w:rsid w:val="00722AA4"/>
    <w:rsid w:val="0072304A"/>
    <w:rsid w:val="007232FF"/>
    <w:rsid w:val="00724DEA"/>
    <w:rsid w:val="00724FBF"/>
    <w:rsid w:val="0072510F"/>
    <w:rsid w:val="007256FF"/>
    <w:rsid w:val="00725B49"/>
    <w:rsid w:val="007265C4"/>
    <w:rsid w:val="0072661D"/>
    <w:rsid w:val="00726832"/>
    <w:rsid w:val="00726D31"/>
    <w:rsid w:val="00727ABE"/>
    <w:rsid w:val="00727E89"/>
    <w:rsid w:val="00730523"/>
    <w:rsid w:val="00730713"/>
    <w:rsid w:val="0073107E"/>
    <w:rsid w:val="007314EA"/>
    <w:rsid w:val="0073196C"/>
    <w:rsid w:val="0073269E"/>
    <w:rsid w:val="00733F23"/>
    <w:rsid w:val="00734055"/>
    <w:rsid w:val="0073459F"/>
    <w:rsid w:val="007346BA"/>
    <w:rsid w:val="00735378"/>
    <w:rsid w:val="00735726"/>
    <w:rsid w:val="00736345"/>
    <w:rsid w:val="007370AA"/>
    <w:rsid w:val="00737769"/>
    <w:rsid w:val="00740A97"/>
    <w:rsid w:val="00740B63"/>
    <w:rsid w:val="007411D4"/>
    <w:rsid w:val="00741AE1"/>
    <w:rsid w:val="00742202"/>
    <w:rsid w:val="00742855"/>
    <w:rsid w:val="00742DAC"/>
    <w:rsid w:val="0074335E"/>
    <w:rsid w:val="00744064"/>
    <w:rsid w:val="007442F5"/>
    <w:rsid w:val="0074466B"/>
    <w:rsid w:val="00744D10"/>
    <w:rsid w:val="00744E0C"/>
    <w:rsid w:val="00744FF7"/>
    <w:rsid w:val="00746001"/>
    <w:rsid w:val="00746565"/>
    <w:rsid w:val="007465CD"/>
    <w:rsid w:val="00746AA5"/>
    <w:rsid w:val="00746F5B"/>
    <w:rsid w:val="007472C5"/>
    <w:rsid w:val="007474EC"/>
    <w:rsid w:val="00747BD7"/>
    <w:rsid w:val="00747FC6"/>
    <w:rsid w:val="0075018C"/>
    <w:rsid w:val="00750199"/>
    <w:rsid w:val="00750328"/>
    <w:rsid w:val="007511DC"/>
    <w:rsid w:val="007514A5"/>
    <w:rsid w:val="00752728"/>
    <w:rsid w:val="007533B9"/>
    <w:rsid w:val="00753953"/>
    <w:rsid w:val="00753EB7"/>
    <w:rsid w:val="00753F4F"/>
    <w:rsid w:val="00754099"/>
    <w:rsid w:val="007541EA"/>
    <w:rsid w:val="00754616"/>
    <w:rsid w:val="007547BE"/>
    <w:rsid w:val="00754A71"/>
    <w:rsid w:val="0075533A"/>
    <w:rsid w:val="0075560E"/>
    <w:rsid w:val="00756031"/>
    <w:rsid w:val="00756156"/>
    <w:rsid w:val="0075618D"/>
    <w:rsid w:val="00756C03"/>
    <w:rsid w:val="00756E4B"/>
    <w:rsid w:val="00757A73"/>
    <w:rsid w:val="00760DBF"/>
    <w:rsid w:val="00761230"/>
    <w:rsid w:val="0076222B"/>
    <w:rsid w:val="00762DCC"/>
    <w:rsid w:val="00762F37"/>
    <w:rsid w:val="00763B71"/>
    <w:rsid w:val="00763FCC"/>
    <w:rsid w:val="00764217"/>
    <w:rsid w:val="00766086"/>
    <w:rsid w:val="00766880"/>
    <w:rsid w:val="00767186"/>
    <w:rsid w:val="0076743E"/>
    <w:rsid w:val="007675B5"/>
    <w:rsid w:val="00772CBE"/>
    <w:rsid w:val="00772F5E"/>
    <w:rsid w:val="0077359F"/>
    <w:rsid w:val="007737FA"/>
    <w:rsid w:val="00773CFF"/>
    <w:rsid w:val="00773DC6"/>
    <w:rsid w:val="00773E65"/>
    <w:rsid w:val="00774A73"/>
    <w:rsid w:val="00774BB3"/>
    <w:rsid w:val="007758F3"/>
    <w:rsid w:val="007764AC"/>
    <w:rsid w:val="007776D6"/>
    <w:rsid w:val="00777916"/>
    <w:rsid w:val="00777EFD"/>
    <w:rsid w:val="00780D6E"/>
    <w:rsid w:val="00781546"/>
    <w:rsid w:val="00781F5A"/>
    <w:rsid w:val="00781FA9"/>
    <w:rsid w:val="0078265F"/>
    <w:rsid w:val="00783322"/>
    <w:rsid w:val="00783686"/>
    <w:rsid w:val="0078435C"/>
    <w:rsid w:val="00784C20"/>
    <w:rsid w:val="0078500A"/>
    <w:rsid w:val="007850CE"/>
    <w:rsid w:val="007856E5"/>
    <w:rsid w:val="007857D0"/>
    <w:rsid w:val="00785EDE"/>
    <w:rsid w:val="0078679E"/>
    <w:rsid w:val="007875DD"/>
    <w:rsid w:val="00787C8F"/>
    <w:rsid w:val="00787F7B"/>
    <w:rsid w:val="0079040D"/>
    <w:rsid w:val="00790922"/>
    <w:rsid w:val="00790C3D"/>
    <w:rsid w:val="007918CC"/>
    <w:rsid w:val="00791EFF"/>
    <w:rsid w:val="00791FBE"/>
    <w:rsid w:val="007920AF"/>
    <w:rsid w:val="007923ED"/>
    <w:rsid w:val="00792F67"/>
    <w:rsid w:val="0079353D"/>
    <w:rsid w:val="00793FDA"/>
    <w:rsid w:val="007941B2"/>
    <w:rsid w:val="007943E2"/>
    <w:rsid w:val="00794C3F"/>
    <w:rsid w:val="00795650"/>
    <w:rsid w:val="0079568E"/>
    <w:rsid w:val="007975A7"/>
    <w:rsid w:val="007976E7"/>
    <w:rsid w:val="00797ED4"/>
    <w:rsid w:val="007A286C"/>
    <w:rsid w:val="007A2898"/>
    <w:rsid w:val="007A2A6A"/>
    <w:rsid w:val="007A2E20"/>
    <w:rsid w:val="007A2EA1"/>
    <w:rsid w:val="007A3121"/>
    <w:rsid w:val="007A3734"/>
    <w:rsid w:val="007A4D61"/>
    <w:rsid w:val="007A4DEC"/>
    <w:rsid w:val="007A5003"/>
    <w:rsid w:val="007A5657"/>
    <w:rsid w:val="007A6800"/>
    <w:rsid w:val="007A6CF9"/>
    <w:rsid w:val="007A6DA9"/>
    <w:rsid w:val="007A70C4"/>
    <w:rsid w:val="007A70DD"/>
    <w:rsid w:val="007B0146"/>
    <w:rsid w:val="007B0610"/>
    <w:rsid w:val="007B0AC9"/>
    <w:rsid w:val="007B0C1F"/>
    <w:rsid w:val="007B0E35"/>
    <w:rsid w:val="007B0F34"/>
    <w:rsid w:val="007B188D"/>
    <w:rsid w:val="007B1CB5"/>
    <w:rsid w:val="007B1DB6"/>
    <w:rsid w:val="007B2CCE"/>
    <w:rsid w:val="007B3706"/>
    <w:rsid w:val="007B3943"/>
    <w:rsid w:val="007B40D2"/>
    <w:rsid w:val="007B41CC"/>
    <w:rsid w:val="007B4223"/>
    <w:rsid w:val="007B4327"/>
    <w:rsid w:val="007B4512"/>
    <w:rsid w:val="007B52BD"/>
    <w:rsid w:val="007B5839"/>
    <w:rsid w:val="007B5A75"/>
    <w:rsid w:val="007B720D"/>
    <w:rsid w:val="007C0193"/>
    <w:rsid w:val="007C0D90"/>
    <w:rsid w:val="007C0ECA"/>
    <w:rsid w:val="007C1101"/>
    <w:rsid w:val="007C1262"/>
    <w:rsid w:val="007C1A5D"/>
    <w:rsid w:val="007C1D99"/>
    <w:rsid w:val="007C23F9"/>
    <w:rsid w:val="007C25A2"/>
    <w:rsid w:val="007C2728"/>
    <w:rsid w:val="007C2FA9"/>
    <w:rsid w:val="007C3A66"/>
    <w:rsid w:val="007C3A71"/>
    <w:rsid w:val="007C446A"/>
    <w:rsid w:val="007C4C78"/>
    <w:rsid w:val="007C4F5B"/>
    <w:rsid w:val="007C5B8F"/>
    <w:rsid w:val="007C5BA6"/>
    <w:rsid w:val="007C5C23"/>
    <w:rsid w:val="007C5C64"/>
    <w:rsid w:val="007C5F77"/>
    <w:rsid w:val="007C6CC4"/>
    <w:rsid w:val="007C6D56"/>
    <w:rsid w:val="007C77AC"/>
    <w:rsid w:val="007C7B40"/>
    <w:rsid w:val="007D000F"/>
    <w:rsid w:val="007D05DC"/>
    <w:rsid w:val="007D0EC6"/>
    <w:rsid w:val="007D0F71"/>
    <w:rsid w:val="007D11D9"/>
    <w:rsid w:val="007D1F5C"/>
    <w:rsid w:val="007D2FC9"/>
    <w:rsid w:val="007D351B"/>
    <w:rsid w:val="007D3BCB"/>
    <w:rsid w:val="007D3C44"/>
    <w:rsid w:val="007D3E6C"/>
    <w:rsid w:val="007D41CC"/>
    <w:rsid w:val="007D44BF"/>
    <w:rsid w:val="007D48B3"/>
    <w:rsid w:val="007D4EB5"/>
    <w:rsid w:val="007D5EC3"/>
    <w:rsid w:val="007D705E"/>
    <w:rsid w:val="007D7541"/>
    <w:rsid w:val="007D7F11"/>
    <w:rsid w:val="007E00CC"/>
    <w:rsid w:val="007E0423"/>
    <w:rsid w:val="007E0775"/>
    <w:rsid w:val="007E0B5B"/>
    <w:rsid w:val="007E0B7E"/>
    <w:rsid w:val="007E13F9"/>
    <w:rsid w:val="007E187C"/>
    <w:rsid w:val="007E1DC1"/>
    <w:rsid w:val="007E1EB4"/>
    <w:rsid w:val="007E23C8"/>
    <w:rsid w:val="007E2E14"/>
    <w:rsid w:val="007E327B"/>
    <w:rsid w:val="007E34A5"/>
    <w:rsid w:val="007E3C81"/>
    <w:rsid w:val="007E42BD"/>
    <w:rsid w:val="007E4C07"/>
    <w:rsid w:val="007E561A"/>
    <w:rsid w:val="007E5CE9"/>
    <w:rsid w:val="007E6434"/>
    <w:rsid w:val="007E6F28"/>
    <w:rsid w:val="007E750C"/>
    <w:rsid w:val="007E7ABB"/>
    <w:rsid w:val="007F062E"/>
    <w:rsid w:val="007F0832"/>
    <w:rsid w:val="007F181F"/>
    <w:rsid w:val="007F19DF"/>
    <w:rsid w:val="007F1BEC"/>
    <w:rsid w:val="007F236A"/>
    <w:rsid w:val="007F311B"/>
    <w:rsid w:val="007F35A7"/>
    <w:rsid w:val="007F3633"/>
    <w:rsid w:val="007F3912"/>
    <w:rsid w:val="007F39E3"/>
    <w:rsid w:val="007F3C57"/>
    <w:rsid w:val="007F483A"/>
    <w:rsid w:val="007F5916"/>
    <w:rsid w:val="007F67A9"/>
    <w:rsid w:val="007F6936"/>
    <w:rsid w:val="007F6F16"/>
    <w:rsid w:val="007F723E"/>
    <w:rsid w:val="007F75CC"/>
    <w:rsid w:val="0080037E"/>
    <w:rsid w:val="0080141A"/>
    <w:rsid w:val="0080154E"/>
    <w:rsid w:val="008016B1"/>
    <w:rsid w:val="00801A29"/>
    <w:rsid w:val="008026B6"/>
    <w:rsid w:val="0080271C"/>
    <w:rsid w:val="00802988"/>
    <w:rsid w:val="00802B99"/>
    <w:rsid w:val="00802EA6"/>
    <w:rsid w:val="008031A3"/>
    <w:rsid w:val="00803E12"/>
    <w:rsid w:val="00804239"/>
    <w:rsid w:val="008045A5"/>
    <w:rsid w:val="00804F47"/>
    <w:rsid w:val="00805200"/>
    <w:rsid w:val="00805227"/>
    <w:rsid w:val="008054EF"/>
    <w:rsid w:val="008055B0"/>
    <w:rsid w:val="00806633"/>
    <w:rsid w:val="00806BF2"/>
    <w:rsid w:val="00806EBB"/>
    <w:rsid w:val="00807000"/>
    <w:rsid w:val="008072F4"/>
    <w:rsid w:val="00807DC3"/>
    <w:rsid w:val="00810713"/>
    <w:rsid w:val="00810BAD"/>
    <w:rsid w:val="00810BF5"/>
    <w:rsid w:val="00810F16"/>
    <w:rsid w:val="00812740"/>
    <w:rsid w:val="008127CE"/>
    <w:rsid w:val="00813555"/>
    <w:rsid w:val="00813CB9"/>
    <w:rsid w:val="0081438F"/>
    <w:rsid w:val="008144AC"/>
    <w:rsid w:val="00814D2C"/>
    <w:rsid w:val="00815CD4"/>
    <w:rsid w:val="0081626C"/>
    <w:rsid w:val="008173F0"/>
    <w:rsid w:val="0082017F"/>
    <w:rsid w:val="008203FF"/>
    <w:rsid w:val="00820B56"/>
    <w:rsid w:val="00820F7B"/>
    <w:rsid w:val="00822386"/>
    <w:rsid w:val="008226AF"/>
    <w:rsid w:val="0082293B"/>
    <w:rsid w:val="008235CB"/>
    <w:rsid w:val="00823B84"/>
    <w:rsid w:val="008240F2"/>
    <w:rsid w:val="00825323"/>
    <w:rsid w:val="00825352"/>
    <w:rsid w:val="00825E4A"/>
    <w:rsid w:val="008266FB"/>
    <w:rsid w:val="008269C5"/>
    <w:rsid w:val="00826D05"/>
    <w:rsid w:val="0082723B"/>
    <w:rsid w:val="008273D7"/>
    <w:rsid w:val="008274E7"/>
    <w:rsid w:val="00827554"/>
    <w:rsid w:val="00827579"/>
    <w:rsid w:val="00827999"/>
    <w:rsid w:val="008306FA"/>
    <w:rsid w:val="00830890"/>
    <w:rsid w:val="008319EC"/>
    <w:rsid w:val="00832C08"/>
    <w:rsid w:val="00832EE6"/>
    <w:rsid w:val="00833163"/>
    <w:rsid w:val="008352F1"/>
    <w:rsid w:val="008362D2"/>
    <w:rsid w:val="008363DF"/>
    <w:rsid w:val="0083644C"/>
    <w:rsid w:val="00836D78"/>
    <w:rsid w:val="008371D9"/>
    <w:rsid w:val="008373F1"/>
    <w:rsid w:val="0083773E"/>
    <w:rsid w:val="0084087A"/>
    <w:rsid w:val="00840EC4"/>
    <w:rsid w:val="00841342"/>
    <w:rsid w:val="00841478"/>
    <w:rsid w:val="00841EB9"/>
    <w:rsid w:val="00841F52"/>
    <w:rsid w:val="00842B76"/>
    <w:rsid w:val="00843B09"/>
    <w:rsid w:val="00843F21"/>
    <w:rsid w:val="00844E06"/>
    <w:rsid w:val="00844EFD"/>
    <w:rsid w:val="00844FC0"/>
    <w:rsid w:val="0084534F"/>
    <w:rsid w:val="008458E1"/>
    <w:rsid w:val="00846D01"/>
    <w:rsid w:val="00846E3E"/>
    <w:rsid w:val="00847014"/>
    <w:rsid w:val="0085052E"/>
    <w:rsid w:val="00851163"/>
    <w:rsid w:val="008512F6"/>
    <w:rsid w:val="0085198F"/>
    <w:rsid w:val="00851F7C"/>
    <w:rsid w:val="0085253E"/>
    <w:rsid w:val="00852A1F"/>
    <w:rsid w:val="00852B38"/>
    <w:rsid w:val="00852BCA"/>
    <w:rsid w:val="00852F47"/>
    <w:rsid w:val="00853427"/>
    <w:rsid w:val="00853C6B"/>
    <w:rsid w:val="00853DF0"/>
    <w:rsid w:val="008541DC"/>
    <w:rsid w:val="0085477A"/>
    <w:rsid w:val="00854D44"/>
    <w:rsid w:val="00854F9E"/>
    <w:rsid w:val="00855DF7"/>
    <w:rsid w:val="00856405"/>
    <w:rsid w:val="0085737F"/>
    <w:rsid w:val="0085752F"/>
    <w:rsid w:val="00857578"/>
    <w:rsid w:val="00857813"/>
    <w:rsid w:val="008579F0"/>
    <w:rsid w:val="00857E5B"/>
    <w:rsid w:val="00860A14"/>
    <w:rsid w:val="00861374"/>
    <w:rsid w:val="008622DF"/>
    <w:rsid w:val="0086236F"/>
    <w:rsid w:val="00862DA9"/>
    <w:rsid w:val="00862EFB"/>
    <w:rsid w:val="00863F00"/>
    <w:rsid w:val="0086420C"/>
    <w:rsid w:val="008645D4"/>
    <w:rsid w:val="00864A82"/>
    <w:rsid w:val="00864F85"/>
    <w:rsid w:val="00864FD9"/>
    <w:rsid w:val="008668BD"/>
    <w:rsid w:val="008669EE"/>
    <w:rsid w:val="00867130"/>
    <w:rsid w:val="0086732D"/>
    <w:rsid w:val="00867C84"/>
    <w:rsid w:val="00870317"/>
    <w:rsid w:val="0087082D"/>
    <w:rsid w:val="00871015"/>
    <w:rsid w:val="00871415"/>
    <w:rsid w:val="008719D0"/>
    <w:rsid w:val="00872386"/>
    <w:rsid w:val="008728E9"/>
    <w:rsid w:val="00873918"/>
    <w:rsid w:val="00873E88"/>
    <w:rsid w:val="008744F8"/>
    <w:rsid w:val="008746D3"/>
    <w:rsid w:val="00874E99"/>
    <w:rsid w:val="00875073"/>
    <w:rsid w:val="00875201"/>
    <w:rsid w:val="0087548E"/>
    <w:rsid w:val="0087586D"/>
    <w:rsid w:val="00875F47"/>
    <w:rsid w:val="00876A8C"/>
    <w:rsid w:val="0087704C"/>
    <w:rsid w:val="008776D5"/>
    <w:rsid w:val="008778D9"/>
    <w:rsid w:val="00877E18"/>
    <w:rsid w:val="00880CB8"/>
    <w:rsid w:val="008815F9"/>
    <w:rsid w:val="00881C26"/>
    <w:rsid w:val="008826AE"/>
    <w:rsid w:val="00882B18"/>
    <w:rsid w:val="00883C9C"/>
    <w:rsid w:val="0088427A"/>
    <w:rsid w:val="0088456B"/>
    <w:rsid w:val="008848A6"/>
    <w:rsid w:val="00884D16"/>
    <w:rsid w:val="0088592E"/>
    <w:rsid w:val="00885D80"/>
    <w:rsid w:val="0088607E"/>
    <w:rsid w:val="008860C3"/>
    <w:rsid w:val="008867C9"/>
    <w:rsid w:val="00886FBC"/>
    <w:rsid w:val="00886FEC"/>
    <w:rsid w:val="00887EAA"/>
    <w:rsid w:val="00891011"/>
    <w:rsid w:val="00892675"/>
    <w:rsid w:val="008928E6"/>
    <w:rsid w:val="008936A1"/>
    <w:rsid w:val="00893909"/>
    <w:rsid w:val="00893BBE"/>
    <w:rsid w:val="0089430D"/>
    <w:rsid w:val="00894374"/>
    <w:rsid w:val="008946A5"/>
    <w:rsid w:val="00894A30"/>
    <w:rsid w:val="0089529E"/>
    <w:rsid w:val="008957AF"/>
    <w:rsid w:val="00895D60"/>
    <w:rsid w:val="0089645F"/>
    <w:rsid w:val="00896E98"/>
    <w:rsid w:val="00897802"/>
    <w:rsid w:val="008A02D3"/>
    <w:rsid w:val="008A06FE"/>
    <w:rsid w:val="008A0895"/>
    <w:rsid w:val="008A13AC"/>
    <w:rsid w:val="008A1F92"/>
    <w:rsid w:val="008A3BDD"/>
    <w:rsid w:val="008A3EB6"/>
    <w:rsid w:val="008A484B"/>
    <w:rsid w:val="008A4B89"/>
    <w:rsid w:val="008A4F36"/>
    <w:rsid w:val="008A542C"/>
    <w:rsid w:val="008A63FC"/>
    <w:rsid w:val="008A6576"/>
    <w:rsid w:val="008A6EDE"/>
    <w:rsid w:val="008A6F3A"/>
    <w:rsid w:val="008A7CE5"/>
    <w:rsid w:val="008B0332"/>
    <w:rsid w:val="008B0EB9"/>
    <w:rsid w:val="008B11BA"/>
    <w:rsid w:val="008B1634"/>
    <w:rsid w:val="008B1663"/>
    <w:rsid w:val="008B1748"/>
    <w:rsid w:val="008B2136"/>
    <w:rsid w:val="008B2819"/>
    <w:rsid w:val="008B35D6"/>
    <w:rsid w:val="008B4478"/>
    <w:rsid w:val="008B5277"/>
    <w:rsid w:val="008B53F4"/>
    <w:rsid w:val="008B551C"/>
    <w:rsid w:val="008B55ED"/>
    <w:rsid w:val="008B56C3"/>
    <w:rsid w:val="008B5714"/>
    <w:rsid w:val="008B5753"/>
    <w:rsid w:val="008B5CE5"/>
    <w:rsid w:val="008B6446"/>
    <w:rsid w:val="008B68AC"/>
    <w:rsid w:val="008B6CEF"/>
    <w:rsid w:val="008B7ADC"/>
    <w:rsid w:val="008B7B7E"/>
    <w:rsid w:val="008C0148"/>
    <w:rsid w:val="008C02C2"/>
    <w:rsid w:val="008C10E6"/>
    <w:rsid w:val="008C11D6"/>
    <w:rsid w:val="008C14A7"/>
    <w:rsid w:val="008C15CB"/>
    <w:rsid w:val="008C1A49"/>
    <w:rsid w:val="008C1DAF"/>
    <w:rsid w:val="008C227B"/>
    <w:rsid w:val="008C253D"/>
    <w:rsid w:val="008C2B97"/>
    <w:rsid w:val="008C2DEB"/>
    <w:rsid w:val="008C340A"/>
    <w:rsid w:val="008C4594"/>
    <w:rsid w:val="008C4B1E"/>
    <w:rsid w:val="008C532B"/>
    <w:rsid w:val="008C59B2"/>
    <w:rsid w:val="008C5AFB"/>
    <w:rsid w:val="008C639C"/>
    <w:rsid w:val="008C68C3"/>
    <w:rsid w:val="008C6EEA"/>
    <w:rsid w:val="008C6F8D"/>
    <w:rsid w:val="008C7560"/>
    <w:rsid w:val="008C7E98"/>
    <w:rsid w:val="008C7FEF"/>
    <w:rsid w:val="008D04FE"/>
    <w:rsid w:val="008D1AFE"/>
    <w:rsid w:val="008D1C45"/>
    <w:rsid w:val="008D1CA7"/>
    <w:rsid w:val="008D1D2A"/>
    <w:rsid w:val="008D1E7C"/>
    <w:rsid w:val="008D1F71"/>
    <w:rsid w:val="008D20CC"/>
    <w:rsid w:val="008D2F98"/>
    <w:rsid w:val="008D34F0"/>
    <w:rsid w:val="008D35F4"/>
    <w:rsid w:val="008D367A"/>
    <w:rsid w:val="008D42BF"/>
    <w:rsid w:val="008D433F"/>
    <w:rsid w:val="008D4781"/>
    <w:rsid w:val="008D4856"/>
    <w:rsid w:val="008D4D03"/>
    <w:rsid w:val="008D5030"/>
    <w:rsid w:val="008D511B"/>
    <w:rsid w:val="008D611D"/>
    <w:rsid w:val="008D650F"/>
    <w:rsid w:val="008D6DD0"/>
    <w:rsid w:val="008E0398"/>
    <w:rsid w:val="008E0BB1"/>
    <w:rsid w:val="008E143F"/>
    <w:rsid w:val="008E1477"/>
    <w:rsid w:val="008E14F9"/>
    <w:rsid w:val="008E18B3"/>
    <w:rsid w:val="008E1CA7"/>
    <w:rsid w:val="008E203F"/>
    <w:rsid w:val="008E24B4"/>
    <w:rsid w:val="008E2E0C"/>
    <w:rsid w:val="008E33E0"/>
    <w:rsid w:val="008E3525"/>
    <w:rsid w:val="008E3656"/>
    <w:rsid w:val="008E439C"/>
    <w:rsid w:val="008E46CE"/>
    <w:rsid w:val="008E4C53"/>
    <w:rsid w:val="008E5FA1"/>
    <w:rsid w:val="008E6D3B"/>
    <w:rsid w:val="008E7662"/>
    <w:rsid w:val="008E7EB8"/>
    <w:rsid w:val="008F092B"/>
    <w:rsid w:val="008F0B0E"/>
    <w:rsid w:val="008F1FEE"/>
    <w:rsid w:val="008F2449"/>
    <w:rsid w:val="008F2CF6"/>
    <w:rsid w:val="008F2D37"/>
    <w:rsid w:val="008F3632"/>
    <w:rsid w:val="008F3CEC"/>
    <w:rsid w:val="008F4430"/>
    <w:rsid w:val="008F4B0A"/>
    <w:rsid w:val="008F50C3"/>
    <w:rsid w:val="008F5E10"/>
    <w:rsid w:val="008F5F5B"/>
    <w:rsid w:val="008F5FB2"/>
    <w:rsid w:val="008F6BF6"/>
    <w:rsid w:val="008F7213"/>
    <w:rsid w:val="008F75E1"/>
    <w:rsid w:val="0090018C"/>
    <w:rsid w:val="00902183"/>
    <w:rsid w:val="0090259B"/>
    <w:rsid w:val="00902835"/>
    <w:rsid w:val="00902BBA"/>
    <w:rsid w:val="009031C0"/>
    <w:rsid w:val="00903A26"/>
    <w:rsid w:val="00904566"/>
    <w:rsid w:val="0090460E"/>
    <w:rsid w:val="00904A89"/>
    <w:rsid w:val="00904B50"/>
    <w:rsid w:val="0090532E"/>
    <w:rsid w:val="0090552F"/>
    <w:rsid w:val="0090632A"/>
    <w:rsid w:val="0090687F"/>
    <w:rsid w:val="009074F4"/>
    <w:rsid w:val="0091058C"/>
    <w:rsid w:val="00910D70"/>
    <w:rsid w:val="00911463"/>
    <w:rsid w:val="009114CF"/>
    <w:rsid w:val="00911518"/>
    <w:rsid w:val="0091155A"/>
    <w:rsid w:val="00911D4F"/>
    <w:rsid w:val="00912749"/>
    <w:rsid w:val="00912DC5"/>
    <w:rsid w:val="0091400A"/>
    <w:rsid w:val="0091410D"/>
    <w:rsid w:val="00914A2D"/>
    <w:rsid w:val="009150DB"/>
    <w:rsid w:val="009160DC"/>
    <w:rsid w:val="00916202"/>
    <w:rsid w:val="0091624A"/>
    <w:rsid w:val="009167FC"/>
    <w:rsid w:val="0091744D"/>
    <w:rsid w:val="009179E5"/>
    <w:rsid w:val="00920379"/>
    <w:rsid w:val="00920E2B"/>
    <w:rsid w:val="009218C1"/>
    <w:rsid w:val="00922550"/>
    <w:rsid w:val="009225D1"/>
    <w:rsid w:val="00922CC8"/>
    <w:rsid w:val="009238BC"/>
    <w:rsid w:val="00923D2A"/>
    <w:rsid w:val="00924A5E"/>
    <w:rsid w:val="00925445"/>
    <w:rsid w:val="0092583D"/>
    <w:rsid w:val="00926710"/>
    <w:rsid w:val="00926730"/>
    <w:rsid w:val="0092685D"/>
    <w:rsid w:val="009272D1"/>
    <w:rsid w:val="0093044D"/>
    <w:rsid w:val="00930806"/>
    <w:rsid w:val="00930895"/>
    <w:rsid w:val="00930AE3"/>
    <w:rsid w:val="00930CF1"/>
    <w:rsid w:val="009310F6"/>
    <w:rsid w:val="009311B2"/>
    <w:rsid w:val="0093123F"/>
    <w:rsid w:val="00932B94"/>
    <w:rsid w:val="00932C6A"/>
    <w:rsid w:val="00932F28"/>
    <w:rsid w:val="00933C54"/>
    <w:rsid w:val="00933D50"/>
    <w:rsid w:val="00934169"/>
    <w:rsid w:val="00934293"/>
    <w:rsid w:val="009342B5"/>
    <w:rsid w:val="009348E8"/>
    <w:rsid w:val="00934CC6"/>
    <w:rsid w:val="00934E49"/>
    <w:rsid w:val="00935019"/>
    <w:rsid w:val="00935C64"/>
    <w:rsid w:val="00935ED6"/>
    <w:rsid w:val="009362BB"/>
    <w:rsid w:val="009362C3"/>
    <w:rsid w:val="00936335"/>
    <w:rsid w:val="00936567"/>
    <w:rsid w:val="00936F3F"/>
    <w:rsid w:val="0093722B"/>
    <w:rsid w:val="009379FA"/>
    <w:rsid w:val="00942195"/>
    <w:rsid w:val="0094276D"/>
    <w:rsid w:val="00942982"/>
    <w:rsid w:val="00942D4F"/>
    <w:rsid w:val="00943025"/>
    <w:rsid w:val="0094325D"/>
    <w:rsid w:val="00943F3B"/>
    <w:rsid w:val="00943FEE"/>
    <w:rsid w:val="00944475"/>
    <w:rsid w:val="009444D0"/>
    <w:rsid w:val="00945DB3"/>
    <w:rsid w:val="00945F08"/>
    <w:rsid w:val="00946424"/>
    <w:rsid w:val="00946EF9"/>
    <w:rsid w:val="00946FB5"/>
    <w:rsid w:val="00947053"/>
    <w:rsid w:val="009474F2"/>
    <w:rsid w:val="009478FB"/>
    <w:rsid w:val="00947902"/>
    <w:rsid w:val="00947F2B"/>
    <w:rsid w:val="009507E6"/>
    <w:rsid w:val="00951E58"/>
    <w:rsid w:val="00952D60"/>
    <w:rsid w:val="0095304A"/>
    <w:rsid w:val="009535A0"/>
    <w:rsid w:val="00953D71"/>
    <w:rsid w:val="00953E2E"/>
    <w:rsid w:val="0095441C"/>
    <w:rsid w:val="00954468"/>
    <w:rsid w:val="00955316"/>
    <w:rsid w:val="00955527"/>
    <w:rsid w:val="009567BB"/>
    <w:rsid w:val="00956A36"/>
    <w:rsid w:val="00956B51"/>
    <w:rsid w:val="00956DB0"/>
    <w:rsid w:val="00957368"/>
    <w:rsid w:val="00957FDF"/>
    <w:rsid w:val="00960110"/>
    <w:rsid w:val="00961317"/>
    <w:rsid w:val="00961A90"/>
    <w:rsid w:val="00962000"/>
    <w:rsid w:val="009621B5"/>
    <w:rsid w:val="009628A4"/>
    <w:rsid w:val="0096324E"/>
    <w:rsid w:val="00963877"/>
    <w:rsid w:val="009650A3"/>
    <w:rsid w:val="00965288"/>
    <w:rsid w:val="00965298"/>
    <w:rsid w:val="0096579B"/>
    <w:rsid w:val="00966A20"/>
    <w:rsid w:val="00966A6D"/>
    <w:rsid w:val="009671BA"/>
    <w:rsid w:val="009673B1"/>
    <w:rsid w:val="00967811"/>
    <w:rsid w:val="0097043B"/>
    <w:rsid w:val="009705F8"/>
    <w:rsid w:val="00970A7A"/>
    <w:rsid w:val="009713B2"/>
    <w:rsid w:val="00971DCA"/>
    <w:rsid w:val="0097226A"/>
    <w:rsid w:val="00972907"/>
    <w:rsid w:val="00973BFB"/>
    <w:rsid w:val="00973CE1"/>
    <w:rsid w:val="009746A7"/>
    <w:rsid w:val="0097491B"/>
    <w:rsid w:val="00975687"/>
    <w:rsid w:val="00975996"/>
    <w:rsid w:val="00975BDD"/>
    <w:rsid w:val="009764A7"/>
    <w:rsid w:val="00976FE5"/>
    <w:rsid w:val="009771D5"/>
    <w:rsid w:val="009775CD"/>
    <w:rsid w:val="00977D44"/>
    <w:rsid w:val="0098032C"/>
    <w:rsid w:val="00980488"/>
    <w:rsid w:val="009807D4"/>
    <w:rsid w:val="00980EF8"/>
    <w:rsid w:val="00981072"/>
    <w:rsid w:val="009836DF"/>
    <w:rsid w:val="009839EF"/>
    <w:rsid w:val="00983E59"/>
    <w:rsid w:val="009843EB"/>
    <w:rsid w:val="00984750"/>
    <w:rsid w:val="0098485A"/>
    <w:rsid w:val="009849A4"/>
    <w:rsid w:val="0098538E"/>
    <w:rsid w:val="00985461"/>
    <w:rsid w:val="009863AE"/>
    <w:rsid w:val="0098664E"/>
    <w:rsid w:val="00986A3E"/>
    <w:rsid w:val="009874D8"/>
    <w:rsid w:val="00987598"/>
    <w:rsid w:val="00987965"/>
    <w:rsid w:val="00987E28"/>
    <w:rsid w:val="009907C1"/>
    <w:rsid w:val="00990B77"/>
    <w:rsid w:val="00990E52"/>
    <w:rsid w:val="00991152"/>
    <w:rsid w:val="00991401"/>
    <w:rsid w:val="0099197F"/>
    <w:rsid w:val="00991EE1"/>
    <w:rsid w:val="0099269C"/>
    <w:rsid w:val="00992ED4"/>
    <w:rsid w:val="00992FD1"/>
    <w:rsid w:val="0099399F"/>
    <w:rsid w:val="00993A03"/>
    <w:rsid w:val="00993DED"/>
    <w:rsid w:val="00993E74"/>
    <w:rsid w:val="009942DE"/>
    <w:rsid w:val="009942ED"/>
    <w:rsid w:val="009948C2"/>
    <w:rsid w:val="00995506"/>
    <w:rsid w:val="00996549"/>
    <w:rsid w:val="00996CB8"/>
    <w:rsid w:val="00997490"/>
    <w:rsid w:val="009979B2"/>
    <w:rsid w:val="009A052D"/>
    <w:rsid w:val="009A060E"/>
    <w:rsid w:val="009A07B2"/>
    <w:rsid w:val="009A07CF"/>
    <w:rsid w:val="009A0DDB"/>
    <w:rsid w:val="009A0F32"/>
    <w:rsid w:val="009A0F91"/>
    <w:rsid w:val="009A1327"/>
    <w:rsid w:val="009A1C50"/>
    <w:rsid w:val="009A1EE1"/>
    <w:rsid w:val="009A1F66"/>
    <w:rsid w:val="009A2220"/>
    <w:rsid w:val="009A23E7"/>
    <w:rsid w:val="009A2BF9"/>
    <w:rsid w:val="009A2CAE"/>
    <w:rsid w:val="009A2E48"/>
    <w:rsid w:val="009A391D"/>
    <w:rsid w:val="009A3D9C"/>
    <w:rsid w:val="009A4CFF"/>
    <w:rsid w:val="009A4D3D"/>
    <w:rsid w:val="009A54AB"/>
    <w:rsid w:val="009A56B7"/>
    <w:rsid w:val="009A6ACA"/>
    <w:rsid w:val="009B02CE"/>
    <w:rsid w:val="009B0C24"/>
    <w:rsid w:val="009B0FA7"/>
    <w:rsid w:val="009B10C2"/>
    <w:rsid w:val="009B1D88"/>
    <w:rsid w:val="009B239A"/>
    <w:rsid w:val="009B2DAF"/>
    <w:rsid w:val="009B2FA9"/>
    <w:rsid w:val="009B360E"/>
    <w:rsid w:val="009B39BE"/>
    <w:rsid w:val="009B44AA"/>
    <w:rsid w:val="009B4597"/>
    <w:rsid w:val="009B4663"/>
    <w:rsid w:val="009B4847"/>
    <w:rsid w:val="009B5488"/>
    <w:rsid w:val="009B5606"/>
    <w:rsid w:val="009B6062"/>
    <w:rsid w:val="009B68B5"/>
    <w:rsid w:val="009B6A94"/>
    <w:rsid w:val="009B70D0"/>
    <w:rsid w:val="009B747F"/>
    <w:rsid w:val="009B74E6"/>
    <w:rsid w:val="009B765A"/>
    <w:rsid w:val="009B7825"/>
    <w:rsid w:val="009B7DAE"/>
    <w:rsid w:val="009C03D1"/>
    <w:rsid w:val="009C0CB4"/>
    <w:rsid w:val="009C1601"/>
    <w:rsid w:val="009C1A74"/>
    <w:rsid w:val="009C203E"/>
    <w:rsid w:val="009C2895"/>
    <w:rsid w:val="009C2EF7"/>
    <w:rsid w:val="009C3E89"/>
    <w:rsid w:val="009C4257"/>
    <w:rsid w:val="009C43E9"/>
    <w:rsid w:val="009C4A32"/>
    <w:rsid w:val="009C4B87"/>
    <w:rsid w:val="009C53FE"/>
    <w:rsid w:val="009C5C49"/>
    <w:rsid w:val="009C6040"/>
    <w:rsid w:val="009C677E"/>
    <w:rsid w:val="009C69C9"/>
    <w:rsid w:val="009D03A0"/>
    <w:rsid w:val="009D0AEC"/>
    <w:rsid w:val="009D0C56"/>
    <w:rsid w:val="009D183D"/>
    <w:rsid w:val="009D1FA5"/>
    <w:rsid w:val="009D277E"/>
    <w:rsid w:val="009D2FD7"/>
    <w:rsid w:val="009D5385"/>
    <w:rsid w:val="009D59A8"/>
    <w:rsid w:val="009D6F8F"/>
    <w:rsid w:val="009D7A12"/>
    <w:rsid w:val="009E061D"/>
    <w:rsid w:val="009E1127"/>
    <w:rsid w:val="009E1996"/>
    <w:rsid w:val="009E1EB1"/>
    <w:rsid w:val="009E2281"/>
    <w:rsid w:val="009E2B89"/>
    <w:rsid w:val="009E3616"/>
    <w:rsid w:val="009E3856"/>
    <w:rsid w:val="009E3D94"/>
    <w:rsid w:val="009E461C"/>
    <w:rsid w:val="009E4CE0"/>
    <w:rsid w:val="009E59F3"/>
    <w:rsid w:val="009E659B"/>
    <w:rsid w:val="009E7434"/>
    <w:rsid w:val="009E7919"/>
    <w:rsid w:val="009E7A6F"/>
    <w:rsid w:val="009E7B2B"/>
    <w:rsid w:val="009F0395"/>
    <w:rsid w:val="009F0CCC"/>
    <w:rsid w:val="009F1082"/>
    <w:rsid w:val="009F19D7"/>
    <w:rsid w:val="009F20CA"/>
    <w:rsid w:val="009F21A1"/>
    <w:rsid w:val="009F3164"/>
    <w:rsid w:val="009F4535"/>
    <w:rsid w:val="009F4725"/>
    <w:rsid w:val="009F4FAE"/>
    <w:rsid w:val="009F5362"/>
    <w:rsid w:val="009F5A74"/>
    <w:rsid w:val="009F5B32"/>
    <w:rsid w:val="009F5B7D"/>
    <w:rsid w:val="009F5BE5"/>
    <w:rsid w:val="009F5FD8"/>
    <w:rsid w:val="009F6298"/>
    <w:rsid w:val="009F6A66"/>
    <w:rsid w:val="009F6EC9"/>
    <w:rsid w:val="009F7C25"/>
    <w:rsid w:val="00A003D3"/>
    <w:rsid w:val="00A00FB0"/>
    <w:rsid w:val="00A0120E"/>
    <w:rsid w:val="00A017F8"/>
    <w:rsid w:val="00A01B27"/>
    <w:rsid w:val="00A02488"/>
    <w:rsid w:val="00A0298D"/>
    <w:rsid w:val="00A02B5D"/>
    <w:rsid w:val="00A02F09"/>
    <w:rsid w:val="00A0318B"/>
    <w:rsid w:val="00A032D9"/>
    <w:rsid w:val="00A044A3"/>
    <w:rsid w:val="00A04647"/>
    <w:rsid w:val="00A05444"/>
    <w:rsid w:val="00A058F8"/>
    <w:rsid w:val="00A05912"/>
    <w:rsid w:val="00A06018"/>
    <w:rsid w:val="00A060B4"/>
    <w:rsid w:val="00A068FB"/>
    <w:rsid w:val="00A06DAD"/>
    <w:rsid w:val="00A07A4A"/>
    <w:rsid w:val="00A10109"/>
    <w:rsid w:val="00A1144A"/>
    <w:rsid w:val="00A1146B"/>
    <w:rsid w:val="00A115DA"/>
    <w:rsid w:val="00A119EA"/>
    <w:rsid w:val="00A12222"/>
    <w:rsid w:val="00A1249B"/>
    <w:rsid w:val="00A129CC"/>
    <w:rsid w:val="00A134CE"/>
    <w:rsid w:val="00A1461D"/>
    <w:rsid w:val="00A14957"/>
    <w:rsid w:val="00A14AF9"/>
    <w:rsid w:val="00A14C02"/>
    <w:rsid w:val="00A14EAF"/>
    <w:rsid w:val="00A14FBA"/>
    <w:rsid w:val="00A1524F"/>
    <w:rsid w:val="00A152EF"/>
    <w:rsid w:val="00A15B52"/>
    <w:rsid w:val="00A15BF2"/>
    <w:rsid w:val="00A15CAF"/>
    <w:rsid w:val="00A15CC3"/>
    <w:rsid w:val="00A16502"/>
    <w:rsid w:val="00A167E3"/>
    <w:rsid w:val="00A170D9"/>
    <w:rsid w:val="00A1769E"/>
    <w:rsid w:val="00A176D9"/>
    <w:rsid w:val="00A17A36"/>
    <w:rsid w:val="00A20444"/>
    <w:rsid w:val="00A20DA4"/>
    <w:rsid w:val="00A2102D"/>
    <w:rsid w:val="00A212AE"/>
    <w:rsid w:val="00A21F22"/>
    <w:rsid w:val="00A22292"/>
    <w:rsid w:val="00A22902"/>
    <w:rsid w:val="00A22A9C"/>
    <w:rsid w:val="00A23011"/>
    <w:rsid w:val="00A238B1"/>
    <w:rsid w:val="00A238BE"/>
    <w:rsid w:val="00A23E25"/>
    <w:rsid w:val="00A23FCC"/>
    <w:rsid w:val="00A25356"/>
    <w:rsid w:val="00A2551E"/>
    <w:rsid w:val="00A25691"/>
    <w:rsid w:val="00A259E4"/>
    <w:rsid w:val="00A25A98"/>
    <w:rsid w:val="00A26397"/>
    <w:rsid w:val="00A26649"/>
    <w:rsid w:val="00A26928"/>
    <w:rsid w:val="00A26CCE"/>
    <w:rsid w:val="00A26F53"/>
    <w:rsid w:val="00A27160"/>
    <w:rsid w:val="00A27522"/>
    <w:rsid w:val="00A27732"/>
    <w:rsid w:val="00A27E78"/>
    <w:rsid w:val="00A3118D"/>
    <w:rsid w:val="00A32818"/>
    <w:rsid w:val="00A338CB"/>
    <w:rsid w:val="00A33BB6"/>
    <w:rsid w:val="00A33FF8"/>
    <w:rsid w:val="00A3433F"/>
    <w:rsid w:val="00A3447D"/>
    <w:rsid w:val="00A34C68"/>
    <w:rsid w:val="00A35022"/>
    <w:rsid w:val="00A3529C"/>
    <w:rsid w:val="00A356B1"/>
    <w:rsid w:val="00A35C5C"/>
    <w:rsid w:val="00A36376"/>
    <w:rsid w:val="00A375EA"/>
    <w:rsid w:val="00A3764E"/>
    <w:rsid w:val="00A3767B"/>
    <w:rsid w:val="00A379C4"/>
    <w:rsid w:val="00A37E9E"/>
    <w:rsid w:val="00A41AE7"/>
    <w:rsid w:val="00A42FC0"/>
    <w:rsid w:val="00A4302D"/>
    <w:rsid w:val="00A4320C"/>
    <w:rsid w:val="00A43CC1"/>
    <w:rsid w:val="00A43F06"/>
    <w:rsid w:val="00A4473F"/>
    <w:rsid w:val="00A44DD0"/>
    <w:rsid w:val="00A450F1"/>
    <w:rsid w:val="00A45E4E"/>
    <w:rsid w:val="00A47A2B"/>
    <w:rsid w:val="00A5011C"/>
    <w:rsid w:val="00A50763"/>
    <w:rsid w:val="00A50948"/>
    <w:rsid w:val="00A52946"/>
    <w:rsid w:val="00A52F82"/>
    <w:rsid w:val="00A53601"/>
    <w:rsid w:val="00A542F5"/>
    <w:rsid w:val="00A55E66"/>
    <w:rsid w:val="00A55ED5"/>
    <w:rsid w:val="00A56053"/>
    <w:rsid w:val="00A5605A"/>
    <w:rsid w:val="00A56BF9"/>
    <w:rsid w:val="00A56CCF"/>
    <w:rsid w:val="00A56DD5"/>
    <w:rsid w:val="00A57282"/>
    <w:rsid w:val="00A5758E"/>
    <w:rsid w:val="00A576D6"/>
    <w:rsid w:val="00A57D75"/>
    <w:rsid w:val="00A605EE"/>
    <w:rsid w:val="00A60CCD"/>
    <w:rsid w:val="00A60FFF"/>
    <w:rsid w:val="00A613DB"/>
    <w:rsid w:val="00A6210F"/>
    <w:rsid w:val="00A6224E"/>
    <w:rsid w:val="00A642FC"/>
    <w:rsid w:val="00A647D3"/>
    <w:rsid w:val="00A64895"/>
    <w:rsid w:val="00A65058"/>
    <w:rsid w:val="00A652D0"/>
    <w:rsid w:val="00A652D3"/>
    <w:rsid w:val="00A6547D"/>
    <w:rsid w:val="00A65D2B"/>
    <w:rsid w:val="00A66CB6"/>
    <w:rsid w:val="00A66CFD"/>
    <w:rsid w:val="00A66D44"/>
    <w:rsid w:val="00A670D6"/>
    <w:rsid w:val="00A71246"/>
    <w:rsid w:val="00A71EE0"/>
    <w:rsid w:val="00A7222C"/>
    <w:rsid w:val="00A729D2"/>
    <w:rsid w:val="00A72A26"/>
    <w:rsid w:val="00A7465D"/>
    <w:rsid w:val="00A746EC"/>
    <w:rsid w:val="00A747B9"/>
    <w:rsid w:val="00A748D0"/>
    <w:rsid w:val="00A7567B"/>
    <w:rsid w:val="00A758E3"/>
    <w:rsid w:val="00A75EF5"/>
    <w:rsid w:val="00A765EA"/>
    <w:rsid w:val="00A77094"/>
    <w:rsid w:val="00A774C5"/>
    <w:rsid w:val="00A77623"/>
    <w:rsid w:val="00A776EE"/>
    <w:rsid w:val="00A77CA5"/>
    <w:rsid w:val="00A77EE0"/>
    <w:rsid w:val="00A80177"/>
    <w:rsid w:val="00A80FFF"/>
    <w:rsid w:val="00A81C47"/>
    <w:rsid w:val="00A8274D"/>
    <w:rsid w:val="00A82A84"/>
    <w:rsid w:val="00A82FEF"/>
    <w:rsid w:val="00A8324B"/>
    <w:rsid w:val="00A832BD"/>
    <w:rsid w:val="00A83460"/>
    <w:rsid w:val="00A8390D"/>
    <w:rsid w:val="00A841B6"/>
    <w:rsid w:val="00A8474A"/>
    <w:rsid w:val="00A84B14"/>
    <w:rsid w:val="00A869E7"/>
    <w:rsid w:val="00A87705"/>
    <w:rsid w:val="00A87B08"/>
    <w:rsid w:val="00A9056A"/>
    <w:rsid w:val="00A905FF"/>
    <w:rsid w:val="00A90E95"/>
    <w:rsid w:val="00A927D1"/>
    <w:rsid w:val="00A92CB0"/>
    <w:rsid w:val="00A93382"/>
    <w:rsid w:val="00A939D9"/>
    <w:rsid w:val="00A93EF7"/>
    <w:rsid w:val="00A94931"/>
    <w:rsid w:val="00A94A28"/>
    <w:rsid w:val="00A94E52"/>
    <w:rsid w:val="00A9557A"/>
    <w:rsid w:val="00A960C8"/>
    <w:rsid w:val="00A961BC"/>
    <w:rsid w:val="00A96327"/>
    <w:rsid w:val="00A964C0"/>
    <w:rsid w:val="00A96975"/>
    <w:rsid w:val="00A96B4D"/>
    <w:rsid w:val="00A9701B"/>
    <w:rsid w:val="00AA098C"/>
    <w:rsid w:val="00AA0F6B"/>
    <w:rsid w:val="00AA1083"/>
    <w:rsid w:val="00AA1132"/>
    <w:rsid w:val="00AA1631"/>
    <w:rsid w:val="00AA2FE2"/>
    <w:rsid w:val="00AA30A9"/>
    <w:rsid w:val="00AA3766"/>
    <w:rsid w:val="00AA39CA"/>
    <w:rsid w:val="00AA4449"/>
    <w:rsid w:val="00AA4CDD"/>
    <w:rsid w:val="00AA4E43"/>
    <w:rsid w:val="00AA558B"/>
    <w:rsid w:val="00AA6198"/>
    <w:rsid w:val="00AA7E1F"/>
    <w:rsid w:val="00AB0249"/>
    <w:rsid w:val="00AB02CD"/>
    <w:rsid w:val="00AB02DF"/>
    <w:rsid w:val="00AB0ECE"/>
    <w:rsid w:val="00AB1223"/>
    <w:rsid w:val="00AB15C4"/>
    <w:rsid w:val="00AB18BD"/>
    <w:rsid w:val="00AB1A33"/>
    <w:rsid w:val="00AB1D39"/>
    <w:rsid w:val="00AB2540"/>
    <w:rsid w:val="00AB272D"/>
    <w:rsid w:val="00AB2BEA"/>
    <w:rsid w:val="00AB2BFF"/>
    <w:rsid w:val="00AB2ECA"/>
    <w:rsid w:val="00AB3219"/>
    <w:rsid w:val="00AB34C6"/>
    <w:rsid w:val="00AB3B08"/>
    <w:rsid w:val="00AB3F41"/>
    <w:rsid w:val="00AB41C8"/>
    <w:rsid w:val="00AB457E"/>
    <w:rsid w:val="00AB52FF"/>
    <w:rsid w:val="00AB5ADA"/>
    <w:rsid w:val="00AB5B30"/>
    <w:rsid w:val="00AB6345"/>
    <w:rsid w:val="00AB6F2A"/>
    <w:rsid w:val="00AC163C"/>
    <w:rsid w:val="00AC19D8"/>
    <w:rsid w:val="00AC1A00"/>
    <w:rsid w:val="00AC264A"/>
    <w:rsid w:val="00AC28ED"/>
    <w:rsid w:val="00AC3481"/>
    <w:rsid w:val="00AC41FB"/>
    <w:rsid w:val="00AC51F2"/>
    <w:rsid w:val="00AC5503"/>
    <w:rsid w:val="00AC5597"/>
    <w:rsid w:val="00AC6AF7"/>
    <w:rsid w:val="00AD0245"/>
    <w:rsid w:val="00AD103E"/>
    <w:rsid w:val="00AD11D2"/>
    <w:rsid w:val="00AD1421"/>
    <w:rsid w:val="00AD3329"/>
    <w:rsid w:val="00AD42FD"/>
    <w:rsid w:val="00AD4F54"/>
    <w:rsid w:val="00AD5367"/>
    <w:rsid w:val="00AD5813"/>
    <w:rsid w:val="00AD5F43"/>
    <w:rsid w:val="00AD6304"/>
    <w:rsid w:val="00AD65D5"/>
    <w:rsid w:val="00AD7983"/>
    <w:rsid w:val="00AD7C36"/>
    <w:rsid w:val="00AD7D7D"/>
    <w:rsid w:val="00AE03D9"/>
    <w:rsid w:val="00AE060E"/>
    <w:rsid w:val="00AE0C40"/>
    <w:rsid w:val="00AE1300"/>
    <w:rsid w:val="00AE1C17"/>
    <w:rsid w:val="00AE2FFB"/>
    <w:rsid w:val="00AE3119"/>
    <w:rsid w:val="00AE345B"/>
    <w:rsid w:val="00AE360D"/>
    <w:rsid w:val="00AE3808"/>
    <w:rsid w:val="00AE4374"/>
    <w:rsid w:val="00AE47A8"/>
    <w:rsid w:val="00AE48BD"/>
    <w:rsid w:val="00AE516C"/>
    <w:rsid w:val="00AE5365"/>
    <w:rsid w:val="00AE5367"/>
    <w:rsid w:val="00AE5F81"/>
    <w:rsid w:val="00AE5FCE"/>
    <w:rsid w:val="00AE70A0"/>
    <w:rsid w:val="00AE74E5"/>
    <w:rsid w:val="00AE776C"/>
    <w:rsid w:val="00AE7B25"/>
    <w:rsid w:val="00AF0368"/>
    <w:rsid w:val="00AF04D7"/>
    <w:rsid w:val="00AF0710"/>
    <w:rsid w:val="00AF0855"/>
    <w:rsid w:val="00AF08C4"/>
    <w:rsid w:val="00AF094C"/>
    <w:rsid w:val="00AF1A22"/>
    <w:rsid w:val="00AF1F1A"/>
    <w:rsid w:val="00AF209D"/>
    <w:rsid w:val="00AF2578"/>
    <w:rsid w:val="00AF2D4A"/>
    <w:rsid w:val="00AF2FE4"/>
    <w:rsid w:val="00AF40EC"/>
    <w:rsid w:val="00AF4273"/>
    <w:rsid w:val="00AF4DC4"/>
    <w:rsid w:val="00AF4E2E"/>
    <w:rsid w:val="00AF6A44"/>
    <w:rsid w:val="00AF78D0"/>
    <w:rsid w:val="00B000CA"/>
    <w:rsid w:val="00B0097B"/>
    <w:rsid w:val="00B02817"/>
    <w:rsid w:val="00B02C92"/>
    <w:rsid w:val="00B02F20"/>
    <w:rsid w:val="00B030B5"/>
    <w:rsid w:val="00B034C5"/>
    <w:rsid w:val="00B035B6"/>
    <w:rsid w:val="00B0394D"/>
    <w:rsid w:val="00B03C44"/>
    <w:rsid w:val="00B0402E"/>
    <w:rsid w:val="00B04A71"/>
    <w:rsid w:val="00B050F7"/>
    <w:rsid w:val="00B0599B"/>
    <w:rsid w:val="00B05FA3"/>
    <w:rsid w:val="00B067C9"/>
    <w:rsid w:val="00B06B1D"/>
    <w:rsid w:val="00B0734D"/>
    <w:rsid w:val="00B073EE"/>
    <w:rsid w:val="00B07552"/>
    <w:rsid w:val="00B0782A"/>
    <w:rsid w:val="00B10356"/>
    <w:rsid w:val="00B10640"/>
    <w:rsid w:val="00B116EA"/>
    <w:rsid w:val="00B118D3"/>
    <w:rsid w:val="00B12792"/>
    <w:rsid w:val="00B12D12"/>
    <w:rsid w:val="00B13615"/>
    <w:rsid w:val="00B1432E"/>
    <w:rsid w:val="00B14D07"/>
    <w:rsid w:val="00B153E1"/>
    <w:rsid w:val="00B1558F"/>
    <w:rsid w:val="00B15B3C"/>
    <w:rsid w:val="00B15B95"/>
    <w:rsid w:val="00B15D2E"/>
    <w:rsid w:val="00B1686C"/>
    <w:rsid w:val="00B17296"/>
    <w:rsid w:val="00B17693"/>
    <w:rsid w:val="00B17C71"/>
    <w:rsid w:val="00B17F44"/>
    <w:rsid w:val="00B2193D"/>
    <w:rsid w:val="00B22E57"/>
    <w:rsid w:val="00B2314C"/>
    <w:rsid w:val="00B231EE"/>
    <w:rsid w:val="00B2351D"/>
    <w:rsid w:val="00B23646"/>
    <w:rsid w:val="00B24629"/>
    <w:rsid w:val="00B24693"/>
    <w:rsid w:val="00B24A02"/>
    <w:rsid w:val="00B25619"/>
    <w:rsid w:val="00B2617F"/>
    <w:rsid w:val="00B262FE"/>
    <w:rsid w:val="00B271AE"/>
    <w:rsid w:val="00B2724B"/>
    <w:rsid w:val="00B27C31"/>
    <w:rsid w:val="00B27DC7"/>
    <w:rsid w:val="00B27F08"/>
    <w:rsid w:val="00B30307"/>
    <w:rsid w:val="00B3031D"/>
    <w:rsid w:val="00B30658"/>
    <w:rsid w:val="00B311F6"/>
    <w:rsid w:val="00B318D0"/>
    <w:rsid w:val="00B31CE6"/>
    <w:rsid w:val="00B333FE"/>
    <w:rsid w:val="00B33A0A"/>
    <w:rsid w:val="00B34775"/>
    <w:rsid w:val="00B34E01"/>
    <w:rsid w:val="00B35CF9"/>
    <w:rsid w:val="00B35DF3"/>
    <w:rsid w:val="00B36006"/>
    <w:rsid w:val="00B36298"/>
    <w:rsid w:val="00B37047"/>
    <w:rsid w:val="00B3705F"/>
    <w:rsid w:val="00B378CD"/>
    <w:rsid w:val="00B37B82"/>
    <w:rsid w:val="00B40174"/>
    <w:rsid w:val="00B4042D"/>
    <w:rsid w:val="00B409A5"/>
    <w:rsid w:val="00B416B1"/>
    <w:rsid w:val="00B41FE7"/>
    <w:rsid w:val="00B42032"/>
    <w:rsid w:val="00B421EB"/>
    <w:rsid w:val="00B42F25"/>
    <w:rsid w:val="00B433CF"/>
    <w:rsid w:val="00B43A7B"/>
    <w:rsid w:val="00B44352"/>
    <w:rsid w:val="00B444CB"/>
    <w:rsid w:val="00B45DF6"/>
    <w:rsid w:val="00B46168"/>
    <w:rsid w:val="00B46206"/>
    <w:rsid w:val="00B464BF"/>
    <w:rsid w:val="00B46B93"/>
    <w:rsid w:val="00B4708A"/>
    <w:rsid w:val="00B47A16"/>
    <w:rsid w:val="00B47C43"/>
    <w:rsid w:val="00B50069"/>
    <w:rsid w:val="00B518D5"/>
    <w:rsid w:val="00B51B56"/>
    <w:rsid w:val="00B51F0E"/>
    <w:rsid w:val="00B52031"/>
    <w:rsid w:val="00B525A2"/>
    <w:rsid w:val="00B52B52"/>
    <w:rsid w:val="00B52E0F"/>
    <w:rsid w:val="00B52F68"/>
    <w:rsid w:val="00B52FD9"/>
    <w:rsid w:val="00B538F8"/>
    <w:rsid w:val="00B53B28"/>
    <w:rsid w:val="00B53D36"/>
    <w:rsid w:val="00B54C45"/>
    <w:rsid w:val="00B559CA"/>
    <w:rsid w:val="00B55ED7"/>
    <w:rsid w:val="00B56523"/>
    <w:rsid w:val="00B565F7"/>
    <w:rsid w:val="00B5666A"/>
    <w:rsid w:val="00B568F5"/>
    <w:rsid w:val="00B5747C"/>
    <w:rsid w:val="00B574F0"/>
    <w:rsid w:val="00B57B12"/>
    <w:rsid w:val="00B60877"/>
    <w:rsid w:val="00B608D7"/>
    <w:rsid w:val="00B60D9B"/>
    <w:rsid w:val="00B60DB8"/>
    <w:rsid w:val="00B61C42"/>
    <w:rsid w:val="00B62153"/>
    <w:rsid w:val="00B6324F"/>
    <w:rsid w:val="00B63B15"/>
    <w:rsid w:val="00B63ED3"/>
    <w:rsid w:val="00B64597"/>
    <w:rsid w:val="00B6548B"/>
    <w:rsid w:val="00B655E3"/>
    <w:rsid w:val="00B65F73"/>
    <w:rsid w:val="00B65F7A"/>
    <w:rsid w:val="00B667CD"/>
    <w:rsid w:val="00B675EC"/>
    <w:rsid w:val="00B67608"/>
    <w:rsid w:val="00B67FFB"/>
    <w:rsid w:val="00B70A68"/>
    <w:rsid w:val="00B70BFC"/>
    <w:rsid w:val="00B71401"/>
    <w:rsid w:val="00B71638"/>
    <w:rsid w:val="00B7194A"/>
    <w:rsid w:val="00B71A63"/>
    <w:rsid w:val="00B71B5A"/>
    <w:rsid w:val="00B722C5"/>
    <w:rsid w:val="00B72448"/>
    <w:rsid w:val="00B72AD7"/>
    <w:rsid w:val="00B7303C"/>
    <w:rsid w:val="00B7368D"/>
    <w:rsid w:val="00B736D2"/>
    <w:rsid w:val="00B73C7C"/>
    <w:rsid w:val="00B7411C"/>
    <w:rsid w:val="00B74909"/>
    <w:rsid w:val="00B74A91"/>
    <w:rsid w:val="00B751FF"/>
    <w:rsid w:val="00B75459"/>
    <w:rsid w:val="00B75471"/>
    <w:rsid w:val="00B75B40"/>
    <w:rsid w:val="00B75E86"/>
    <w:rsid w:val="00B76414"/>
    <w:rsid w:val="00B76618"/>
    <w:rsid w:val="00B76646"/>
    <w:rsid w:val="00B77056"/>
    <w:rsid w:val="00B77189"/>
    <w:rsid w:val="00B778D3"/>
    <w:rsid w:val="00B803A7"/>
    <w:rsid w:val="00B80EA6"/>
    <w:rsid w:val="00B81E82"/>
    <w:rsid w:val="00B81ED0"/>
    <w:rsid w:val="00B824AE"/>
    <w:rsid w:val="00B8446B"/>
    <w:rsid w:val="00B85A5C"/>
    <w:rsid w:val="00B8619F"/>
    <w:rsid w:val="00B865AF"/>
    <w:rsid w:val="00B87189"/>
    <w:rsid w:val="00B87429"/>
    <w:rsid w:val="00B87FF1"/>
    <w:rsid w:val="00B90065"/>
    <w:rsid w:val="00B904D7"/>
    <w:rsid w:val="00B9082D"/>
    <w:rsid w:val="00B90E82"/>
    <w:rsid w:val="00B91C7B"/>
    <w:rsid w:val="00B91DC9"/>
    <w:rsid w:val="00B921EE"/>
    <w:rsid w:val="00B929AA"/>
    <w:rsid w:val="00B92AB7"/>
    <w:rsid w:val="00B92B4C"/>
    <w:rsid w:val="00B94423"/>
    <w:rsid w:val="00B94753"/>
    <w:rsid w:val="00B947E7"/>
    <w:rsid w:val="00B94AD7"/>
    <w:rsid w:val="00B94E4E"/>
    <w:rsid w:val="00B94FD2"/>
    <w:rsid w:val="00B95130"/>
    <w:rsid w:val="00B95178"/>
    <w:rsid w:val="00B9553C"/>
    <w:rsid w:val="00B95922"/>
    <w:rsid w:val="00B95F2C"/>
    <w:rsid w:val="00B96029"/>
    <w:rsid w:val="00B967FE"/>
    <w:rsid w:val="00B96CBF"/>
    <w:rsid w:val="00B96DEF"/>
    <w:rsid w:val="00B972C5"/>
    <w:rsid w:val="00B972CA"/>
    <w:rsid w:val="00BA0381"/>
    <w:rsid w:val="00BA03F7"/>
    <w:rsid w:val="00BA0691"/>
    <w:rsid w:val="00BA072B"/>
    <w:rsid w:val="00BA170E"/>
    <w:rsid w:val="00BA19F3"/>
    <w:rsid w:val="00BA25ED"/>
    <w:rsid w:val="00BA3179"/>
    <w:rsid w:val="00BA3253"/>
    <w:rsid w:val="00BA34A8"/>
    <w:rsid w:val="00BA372D"/>
    <w:rsid w:val="00BA3D88"/>
    <w:rsid w:val="00BA4BD8"/>
    <w:rsid w:val="00BA5519"/>
    <w:rsid w:val="00BA5769"/>
    <w:rsid w:val="00BA57A2"/>
    <w:rsid w:val="00BA5B21"/>
    <w:rsid w:val="00BA60D8"/>
    <w:rsid w:val="00BA72BF"/>
    <w:rsid w:val="00BA7669"/>
    <w:rsid w:val="00BB0734"/>
    <w:rsid w:val="00BB1300"/>
    <w:rsid w:val="00BB1389"/>
    <w:rsid w:val="00BB238D"/>
    <w:rsid w:val="00BB2F25"/>
    <w:rsid w:val="00BB3286"/>
    <w:rsid w:val="00BB3541"/>
    <w:rsid w:val="00BB366C"/>
    <w:rsid w:val="00BB3BD9"/>
    <w:rsid w:val="00BB3D8C"/>
    <w:rsid w:val="00BB44DE"/>
    <w:rsid w:val="00BB46DF"/>
    <w:rsid w:val="00BB4BC6"/>
    <w:rsid w:val="00BB5132"/>
    <w:rsid w:val="00BB5863"/>
    <w:rsid w:val="00BB63FF"/>
    <w:rsid w:val="00BB6556"/>
    <w:rsid w:val="00BB6772"/>
    <w:rsid w:val="00BB6CF9"/>
    <w:rsid w:val="00BB7579"/>
    <w:rsid w:val="00BB7AD1"/>
    <w:rsid w:val="00BC0ADE"/>
    <w:rsid w:val="00BC0B5F"/>
    <w:rsid w:val="00BC0D1A"/>
    <w:rsid w:val="00BC16BE"/>
    <w:rsid w:val="00BC1B27"/>
    <w:rsid w:val="00BC212C"/>
    <w:rsid w:val="00BC2B38"/>
    <w:rsid w:val="00BC2F07"/>
    <w:rsid w:val="00BC30E0"/>
    <w:rsid w:val="00BC333C"/>
    <w:rsid w:val="00BC3579"/>
    <w:rsid w:val="00BC3DFD"/>
    <w:rsid w:val="00BC3F23"/>
    <w:rsid w:val="00BC5360"/>
    <w:rsid w:val="00BC5B05"/>
    <w:rsid w:val="00BC619A"/>
    <w:rsid w:val="00BC6816"/>
    <w:rsid w:val="00BC756D"/>
    <w:rsid w:val="00BC774E"/>
    <w:rsid w:val="00BC7C7E"/>
    <w:rsid w:val="00BD15B7"/>
    <w:rsid w:val="00BD227B"/>
    <w:rsid w:val="00BD2DFA"/>
    <w:rsid w:val="00BD39FD"/>
    <w:rsid w:val="00BD42A9"/>
    <w:rsid w:val="00BD67A2"/>
    <w:rsid w:val="00BD6FB9"/>
    <w:rsid w:val="00BD7465"/>
    <w:rsid w:val="00BD79B0"/>
    <w:rsid w:val="00BD7E0E"/>
    <w:rsid w:val="00BE0107"/>
    <w:rsid w:val="00BE010F"/>
    <w:rsid w:val="00BE021D"/>
    <w:rsid w:val="00BE152F"/>
    <w:rsid w:val="00BE2063"/>
    <w:rsid w:val="00BE2C45"/>
    <w:rsid w:val="00BE2DEF"/>
    <w:rsid w:val="00BE38C2"/>
    <w:rsid w:val="00BE3C5B"/>
    <w:rsid w:val="00BE3EFF"/>
    <w:rsid w:val="00BE3FB6"/>
    <w:rsid w:val="00BE43F6"/>
    <w:rsid w:val="00BE4F3F"/>
    <w:rsid w:val="00BE50EE"/>
    <w:rsid w:val="00BE56BA"/>
    <w:rsid w:val="00BE5C2A"/>
    <w:rsid w:val="00BE6D75"/>
    <w:rsid w:val="00BE6DA4"/>
    <w:rsid w:val="00BE79A1"/>
    <w:rsid w:val="00BE7D24"/>
    <w:rsid w:val="00BF03BE"/>
    <w:rsid w:val="00BF07B0"/>
    <w:rsid w:val="00BF0E57"/>
    <w:rsid w:val="00BF11F3"/>
    <w:rsid w:val="00BF1FC7"/>
    <w:rsid w:val="00BF2A4C"/>
    <w:rsid w:val="00BF3695"/>
    <w:rsid w:val="00BF3CD5"/>
    <w:rsid w:val="00BF3F22"/>
    <w:rsid w:val="00BF4193"/>
    <w:rsid w:val="00BF4576"/>
    <w:rsid w:val="00BF4DBA"/>
    <w:rsid w:val="00BF5C9E"/>
    <w:rsid w:val="00BF60B2"/>
    <w:rsid w:val="00BF6F02"/>
    <w:rsid w:val="00BF76CF"/>
    <w:rsid w:val="00BF7DBC"/>
    <w:rsid w:val="00C004A1"/>
    <w:rsid w:val="00C016A6"/>
    <w:rsid w:val="00C01846"/>
    <w:rsid w:val="00C01AEB"/>
    <w:rsid w:val="00C01D5C"/>
    <w:rsid w:val="00C02023"/>
    <w:rsid w:val="00C02150"/>
    <w:rsid w:val="00C02204"/>
    <w:rsid w:val="00C0274C"/>
    <w:rsid w:val="00C028A9"/>
    <w:rsid w:val="00C02AA4"/>
    <w:rsid w:val="00C02C39"/>
    <w:rsid w:val="00C0436C"/>
    <w:rsid w:val="00C043B5"/>
    <w:rsid w:val="00C048F7"/>
    <w:rsid w:val="00C04E6F"/>
    <w:rsid w:val="00C06128"/>
    <w:rsid w:val="00C075A6"/>
    <w:rsid w:val="00C07D03"/>
    <w:rsid w:val="00C07FDF"/>
    <w:rsid w:val="00C10278"/>
    <w:rsid w:val="00C10A59"/>
    <w:rsid w:val="00C11382"/>
    <w:rsid w:val="00C118B0"/>
    <w:rsid w:val="00C11CC2"/>
    <w:rsid w:val="00C11E7C"/>
    <w:rsid w:val="00C12AF7"/>
    <w:rsid w:val="00C140A5"/>
    <w:rsid w:val="00C14ECD"/>
    <w:rsid w:val="00C152B3"/>
    <w:rsid w:val="00C157AB"/>
    <w:rsid w:val="00C15C88"/>
    <w:rsid w:val="00C16513"/>
    <w:rsid w:val="00C166AB"/>
    <w:rsid w:val="00C1687F"/>
    <w:rsid w:val="00C168C7"/>
    <w:rsid w:val="00C17424"/>
    <w:rsid w:val="00C17636"/>
    <w:rsid w:val="00C177A7"/>
    <w:rsid w:val="00C20490"/>
    <w:rsid w:val="00C20C35"/>
    <w:rsid w:val="00C20D45"/>
    <w:rsid w:val="00C20EB1"/>
    <w:rsid w:val="00C21551"/>
    <w:rsid w:val="00C22459"/>
    <w:rsid w:val="00C22624"/>
    <w:rsid w:val="00C226D1"/>
    <w:rsid w:val="00C22777"/>
    <w:rsid w:val="00C228F1"/>
    <w:rsid w:val="00C22C1F"/>
    <w:rsid w:val="00C23170"/>
    <w:rsid w:val="00C23D6E"/>
    <w:rsid w:val="00C256C4"/>
    <w:rsid w:val="00C25B2D"/>
    <w:rsid w:val="00C2604B"/>
    <w:rsid w:val="00C26826"/>
    <w:rsid w:val="00C26943"/>
    <w:rsid w:val="00C26BB6"/>
    <w:rsid w:val="00C274A0"/>
    <w:rsid w:val="00C277D3"/>
    <w:rsid w:val="00C27A4F"/>
    <w:rsid w:val="00C300C4"/>
    <w:rsid w:val="00C30604"/>
    <w:rsid w:val="00C306AB"/>
    <w:rsid w:val="00C30801"/>
    <w:rsid w:val="00C30CBD"/>
    <w:rsid w:val="00C310AB"/>
    <w:rsid w:val="00C32040"/>
    <w:rsid w:val="00C32E61"/>
    <w:rsid w:val="00C32E77"/>
    <w:rsid w:val="00C338E3"/>
    <w:rsid w:val="00C33C49"/>
    <w:rsid w:val="00C33F62"/>
    <w:rsid w:val="00C3443C"/>
    <w:rsid w:val="00C34F74"/>
    <w:rsid w:val="00C35560"/>
    <w:rsid w:val="00C35B14"/>
    <w:rsid w:val="00C35B78"/>
    <w:rsid w:val="00C35FA9"/>
    <w:rsid w:val="00C3679B"/>
    <w:rsid w:val="00C3688D"/>
    <w:rsid w:val="00C36D7E"/>
    <w:rsid w:val="00C3723F"/>
    <w:rsid w:val="00C3752F"/>
    <w:rsid w:val="00C37A2F"/>
    <w:rsid w:val="00C4062A"/>
    <w:rsid w:val="00C41330"/>
    <w:rsid w:val="00C416EB"/>
    <w:rsid w:val="00C41D89"/>
    <w:rsid w:val="00C41DC8"/>
    <w:rsid w:val="00C42198"/>
    <w:rsid w:val="00C426EF"/>
    <w:rsid w:val="00C4294F"/>
    <w:rsid w:val="00C43211"/>
    <w:rsid w:val="00C43548"/>
    <w:rsid w:val="00C43599"/>
    <w:rsid w:val="00C43748"/>
    <w:rsid w:val="00C44016"/>
    <w:rsid w:val="00C440A6"/>
    <w:rsid w:val="00C4420D"/>
    <w:rsid w:val="00C449CB"/>
    <w:rsid w:val="00C45B83"/>
    <w:rsid w:val="00C46102"/>
    <w:rsid w:val="00C461F3"/>
    <w:rsid w:val="00C46286"/>
    <w:rsid w:val="00C46409"/>
    <w:rsid w:val="00C468D9"/>
    <w:rsid w:val="00C470CA"/>
    <w:rsid w:val="00C47F11"/>
    <w:rsid w:val="00C5043E"/>
    <w:rsid w:val="00C51709"/>
    <w:rsid w:val="00C5171B"/>
    <w:rsid w:val="00C51FAF"/>
    <w:rsid w:val="00C52378"/>
    <w:rsid w:val="00C523D5"/>
    <w:rsid w:val="00C53198"/>
    <w:rsid w:val="00C555EF"/>
    <w:rsid w:val="00C556F8"/>
    <w:rsid w:val="00C55C10"/>
    <w:rsid w:val="00C55E1E"/>
    <w:rsid w:val="00C55F1C"/>
    <w:rsid w:val="00C56B1A"/>
    <w:rsid w:val="00C57125"/>
    <w:rsid w:val="00C5762E"/>
    <w:rsid w:val="00C57890"/>
    <w:rsid w:val="00C57E94"/>
    <w:rsid w:val="00C60677"/>
    <w:rsid w:val="00C60856"/>
    <w:rsid w:val="00C608F4"/>
    <w:rsid w:val="00C60A8E"/>
    <w:rsid w:val="00C60B13"/>
    <w:rsid w:val="00C618DC"/>
    <w:rsid w:val="00C61A9F"/>
    <w:rsid w:val="00C61B51"/>
    <w:rsid w:val="00C61D9A"/>
    <w:rsid w:val="00C61FBD"/>
    <w:rsid w:val="00C6316E"/>
    <w:rsid w:val="00C63485"/>
    <w:rsid w:val="00C63B67"/>
    <w:rsid w:val="00C63C66"/>
    <w:rsid w:val="00C64099"/>
    <w:rsid w:val="00C64182"/>
    <w:rsid w:val="00C64553"/>
    <w:rsid w:val="00C645D4"/>
    <w:rsid w:val="00C64A08"/>
    <w:rsid w:val="00C64B57"/>
    <w:rsid w:val="00C65D28"/>
    <w:rsid w:val="00C6600C"/>
    <w:rsid w:val="00C665E7"/>
    <w:rsid w:val="00C66AC6"/>
    <w:rsid w:val="00C7060E"/>
    <w:rsid w:val="00C70852"/>
    <w:rsid w:val="00C70952"/>
    <w:rsid w:val="00C7096D"/>
    <w:rsid w:val="00C70CB9"/>
    <w:rsid w:val="00C71340"/>
    <w:rsid w:val="00C714F9"/>
    <w:rsid w:val="00C72051"/>
    <w:rsid w:val="00C721C2"/>
    <w:rsid w:val="00C72396"/>
    <w:rsid w:val="00C725A8"/>
    <w:rsid w:val="00C731B8"/>
    <w:rsid w:val="00C732D7"/>
    <w:rsid w:val="00C74047"/>
    <w:rsid w:val="00C740AD"/>
    <w:rsid w:val="00C741AF"/>
    <w:rsid w:val="00C745C0"/>
    <w:rsid w:val="00C746FF"/>
    <w:rsid w:val="00C757A4"/>
    <w:rsid w:val="00C75F5C"/>
    <w:rsid w:val="00C766AF"/>
    <w:rsid w:val="00C76A0B"/>
    <w:rsid w:val="00C77A28"/>
    <w:rsid w:val="00C803D1"/>
    <w:rsid w:val="00C81140"/>
    <w:rsid w:val="00C811EA"/>
    <w:rsid w:val="00C815F5"/>
    <w:rsid w:val="00C81F1D"/>
    <w:rsid w:val="00C82061"/>
    <w:rsid w:val="00C8235C"/>
    <w:rsid w:val="00C82754"/>
    <w:rsid w:val="00C82E36"/>
    <w:rsid w:val="00C83941"/>
    <w:rsid w:val="00C846EE"/>
    <w:rsid w:val="00C84DAC"/>
    <w:rsid w:val="00C84DB7"/>
    <w:rsid w:val="00C84F86"/>
    <w:rsid w:val="00C856B4"/>
    <w:rsid w:val="00C85BE1"/>
    <w:rsid w:val="00C869A9"/>
    <w:rsid w:val="00C86CE0"/>
    <w:rsid w:val="00C875A7"/>
    <w:rsid w:val="00C879EF"/>
    <w:rsid w:val="00C90C71"/>
    <w:rsid w:val="00C91111"/>
    <w:rsid w:val="00C9148B"/>
    <w:rsid w:val="00C9167F"/>
    <w:rsid w:val="00C91C2D"/>
    <w:rsid w:val="00C931A7"/>
    <w:rsid w:val="00C94720"/>
    <w:rsid w:val="00C94BA1"/>
    <w:rsid w:val="00C94CFA"/>
    <w:rsid w:val="00C956AD"/>
    <w:rsid w:val="00C95C93"/>
    <w:rsid w:val="00C9621C"/>
    <w:rsid w:val="00C96249"/>
    <w:rsid w:val="00C9669D"/>
    <w:rsid w:val="00C968FB"/>
    <w:rsid w:val="00C9758F"/>
    <w:rsid w:val="00C976D0"/>
    <w:rsid w:val="00C97F97"/>
    <w:rsid w:val="00CA08BF"/>
    <w:rsid w:val="00CA0BCE"/>
    <w:rsid w:val="00CA0CCD"/>
    <w:rsid w:val="00CA124D"/>
    <w:rsid w:val="00CA13D0"/>
    <w:rsid w:val="00CA23F7"/>
    <w:rsid w:val="00CA4717"/>
    <w:rsid w:val="00CA4979"/>
    <w:rsid w:val="00CA5C6B"/>
    <w:rsid w:val="00CA69BF"/>
    <w:rsid w:val="00CA6A37"/>
    <w:rsid w:val="00CA6F3C"/>
    <w:rsid w:val="00CA76EE"/>
    <w:rsid w:val="00CA7DB4"/>
    <w:rsid w:val="00CA7F11"/>
    <w:rsid w:val="00CA7F7D"/>
    <w:rsid w:val="00CB0B1E"/>
    <w:rsid w:val="00CB139C"/>
    <w:rsid w:val="00CB1B8B"/>
    <w:rsid w:val="00CB1D5F"/>
    <w:rsid w:val="00CB2AD0"/>
    <w:rsid w:val="00CB32CE"/>
    <w:rsid w:val="00CB36FF"/>
    <w:rsid w:val="00CB4678"/>
    <w:rsid w:val="00CB4A13"/>
    <w:rsid w:val="00CB4CE7"/>
    <w:rsid w:val="00CB70B3"/>
    <w:rsid w:val="00CB753C"/>
    <w:rsid w:val="00CB7CBB"/>
    <w:rsid w:val="00CC0073"/>
    <w:rsid w:val="00CC0624"/>
    <w:rsid w:val="00CC09E9"/>
    <w:rsid w:val="00CC0C96"/>
    <w:rsid w:val="00CC1534"/>
    <w:rsid w:val="00CC2162"/>
    <w:rsid w:val="00CC21B9"/>
    <w:rsid w:val="00CC2323"/>
    <w:rsid w:val="00CC235E"/>
    <w:rsid w:val="00CC4096"/>
    <w:rsid w:val="00CC411E"/>
    <w:rsid w:val="00CC4908"/>
    <w:rsid w:val="00CC4CBF"/>
    <w:rsid w:val="00CC4F8A"/>
    <w:rsid w:val="00CC5562"/>
    <w:rsid w:val="00CC578F"/>
    <w:rsid w:val="00CC57F2"/>
    <w:rsid w:val="00CC61BF"/>
    <w:rsid w:val="00CC62C0"/>
    <w:rsid w:val="00CC6C2C"/>
    <w:rsid w:val="00CC787D"/>
    <w:rsid w:val="00CD0027"/>
    <w:rsid w:val="00CD0425"/>
    <w:rsid w:val="00CD07C3"/>
    <w:rsid w:val="00CD0BB9"/>
    <w:rsid w:val="00CD0CDD"/>
    <w:rsid w:val="00CD1AB4"/>
    <w:rsid w:val="00CD25FC"/>
    <w:rsid w:val="00CD2E0B"/>
    <w:rsid w:val="00CD2E19"/>
    <w:rsid w:val="00CD2F88"/>
    <w:rsid w:val="00CD3F95"/>
    <w:rsid w:val="00CD40C4"/>
    <w:rsid w:val="00CD40D0"/>
    <w:rsid w:val="00CD4A97"/>
    <w:rsid w:val="00CD4FAF"/>
    <w:rsid w:val="00CD4FD6"/>
    <w:rsid w:val="00CD5525"/>
    <w:rsid w:val="00CD595C"/>
    <w:rsid w:val="00CD63B6"/>
    <w:rsid w:val="00CD66BB"/>
    <w:rsid w:val="00CD6C23"/>
    <w:rsid w:val="00CD6DF8"/>
    <w:rsid w:val="00CD77E1"/>
    <w:rsid w:val="00CE0320"/>
    <w:rsid w:val="00CE051C"/>
    <w:rsid w:val="00CE09F0"/>
    <w:rsid w:val="00CE0EFC"/>
    <w:rsid w:val="00CE1067"/>
    <w:rsid w:val="00CE166F"/>
    <w:rsid w:val="00CE1AFE"/>
    <w:rsid w:val="00CE2150"/>
    <w:rsid w:val="00CE236F"/>
    <w:rsid w:val="00CE280D"/>
    <w:rsid w:val="00CE3618"/>
    <w:rsid w:val="00CE39CC"/>
    <w:rsid w:val="00CE3AB4"/>
    <w:rsid w:val="00CE5126"/>
    <w:rsid w:val="00CE5790"/>
    <w:rsid w:val="00CE57D9"/>
    <w:rsid w:val="00CE5BD2"/>
    <w:rsid w:val="00CE5F31"/>
    <w:rsid w:val="00CE6ACE"/>
    <w:rsid w:val="00CE711A"/>
    <w:rsid w:val="00CE75B0"/>
    <w:rsid w:val="00CE7692"/>
    <w:rsid w:val="00CF0584"/>
    <w:rsid w:val="00CF06E4"/>
    <w:rsid w:val="00CF0C50"/>
    <w:rsid w:val="00CF0F86"/>
    <w:rsid w:val="00CF0FD3"/>
    <w:rsid w:val="00CF10C5"/>
    <w:rsid w:val="00CF1DFB"/>
    <w:rsid w:val="00CF23BB"/>
    <w:rsid w:val="00CF25D0"/>
    <w:rsid w:val="00CF2786"/>
    <w:rsid w:val="00CF2999"/>
    <w:rsid w:val="00CF2BBE"/>
    <w:rsid w:val="00CF2F50"/>
    <w:rsid w:val="00CF3E09"/>
    <w:rsid w:val="00CF4A03"/>
    <w:rsid w:val="00CF5472"/>
    <w:rsid w:val="00CF5E69"/>
    <w:rsid w:val="00CF6555"/>
    <w:rsid w:val="00CF6AC1"/>
    <w:rsid w:val="00CF6C62"/>
    <w:rsid w:val="00CF6D75"/>
    <w:rsid w:val="00CF7554"/>
    <w:rsid w:val="00CF7FB0"/>
    <w:rsid w:val="00D000B8"/>
    <w:rsid w:val="00D00286"/>
    <w:rsid w:val="00D002A1"/>
    <w:rsid w:val="00D012B9"/>
    <w:rsid w:val="00D012D1"/>
    <w:rsid w:val="00D014F4"/>
    <w:rsid w:val="00D01828"/>
    <w:rsid w:val="00D01922"/>
    <w:rsid w:val="00D01FD3"/>
    <w:rsid w:val="00D023DC"/>
    <w:rsid w:val="00D02539"/>
    <w:rsid w:val="00D02BBC"/>
    <w:rsid w:val="00D02D63"/>
    <w:rsid w:val="00D03027"/>
    <w:rsid w:val="00D03215"/>
    <w:rsid w:val="00D03357"/>
    <w:rsid w:val="00D03D35"/>
    <w:rsid w:val="00D04B9F"/>
    <w:rsid w:val="00D06012"/>
    <w:rsid w:val="00D061A3"/>
    <w:rsid w:val="00D06ADA"/>
    <w:rsid w:val="00D06B57"/>
    <w:rsid w:val="00D06D71"/>
    <w:rsid w:val="00D07881"/>
    <w:rsid w:val="00D079FD"/>
    <w:rsid w:val="00D07BE4"/>
    <w:rsid w:val="00D1029A"/>
    <w:rsid w:val="00D1046F"/>
    <w:rsid w:val="00D10E2E"/>
    <w:rsid w:val="00D11401"/>
    <w:rsid w:val="00D11764"/>
    <w:rsid w:val="00D11C23"/>
    <w:rsid w:val="00D11DDF"/>
    <w:rsid w:val="00D121BA"/>
    <w:rsid w:val="00D12485"/>
    <w:rsid w:val="00D12CA5"/>
    <w:rsid w:val="00D12CB6"/>
    <w:rsid w:val="00D12D05"/>
    <w:rsid w:val="00D12FD4"/>
    <w:rsid w:val="00D142A8"/>
    <w:rsid w:val="00D148B1"/>
    <w:rsid w:val="00D149A2"/>
    <w:rsid w:val="00D15491"/>
    <w:rsid w:val="00D17B0E"/>
    <w:rsid w:val="00D17DED"/>
    <w:rsid w:val="00D208D9"/>
    <w:rsid w:val="00D20F87"/>
    <w:rsid w:val="00D212D2"/>
    <w:rsid w:val="00D21487"/>
    <w:rsid w:val="00D22179"/>
    <w:rsid w:val="00D230A3"/>
    <w:rsid w:val="00D23545"/>
    <w:rsid w:val="00D2418B"/>
    <w:rsid w:val="00D245B0"/>
    <w:rsid w:val="00D24EC0"/>
    <w:rsid w:val="00D24FCA"/>
    <w:rsid w:val="00D25697"/>
    <w:rsid w:val="00D25EDB"/>
    <w:rsid w:val="00D26135"/>
    <w:rsid w:val="00D26191"/>
    <w:rsid w:val="00D267B1"/>
    <w:rsid w:val="00D2721F"/>
    <w:rsid w:val="00D272EE"/>
    <w:rsid w:val="00D2747F"/>
    <w:rsid w:val="00D27CFE"/>
    <w:rsid w:val="00D27F7D"/>
    <w:rsid w:val="00D30032"/>
    <w:rsid w:val="00D3018B"/>
    <w:rsid w:val="00D30526"/>
    <w:rsid w:val="00D316C5"/>
    <w:rsid w:val="00D31D67"/>
    <w:rsid w:val="00D32335"/>
    <w:rsid w:val="00D32FEF"/>
    <w:rsid w:val="00D3335D"/>
    <w:rsid w:val="00D33679"/>
    <w:rsid w:val="00D341E3"/>
    <w:rsid w:val="00D348CE"/>
    <w:rsid w:val="00D35C8E"/>
    <w:rsid w:val="00D35CFF"/>
    <w:rsid w:val="00D35D97"/>
    <w:rsid w:val="00D376BB"/>
    <w:rsid w:val="00D37776"/>
    <w:rsid w:val="00D4075A"/>
    <w:rsid w:val="00D40A64"/>
    <w:rsid w:val="00D40CE7"/>
    <w:rsid w:val="00D40E5A"/>
    <w:rsid w:val="00D411F8"/>
    <w:rsid w:val="00D4167E"/>
    <w:rsid w:val="00D41B4D"/>
    <w:rsid w:val="00D4292E"/>
    <w:rsid w:val="00D431DE"/>
    <w:rsid w:val="00D43235"/>
    <w:rsid w:val="00D43291"/>
    <w:rsid w:val="00D4371E"/>
    <w:rsid w:val="00D43AE1"/>
    <w:rsid w:val="00D43F85"/>
    <w:rsid w:val="00D440A3"/>
    <w:rsid w:val="00D44507"/>
    <w:rsid w:val="00D447A6"/>
    <w:rsid w:val="00D447C1"/>
    <w:rsid w:val="00D44831"/>
    <w:rsid w:val="00D44AB3"/>
    <w:rsid w:val="00D4583D"/>
    <w:rsid w:val="00D460CA"/>
    <w:rsid w:val="00D46E4C"/>
    <w:rsid w:val="00D4738C"/>
    <w:rsid w:val="00D504AC"/>
    <w:rsid w:val="00D52059"/>
    <w:rsid w:val="00D52318"/>
    <w:rsid w:val="00D524A2"/>
    <w:rsid w:val="00D5284C"/>
    <w:rsid w:val="00D52B8A"/>
    <w:rsid w:val="00D5338A"/>
    <w:rsid w:val="00D5368F"/>
    <w:rsid w:val="00D539F7"/>
    <w:rsid w:val="00D542A7"/>
    <w:rsid w:val="00D54488"/>
    <w:rsid w:val="00D54FFD"/>
    <w:rsid w:val="00D55923"/>
    <w:rsid w:val="00D55A0D"/>
    <w:rsid w:val="00D55A3E"/>
    <w:rsid w:val="00D55D45"/>
    <w:rsid w:val="00D55FAE"/>
    <w:rsid w:val="00D56EC3"/>
    <w:rsid w:val="00D57481"/>
    <w:rsid w:val="00D57C16"/>
    <w:rsid w:val="00D57EC8"/>
    <w:rsid w:val="00D60277"/>
    <w:rsid w:val="00D607FE"/>
    <w:rsid w:val="00D60BF4"/>
    <w:rsid w:val="00D61316"/>
    <w:rsid w:val="00D61640"/>
    <w:rsid w:val="00D617D1"/>
    <w:rsid w:val="00D624DD"/>
    <w:rsid w:val="00D627AA"/>
    <w:rsid w:val="00D62E2B"/>
    <w:rsid w:val="00D62F81"/>
    <w:rsid w:val="00D636C2"/>
    <w:rsid w:val="00D63C6C"/>
    <w:rsid w:val="00D63FDE"/>
    <w:rsid w:val="00D640C6"/>
    <w:rsid w:val="00D6478B"/>
    <w:rsid w:val="00D64B74"/>
    <w:rsid w:val="00D651A6"/>
    <w:rsid w:val="00D65639"/>
    <w:rsid w:val="00D65889"/>
    <w:rsid w:val="00D65C8F"/>
    <w:rsid w:val="00D65D8A"/>
    <w:rsid w:val="00D665AA"/>
    <w:rsid w:val="00D677C0"/>
    <w:rsid w:val="00D70184"/>
    <w:rsid w:val="00D71493"/>
    <w:rsid w:val="00D71EC4"/>
    <w:rsid w:val="00D725E1"/>
    <w:rsid w:val="00D72776"/>
    <w:rsid w:val="00D72F52"/>
    <w:rsid w:val="00D7380C"/>
    <w:rsid w:val="00D750A7"/>
    <w:rsid w:val="00D7608A"/>
    <w:rsid w:val="00D76F0E"/>
    <w:rsid w:val="00D76F40"/>
    <w:rsid w:val="00D77524"/>
    <w:rsid w:val="00D77A79"/>
    <w:rsid w:val="00D80085"/>
    <w:rsid w:val="00D80365"/>
    <w:rsid w:val="00D804BB"/>
    <w:rsid w:val="00D806A6"/>
    <w:rsid w:val="00D80F41"/>
    <w:rsid w:val="00D822AF"/>
    <w:rsid w:val="00D82ADF"/>
    <w:rsid w:val="00D82DBE"/>
    <w:rsid w:val="00D8301B"/>
    <w:rsid w:val="00D8393F"/>
    <w:rsid w:val="00D83D43"/>
    <w:rsid w:val="00D84312"/>
    <w:rsid w:val="00D84E79"/>
    <w:rsid w:val="00D85068"/>
    <w:rsid w:val="00D85B4D"/>
    <w:rsid w:val="00D86199"/>
    <w:rsid w:val="00D864AD"/>
    <w:rsid w:val="00D86672"/>
    <w:rsid w:val="00D8672D"/>
    <w:rsid w:val="00D873B8"/>
    <w:rsid w:val="00D87464"/>
    <w:rsid w:val="00D87EE0"/>
    <w:rsid w:val="00D87F88"/>
    <w:rsid w:val="00D9098F"/>
    <w:rsid w:val="00D91207"/>
    <w:rsid w:val="00D91255"/>
    <w:rsid w:val="00D913A3"/>
    <w:rsid w:val="00D913AF"/>
    <w:rsid w:val="00D91409"/>
    <w:rsid w:val="00D91DBE"/>
    <w:rsid w:val="00D93F7F"/>
    <w:rsid w:val="00D94663"/>
    <w:rsid w:val="00D947A3"/>
    <w:rsid w:val="00D94A44"/>
    <w:rsid w:val="00D94D0A"/>
    <w:rsid w:val="00D94FC2"/>
    <w:rsid w:val="00D95354"/>
    <w:rsid w:val="00D9569F"/>
    <w:rsid w:val="00D95BBF"/>
    <w:rsid w:val="00D95BD9"/>
    <w:rsid w:val="00D96179"/>
    <w:rsid w:val="00D966DE"/>
    <w:rsid w:val="00D9680B"/>
    <w:rsid w:val="00DA05F5"/>
    <w:rsid w:val="00DA0D7D"/>
    <w:rsid w:val="00DA186A"/>
    <w:rsid w:val="00DA1A52"/>
    <w:rsid w:val="00DA2357"/>
    <w:rsid w:val="00DA2583"/>
    <w:rsid w:val="00DA276D"/>
    <w:rsid w:val="00DA3AC9"/>
    <w:rsid w:val="00DA548B"/>
    <w:rsid w:val="00DA5C21"/>
    <w:rsid w:val="00DA5CB8"/>
    <w:rsid w:val="00DA5DC9"/>
    <w:rsid w:val="00DA71D4"/>
    <w:rsid w:val="00DA7925"/>
    <w:rsid w:val="00DA7AAA"/>
    <w:rsid w:val="00DA7B16"/>
    <w:rsid w:val="00DB0609"/>
    <w:rsid w:val="00DB0F53"/>
    <w:rsid w:val="00DB0F61"/>
    <w:rsid w:val="00DB11F1"/>
    <w:rsid w:val="00DB1410"/>
    <w:rsid w:val="00DB174C"/>
    <w:rsid w:val="00DB184C"/>
    <w:rsid w:val="00DB271E"/>
    <w:rsid w:val="00DB283F"/>
    <w:rsid w:val="00DB310C"/>
    <w:rsid w:val="00DB3753"/>
    <w:rsid w:val="00DB3BCD"/>
    <w:rsid w:val="00DB411F"/>
    <w:rsid w:val="00DB418D"/>
    <w:rsid w:val="00DB458C"/>
    <w:rsid w:val="00DB4B2E"/>
    <w:rsid w:val="00DB4D4F"/>
    <w:rsid w:val="00DB4F18"/>
    <w:rsid w:val="00DB537F"/>
    <w:rsid w:val="00DB5424"/>
    <w:rsid w:val="00DB6753"/>
    <w:rsid w:val="00DB6F6D"/>
    <w:rsid w:val="00DB7144"/>
    <w:rsid w:val="00DB7408"/>
    <w:rsid w:val="00DB78A0"/>
    <w:rsid w:val="00DB7C48"/>
    <w:rsid w:val="00DB7F7B"/>
    <w:rsid w:val="00DC0A8F"/>
    <w:rsid w:val="00DC11A8"/>
    <w:rsid w:val="00DC1276"/>
    <w:rsid w:val="00DC1361"/>
    <w:rsid w:val="00DC2443"/>
    <w:rsid w:val="00DC2554"/>
    <w:rsid w:val="00DC2917"/>
    <w:rsid w:val="00DC2F62"/>
    <w:rsid w:val="00DC3CCE"/>
    <w:rsid w:val="00DC41E5"/>
    <w:rsid w:val="00DC5229"/>
    <w:rsid w:val="00DC59F2"/>
    <w:rsid w:val="00DC5FF3"/>
    <w:rsid w:val="00DC604F"/>
    <w:rsid w:val="00DC658F"/>
    <w:rsid w:val="00DC67CF"/>
    <w:rsid w:val="00DC6BB6"/>
    <w:rsid w:val="00DC737B"/>
    <w:rsid w:val="00DC7467"/>
    <w:rsid w:val="00DC77DD"/>
    <w:rsid w:val="00DC7D16"/>
    <w:rsid w:val="00DD00F2"/>
    <w:rsid w:val="00DD1445"/>
    <w:rsid w:val="00DD1898"/>
    <w:rsid w:val="00DD19B2"/>
    <w:rsid w:val="00DD224F"/>
    <w:rsid w:val="00DD2CAB"/>
    <w:rsid w:val="00DD3FE3"/>
    <w:rsid w:val="00DD4F13"/>
    <w:rsid w:val="00DD534F"/>
    <w:rsid w:val="00DD6334"/>
    <w:rsid w:val="00DD6B9C"/>
    <w:rsid w:val="00DD73D4"/>
    <w:rsid w:val="00DE06EC"/>
    <w:rsid w:val="00DE0823"/>
    <w:rsid w:val="00DE0851"/>
    <w:rsid w:val="00DE0BB1"/>
    <w:rsid w:val="00DE1B2C"/>
    <w:rsid w:val="00DE2C74"/>
    <w:rsid w:val="00DE3C92"/>
    <w:rsid w:val="00DE3F64"/>
    <w:rsid w:val="00DE416D"/>
    <w:rsid w:val="00DE61F7"/>
    <w:rsid w:val="00DE6BDF"/>
    <w:rsid w:val="00DE7186"/>
    <w:rsid w:val="00DE7C4D"/>
    <w:rsid w:val="00DE7CB0"/>
    <w:rsid w:val="00DF0315"/>
    <w:rsid w:val="00DF045D"/>
    <w:rsid w:val="00DF0708"/>
    <w:rsid w:val="00DF09FF"/>
    <w:rsid w:val="00DF1018"/>
    <w:rsid w:val="00DF1D6B"/>
    <w:rsid w:val="00DF270E"/>
    <w:rsid w:val="00DF297F"/>
    <w:rsid w:val="00DF2E58"/>
    <w:rsid w:val="00DF2FA3"/>
    <w:rsid w:val="00DF3496"/>
    <w:rsid w:val="00DF3986"/>
    <w:rsid w:val="00DF3E94"/>
    <w:rsid w:val="00DF45E6"/>
    <w:rsid w:val="00DF4F0B"/>
    <w:rsid w:val="00DF4F0F"/>
    <w:rsid w:val="00DF5085"/>
    <w:rsid w:val="00DF525D"/>
    <w:rsid w:val="00DF5FE2"/>
    <w:rsid w:val="00DF6224"/>
    <w:rsid w:val="00DF6685"/>
    <w:rsid w:val="00DF69C0"/>
    <w:rsid w:val="00DF6A11"/>
    <w:rsid w:val="00DF6A68"/>
    <w:rsid w:val="00DF7859"/>
    <w:rsid w:val="00DF7AB2"/>
    <w:rsid w:val="00DF7EF7"/>
    <w:rsid w:val="00E0008C"/>
    <w:rsid w:val="00E003E2"/>
    <w:rsid w:val="00E00466"/>
    <w:rsid w:val="00E01311"/>
    <w:rsid w:val="00E020D9"/>
    <w:rsid w:val="00E025E0"/>
    <w:rsid w:val="00E0299C"/>
    <w:rsid w:val="00E0417D"/>
    <w:rsid w:val="00E041AC"/>
    <w:rsid w:val="00E0420A"/>
    <w:rsid w:val="00E04CF6"/>
    <w:rsid w:val="00E05345"/>
    <w:rsid w:val="00E05711"/>
    <w:rsid w:val="00E062B9"/>
    <w:rsid w:val="00E0686E"/>
    <w:rsid w:val="00E06AD5"/>
    <w:rsid w:val="00E10E5C"/>
    <w:rsid w:val="00E10FB9"/>
    <w:rsid w:val="00E11BF2"/>
    <w:rsid w:val="00E11CC4"/>
    <w:rsid w:val="00E1228E"/>
    <w:rsid w:val="00E129E5"/>
    <w:rsid w:val="00E13528"/>
    <w:rsid w:val="00E13589"/>
    <w:rsid w:val="00E13BA6"/>
    <w:rsid w:val="00E1404A"/>
    <w:rsid w:val="00E141C5"/>
    <w:rsid w:val="00E1426D"/>
    <w:rsid w:val="00E146F4"/>
    <w:rsid w:val="00E14BC3"/>
    <w:rsid w:val="00E158B8"/>
    <w:rsid w:val="00E15917"/>
    <w:rsid w:val="00E16230"/>
    <w:rsid w:val="00E1652D"/>
    <w:rsid w:val="00E16A6D"/>
    <w:rsid w:val="00E171B2"/>
    <w:rsid w:val="00E17EE6"/>
    <w:rsid w:val="00E20023"/>
    <w:rsid w:val="00E2028F"/>
    <w:rsid w:val="00E221E3"/>
    <w:rsid w:val="00E2265F"/>
    <w:rsid w:val="00E228A9"/>
    <w:rsid w:val="00E228E0"/>
    <w:rsid w:val="00E22B5F"/>
    <w:rsid w:val="00E22FAC"/>
    <w:rsid w:val="00E23294"/>
    <w:rsid w:val="00E23684"/>
    <w:rsid w:val="00E23DA0"/>
    <w:rsid w:val="00E24564"/>
    <w:rsid w:val="00E247F1"/>
    <w:rsid w:val="00E253CE"/>
    <w:rsid w:val="00E255B3"/>
    <w:rsid w:val="00E2599B"/>
    <w:rsid w:val="00E26575"/>
    <w:rsid w:val="00E27CAA"/>
    <w:rsid w:val="00E30134"/>
    <w:rsid w:val="00E316B5"/>
    <w:rsid w:val="00E31BA2"/>
    <w:rsid w:val="00E32366"/>
    <w:rsid w:val="00E3289D"/>
    <w:rsid w:val="00E32D4C"/>
    <w:rsid w:val="00E32FEB"/>
    <w:rsid w:val="00E33386"/>
    <w:rsid w:val="00E33530"/>
    <w:rsid w:val="00E33621"/>
    <w:rsid w:val="00E33B3C"/>
    <w:rsid w:val="00E3542B"/>
    <w:rsid w:val="00E362AD"/>
    <w:rsid w:val="00E36469"/>
    <w:rsid w:val="00E36B33"/>
    <w:rsid w:val="00E370B6"/>
    <w:rsid w:val="00E37372"/>
    <w:rsid w:val="00E3766A"/>
    <w:rsid w:val="00E37B78"/>
    <w:rsid w:val="00E37DD0"/>
    <w:rsid w:val="00E37E09"/>
    <w:rsid w:val="00E400F5"/>
    <w:rsid w:val="00E4011F"/>
    <w:rsid w:val="00E408E0"/>
    <w:rsid w:val="00E419F2"/>
    <w:rsid w:val="00E41CDB"/>
    <w:rsid w:val="00E41E27"/>
    <w:rsid w:val="00E41FBF"/>
    <w:rsid w:val="00E43470"/>
    <w:rsid w:val="00E43612"/>
    <w:rsid w:val="00E43877"/>
    <w:rsid w:val="00E43C51"/>
    <w:rsid w:val="00E43DBA"/>
    <w:rsid w:val="00E44099"/>
    <w:rsid w:val="00E44507"/>
    <w:rsid w:val="00E4480B"/>
    <w:rsid w:val="00E44BC9"/>
    <w:rsid w:val="00E4506D"/>
    <w:rsid w:val="00E466AF"/>
    <w:rsid w:val="00E469BF"/>
    <w:rsid w:val="00E46DAC"/>
    <w:rsid w:val="00E46EAB"/>
    <w:rsid w:val="00E50A7F"/>
    <w:rsid w:val="00E51B81"/>
    <w:rsid w:val="00E52221"/>
    <w:rsid w:val="00E52782"/>
    <w:rsid w:val="00E53214"/>
    <w:rsid w:val="00E53515"/>
    <w:rsid w:val="00E5472E"/>
    <w:rsid w:val="00E547C7"/>
    <w:rsid w:val="00E549E9"/>
    <w:rsid w:val="00E5511D"/>
    <w:rsid w:val="00E55384"/>
    <w:rsid w:val="00E55C6A"/>
    <w:rsid w:val="00E5673A"/>
    <w:rsid w:val="00E577A5"/>
    <w:rsid w:val="00E577C3"/>
    <w:rsid w:val="00E57952"/>
    <w:rsid w:val="00E57F13"/>
    <w:rsid w:val="00E60DAB"/>
    <w:rsid w:val="00E614CB"/>
    <w:rsid w:val="00E61B30"/>
    <w:rsid w:val="00E62728"/>
    <w:rsid w:val="00E630AA"/>
    <w:rsid w:val="00E63390"/>
    <w:rsid w:val="00E63BC9"/>
    <w:rsid w:val="00E63DB5"/>
    <w:rsid w:val="00E644A2"/>
    <w:rsid w:val="00E660A2"/>
    <w:rsid w:val="00E6688B"/>
    <w:rsid w:val="00E66B55"/>
    <w:rsid w:val="00E66D6D"/>
    <w:rsid w:val="00E66D86"/>
    <w:rsid w:val="00E67286"/>
    <w:rsid w:val="00E710C9"/>
    <w:rsid w:val="00E71246"/>
    <w:rsid w:val="00E739B1"/>
    <w:rsid w:val="00E744B3"/>
    <w:rsid w:val="00E74CA1"/>
    <w:rsid w:val="00E753EB"/>
    <w:rsid w:val="00E76630"/>
    <w:rsid w:val="00E76A6E"/>
    <w:rsid w:val="00E77289"/>
    <w:rsid w:val="00E77722"/>
    <w:rsid w:val="00E77990"/>
    <w:rsid w:val="00E800BF"/>
    <w:rsid w:val="00E80DAC"/>
    <w:rsid w:val="00E81778"/>
    <w:rsid w:val="00E8177C"/>
    <w:rsid w:val="00E822F3"/>
    <w:rsid w:val="00E82832"/>
    <w:rsid w:val="00E828EA"/>
    <w:rsid w:val="00E83096"/>
    <w:rsid w:val="00E83BD2"/>
    <w:rsid w:val="00E83E57"/>
    <w:rsid w:val="00E844D3"/>
    <w:rsid w:val="00E8456C"/>
    <w:rsid w:val="00E84EA3"/>
    <w:rsid w:val="00E85A24"/>
    <w:rsid w:val="00E86920"/>
    <w:rsid w:val="00E86E61"/>
    <w:rsid w:val="00E87105"/>
    <w:rsid w:val="00E8733C"/>
    <w:rsid w:val="00E8761C"/>
    <w:rsid w:val="00E87B5B"/>
    <w:rsid w:val="00E87BC2"/>
    <w:rsid w:val="00E87F83"/>
    <w:rsid w:val="00E90B39"/>
    <w:rsid w:val="00E91655"/>
    <w:rsid w:val="00E9183B"/>
    <w:rsid w:val="00E91D7F"/>
    <w:rsid w:val="00E92ED9"/>
    <w:rsid w:val="00E931CB"/>
    <w:rsid w:val="00E93F9F"/>
    <w:rsid w:val="00E9404B"/>
    <w:rsid w:val="00E946D5"/>
    <w:rsid w:val="00E9491A"/>
    <w:rsid w:val="00E94C9D"/>
    <w:rsid w:val="00E94E9E"/>
    <w:rsid w:val="00E95784"/>
    <w:rsid w:val="00E95A51"/>
    <w:rsid w:val="00E95B73"/>
    <w:rsid w:val="00E95DAC"/>
    <w:rsid w:val="00E96451"/>
    <w:rsid w:val="00E96A86"/>
    <w:rsid w:val="00E96DA1"/>
    <w:rsid w:val="00E97192"/>
    <w:rsid w:val="00E976C6"/>
    <w:rsid w:val="00E97F39"/>
    <w:rsid w:val="00E97F74"/>
    <w:rsid w:val="00E97FFD"/>
    <w:rsid w:val="00EA02B5"/>
    <w:rsid w:val="00EA0E79"/>
    <w:rsid w:val="00EA10F3"/>
    <w:rsid w:val="00EA11BB"/>
    <w:rsid w:val="00EA1A6B"/>
    <w:rsid w:val="00EA277A"/>
    <w:rsid w:val="00EA34D5"/>
    <w:rsid w:val="00EA35C4"/>
    <w:rsid w:val="00EA424C"/>
    <w:rsid w:val="00EA429F"/>
    <w:rsid w:val="00EA4493"/>
    <w:rsid w:val="00EA47C0"/>
    <w:rsid w:val="00EA51A2"/>
    <w:rsid w:val="00EA58A8"/>
    <w:rsid w:val="00EA60AA"/>
    <w:rsid w:val="00EA6240"/>
    <w:rsid w:val="00EA7DBA"/>
    <w:rsid w:val="00EB074B"/>
    <w:rsid w:val="00EB07BF"/>
    <w:rsid w:val="00EB0903"/>
    <w:rsid w:val="00EB0DB2"/>
    <w:rsid w:val="00EB1030"/>
    <w:rsid w:val="00EB2054"/>
    <w:rsid w:val="00EB257D"/>
    <w:rsid w:val="00EB2760"/>
    <w:rsid w:val="00EB2A78"/>
    <w:rsid w:val="00EB2BE0"/>
    <w:rsid w:val="00EB2E7F"/>
    <w:rsid w:val="00EB35B8"/>
    <w:rsid w:val="00EB3721"/>
    <w:rsid w:val="00EB37A5"/>
    <w:rsid w:val="00EB3A62"/>
    <w:rsid w:val="00EB3BD2"/>
    <w:rsid w:val="00EB3F0C"/>
    <w:rsid w:val="00EB463E"/>
    <w:rsid w:val="00EB48DD"/>
    <w:rsid w:val="00EB4900"/>
    <w:rsid w:val="00EB6320"/>
    <w:rsid w:val="00EB6420"/>
    <w:rsid w:val="00EB6FA4"/>
    <w:rsid w:val="00EB7216"/>
    <w:rsid w:val="00EB742E"/>
    <w:rsid w:val="00EB7BA2"/>
    <w:rsid w:val="00EB7FF2"/>
    <w:rsid w:val="00EC1368"/>
    <w:rsid w:val="00EC1812"/>
    <w:rsid w:val="00EC1B28"/>
    <w:rsid w:val="00EC1C37"/>
    <w:rsid w:val="00EC1F10"/>
    <w:rsid w:val="00EC2013"/>
    <w:rsid w:val="00EC24CB"/>
    <w:rsid w:val="00EC2504"/>
    <w:rsid w:val="00EC28A2"/>
    <w:rsid w:val="00EC2B41"/>
    <w:rsid w:val="00EC2DFF"/>
    <w:rsid w:val="00EC35D5"/>
    <w:rsid w:val="00EC44F3"/>
    <w:rsid w:val="00EC5226"/>
    <w:rsid w:val="00EC5472"/>
    <w:rsid w:val="00EC5863"/>
    <w:rsid w:val="00EC66A9"/>
    <w:rsid w:val="00EC6C32"/>
    <w:rsid w:val="00EC772B"/>
    <w:rsid w:val="00EC7C70"/>
    <w:rsid w:val="00ED0039"/>
    <w:rsid w:val="00ED0486"/>
    <w:rsid w:val="00ED076A"/>
    <w:rsid w:val="00ED11D9"/>
    <w:rsid w:val="00ED12F8"/>
    <w:rsid w:val="00ED139D"/>
    <w:rsid w:val="00ED1AA2"/>
    <w:rsid w:val="00ED2AD7"/>
    <w:rsid w:val="00ED2EB9"/>
    <w:rsid w:val="00ED344B"/>
    <w:rsid w:val="00ED3AFF"/>
    <w:rsid w:val="00ED3CCB"/>
    <w:rsid w:val="00ED4239"/>
    <w:rsid w:val="00ED49FE"/>
    <w:rsid w:val="00ED6ACA"/>
    <w:rsid w:val="00ED6CDE"/>
    <w:rsid w:val="00ED70C5"/>
    <w:rsid w:val="00ED7C54"/>
    <w:rsid w:val="00ED7E23"/>
    <w:rsid w:val="00EE000F"/>
    <w:rsid w:val="00EE0058"/>
    <w:rsid w:val="00EE0701"/>
    <w:rsid w:val="00EE0A12"/>
    <w:rsid w:val="00EE293B"/>
    <w:rsid w:val="00EE33CC"/>
    <w:rsid w:val="00EE3813"/>
    <w:rsid w:val="00EE3B6C"/>
    <w:rsid w:val="00EE60B6"/>
    <w:rsid w:val="00EE6321"/>
    <w:rsid w:val="00EE636F"/>
    <w:rsid w:val="00EE6982"/>
    <w:rsid w:val="00EE6B17"/>
    <w:rsid w:val="00EE6CB4"/>
    <w:rsid w:val="00EE72FA"/>
    <w:rsid w:val="00EE74A5"/>
    <w:rsid w:val="00EE7D5F"/>
    <w:rsid w:val="00EF0FFD"/>
    <w:rsid w:val="00EF10D6"/>
    <w:rsid w:val="00EF26BE"/>
    <w:rsid w:val="00EF2956"/>
    <w:rsid w:val="00EF3DD5"/>
    <w:rsid w:val="00EF3E28"/>
    <w:rsid w:val="00EF46CF"/>
    <w:rsid w:val="00EF4A9D"/>
    <w:rsid w:val="00EF4D3D"/>
    <w:rsid w:val="00EF4E89"/>
    <w:rsid w:val="00EF57EF"/>
    <w:rsid w:val="00EF5CE3"/>
    <w:rsid w:val="00EF7058"/>
    <w:rsid w:val="00EF7151"/>
    <w:rsid w:val="00F00355"/>
    <w:rsid w:val="00F00A58"/>
    <w:rsid w:val="00F00CA3"/>
    <w:rsid w:val="00F00D60"/>
    <w:rsid w:val="00F013B7"/>
    <w:rsid w:val="00F028A9"/>
    <w:rsid w:val="00F02B3B"/>
    <w:rsid w:val="00F0344A"/>
    <w:rsid w:val="00F035A4"/>
    <w:rsid w:val="00F0450E"/>
    <w:rsid w:val="00F047BF"/>
    <w:rsid w:val="00F04E1F"/>
    <w:rsid w:val="00F0517E"/>
    <w:rsid w:val="00F066CE"/>
    <w:rsid w:val="00F0738E"/>
    <w:rsid w:val="00F0742D"/>
    <w:rsid w:val="00F07600"/>
    <w:rsid w:val="00F078CB"/>
    <w:rsid w:val="00F07BEB"/>
    <w:rsid w:val="00F07D3F"/>
    <w:rsid w:val="00F10A79"/>
    <w:rsid w:val="00F1177C"/>
    <w:rsid w:val="00F117DB"/>
    <w:rsid w:val="00F11A3A"/>
    <w:rsid w:val="00F11C75"/>
    <w:rsid w:val="00F1345F"/>
    <w:rsid w:val="00F13584"/>
    <w:rsid w:val="00F1372F"/>
    <w:rsid w:val="00F13830"/>
    <w:rsid w:val="00F140FA"/>
    <w:rsid w:val="00F14284"/>
    <w:rsid w:val="00F14909"/>
    <w:rsid w:val="00F157A3"/>
    <w:rsid w:val="00F16065"/>
    <w:rsid w:val="00F16CDB"/>
    <w:rsid w:val="00F1715D"/>
    <w:rsid w:val="00F17776"/>
    <w:rsid w:val="00F17AE1"/>
    <w:rsid w:val="00F17B26"/>
    <w:rsid w:val="00F20FDC"/>
    <w:rsid w:val="00F224CC"/>
    <w:rsid w:val="00F23C28"/>
    <w:rsid w:val="00F23FD8"/>
    <w:rsid w:val="00F2407B"/>
    <w:rsid w:val="00F24BFC"/>
    <w:rsid w:val="00F25ACE"/>
    <w:rsid w:val="00F25D4E"/>
    <w:rsid w:val="00F26036"/>
    <w:rsid w:val="00F26C0D"/>
    <w:rsid w:val="00F2789B"/>
    <w:rsid w:val="00F27A7B"/>
    <w:rsid w:val="00F27AAA"/>
    <w:rsid w:val="00F27DB8"/>
    <w:rsid w:val="00F27E6A"/>
    <w:rsid w:val="00F27F07"/>
    <w:rsid w:val="00F305C7"/>
    <w:rsid w:val="00F308BE"/>
    <w:rsid w:val="00F31507"/>
    <w:rsid w:val="00F327C9"/>
    <w:rsid w:val="00F3296E"/>
    <w:rsid w:val="00F32FAB"/>
    <w:rsid w:val="00F33591"/>
    <w:rsid w:val="00F33F15"/>
    <w:rsid w:val="00F33F9C"/>
    <w:rsid w:val="00F3419F"/>
    <w:rsid w:val="00F342A3"/>
    <w:rsid w:val="00F35DDF"/>
    <w:rsid w:val="00F363F6"/>
    <w:rsid w:val="00F3647A"/>
    <w:rsid w:val="00F36723"/>
    <w:rsid w:val="00F36771"/>
    <w:rsid w:val="00F36E5F"/>
    <w:rsid w:val="00F3745F"/>
    <w:rsid w:val="00F379B7"/>
    <w:rsid w:val="00F4027D"/>
    <w:rsid w:val="00F41398"/>
    <w:rsid w:val="00F4157B"/>
    <w:rsid w:val="00F41A23"/>
    <w:rsid w:val="00F4251C"/>
    <w:rsid w:val="00F426DD"/>
    <w:rsid w:val="00F43134"/>
    <w:rsid w:val="00F4362A"/>
    <w:rsid w:val="00F43AC6"/>
    <w:rsid w:val="00F43ADF"/>
    <w:rsid w:val="00F43E4A"/>
    <w:rsid w:val="00F43EE8"/>
    <w:rsid w:val="00F4548C"/>
    <w:rsid w:val="00F45955"/>
    <w:rsid w:val="00F4597D"/>
    <w:rsid w:val="00F45FF5"/>
    <w:rsid w:val="00F47D14"/>
    <w:rsid w:val="00F50966"/>
    <w:rsid w:val="00F51DCA"/>
    <w:rsid w:val="00F51F99"/>
    <w:rsid w:val="00F5229C"/>
    <w:rsid w:val="00F5256C"/>
    <w:rsid w:val="00F52603"/>
    <w:rsid w:val="00F527AD"/>
    <w:rsid w:val="00F52D16"/>
    <w:rsid w:val="00F52EA1"/>
    <w:rsid w:val="00F53541"/>
    <w:rsid w:val="00F53713"/>
    <w:rsid w:val="00F53E45"/>
    <w:rsid w:val="00F541FF"/>
    <w:rsid w:val="00F5494A"/>
    <w:rsid w:val="00F54A5F"/>
    <w:rsid w:val="00F55120"/>
    <w:rsid w:val="00F55B2E"/>
    <w:rsid w:val="00F564FD"/>
    <w:rsid w:val="00F56951"/>
    <w:rsid w:val="00F56A2F"/>
    <w:rsid w:val="00F56E61"/>
    <w:rsid w:val="00F57853"/>
    <w:rsid w:val="00F57B93"/>
    <w:rsid w:val="00F57D44"/>
    <w:rsid w:val="00F60479"/>
    <w:rsid w:val="00F605B6"/>
    <w:rsid w:val="00F61DBB"/>
    <w:rsid w:val="00F61E03"/>
    <w:rsid w:val="00F61E7B"/>
    <w:rsid w:val="00F61F0D"/>
    <w:rsid w:val="00F62307"/>
    <w:rsid w:val="00F623E8"/>
    <w:rsid w:val="00F63511"/>
    <w:rsid w:val="00F63956"/>
    <w:rsid w:val="00F6397D"/>
    <w:rsid w:val="00F64956"/>
    <w:rsid w:val="00F65D42"/>
    <w:rsid w:val="00F668F5"/>
    <w:rsid w:val="00F70521"/>
    <w:rsid w:val="00F71195"/>
    <w:rsid w:val="00F71608"/>
    <w:rsid w:val="00F71E6B"/>
    <w:rsid w:val="00F72171"/>
    <w:rsid w:val="00F722E8"/>
    <w:rsid w:val="00F72A72"/>
    <w:rsid w:val="00F72EC5"/>
    <w:rsid w:val="00F743AC"/>
    <w:rsid w:val="00F74D2D"/>
    <w:rsid w:val="00F74E85"/>
    <w:rsid w:val="00F75165"/>
    <w:rsid w:val="00F75A32"/>
    <w:rsid w:val="00F75C91"/>
    <w:rsid w:val="00F75D49"/>
    <w:rsid w:val="00F7673C"/>
    <w:rsid w:val="00F7700A"/>
    <w:rsid w:val="00F7713C"/>
    <w:rsid w:val="00F77356"/>
    <w:rsid w:val="00F77604"/>
    <w:rsid w:val="00F8014A"/>
    <w:rsid w:val="00F80ED1"/>
    <w:rsid w:val="00F81C7B"/>
    <w:rsid w:val="00F81C8D"/>
    <w:rsid w:val="00F82015"/>
    <w:rsid w:val="00F83500"/>
    <w:rsid w:val="00F835CB"/>
    <w:rsid w:val="00F84222"/>
    <w:rsid w:val="00F843B3"/>
    <w:rsid w:val="00F8457C"/>
    <w:rsid w:val="00F84693"/>
    <w:rsid w:val="00F84D83"/>
    <w:rsid w:val="00F84F7C"/>
    <w:rsid w:val="00F85246"/>
    <w:rsid w:val="00F8597D"/>
    <w:rsid w:val="00F86087"/>
    <w:rsid w:val="00F86422"/>
    <w:rsid w:val="00F868A6"/>
    <w:rsid w:val="00F86D09"/>
    <w:rsid w:val="00F87001"/>
    <w:rsid w:val="00F875D8"/>
    <w:rsid w:val="00F87979"/>
    <w:rsid w:val="00F9160B"/>
    <w:rsid w:val="00F91B40"/>
    <w:rsid w:val="00F91BD9"/>
    <w:rsid w:val="00F924A0"/>
    <w:rsid w:val="00F9272F"/>
    <w:rsid w:val="00F9286F"/>
    <w:rsid w:val="00F92C65"/>
    <w:rsid w:val="00F92D16"/>
    <w:rsid w:val="00F92D34"/>
    <w:rsid w:val="00F940E0"/>
    <w:rsid w:val="00F945F5"/>
    <w:rsid w:val="00F94CCF"/>
    <w:rsid w:val="00F95266"/>
    <w:rsid w:val="00F96310"/>
    <w:rsid w:val="00F96D9C"/>
    <w:rsid w:val="00F97323"/>
    <w:rsid w:val="00F978F0"/>
    <w:rsid w:val="00F97BD3"/>
    <w:rsid w:val="00F97F12"/>
    <w:rsid w:val="00F97F76"/>
    <w:rsid w:val="00FA0670"/>
    <w:rsid w:val="00FA0F22"/>
    <w:rsid w:val="00FA14E0"/>
    <w:rsid w:val="00FA1715"/>
    <w:rsid w:val="00FA232F"/>
    <w:rsid w:val="00FA2F7C"/>
    <w:rsid w:val="00FA399F"/>
    <w:rsid w:val="00FA3E48"/>
    <w:rsid w:val="00FA409C"/>
    <w:rsid w:val="00FA4629"/>
    <w:rsid w:val="00FA4EFE"/>
    <w:rsid w:val="00FA6643"/>
    <w:rsid w:val="00FA7032"/>
    <w:rsid w:val="00FA79D3"/>
    <w:rsid w:val="00FA7CCC"/>
    <w:rsid w:val="00FB04CD"/>
    <w:rsid w:val="00FB0A84"/>
    <w:rsid w:val="00FB0D1C"/>
    <w:rsid w:val="00FB1F91"/>
    <w:rsid w:val="00FB23F9"/>
    <w:rsid w:val="00FB2C31"/>
    <w:rsid w:val="00FB32C8"/>
    <w:rsid w:val="00FB3607"/>
    <w:rsid w:val="00FB38EF"/>
    <w:rsid w:val="00FB4091"/>
    <w:rsid w:val="00FB515D"/>
    <w:rsid w:val="00FB529A"/>
    <w:rsid w:val="00FB5598"/>
    <w:rsid w:val="00FB60C9"/>
    <w:rsid w:val="00FB63BD"/>
    <w:rsid w:val="00FB6595"/>
    <w:rsid w:val="00FB66EE"/>
    <w:rsid w:val="00FB6980"/>
    <w:rsid w:val="00FB6B38"/>
    <w:rsid w:val="00FB7805"/>
    <w:rsid w:val="00FB7E43"/>
    <w:rsid w:val="00FC0AD3"/>
    <w:rsid w:val="00FC21F4"/>
    <w:rsid w:val="00FC235B"/>
    <w:rsid w:val="00FC318D"/>
    <w:rsid w:val="00FC3584"/>
    <w:rsid w:val="00FC5954"/>
    <w:rsid w:val="00FC5A03"/>
    <w:rsid w:val="00FC618F"/>
    <w:rsid w:val="00FC6E71"/>
    <w:rsid w:val="00FC719F"/>
    <w:rsid w:val="00FC7393"/>
    <w:rsid w:val="00FC776B"/>
    <w:rsid w:val="00FC7793"/>
    <w:rsid w:val="00FC7878"/>
    <w:rsid w:val="00FC79DC"/>
    <w:rsid w:val="00FD0083"/>
    <w:rsid w:val="00FD0B5D"/>
    <w:rsid w:val="00FD15FD"/>
    <w:rsid w:val="00FD1B2C"/>
    <w:rsid w:val="00FD264F"/>
    <w:rsid w:val="00FD27C5"/>
    <w:rsid w:val="00FD2992"/>
    <w:rsid w:val="00FD2D72"/>
    <w:rsid w:val="00FD3459"/>
    <w:rsid w:val="00FD409D"/>
    <w:rsid w:val="00FD45C8"/>
    <w:rsid w:val="00FD5151"/>
    <w:rsid w:val="00FD5489"/>
    <w:rsid w:val="00FD55DA"/>
    <w:rsid w:val="00FD6100"/>
    <w:rsid w:val="00FD639F"/>
    <w:rsid w:val="00FD6EA7"/>
    <w:rsid w:val="00FD6EEE"/>
    <w:rsid w:val="00FD7259"/>
    <w:rsid w:val="00FD779A"/>
    <w:rsid w:val="00FE0022"/>
    <w:rsid w:val="00FE0500"/>
    <w:rsid w:val="00FE0929"/>
    <w:rsid w:val="00FE150B"/>
    <w:rsid w:val="00FE1F09"/>
    <w:rsid w:val="00FE2778"/>
    <w:rsid w:val="00FE2B74"/>
    <w:rsid w:val="00FE3201"/>
    <w:rsid w:val="00FE3F4C"/>
    <w:rsid w:val="00FE3F55"/>
    <w:rsid w:val="00FE545B"/>
    <w:rsid w:val="00FE5A6F"/>
    <w:rsid w:val="00FE631F"/>
    <w:rsid w:val="00FE6D54"/>
    <w:rsid w:val="00FE6F37"/>
    <w:rsid w:val="00FE7B42"/>
    <w:rsid w:val="00FE7F1D"/>
    <w:rsid w:val="00FF0C7B"/>
    <w:rsid w:val="00FF12CF"/>
    <w:rsid w:val="00FF17CF"/>
    <w:rsid w:val="00FF2304"/>
    <w:rsid w:val="00FF261F"/>
    <w:rsid w:val="00FF28F4"/>
    <w:rsid w:val="00FF2F3B"/>
    <w:rsid w:val="00FF2F5D"/>
    <w:rsid w:val="00FF3680"/>
    <w:rsid w:val="00FF3902"/>
    <w:rsid w:val="00FF4E06"/>
    <w:rsid w:val="00FF5C31"/>
    <w:rsid w:val="00FF610A"/>
    <w:rsid w:val="00FF61FC"/>
    <w:rsid w:val="00FF6A87"/>
    <w:rsid w:val="00FF6E3F"/>
    <w:rsid w:val="00FF7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2878A"/>
  <w15:chartTrackingRefBased/>
  <w15:docId w15:val="{81FE3F9E-2E2D-41F4-87B8-C84B6343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F52"/>
    <w:pPr>
      <w:spacing w:after="200" w:line="276" w:lineRule="auto"/>
    </w:pPr>
  </w:style>
  <w:style w:type="paragraph" w:styleId="Heading1">
    <w:name w:val="heading 1"/>
    <w:basedOn w:val="Normal"/>
    <w:next w:val="Normal"/>
    <w:link w:val="Heading1Char"/>
    <w:uiPriority w:val="9"/>
    <w:qFormat/>
    <w:rsid w:val="003424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1A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91A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1A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1A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1A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1A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1A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1A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gure_name,Bullet 1,Bullet List,FooterText,Dot pt,Liste puces 2,Paragraphe de liste1"/>
    <w:basedOn w:val="Normal"/>
    <w:link w:val="ListParagraphChar"/>
    <w:uiPriority w:val="34"/>
    <w:qFormat/>
    <w:rsid w:val="00093F52"/>
    <w:pPr>
      <w:ind w:left="720"/>
      <w:contextualSpacing/>
    </w:pPr>
  </w:style>
  <w:style w:type="character" w:customStyle="1" w:styleId="ListParagraphChar">
    <w:name w:val="List Paragraph Char"/>
    <w:aliases w:val="Figure_name Char,Bullet 1 Char,Bullet List Char,FooterText Char,Dot pt Char,Liste puces 2 Char,Paragraphe de liste1 Char"/>
    <w:link w:val="ListParagraph"/>
    <w:uiPriority w:val="34"/>
    <w:locked/>
    <w:rsid w:val="00093F52"/>
  </w:style>
  <w:style w:type="paragraph" w:styleId="BalloonText">
    <w:name w:val="Balloon Text"/>
    <w:basedOn w:val="Normal"/>
    <w:link w:val="BalloonTextChar"/>
    <w:uiPriority w:val="99"/>
    <w:semiHidden/>
    <w:unhideWhenUsed/>
    <w:rsid w:val="00093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F52"/>
    <w:rPr>
      <w:rFonts w:ascii="Tahoma" w:hAnsi="Tahoma" w:cs="Tahoma"/>
      <w:sz w:val="16"/>
      <w:szCs w:val="16"/>
    </w:rPr>
  </w:style>
  <w:style w:type="paragraph" w:customStyle="1" w:styleId="Headinglevel4">
    <w:name w:val="Heading level 4"/>
    <w:basedOn w:val="Normal"/>
    <w:qFormat/>
    <w:rsid w:val="00093F52"/>
    <w:pPr>
      <w:widowControl w:val="0"/>
      <w:tabs>
        <w:tab w:val="left" w:pos="340"/>
      </w:tabs>
      <w:suppressAutoHyphens/>
      <w:autoSpaceDE w:val="0"/>
      <w:autoSpaceDN w:val="0"/>
      <w:adjustRightInd w:val="0"/>
      <w:spacing w:after="0" w:line="220" w:lineRule="atLeast"/>
      <w:textAlignment w:val="center"/>
    </w:pPr>
    <w:rPr>
      <w:rFonts w:ascii="Arial" w:eastAsia="Times New Roman" w:hAnsi="Arial" w:cs="Arial"/>
      <w:b/>
      <w:bCs/>
      <w:caps/>
      <w:color w:val="000000"/>
      <w:sz w:val="18"/>
      <w:szCs w:val="18"/>
    </w:rPr>
  </w:style>
  <w:style w:type="paragraph" w:customStyle="1" w:styleId="MainHeading">
    <w:name w:val="Main Heading"/>
    <w:basedOn w:val="Normal"/>
    <w:qFormat/>
    <w:rsid w:val="00093F52"/>
    <w:pPr>
      <w:widowControl w:val="0"/>
      <w:suppressAutoHyphens/>
      <w:autoSpaceDE w:val="0"/>
      <w:autoSpaceDN w:val="0"/>
      <w:adjustRightInd w:val="0"/>
      <w:spacing w:after="0" w:line="288" w:lineRule="auto"/>
      <w:textAlignment w:val="center"/>
    </w:pPr>
    <w:rPr>
      <w:rFonts w:ascii="Arial" w:eastAsia="Times New Roman" w:hAnsi="Arial" w:cs="DINOT"/>
      <w:caps/>
      <w:color w:val="000000"/>
      <w:sz w:val="40"/>
      <w:szCs w:val="40"/>
    </w:rPr>
  </w:style>
  <w:style w:type="paragraph" w:customStyle="1" w:styleId="Highlightcopy">
    <w:name w:val="Highlight copy"/>
    <w:basedOn w:val="Normal"/>
    <w:qFormat/>
    <w:rsid w:val="00093F52"/>
    <w:pPr>
      <w:widowControl w:val="0"/>
      <w:suppressAutoHyphens/>
      <w:autoSpaceDE w:val="0"/>
      <w:autoSpaceDN w:val="0"/>
      <w:adjustRightInd w:val="0"/>
      <w:spacing w:after="0" w:line="288" w:lineRule="auto"/>
      <w:textAlignment w:val="center"/>
    </w:pPr>
    <w:rPr>
      <w:rFonts w:ascii="Arial" w:eastAsia="Times New Roman" w:hAnsi="Arial" w:cs="DINOT"/>
      <w:sz w:val="26"/>
      <w:szCs w:val="26"/>
    </w:rPr>
  </w:style>
  <w:style w:type="paragraph" w:customStyle="1" w:styleId="HeadingLevel1">
    <w:name w:val="Heading Level 1"/>
    <w:basedOn w:val="Normal"/>
    <w:qFormat/>
    <w:rsid w:val="00093F52"/>
    <w:pPr>
      <w:widowControl w:val="0"/>
      <w:tabs>
        <w:tab w:val="left" w:pos="340"/>
      </w:tabs>
      <w:suppressAutoHyphens/>
      <w:autoSpaceDE w:val="0"/>
      <w:autoSpaceDN w:val="0"/>
      <w:adjustRightInd w:val="0"/>
      <w:spacing w:after="0" w:line="220" w:lineRule="atLeast"/>
      <w:textAlignment w:val="center"/>
    </w:pPr>
    <w:rPr>
      <w:rFonts w:ascii="Arial" w:eastAsia="Times New Roman" w:hAnsi="Arial" w:cs="DINOT-Light"/>
      <w:caps/>
      <w:color w:val="000000"/>
      <w:sz w:val="24"/>
      <w:szCs w:val="24"/>
    </w:rPr>
  </w:style>
  <w:style w:type="paragraph" w:customStyle="1" w:styleId="B03bullet">
    <w:name w:val="B 03_bullet"/>
    <w:basedOn w:val="Normal"/>
    <w:qFormat/>
    <w:rsid w:val="00093F52"/>
    <w:pPr>
      <w:widowControl w:val="0"/>
      <w:numPr>
        <w:numId w:val="2"/>
      </w:numPr>
      <w:tabs>
        <w:tab w:val="left" w:pos="340"/>
      </w:tabs>
      <w:suppressAutoHyphens/>
      <w:autoSpaceDE w:val="0"/>
      <w:autoSpaceDN w:val="0"/>
      <w:adjustRightInd w:val="0"/>
      <w:spacing w:after="0" w:line="220" w:lineRule="atLeast"/>
      <w:textAlignment w:val="center"/>
    </w:pPr>
    <w:rPr>
      <w:rFonts w:ascii="Arial" w:eastAsia="Times New Roman" w:hAnsi="Arial" w:cs="DINOT-Light"/>
      <w:color w:val="000000"/>
      <w:sz w:val="18"/>
      <w:szCs w:val="18"/>
    </w:rPr>
  </w:style>
  <w:style w:type="paragraph" w:customStyle="1" w:styleId="03body">
    <w:name w:val="03_body"/>
    <w:basedOn w:val="Normal"/>
    <w:uiPriority w:val="99"/>
    <w:rsid w:val="00093F52"/>
    <w:pPr>
      <w:widowControl w:val="0"/>
      <w:suppressAutoHyphens/>
      <w:autoSpaceDE w:val="0"/>
      <w:autoSpaceDN w:val="0"/>
      <w:adjustRightInd w:val="0"/>
      <w:spacing w:after="0" w:line="220" w:lineRule="atLeast"/>
      <w:textAlignment w:val="center"/>
    </w:pPr>
    <w:rPr>
      <w:rFonts w:ascii="Arial" w:eastAsia="Times New Roman" w:hAnsi="Arial" w:cs="DINOT-Light"/>
      <w:color w:val="000000"/>
      <w:sz w:val="18"/>
      <w:szCs w:val="18"/>
    </w:rPr>
  </w:style>
  <w:style w:type="paragraph" w:customStyle="1" w:styleId="AccountsHeading">
    <w:name w:val="Accounts Heading"/>
    <w:basedOn w:val="MainHeading"/>
    <w:qFormat/>
    <w:rsid w:val="00093F52"/>
    <w:rPr>
      <w:sz w:val="32"/>
      <w:szCs w:val="32"/>
    </w:rPr>
  </w:style>
  <w:style w:type="table" w:styleId="TableGrid">
    <w:name w:val="Table Grid"/>
    <w:basedOn w:val="TableNormal"/>
    <w:rsid w:val="00093F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Level5">
    <w:name w:val="Heading Level 5"/>
    <w:basedOn w:val="Headinglevel4"/>
    <w:qFormat/>
    <w:rsid w:val="00093F52"/>
    <w:rPr>
      <w:caps w:val="0"/>
    </w:rPr>
  </w:style>
  <w:style w:type="paragraph" w:customStyle="1" w:styleId="Pa22">
    <w:name w:val="Pa22"/>
    <w:basedOn w:val="Normal"/>
    <w:next w:val="Normal"/>
    <w:uiPriority w:val="99"/>
    <w:rsid w:val="00093F52"/>
    <w:pPr>
      <w:autoSpaceDE w:val="0"/>
      <w:autoSpaceDN w:val="0"/>
      <w:adjustRightInd w:val="0"/>
      <w:spacing w:after="0" w:line="171" w:lineRule="atLeast"/>
    </w:pPr>
    <w:rPr>
      <w:rFonts w:ascii="DINOT-Light" w:hAnsi="DINOT-Light"/>
      <w:sz w:val="24"/>
      <w:szCs w:val="24"/>
    </w:rPr>
  </w:style>
  <w:style w:type="paragraph" w:customStyle="1" w:styleId="Default">
    <w:name w:val="Default"/>
    <w:rsid w:val="00093F52"/>
    <w:pPr>
      <w:autoSpaceDE w:val="0"/>
      <w:autoSpaceDN w:val="0"/>
      <w:adjustRightInd w:val="0"/>
      <w:spacing w:after="0" w:line="240" w:lineRule="auto"/>
    </w:pPr>
    <w:rPr>
      <w:rFonts w:ascii="DINOT-Bold" w:hAnsi="DINOT-Bold" w:cs="DINOT-Bold"/>
      <w:color w:val="000000"/>
      <w:sz w:val="24"/>
      <w:szCs w:val="24"/>
    </w:rPr>
  </w:style>
  <w:style w:type="paragraph" w:customStyle="1" w:styleId="Pa27">
    <w:name w:val="Pa27"/>
    <w:basedOn w:val="Default"/>
    <w:next w:val="Default"/>
    <w:uiPriority w:val="99"/>
    <w:rsid w:val="00093F52"/>
    <w:pPr>
      <w:spacing w:line="171" w:lineRule="atLeast"/>
    </w:pPr>
    <w:rPr>
      <w:rFonts w:cstheme="minorBidi"/>
      <w:color w:val="auto"/>
    </w:rPr>
  </w:style>
  <w:style w:type="paragraph" w:customStyle="1" w:styleId="Pa34">
    <w:name w:val="Pa34"/>
    <w:basedOn w:val="Default"/>
    <w:next w:val="Default"/>
    <w:uiPriority w:val="99"/>
    <w:rsid w:val="00093F52"/>
    <w:pPr>
      <w:spacing w:line="171" w:lineRule="atLeast"/>
    </w:pPr>
    <w:rPr>
      <w:rFonts w:cstheme="minorBidi"/>
      <w:color w:val="auto"/>
    </w:rPr>
  </w:style>
  <w:style w:type="paragraph" w:styleId="Header">
    <w:name w:val="header"/>
    <w:basedOn w:val="Normal"/>
    <w:link w:val="HeaderChar"/>
    <w:uiPriority w:val="99"/>
    <w:unhideWhenUsed/>
    <w:rsid w:val="00093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F52"/>
  </w:style>
  <w:style w:type="paragraph" w:styleId="Footer">
    <w:name w:val="footer"/>
    <w:basedOn w:val="Normal"/>
    <w:link w:val="FooterChar"/>
    <w:uiPriority w:val="99"/>
    <w:unhideWhenUsed/>
    <w:rsid w:val="00093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F52"/>
  </w:style>
  <w:style w:type="paragraph" w:customStyle="1" w:styleId="HeadingLevel2">
    <w:name w:val="Heading Level 2"/>
    <w:basedOn w:val="HeadingLevel1"/>
    <w:qFormat/>
    <w:rsid w:val="00093F52"/>
    <w:rPr>
      <w:sz w:val="18"/>
      <w:szCs w:val="18"/>
    </w:rPr>
  </w:style>
  <w:style w:type="character" w:styleId="Hyperlink">
    <w:name w:val="Hyperlink"/>
    <w:basedOn w:val="DefaultParagraphFont"/>
    <w:uiPriority w:val="99"/>
    <w:unhideWhenUsed/>
    <w:rsid w:val="00093F52"/>
    <w:rPr>
      <w:color w:val="0563C1" w:themeColor="hyperlink"/>
      <w:u w:val="single"/>
    </w:rPr>
  </w:style>
  <w:style w:type="paragraph" w:customStyle="1" w:styleId="NoParagraphStyle">
    <w:name w:val="[No Paragraph Style]"/>
    <w:rsid w:val="00093F52"/>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paragraph" w:customStyle="1" w:styleId="BasicParagraph">
    <w:name w:val="[Basic Paragraph]"/>
    <w:basedOn w:val="NoParagraphStyle"/>
    <w:uiPriority w:val="99"/>
    <w:rsid w:val="00093F52"/>
  </w:style>
  <w:style w:type="paragraph" w:customStyle="1" w:styleId="03BodyHeader-Level01">
    <w:name w:val="03_Body Header - Level 01"/>
    <w:basedOn w:val="NoParagraphStyle"/>
    <w:uiPriority w:val="99"/>
    <w:rsid w:val="00093F52"/>
    <w:pPr>
      <w:suppressAutoHyphens/>
      <w:spacing w:after="113" w:line="240" w:lineRule="atLeast"/>
    </w:pPr>
    <w:rPr>
      <w:rFonts w:ascii="DINOT" w:hAnsi="DINOT" w:cs="DINOT"/>
      <w:caps/>
      <w:color w:val="5588C9"/>
    </w:rPr>
  </w:style>
  <w:style w:type="paragraph" w:customStyle="1" w:styleId="03BodyHeader-Level01copy">
    <w:name w:val="03_Body Header - Level 01 copy"/>
    <w:basedOn w:val="NoParagraphStyle"/>
    <w:uiPriority w:val="99"/>
    <w:rsid w:val="00093F52"/>
    <w:pPr>
      <w:suppressAutoHyphens/>
      <w:spacing w:after="113" w:line="160" w:lineRule="atLeast"/>
    </w:pPr>
    <w:rPr>
      <w:rFonts w:ascii="DINOT" w:hAnsi="DINOT" w:cs="DINOT"/>
      <w:color w:val="5588C9"/>
    </w:rPr>
  </w:style>
  <w:style w:type="paragraph" w:customStyle="1" w:styleId="02Intro">
    <w:name w:val="02_Intro"/>
    <w:basedOn w:val="NoParagraphStyle"/>
    <w:uiPriority w:val="99"/>
    <w:rsid w:val="00093F52"/>
    <w:pPr>
      <w:suppressAutoHyphens/>
      <w:spacing w:line="300" w:lineRule="atLeast"/>
    </w:pPr>
    <w:rPr>
      <w:rFonts w:ascii="DINOT" w:hAnsi="DINOT" w:cs="DINOT"/>
      <w:sz w:val="26"/>
      <w:szCs w:val="26"/>
    </w:rPr>
  </w:style>
  <w:style w:type="paragraph" w:customStyle="1" w:styleId="B05tablecopy">
    <w:name w:val="B 05_table copy"/>
    <w:basedOn w:val="NoParagraphStyle"/>
    <w:uiPriority w:val="99"/>
    <w:rsid w:val="00093F52"/>
    <w:pPr>
      <w:tabs>
        <w:tab w:val="left" w:pos="3175"/>
        <w:tab w:val="left" w:pos="4309"/>
        <w:tab w:val="left" w:pos="5443"/>
        <w:tab w:val="left" w:pos="6576"/>
        <w:tab w:val="left" w:pos="7710"/>
        <w:tab w:val="left" w:pos="8844"/>
        <w:tab w:val="left" w:pos="9978"/>
      </w:tabs>
      <w:suppressAutoHyphens/>
      <w:spacing w:line="220" w:lineRule="atLeast"/>
    </w:pPr>
    <w:rPr>
      <w:rFonts w:ascii="DINOT-Light" w:hAnsi="DINOT-Light" w:cs="DINOT-Light"/>
      <w:sz w:val="18"/>
      <w:szCs w:val="18"/>
    </w:rPr>
  </w:style>
  <w:style w:type="paragraph" w:customStyle="1" w:styleId="GHeader2Governance">
    <w:name w:val="G Header 2 (Governance)"/>
    <w:basedOn w:val="NoParagraphStyle"/>
    <w:uiPriority w:val="99"/>
    <w:rsid w:val="00093F52"/>
    <w:pPr>
      <w:tabs>
        <w:tab w:val="left" w:pos="3146"/>
        <w:tab w:val="left" w:pos="4280"/>
        <w:tab w:val="left" w:pos="5414"/>
        <w:tab w:val="left" w:pos="6548"/>
        <w:tab w:val="left" w:pos="7682"/>
        <w:tab w:val="left" w:pos="8816"/>
        <w:tab w:val="left" w:pos="9950"/>
      </w:tabs>
      <w:suppressAutoHyphens/>
      <w:spacing w:line="210" w:lineRule="atLeast"/>
    </w:pPr>
    <w:rPr>
      <w:rFonts w:ascii="DINOT-Bold" w:hAnsi="DINOT-Bold" w:cs="DINOT-Bold"/>
      <w:b/>
      <w:bCs/>
      <w:caps/>
      <w:color w:val="5588C9"/>
      <w:sz w:val="17"/>
      <w:szCs w:val="17"/>
    </w:rPr>
  </w:style>
  <w:style w:type="paragraph" w:customStyle="1" w:styleId="12footnotes">
    <w:name w:val="12_footnotes"/>
    <w:basedOn w:val="NoParagraphStyle"/>
    <w:next w:val="NoParagraphStyle"/>
    <w:uiPriority w:val="99"/>
    <w:rsid w:val="00093F52"/>
    <w:pPr>
      <w:suppressAutoHyphens/>
      <w:spacing w:line="180" w:lineRule="atLeast"/>
    </w:pPr>
    <w:rPr>
      <w:rFonts w:ascii="DINOT" w:hAnsi="DINOT" w:cs="DINOT"/>
      <w:sz w:val="15"/>
      <w:szCs w:val="15"/>
    </w:rPr>
  </w:style>
  <w:style w:type="paragraph" w:customStyle="1" w:styleId="10ChapterHead">
    <w:name w:val="10_Chapter Head"/>
    <w:basedOn w:val="NoParagraphStyle"/>
    <w:uiPriority w:val="99"/>
    <w:rsid w:val="00093F52"/>
    <w:pPr>
      <w:suppressAutoHyphens/>
      <w:spacing w:line="360" w:lineRule="atLeast"/>
    </w:pPr>
    <w:rPr>
      <w:rFonts w:ascii="DINOT" w:hAnsi="DINOT" w:cs="DINOT"/>
      <w:caps/>
      <w:sz w:val="18"/>
      <w:szCs w:val="18"/>
    </w:rPr>
  </w:style>
  <w:style w:type="paragraph" w:customStyle="1" w:styleId="B03body">
    <w:name w:val="B 03_body"/>
    <w:basedOn w:val="NoParagraphStyle"/>
    <w:uiPriority w:val="99"/>
    <w:rsid w:val="00093F52"/>
    <w:pPr>
      <w:tabs>
        <w:tab w:val="left" w:pos="340"/>
      </w:tabs>
      <w:suppressAutoHyphens/>
      <w:spacing w:line="220" w:lineRule="atLeast"/>
    </w:pPr>
    <w:rPr>
      <w:rFonts w:ascii="Arial" w:hAnsi="Arial" w:cs="DINOT-Light"/>
      <w:sz w:val="18"/>
      <w:szCs w:val="18"/>
    </w:rPr>
  </w:style>
  <w:style w:type="paragraph" w:customStyle="1" w:styleId="05Bullets">
    <w:name w:val="05_Bullets"/>
    <w:basedOn w:val="NoParagraphStyle"/>
    <w:uiPriority w:val="99"/>
    <w:rsid w:val="00093F52"/>
    <w:pPr>
      <w:suppressAutoHyphens/>
      <w:spacing w:line="220" w:lineRule="atLeast"/>
      <w:ind w:left="170" w:hanging="170"/>
    </w:pPr>
    <w:rPr>
      <w:rFonts w:ascii="DINOT-Light" w:hAnsi="DINOT-Light" w:cs="DINOT-Light"/>
      <w:sz w:val="18"/>
      <w:szCs w:val="18"/>
    </w:rPr>
  </w:style>
  <w:style w:type="paragraph" w:customStyle="1" w:styleId="11Caption">
    <w:name w:val="11_Caption"/>
    <w:basedOn w:val="NoParagraphStyle"/>
    <w:uiPriority w:val="99"/>
    <w:rsid w:val="00093F52"/>
    <w:pPr>
      <w:suppressAutoHyphens/>
      <w:spacing w:line="180" w:lineRule="atLeast"/>
    </w:pPr>
    <w:rPr>
      <w:rFonts w:ascii="DINOT" w:hAnsi="DINOT" w:cs="DINOT"/>
      <w:color w:val="FFFFFF"/>
      <w:sz w:val="15"/>
      <w:szCs w:val="15"/>
    </w:rPr>
  </w:style>
  <w:style w:type="paragraph" w:customStyle="1" w:styleId="05Bulletsservicegreen">
    <w:name w:val="05_Bullets service green"/>
    <w:basedOn w:val="NoParagraphStyle"/>
    <w:next w:val="NoParagraphStyle"/>
    <w:uiPriority w:val="99"/>
    <w:rsid w:val="00093F52"/>
    <w:pPr>
      <w:suppressAutoHyphens/>
      <w:spacing w:line="220" w:lineRule="atLeast"/>
      <w:ind w:left="170" w:hanging="170"/>
    </w:pPr>
    <w:rPr>
      <w:rFonts w:ascii="DINOT-Light" w:hAnsi="DINOT-Light" w:cs="DINOT-Light"/>
      <w:sz w:val="18"/>
      <w:szCs w:val="18"/>
    </w:rPr>
  </w:style>
  <w:style w:type="paragraph" w:customStyle="1" w:styleId="05Bulletsblue">
    <w:name w:val="05_Bullets blue"/>
    <w:basedOn w:val="NoParagraphStyle"/>
    <w:next w:val="NoParagraphStyle"/>
    <w:uiPriority w:val="99"/>
    <w:rsid w:val="00093F52"/>
    <w:pPr>
      <w:suppressAutoHyphens/>
      <w:spacing w:line="220" w:lineRule="atLeast"/>
      <w:ind w:left="170" w:hanging="170"/>
    </w:pPr>
    <w:rPr>
      <w:rFonts w:ascii="DINOT-Light" w:hAnsi="DINOT-Light" w:cs="DINOT-Light"/>
      <w:sz w:val="18"/>
      <w:szCs w:val="18"/>
    </w:rPr>
  </w:style>
  <w:style w:type="paragraph" w:customStyle="1" w:styleId="03BodyHeader-Level02">
    <w:name w:val="03_Body Header - Level 02"/>
    <w:basedOn w:val="NoParagraphStyle"/>
    <w:uiPriority w:val="99"/>
    <w:rsid w:val="00093F52"/>
    <w:pPr>
      <w:suppressAutoHyphens/>
      <w:spacing w:after="113" w:line="220" w:lineRule="atLeast"/>
    </w:pPr>
    <w:rPr>
      <w:rFonts w:ascii="DINOT-Medium" w:hAnsi="DINOT-Medium" w:cs="DINOT-Medium"/>
      <w:color w:val="5588C9"/>
      <w:sz w:val="18"/>
      <w:szCs w:val="18"/>
    </w:rPr>
  </w:style>
  <w:style w:type="paragraph" w:customStyle="1" w:styleId="GIntroGovernance">
    <w:name w:val="G Intro (Governance)"/>
    <w:basedOn w:val="NoParagraphStyle"/>
    <w:uiPriority w:val="99"/>
    <w:rsid w:val="00093F52"/>
    <w:pPr>
      <w:suppressAutoHyphens/>
      <w:spacing w:line="300" w:lineRule="atLeast"/>
      <w:ind w:right="57"/>
    </w:pPr>
    <w:rPr>
      <w:rFonts w:ascii="DINOT" w:hAnsi="DINOT" w:cs="DINOT"/>
      <w:color w:val="5588C9"/>
      <w:sz w:val="26"/>
      <w:szCs w:val="26"/>
    </w:rPr>
  </w:style>
  <w:style w:type="paragraph" w:customStyle="1" w:styleId="GBody1Governance">
    <w:name w:val="G Body 1 (Governance)"/>
    <w:basedOn w:val="NoParagraphStyle"/>
    <w:uiPriority w:val="99"/>
    <w:rsid w:val="00093F52"/>
    <w:pPr>
      <w:suppressAutoHyphens/>
      <w:spacing w:line="210" w:lineRule="atLeast"/>
      <w:ind w:right="57"/>
    </w:pPr>
    <w:rPr>
      <w:rFonts w:ascii="DINOT-Light" w:hAnsi="DINOT-Light" w:cs="DINOT-Light"/>
      <w:sz w:val="17"/>
      <w:szCs w:val="17"/>
    </w:rPr>
  </w:style>
  <w:style w:type="paragraph" w:customStyle="1" w:styleId="FBullets1Governance">
    <w:name w:val="F Bullets 1 (Governance)"/>
    <w:basedOn w:val="NoParagraphStyle"/>
    <w:uiPriority w:val="99"/>
    <w:rsid w:val="00093F52"/>
    <w:pPr>
      <w:tabs>
        <w:tab w:val="left" w:pos="0"/>
      </w:tabs>
      <w:suppressAutoHyphens/>
      <w:spacing w:line="210" w:lineRule="atLeast"/>
      <w:ind w:left="170" w:right="57" w:hanging="170"/>
    </w:pPr>
    <w:rPr>
      <w:rFonts w:ascii="DINOT-Light" w:hAnsi="DINOT-Light" w:cs="DINOT-Light"/>
      <w:sz w:val="17"/>
      <w:szCs w:val="17"/>
    </w:rPr>
  </w:style>
  <w:style w:type="paragraph" w:customStyle="1" w:styleId="GHeader3Governance">
    <w:name w:val="G Header 3 (Governance)"/>
    <w:basedOn w:val="NoParagraphStyle"/>
    <w:uiPriority w:val="99"/>
    <w:rsid w:val="00093F52"/>
    <w:pPr>
      <w:tabs>
        <w:tab w:val="left" w:pos="3146"/>
        <w:tab w:val="left" w:pos="4280"/>
        <w:tab w:val="left" w:pos="5414"/>
        <w:tab w:val="left" w:pos="6548"/>
        <w:tab w:val="left" w:pos="7682"/>
        <w:tab w:val="left" w:pos="8816"/>
        <w:tab w:val="left" w:pos="9950"/>
      </w:tabs>
      <w:suppressAutoHyphens/>
      <w:spacing w:line="210" w:lineRule="atLeast"/>
      <w:ind w:left="283" w:hanging="283"/>
    </w:pPr>
    <w:rPr>
      <w:rFonts w:ascii="DINOT-Bold" w:hAnsi="DINOT-Bold" w:cs="DINOT-Bold"/>
      <w:b/>
      <w:bCs/>
      <w:color w:val="5588C9"/>
      <w:sz w:val="17"/>
      <w:szCs w:val="17"/>
    </w:rPr>
  </w:style>
  <w:style w:type="paragraph" w:customStyle="1" w:styleId="FHeader1Financial">
    <w:name w:val="F Header 1 (Financial)"/>
    <w:basedOn w:val="NoParagraphStyle"/>
    <w:uiPriority w:val="99"/>
    <w:rsid w:val="00093F52"/>
    <w:pPr>
      <w:suppressAutoHyphens/>
      <w:spacing w:line="360" w:lineRule="atLeast"/>
    </w:pPr>
    <w:rPr>
      <w:rFonts w:ascii="DINOT" w:hAnsi="DINOT" w:cs="DINOT"/>
      <w:sz w:val="32"/>
      <w:szCs w:val="32"/>
    </w:rPr>
  </w:style>
  <w:style w:type="paragraph" w:customStyle="1" w:styleId="TBody-LTable">
    <w:name w:val="T Body - L (Table)"/>
    <w:basedOn w:val="NoParagraphStyle"/>
    <w:uiPriority w:val="99"/>
    <w:rsid w:val="00093F52"/>
    <w:pPr>
      <w:suppressAutoHyphens/>
      <w:spacing w:line="210" w:lineRule="atLeast"/>
    </w:pPr>
    <w:rPr>
      <w:rFonts w:ascii="DINOT-Light" w:hAnsi="DINOT-Light" w:cs="DINOT-Light"/>
      <w:sz w:val="17"/>
      <w:szCs w:val="17"/>
    </w:rPr>
  </w:style>
  <w:style w:type="paragraph" w:customStyle="1" w:styleId="FBullets1Financial">
    <w:name w:val="F Bullets 1 (Financial)"/>
    <w:basedOn w:val="NoParagraphStyle"/>
    <w:uiPriority w:val="99"/>
    <w:rsid w:val="00093F52"/>
    <w:pPr>
      <w:tabs>
        <w:tab w:val="left" w:pos="0"/>
      </w:tabs>
      <w:suppressAutoHyphens/>
      <w:spacing w:line="210" w:lineRule="atLeast"/>
      <w:ind w:left="170" w:right="57" w:hanging="170"/>
    </w:pPr>
    <w:rPr>
      <w:rFonts w:ascii="DINOT-Light" w:hAnsi="DINOT-Light" w:cs="DINOT-Light"/>
      <w:sz w:val="17"/>
      <w:szCs w:val="17"/>
    </w:rPr>
  </w:style>
  <w:style w:type="paragraph" w:customStyle="1" w:styleId="FHeader2Financial">
    <w:name w:val="F Header 2 (Financial)"/>
    <w:basedOn w:val="NoParagraphStyle"/>
    <w:uiPriority w:val="99"/>
    <w:rsid w:val="00093F52"/>
    <w:pPr>
      <w:tabs>
        <w:tab w:val="left" w:pos="3146"/>
        <w:tab w:val="left" w:pos="4280"/>
        <w:tab w:val="left" w:pos="5414"/>
        <w:tab w:val="left" w:pos="6548"/>
        <w:tab w:val="left" w:pos="7682"/>
        <w:tab w:val="left" w:pos="8816"/>
        <w:tab w:val="left" w:pos="9950"/>
      </w:tabs>
      <w:suppressAutoHyphens/>
      <w:spacing w:line="210" w:lineRule="atLeast"/>
      <w:ind w:left="283" w:hanging="283"/>
    </w:pPr>
    <w:rPr>
      <w:rFonts w:ascii="DINOT-Bold" w:hAnsi="DINOT-Bold" w:cs="DINOT-Bold"/>
      <w:b/>
      <w:bCs/>
      <w:caps/>
      <w:color w:val="5588C9"/>
      <w:sz w:val="17"/>
      <w:szCs w:val="17"/>
    </w:rPr>
  </w:style>
  <w:style w:type="paragraph" w:customStyle="1" w:styleId="FBody1Financial">
    <w:name w:val="F Body 1 (Financial)"/>
    <w:basedOn w:val="NoParagraphStyle"/>
    <w:uiPriority w:val="99"/>
    <w:rsid w:val="00093F52"/>
    <w:pPr>
      <w:suppressAutoHyphens/>
      <w:spacing w:line="210" w:lineRule="atLeast"/>
      <w:ind w:right="57"/>
    </w:pPr>
    <w:rPr>
      <w:rFonts w:ascii="DINOT-Light" w:hAnsi="DINOT-Light" w:cs="DINOT-Light"/>
      <w:sz w:val="17"/>
      <w:szCs w:val="17"/>
    </w:rPr>
  </w:style>
  <w:style w:type="paragraph" w:customStyle="1" w:styleId="TBody-LBoldTable">
    <w:name w:val="T Body - L Bold (Table)"/>
    <w:basedOn w:val="NoParagraphStyle"/>
    <w:uiPriority w:val="99"/>
    <w:rsid w:val="00093F52"/>
    <w:pPr>
      <w:suppressAutoHyphens/>
      <w:spacing w:line="210" w:lineRule="atLeast"/>
    </w:pPr>
    <w:rPr>
      <w:rFonts w:ascii="DINOT-Medium" w:hAnsi="DINOT-Medium" w:cs="DINOT-Medium"/>
      <w:color w:val="5588C9"/>
      <w:sz w:val="17"/>
      <w:szCs w:val="17"/>
    </w:rPr>
  </w:style>
  <w:style w:type="paragraph" w:customStyle="1" w:styleId="FHeader3Financial">
    <w:name w:val="F Header 3 (Financial)"/>
    <w:basedOn w:val="FHeader2Financial"/>
    <w:uiPriority w:val="99"/>
    <w:rsid w:val="00093F52"/>
    <w:rPr>
      <w:caps w:val="0"/>
    </w:rPr>
  </w:style>
  <w:style w:type="paragraph" w:customStyle="1" w:styleId="FHeader4-BulletFinancial">
    <w:name w:val="F Header 4 - Bullet (Financial)"/>
    <w:basedOn w:val="NoParagraphStyle"/>
    <w:uiPriority w:val="99"/>
    <w:rsid w:val="00093F52"/>
    <w:pPr>
      <w:suppressAutoHyphens/>
      <w:spacing w:line="210" w:lineRule="atLeast"/>
      <w:ind w:left="283" w:hanging="283"/>
    </w:pPr>
    <w:rPr>
      <w:rFonts w:ascii="DINOT-Medium" w:hAnsi="DINOT-Medium" w:cs="DINOT-Medium"/>
      <w:color w:val="5588C9"/>
      <w:sz w:val="17"/>
      <w:szCs w:val="17"/>
    </w:rPr>
  </w:style>
  <w:style w:type="paragraph" w:customStyle="1" w:styleId="FBody2Financial">
    <w:name w:val="F Body 2 (Financial)"/>
    <w:basedOn w:val="NoParagraphStyle"/>
    <w:uiPriority w:val="99"/>
    <w:rsid w:val="00093F52"/>
    <w:pPr>
      <w:suppressAutoHyphens/>
      <w:spacing w:line="210" w:lineRule="atLeast"/>
      <w:ind w:left="283" w:right="57"/>
    </w:pPr>
    <w:rPr>
      <w:rFonts w:ascii="DINOT-Light" w:hAnsi="DINOT-Light" w:cs="DINOT-Light"/>
      <w:sz w:val="17"/>
      <w:szCs w:val="17"/>
    </w:rPr>
  </w:style>
  <w:style w:type="paragraph" w:customStyle="1" w:styleId="FHeader5-BulletFinancial">
    <w:name w:val="F Header 5 - Bullet (Financial)"/>
    <w:basedOn w:val="NoParagraphStyle"/>
    <w:uiPriority w:val="99"/>
    <w:rsid w:val="00093F52"/>
    <w:pPr>
      <w:suppressAutoHyphens/>
      <w:spacing w:line="210" w:lineRule="atLeast"/>
      <w:ind w:left="567" w:hanging="283"/>
    </w:pPr>
    <w:rPr>
      <w:rFonts w:ascii="DINOT" w:hAnsi="DINOT" w:cs="DINOT"/>
      <w:color w:val="5588C9"/>
      <w:sz w:val="17"/>
      <w:szCs w:val="17"/>
    </w:rPr>
  </w:style>
  <w:style w:type="paragraph" w:customStyle="1" w:styleId="FBody3Financial">
    <w:name w:val="F Body 3 (Financial)"/>
    <w:basedOn w:val="NoParagraphStyle"/>
    <w:uiPriority w:val="99"/>
    <w:rsid w:val="00093F52"/>
    <w:pPr>
      <w:suppressAutoHyphens/>
      <w:spacing w:line="210" w:lineRule="atLeast"/>
      <w:ind w:left="567" w:right="57"/>
    </w:pPr>
    <w:rPr>
      <w:rFonts w:ascii="DINOT-Light" w:hAnsi="DINOT-Light" w:cs="DINOT-Light"/>
      <w:sz w:val="17"/>
      <w:szCs w:val="17"/>
    </w:rPr>
  </w:style>
  <w:style w:type="paragraph" w:customStyle="1" w:styleId="TBody-RTable">
    <w:name w:val="T Body - R (Table)"/>
    <w:basedOn w:val="NoParagraphStyle"/>
    <w:uiPriority w:val="99"/>
    <w:rsid w:val="00093F52"/>
    <w:pPr>
      <w:tabs>
        <w:tab w:val="left" w:pos="1077"/>
      </w:tabs>
      <w:suppressAutoHyphens/>
      <w:spacing w:line="210" w:lineRule="atLeast"/>
    </w:pPr>
    <w:rPr>
      <w:rFonts w:ascii="DINOT-Light" w:hAnsi="DINOT-Light" w:cs="DINOT-Light"/>
      <w:sz w:val="17"/>
      <w:szCs w:val="17"/>
    </w:rPr>
  </w:style>
  <w:style w:type="paragraph" w:customStyle="1" w:styleId="TBody-RBoldTable">
    <w:name w:val="T Body - R Bold (Table)"/>
    <w:basedOn w:val="TBody-RTable"/>
    <w:uiPriority w:val="99"/>
    <w:rsid w:val="00093F52"/>
    <w:rPr>
      <w:rFonts w:ascii="DINOT-Medium" w:hAnsi="DINOT-Medium" w:cs="DINOT-Medium"/>
    </w:rPr>
  </w:style>
  <w:style w:type="paragraph" w:customStyle="1" w:styleId="FIndentFinancial">
    <w:name w:val="F Indent (Financial)"/>
    <w:basedOn w:val="NoParagraphStyle"/>
    <w:uiPriority w:val="99"/>
    <w:rsid w:val="00093F52"/>
    <w:pPr>
      <w:suppressAutoHyphens/>
      <w:spacing w:line="210" w:lineRule="atLeast"/>
      <w:ind w:left="283" w:right="57" w:hanging="283"/>
    </w:pPr>
    <w:rPr>
      <w:rFonts w:ascii="DINOT-Light" w:hAnsi="DINOT-Light" w:cs="DINOT-Light"/>
      <w:sz w:val="17"/>
      <w:szCs w:val="17"/>
    </w:rPr>
  </w:style>
  <w:style w:type="paragraph" w:customStyle="1" w:styleId="Caption1Financial">
    <w:name w:val="Caption 1 (Financial)"/>
    <w:basedOn w:val="NoParagraphStyle"/>
    <w:uiPriority w:val="99"/>
    <w:rsid w:val="00093F52"/>
    <w:pPr>
      <w:suppressAutoHyphens/>
      <w:spacing w:line="160" w:lineRule="atLeast"/>
      <w:ind w:left="283" w:right="57" w:hanging="283"/>
    </w:pPr>
    <w:rPr>
      <w:rFonts w:ascii="DINOT-Light" w:hAnsi="DINOT-Light" w:cs="DINOT-Light"/>
      <w:sz w:val="13"/>
      <w:szCs w:val="13"/>
    </w:rPr>
  </w:style>
  <w:style w:type="paragraph" w:customStyle="1" w:styleId="FBullets2Financial">
    <w:name w:val="F Bullets 2 (Financial)"/>
    <w:basedOn w:val="FBullets1Financial"/>
    <w:uiPriority w:val="99"/>
    <w:rsid w:val="00093F52"/>
    <w:pPr>
      <w:ind w:left="454"/>
    </w:pPr>
  </w:style>
  <w:style w:type="paragraph" w:customStyle="1" w:styleId="Caption2Financial">
    <w:name w:val="Caption 2 (Financial)"/>
    <w:basedOn w:val="Caption1Financial"/>
    <w:uiPriority w:val="99"/>
    <w:rsid w:val="00093F52"/>
    <w:pPr>
      <w:ind w:left="454" w:hanging="170"/>
    </w:pPr>
  </w:style>
  <w:style w:type="paragraph" w:customStyle="1" w:styleId="BHeader-LTable">
    <w:name w:val="B Header - L (Table)"/>
    <w:basedOn w:val="NoParagraphStyle"/>
    <w:uiPriority w:val="99"/>
    <w:rsid w:val="00093F52"/>
    <w:pPr>
      <w:suppressAutoHyphens/>
      <w:spacing w:line="210" w:lineRule="atLeast"/>
      <w:ind w:left="113" w:right="113"/>
    </w:pPr>
    <w:rPr>
      <w:rFonts w:ascii="DINOT-Bold" w:hAnsi="DINOT-Bold" w:cs="DINOT-Bold"/>
      <w:b/>
      <w:bCs/>
      <w:color w:val="FFFFFF"/>
      <w:sz w:val="17"/>
      <w:szCs w:val="17"/>
    </w:rPr>
  </w:style>
  <w:style w:type="paragraph" w:customStyle="1" w:styleId="BBody-LBoldTable">
    <w:name w:val="B Body - L Bold (Table)"/>
    <w:basedOn w:val="NoParagraphStyle"/>
    <w:uiPriority w:val="99"/>
    <w:rsid w:val="00093F52"/>
    <w:pPr>
      <w:suppressAutoHyphens/>
      <w:spacing w:line="210" w:lineRule="atLeast"/>
      <w:ind w:left="113" w:right="113"/>
    </w:pPr>
    <w:rPr>
      <w:rFonts w:ascii="DINOT-Medium" w:hAnsi="DINOT-Medium" w:cs="DINOT-Medium"/>
      <w:color w:val="5588C9"/>
      <w:sz w:val="17"/>
      <w:szCs w:val="17"/>
    </w:rPr>
  </w:style>
  <w:style w:type="paragraph" w:customStyle="1" w:styleId="BBody-LTable">
    <w:name w:val="B Body - L (Table)"/>
    <w:basedOn w:val="NoParagraphStyle"/>
    <w:uiPriority w:val="99"/>
    <w:rsid w:val="00093F52"/>
    <w:pPr>
      <w:suppressAutoHyphens/>
      <w:spacing w:line="210" w:lineRule="atLeast"/>
      <w:ind w:left="113" w:right="113"/>
    </w:pPr>
    <w:rPr>
      <w:rFonts w:ascii="DINOT-Light" w:hAnsi="DINOT-Light" w:cs="DINOT-Light"/>
      <w:sz w:val="17"/>
      <w:szCs w:val="17"/>
    </w:rPr>
  </w:style>
  <w:style w:type="paragraph" w:customStyle="1" w:styleId="BHeader-RTable">
    <w:name w:val="B Header - R (Table)"/>
    <w:basedOn w:val="NoParagraphStyle"/>
    <w:uiPriority w:val="99"/>
    <w:rsid w:val="00093F52"/>
    <w:pPr>
      <w:suppressAutoHyphens/>
      <w:spacing w:line="210" w:lineRule="atLeast"/>
      <w:ind w:left="113" w:right="113"/>
      <w:jc w:val="right"/>
    </w:pPr>
    <w:rPr>
      <w:rFonts w:ascii="DINOT-Bold" w:hAnsi="DINOT-Bold" w:cs="DINOT-Bold"/>
      <w:b/>
      <w:bCs/>
      <w:color w:val="FFFFFF"/>
      <w:sz w:val="17"/>
      <w:szCs w:val="17"/>
    </w:rPr>
  </w:style>
  <w:style w:type="paragraph" w:customStyle="1" w:styleId="BBody-RTable">
    <w:name w:val="B Body - R (Table)"/>
    <w:basedOn w:val="NoParagraphStyle"/>
    <w:uiPriority w:val="99"/>
    <w:rsid w:val="00093F52"/>
    <w:pPr>
      <w:suppressAutoHyphens/>
      <w:spacing w:line="210" w:lineRule="atLeast"/>
      <w:ind w:left="113" w:right="113"/>
      <w:jc w:val="right"/>
    </w:pPr>
    <w:rPr>
      <w:rFonts w:ascii="DINOT-Light" w:hAnsi="DINOT-Light" w:cs="DINOT-Light"/>
      <w:sz w:val="17"/>
      <w:szCs w:val="17"/>
    </w:rPr>
  </w:style>
  <w:style w:type="paragraph" w:customStyle="1" w:styleId="BSubtotal-RRuleTable">
    <w:name w:val="B Subtotal - R Rule (Table)"/>
    <w:basedOn w:val="NoParagraphStyle"/>
    <w:uiPriority w:val="99"/>
    <w:rsid w:val="00093F52"/>
    <w:pPr>
      <w:pBdr>
        <w:bottom w:val="single" w:sz="2" w:space="6" w:color="000000"/>
      </w:pBdr>
      <w:suppressAutoHyphens/>
      <w:spacing w:line="210" w:lineRule="atLeast"/>
      <w:ind w:left="113" w:right="113"/>
      <w:jc w:val="right"/>
    </w:pPr>
    <w:rPr>
      <w:rFonts w:ascii="DINOT-Light" w:hAnsi="DINOT-Light" w:cs="DINOT-Light"/>
      <w:sz w:val="17"/>
      <w:szCs w:val="17"/>
    </w:rPr>
  </w:style>
  <w:style w:type="paragraph" w:customStyle="1" w:styleId="BTotal-RRuleTable">
    <w:name w:val="B Total - R Rule (Table)"/>
    <w:basedOn w:val="NoParagraphStyle"/>
    <w:uiPriority w:val="99"/>
    <w:rsid w:val="00093F52"/>
    <w:pPr>
      <w:pBdr>
        <w:bottom w:val="single" w:sz="6" w:space="6" w:color="000000"/>
      </w:pBdr>
      <w:suppressAutoHyphens/>
      <w:spacing w:line="210" w:lineRule="atLeast"/>
      <w:ind w:left="113" w:right="113"/>
      <w:jc w:val="right"/>
    </w:pPr>
    <w:rPr>
      <w:rFonts w:ascii="DINOT-Light" w:hAnsi="DINOT-Light" w:cs="DINOT-Light"/>
      <w:sz w:val="17"/>
      <w:szCs w:val="17"/>
    </w:rPr>
  </w:style>
  <w:style w:type="paragraph" w:customStyle="1" w:styleId="GHeaderTableGovernance">
    <w:name w:val="G Header Table (Governance)"/>
    <w:basedOn w:val="NoParagraphStyle"/>
    <w:uiPriority w:val="99"/>
    <w:rsid w:val="00093F52"/>
    <w:pPr>
      <w:suppressAutoHyphens/>
      <w:spacing w:line="210" w:lineRule="atLeast"/>
      <w:ind w:right="57"/>
    </w:pPr>
    <w:rPr>
      <w:rFonts w:ascii="DINOT-Bold" w:hAnsi="DINOT-Bold" w:cs="DINOT-Bold"/>
      <w:b/>
      <w:bCs/>
      <w:color w:val="5588C9"/>
      <w:sz w:val="17"/>
      <w:szCs w:val="17"/>
    </w:rPr>
  </w:style>
  <w:style w:type="paragraph" w:customStyle="1" w:styleId="THeader-LTable">
    <w:name w:val="T Header - L (Table)"/>
    <w:basedOn w:val="NoParagraphStyle"/>
    <w:uiPriority w:val="99"/>
    <w:rsid w:val="00093F52"/>
    <w:pPr>
      <w:suppressAutoHyphens/>
      <w:spacing w:line="180" w:lineRule="atLeast"/>
    </w:pPr>
    <w:rPr>
      <w:rFonts w:ascii="DINOT-Light" w:hAnsi="DINOT-Light" w:cs="DINOT-Light"/>
      <w:sz w:val="15"/>
      <w:szCs w:val="15"/>
    </w:rPr>
  </w:style>
  <w:style w:type="paragraph" w:customStyle="1" w:styleId="THeader-RTable">
    <w:name w:val="T Header - R (Table)"/>
    <w:basedOn w:val="NoParagraphStyle"/>
    <w:uiPriority w:val="99"/>
    <w:rsid w:val="00093F52"/>
    <w:pPr>
      <w:suppressAutoHyphens/>
      <w:spacing w:line="180" w:lineRule="atLeast"/>
      <w:ind w:right="57"/>
      <w:jc w:val="right"/>
    </w:pPr>
    <w:rPr>
      <w:rFonts w:ascii="DINOT-Light" w:hAnsi="DINOT-Light" w:cs="DINOT-Light"/>
      <w:sz w:val="15"/>
      <w:szCs w:val="15"/>
    </w:rPr>
  </w:style>
  <w:style w:type="paragraph" w:customStyle="1" w:styleId="THeader-RBoldTable">
    <w:name w:val="T Header - R Bold (Table)"/>
    <w:basedOn w:val="THeader-RTable"/>
    <w:uiPriority w:val="99"/>
    <w:rsid w:val="00093F52"/>
    <w:rPr>
      <w:rFonts w:ascii="DINOT-Medium" w:hAnsi="DINOT-Medium" w:cs="DINOT-Medium"/>
    </w:rPr>
  </w:style>
  <w:style w:type="paragraph" w:customStyle="1" w:styleId="THeader-RRuleTable">
    <w:name w:val="T Header - R Rule (Table)"/>
    <w:basedOn w:val="THeader-RTable"/>
    <w:uiPriority w:val="99"/>
    <w:rsid w:val="00093F52"/>
    <w:pPr>
      <w:pBdr>
        <w:bottom w:val="single" w:sz="2" w:space="4" w:color="000000"/>
      </w:pBdr>
    </w:pPr>
  </w:style>
  <w:style w:type="paragraph" w:customStyle="1" w:styleId="TSubtotal-RRuleTable">
    <w:name w:val="T Subtotal - R Rule (Table)"/>
    <w:basedOn w:val="NoParagraphStyle"/>
    <w:uiPriority w:val="99"/>
    <w:rsid w:val="00093F52"/>
    <w:pPr>
      <w:pBdr>
        <w:bottom w:val="single" w:sz="2" w:space="6" w:color="000000"/>
      </w:pBdr>
      <w:tabs>
        <w:tab w:val="left" w:pos="1077"/>
      </w:tabs>
      <w:suppressAutoHyphens/>
      <w:spacing w:line="210" w:lineRule="atLeast"/>
    </w:pPr>
    <w:rPr>
      <w:rFonts w:ascii="DINOT-Light" w:hAnsi="DINOT-Light" w:cs="DINOT-Light"/>
      <w:sz w:val="17"/>
      <w:szCs w:val="17"/>
    </w:rPr>
  </w:style>
  <w:style w:type="paragraph" w:customStyle="1" w:styleId="TTotal-RRuleTable">
    <w:name w:val="T Total - R Rule (Table)"/>
    <w:basedOn w:val="NoParagraphStyle"/>
    <w:uiPriority w:val="99"/>
    <w:rsid w:val="00093F52"/>
    <w:pPr>
      <w:pBdr>
        <w:bottom w:val="single" w:sz="6" w:space="6" w:color="000000"/>
      </w:pBdr>
      <w:tabs>
        <w:tab w:val="left" w:pos="1077"/>
      </w:tabs>
      <w:suppressAutoHyphens/>
      <w:spacing w:line="210" w:lineRule="atLeast"/>
    </w:pPr>
    <w:rPr>
      <w:rFonts w:ascii="DINOT-Light" w:hAnsi="DINOT-Light" w:cs="DINOT-Light"/>
      <w:sz w:val="17"/>
      <w:szCs w:val="17"/>
    </w:rPr>
  </w:style>
  <w:style w:type="paragraph" w:customStyle="1" w:styleId="THeader-RRuleBoldTable">
    <w:name w:val="T Header - R Rule Bold (Table)"/>
    <w:basedOn w:val="NoParagraphStyle"/>
    <w:uiPriority w:val="99"/>
    <w:rsid w:val="00093F52"/>
    <w:pPr>
      <w:pBdr>
        <w:bottom w:val="single" w:sz="2" w:space="4" w:color="000000"/>
      </w:pBdr>
      <w:suppressAutoHyphens/>
      <w:spacing w:line="180" w:lineRule="atLeast"/>
      <w:ind w:right="57"/>
      <w:jc w:val="right"/>
    </w:pPr>
    <w:rPr>
      <w:rFonts w:ascii="DINOT-Medium" w:hAnsi="DINOT-Medium" w:cs="DINOT-Medium"/>
      <w:sz w:val="15"/>
      <w:szCs w:val="15"/>
    </w:rPr>
  </w:style>
  <w:style w:type="paragraph" w:customStyle="1" w:styleId="TSubtotal-RRuleBoldTable">
    <w:name w:val="T Subtotal - R Rule Bold (Table)"/>
    <w:basedOn w:val="NoParagraphStyle"/>
    <w:uiPriority w:val="99"/>
    <w:rsid w:val="00093F52"/>
    <w:pPr>
      <w:pBdr>
        <w:bottom w:val="single" w:sz="2" w:space="6" w:color="000000"/>
      </w:pBdr>
      <w:tabs>
        <w:tab w:val="left" w:pos="1077"/>
      </w:tabs>
      <w:suppressAutoHyphens/>
      <w:spacing w:line="210" w:lineRule="atLeast"/>
    </w:pPr>
    <w:rPr>
      <w:rFonts w:ascii="DINOT-Medium" w:hAnsi="DINOT-Medium" w:cs="DINOT-Medium"/>
      <w:sz w:val="17"/>
      <w:szCs w:val="17"/>
    </w:rPr>
  </w:style>
  <w:style w:type="paragraph" w:customStyle="1" w:styleId="TTotal-RRuleBoldTable">
    <w:name w:val="T Total - R Rule Bold (Table)"/>
    <w:basedOn w:val="NoParagraphStyle"/>
    <w:uiPriority w:val="99"/>
    <w:rsid w:val="00093F52"/>
    <w:pPr>
      <w:pBdr>
        <w:bottom w:val="single" w:sz="6" w:space="6" w:color="000000"/>
      </w:pBdr>
      <w:tabs>
        <w:tab w:val="left" w:pos="1077"/>
      </w:tabs>
      <w:suppressAutoHyphens/>
      <w:spacing w:line="210" w:lineRule="atLeast"/>
    </w:pPr>
    <w:rPr>
      <w:rFonts w:ascii="DINOT-Medium" w:hAnsi="DINOT-Medium" w:cs="DINOT-Medium"/>
      <w:sz w:val="17"/>
      <w:szCs w:val="17"/>
    </w:rPr>
  </w:style>
  <w:style w:type="character" w:customStyle="1" w:styleId="PALEBLUE">
    <w:name w:val="PALE BLUE"/>
    <w:uiPriority w:val="99"/>
    <w:rsid w:val="00093F52"/>
    <w:rPr>
      <w:color w:val="5588C9"/>
    </w:rPr>
  </w:style>
  <w:style w:type="character" w:customStyle="1" w:styleId="Whitetext">
    <w:name w:val="White text"/>
    <w:uiPriority w:val="99"/>
    <w:rsid w:val="00093F52"/>
    <w:rPr>
      <w:outline/>
      <w:color w:val="000000"/>
      <w14:textOutline w14:w="9525" w14:cap="flat" w14:cmpd="sng" w14:algn="ctr">
        <w14:solidFill>
          <w14:srgbClr w14:val="000000"/>
        </w14:solidFill>
        <w14:prstDash w14:val="solid"/>
        <w14:round/>
      </w14:textOutline>
      <w14:textFill>
        <w14:noFill/>
      </w14:textFill>
    </w:rPr>
  </w:style>
  <w:style w:type="character" w:customStyle="1" w:styleId="PaleBlue0">
    <w:name w:val="Pale Blue"/>
    <w:uiPriority w:val="99"/>
    <w:rsid w:val="00093F52"/>
    <w:rPr>
      <w:color w:val="5588C9"/>
    </w:rPr>
  </w:style>
  <w:style w:type="character" w:customStyle="1" w:styleId="SERVICEgreen">
    <w:name w:val="SERVICE green"/>
    <w:uiPriority w:val="99"/>
    <w:rsid w:val="00093F52"/>
    <w:rPr>
      <w:color w:val="227E7E"/>
    </w:rPr>
  </w:style>
  <w:style w:type="character" w:customStyle="1" w:styleId="environmentgreen">
    <w:name w:val="environment green"/>
    <w:uiPriority w:val="99"/>
    <w:rsid w:val="00093F52"/>
    <w:rPr>
      <w:color w:val="6B9F20"/>
    </w:rPr>
  </w:style>
  <w:style w:type="character" w:customStyle="1" w:styleId="WHITEbold">
    <w:name w:val="WHITE bold"/>
    <w:uiPriority w:val="99"/>
    <w:rsid w:val="00093F52"/>
    <w:rPr>
      <w:rFonts w:ascii="DINOT-Medium" w:hAnsi="DINOT-Medium" w:cs="DINOT-Medium"/>
      <w:outline/>
      <w:color w:val="227E7E"/>
      <w14:textOutline w14:w="9525" w14:cap="flat" w14:cmpd="sng" w14:algn="ctr">
        <w14:solidFill>
          <w14:srgbClr w14:val="227E7E"/>
        </w14:solidFill>
        <w14:prstDash w14:val="solid"/>
        <w14:round/>
      </w14:textOutline>
      <w14:textFill>
        <w14:noFill/>
      </w14:textFill>
    </w:rPr>
  </w:style>
  <w:style w:type="character" w:customStyle="1" w:styleId="Continued1">
    <w:name w:val="Continued 1"/>
    <w:uiPriority w:val="99"/>
    <w:rsid w:val="00093F52"/>
    <w:rPr>
      <w:caps/>
      <w:color w:val="5588C9"/>
      <w:sz w:val="22"/>
      <w:szCs w:val="22"/>
    </w:rPr>
  </w:style>
  <w:style w:type="character" w:customStyle="1" w:styleId="Black">
    <w:name w:val="Black"/>
    <w:uiPriority w:val="99"/>
    <w:rsid w:val="00093F52"/>
    <w:rPr>
      <w:color w:val="000000"/>
    </w:rPr>
  </w:style>
  <w:style w:type="character" w:customStyle="1" w:styleId="BlueBullets">
    <w:name w:val="Blue Bullets"/>
    <w:uiPriority w:val="99"/>
    <w:rsid w:val="00093F52"/>
    <w:rPr>
      <w:color w:val="5588C9"/>
    </w:rPr>
  </w:style>
  <w:style w:type="character" w:customStyle="1" w:styleId="highlights">
    <w:name w:val="highlights"/>
    <w:uiPriority w:val="99"/>
    <w:rsid w:val="00093F52"/>
    <w:rPr>
      <w:u w:val="thick" w:color="FFF000"/>
    </w:rPr>
  </w:style>
  <w:style w:type="character" w:customStyle="1" w:styleId="Highlight">
    <w:name w:val="Highlight"/>
    <w:uiPriority w:val="99"/>
    <w:rsid w:val="00093F52"/>
    <w:rPr>
      <w:u w:val="thick" w:color="FFF000"/>
    </w:rPr>
  </w:style>
  <w:style w:type="character" w:customStyle="1" w:styleId="Continued2">
    <w:name w:val="Continued 2"/>
    <w:uiPriority w:val="99"/>
    <w:rsid w:val="00093F52"/>
  </w:style>
  <w:style w:type="paragraph" w:styleId="ListBullet">
    <w:name w:val="List Bullet"/>
    <w:basedOn w:val="Normal"/>
    <w:uiPriority w:val="99"/>
    <w:unhideWhenUsed/>
    <w:rsid w:val="00093F52"/>
    <w:pPr>
      <w:numPr>
        <w:numId w:val="5"/>
      </w:numPr>
      <w:spacing w:after="0" w:line="240" w:lineRule="auto"/>
      <w:contextualSpacing/>
    </w:pPr>
    <w:rPr>
      <w:rFonts w:ascii="Times New Roman" w:eastAsia="Times New Roman" w:hAnsi="Times New Roman" w:cs="Times New Roman"/>
      <w:sz w:val="20"/>
      <w:szCs w:val="20"/>
    </w:rPr>
  </w:style>
  <w:style w:type="paragraph" w:customStyle="1" w:styleId="HeadingLevel3">
    <w:name w:val="Heading Level 3"/>
    <w:basedOn w:val="B03body"/>
    <w:qFormat/>
    <w:rsid w:val="00093F52"/>
    <w:rPr>
      <w:sz w:val="24"/>
      <w:szCs w:val="24"/>
    </w:rPr>
  </w:style>
  <w:style w:type="paragraph" w:customStyle="1" w:styleId="NotesLevel2">
    <w:name w:val="Notes Level 2"/>
    <w:basedOn w:val="B03body"/>
    <w:qFormat/>
    <w:rsid w:val="00093F52"/>
    <w:pPr>
      <w:ind w:left="340" w:hanging="340"/>
    </w:pPr>
    <w:rPr>
      <w:rFonts w:cs="Arial"/>
      <w:color w:val="auto"/>
    </w:rPr>
  </w:style>
  <w:style w:type="paragraph" w:customStyle="1" w:styleId="Bodytab">
    <w:name w:val="Body tab"/>
    <w:basedOn w:val="03body"/>
    <w:qFormat/>
    <w:rsid w:val="00093F52"/>
    <w:pPr>
      <w:ind w:left="340" w:hanging="340"/>
    </w:pPr>
  </w:style>
  <w:style w:type="character" w:styleId="CommentReference">
    <w:name w:val="annotation reference"/>
    <w:basedOn w:val="DefaultParagraphFont"/>
    <w:uiPriority w:val="99"/>
    <w:unhideWhenUsed/>
    <w:rsid w:val="00093F52"/>
    <w:rPr>
      <w:sz w:val="16"/>
      <w:szCs w:val="16"/>
    </w:rPr>
  </w:style>
  <w:style w:type="paragraph" w:styleId="CommentText">
    <w:name w:val="annotation text"/>
    <w:basedOn w:val="Normal"/>
    <w:link w:val="CommentTextChar"/>
    <w:uiPriority w:val="99"/>
    <w:unhideWhenUsed/>
    <w:rsid w:val="00093F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93F52"/>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093F5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093F52"/>
    <w:rPr>
      <w:b/>
      <w:bCs/>
    </w:rPr>
  </w:style>
  <w:style w:type="character" w:customStyle="1" w:styleId="BodyTextChar">
    <w:name w:val="Body Text Char"/>
    <w:basedOn w:val="DefaultParagraphFont"/>
    <w:link w:val="BodyText"/>
    <w:uiPriority w:val="99"/>
    <w:rsid w:val="00093F52"/>
    <w:rPr>
      <w:rFonts w:ascii="HelveticaNeueLT Std Lt" w:hAnsi="HelveticaNeueLT Std Lt" w:cs="Times New Roman"/>
      <w:color w:val="404040"/>
      <w:spacing w:val="-5"/>
      <w:sz w:val="18"/>
      <w:szCs w:val="18"/>
      <w:lang w:eastAsia="en-GB"/>
    </w:rPr>
  </w:style>
  <w:style w:type="paragraph" w:styleId="BodyText">
    <w:name w:val="Body Text"/>
    <w:basedOn w:val="Normal"/>
    <w:link w:val="BodyTextChar"/>
    <w:uiPriority w:val="99"/>
    <w:unhideWhenUsed/>
    <w:rsid w:val="00093F52"/>
    <w:pPr>
      <w:spacing w:after="100" w:line="200" w:lineRule="exact"/>
    </w:pPr>
    <w:rPr>
      <w:rFonts w:ascii="HelveticaNeueLT Std Lt" w:hAnsi="HelveticaNeueLT Std Lt" w:cs="Times New Roman"/>
      <w:color w:val="404040"/>
      <w:spacing w:val="-5"/>
      <w:sz w:val="18"/>
      <w:szCs w:val="18"/>
      <w:lang w:eastAsia="en-GB"/>
    </w:rPr>
  </w:style>
  <w:style w:type="paragraph" w:customStyle="1" w:styleId="Pa0">
    <w:name w:val="Pa0"/>
    <w:basedOn w:val="Default"/>
    <w:next w:val="Default"/>
    <w:uiPriority w:val="99"/>
    <w:rsid w:val="00093F52"/>
    <w:pPr>
      <w:spacing w:line="181" w:lineRule="atLeast"/>
    </w:pPr>
    <w:rPr>
      <w:rFonts w:ascii="GillSans Light" w:hAnsi="GillSans Light" w:cstheme="minorBidi"/>
      <w:color w:val="auto"/>
    </w:rPr>
  </w:style>
  <w:style w:type="character" w:customStyle="1" w:styleId="A8">
    <w:name w:val="A8"/>
    <w:uiPriority w:val="99"/>
    <w:rsid w:val="00093F52"/>
    <w:rPr>
      <w:rFonts w:cs="GillSans Light"/>
      <w:color w:val="000000"/>
      <w:sz w:val="10"/>
      <w:szCs w:val="10"/>
    </w:rPr>
  </w:style>
  <w:style w:type="paragraph" w:customStyle="1" w:styleId="Pa1">
    <w:name w:val="Pa1"/>
    <w:basedOn w:val="Default"/>
    <w:next w:val="Default"/>
    <w:uiPriority w:val="99"/>
    <w:rsid w:val="00093F52"/>
    <w:pPr>
      <w:spacing w:line="211" w:lineRule="atLeast"/>
    </w:pPr>
    <w:rPr>
      <w:rFonts w:ascii="Gill Sans" w:hAnsi="Gill Sans" w:cstheme="minorBidi"/>
      <w:color w:val="auto"/>
    </w:rPr>
  </w:style>
  <w:style w:type="paragraph" w:customStyle="1" w:styleId="Pa9">
    <w:name w:val="Pa9"/>
    <w:basedOn w:val="Default"/>
    <w:next w:val="Default"/>
    <w:uiPriority w:val="99"/>
    <w:rsid w:val="00093F52"/>
    <w:pPr>
      <w:spacing w:line="171" w:lineRule="atLeast"/>
    </w:pPr>
    <w:rPr>
      <w:rFonts w:ascii="Gill Sans" w:hAnsi="Gill Sans" w:cstheme="minorBidi"/>
      <w:color w:val="auto"/>
    </w:rPr>
  </w:style>
  <w:style w:type="paragraph" w:styleId="FootnoteText">
    <w:name w:val="footnote text"/>
    <w:basedOn w:val="Normal"/>
    <w:link w:val="FootnoteTextChar"/>
    <w:uiPriority w:val="99"/>
    <w:unhideWhenUsed/>
    <w:rsid w:val="00093F52"/>
    <w:pPr>
      <w:spacing w:after="0" w:line="240" w:lineRule="auto"/>
    </w:pPr>
    <w:rPr>
      <w:sz w:val="20"/>
      <w:szCs w:val="20"/>
    </w:rPr>
  </w:style>
  <w:style w:type="character" w:customStyle="1" w:styleId="FootnoteTextChar">
    <w:name w:val="Footnote Text Char"/>
    <w:basedOn w:val="DefaultParagraphFont"/>
    <w:link w:val="FootnoteText"/>
    <w:uiPriority w:val="99"/>
    <w:rsid w:val="00093F52"/>
    <w:rPr>
      <w:sz w:val="20"/>
      <w:szCs w:val="20"/>
    </w:rPr>
  </w:style>
  <w:style w:type="character" w:styleId="FootnoteReference">
    <w:name w:val="footnote reference"/>
    <w:basedOn w:val="DefaultParagraphFont"/>
    <w:uiPriority w:val="99"/>
    <w:unhideWhenUsed/>
    <w:rsid w:val="00093F52"/>
    <w:rPr>
      <w:vertAlign w:val="superscript"/>
    </w:rPr>
  </w:style>
  <w:style w:type="paragraph" w:customStyle="1" w:styleId="bodyfinancial">
    <w:name w:val="bodyfinancial"/>
    <w:basedOn w:val="Normal"/>
    <w:rsid w:val="00093F52"/>
    <w:pPr>
      <w:spacing w:before="85" w:after="100" w:afterAutospacing="1" w:line="200" w:lineRule="atLeast"/>
    </w:pPr>
    <w:rPr>
      <w:rFonts w:ascii="Times New Roman" w:eastAsia="Times New Roman" w:hAnsi="Times New Roman" w:cs="Times New Roman"/>
      <w:color w:val="21527A"/>
      <w:sz w:val="16"/>
      <w:szCs w:val="16"/>
      <w:lang w:eastAsia="en-GB"/>
    </w:rPr>
  </w:style>
  <w:style w:type="paragraph" w:customStyle="1" w:styleId="bulletfinanciallast">
    <w:name w:val="bulletfinanciallast"/>
    <w:basedOn w:val="Normal"/>
    <w:rsid w:val="00093F52"/>
    <w:pPr>
      <w:spacing w:before="113" w:after="100" w:afterAutospacing="1" w:line="200" w:lineRule="atLeast"/>
      <w:ind w:left="227"/>
    </w:pPr>
    <w:rPr>
      <w:rFonts w:ascii="Times New Roman" w:eastAsia="Times New Roman" w:hAnsi="Times New Roman" w:cs="Times New Roman"/>
      <w:color w:val="21527A"/>
      <w:sz w:val="16"/>
      <w:szCs w:val="16"/>
      <w:lang w:eastAsia="en-GB"/>
    </w:rPr>
  </w:style>
  <w:style w:type="character" w:customStyle="1" w:styleId="EndnoteTextChar">
    <w:name w:val="Endnote Text Char"/>
    <w:basedOn w:val="DefaultParagraphFont"/>
    <w:link w:val="EndnoteText"/>
    <w:uiPriority w:val="99"/>
    <w:semiHidden/>
    <w:rsid w:val="00093F52"/>
    <w:rPr>
      <w:sz w:val="20"/>
      <w:szCs w:val="20"/>
    </w:rPr>
  </w:style>
  <w:style w:type="paragraph" w:styleId="EndnoteText">
    <w:name w:val="endnote text"/>
    <w:basedOn w:val="Normal"/>
    <w:link w:val="EndnoteTextChar"/>
    <w:uiPriority w:val="99"/>
    <w:semiHidden/>
    <w:unhideWhenUsed/>
    <w:rsid w:val="00093F52"/>
    <w:pPr>
      <w:spacing w:after="0" w:line="240" w:lineRule="auto"/>
    </w:pPr>
    <w:rPr>
      <w:sz w:val="20"/>
      <w:szCs w:val="20"/>
    </w:rPr>
  </w:style>
  <w:style w:type="character" w:customStyle="1" w:styleId="DocumentMapChar">
    <w:name w:val="Document Map Char"/>
    <w:basedOn w:val="DefaultParagraphFont"/>
    <w:link w:val="DocumentMap"/>
    <w:uiPriority w:val="99"/>
    <w:semiHidden/>
    <w:rsid w:val="00093F52"/>
    <w:rPr>
      <w:rFonts w:ascii="Tahoma" w:hAnsi="Tahoma" w:cs="Tahoma"/>
      <w:sz w:val="16"/>
      <w:szCs w:val="16"/>
    </w:rPr>
  </w:style>
  <w:style w:type="paragraph" w:styleId="DocumentMap">
    <w:name w:val="Document Map"/>
    <w:basedOn w:val="Normal"/>
    <w:link w:val="DocumentMapChar"/>
    <w:uiPriority w:val="99"/>
    <w:semiHidden/>
    <w:unhideWhenUsed/>
    <w:rsid w:val="00093F52"/>
    <w:pPr>
      <w:spacing w:after="0" w:line="240" w:lineRule="auto"/>
    </w:pPr>
    <w:rPr>
      <w:rFonts w:ascii="Tahoma" w:hAnsi="Tahoma" w:cs="Tahoma"/>
      <w:sz w:val="16"/>
      <w:szCs w:val="16"/>
    </w:rPr>
  </w:style>
  <w:style w:type="paragraph" w:customStyle="1" w:styleId="EYBodytextwithparaspace">
    <w:name w:val="EY Body text (with para space)"/>
    <w:basedOn w:val="Normal"/>
    <w:link w:val="EYBodytextwithparaspaceChar"/>
    <w:qFormat/>
    <w:rsid w:val="00093F52"/>
    <w:pPr>
      <w:suppressAutoHyphens/>
      <w:spacing w:after="240" w:line="240" w:lineRule="auto"/>
    </w:pPr>
    <w:rPr>
      <w:rFonts w:ascii="Arial" w:eastAsia="Times New Roman" w:hAnsi="Arial" w:cs="Times New Roman"/>
      <w:kern w:val="12"/>
      <w:sz w:val="20"/>
      <w:szCs w:val="24"/>
    </w:rPr>
  </w:style>
  <w:style w:type="character" w:customStyle="1" w:styleId="EYBodytextwithparaspaceChar">
    <w:name w:val="EY Body text (with para space) Char"/>
    <w:basedOn w:val="DefaultParagraphFont"/>
    <w:link w:val="EYBodytextwithparaspace"/>
    <w:rsid w:val="00093F52"/>
    <w:rPr>
      <w:rFonts w:ascii="Arial" w:eastAsia="Times New Roman" w:hAnsi="Arial" w:cs="Times New Roman"/>
      <w:kern w:val="12"/>
      <w:sz w:val="20"/>
      <w:szCs w:val="24"/>
    </w:rPr>
  </w:style>
  <w:style w:type="table" w:customStyle="1" w:styleId="TableGrid1">
    <w:name w:val="Table Grid1"/>
    <w:basedOn w:val="TableNormal"/>
    <w:next w:val="TableGrid"/>
    <w:rsid w:val="00093F52"/>
    <w:pPr>
      <w:spacing w:after="0" w:line="240" w:lineRule="auto"/>
    </w:pPr>
    <w:rPr>
      <w:rFonts w:ascii="Arial" w:eastAsia="Times New Roman" w:hAnsi="Arial" w:cs="Times New Roman"/>
      <w:sz w:val="18"/>
      <w:szCs w:val="20"/>
      <w:lang w:val="nl-NL" w:eastAsia="nl-NL"/>
    </w:rPr>
    <w:tblPr>
      <w:tblCellMar>
        <w:left w:w="57" w:type="dxa"/>
        <w:right w:w="57" w:type="dxa"/>
      </w:tblCellMar>
    </w:tblPr>
    <w:tblStylePr w:type="firstRow">
      <w:tblPr/>
      <w:trPr>
        <w:tblHeader/>
      </w:trPr>
    </w:tblStylePr>
    <w:tblStylePr w:type="lastRow">
      <w:tblPr/>
      <w:tcPr>
        <w:tcBorders>
          <w:top w:val="nil"/>
          <w:left w:val="nil"/>
          <w:bottom w:val="nil"/>
          <w:right w:val="nil"/>
          <w:insideH w:val="nil"/>
          <w:insideV w:val="nil"/>
          <w:tl2br w:val="nil"/>
          <w:tr2bl w:val="nil"/>
        </w:tcBorders>
      </w:tcPr>
    </w:tblStylePr>
  </w:style>
  <w:style w:type="paragraph" w:customStyle="1" w:styleId="EYIndent2">
    <w:name w:val="EY Indent 2"/>
    <w:basedOn w:val="Normal"/>
    <w:rsid w:val="00093F52"/>
    <w:pPr>
      <w:spacing w:after="240" w:line="240" w:lineRule="auto"/>
      <w:ind w:left="851"/>
      <w:outlineLvl w:val="0"/>
    </w:pPr>
    <w:rPr>
      <w:rFonts w:ascii="Arial" w:eastAsia="Times New Roman" w:hAnsi="Arial" w:cs="Arial"/>
      <w:kern w:val="12"/>
      <w:sz w:val="20"/>
      <w:szCs w:val="24"/>
    </w:rPr>
  </w:style>
  <w:style w:type="paragraph" w:customStyle="1" w:styleId="EYHeading1">
    <w:name w:val="EY Heading 1"/>
    <w:basedOn w:val="Normal"/>
    <w:next w:val="EYBodytextwithparaspace"/>
    <w:rsid w:val="00093F52"/>
    <w:pPr>
      <w:pageBreakBefore/>
      <w:numPr>
        <w:ilvl w:val="1"/>
        <w:numId w:val="7"/>
      </w:numPr>
      <w:spacing w:after="360" w:line="240" w:lineRule="auto"/>
      <w:outlineLvl w:val="0"/>
    </w:pPr>
    <w:rPr>
      <w:rFonts w:ascii="Arial" w:eastAsia="Times New Roman" w:hAnsi="Arial" w:cs="Arial"/>
      <w:b/>
      <w:color w:val="7F7E82"/>
      <w:kern w:val="12"/>
      <w:sz w:val="32"/>
      <w:szCs w:val="24"/>
    </w:rPr>
  </w:style>
  <w:style w:type="paragraph" w:customStyle="1" w:styleId="EYHeading2">
    <w:name w:val="EY Heading 2"/>
    <w:basedOn w:val="EYHeading1"/>
    <w:next w:val="EYBodytextwithparaspace"/>
    <w:link w:val="EYHeading2Char"/>
    <w:rsid w:val="00093F52"/>
    <w:pPr>
      <w:keepNext/>
      <w:pageBreakBefore w:val="0"/>
      <w:spacing w:before="120" w:after="120"/>
    </w:pPr>
    <w:rPr>
      <w:color w:val="auto"/>
      <w:sz w:val="28"/>
    </w:rPr>
  </w:style>
  <w:style w:type="character" w:customStyle="1" w:styleId="EYHeading2Char">
    <w:name w:val="EY Heading 2 Char"/>
    <w:basedOn w:val="DefaultParagraphFont"/>
    <w:link w:val="EYHeading2"/>
    <w:rsid w:val="00093F52"/>
    <w:rPr>
      <w:rFonts w:ascii="Arial" w:eastAsia="Times New Roman" w:hAnsi="Arial" w:cs="Arial"/>
      <w:b/>
      <w:kern w:val="12"/>
      <w:sz w:val="28"/>
      <w:szCs w:val="24"/>
    </w:rPr>
  </w:style>
  <w:style w:type="paragraph" w:customStyle="1" w:styleId="EYHeading3">
    <w:name w:val="EY Heading 3"/>
    <w:basedOn w:val="EYHeading1"/>
    <w:next w:val="EYBodytextwithparaspace"/>
    <w:rsid w:val="00093F52"/>
    <w:pPr>
      <w:keepNext/>
      <w:pageBreakBefore w:val="0"/>
      <w:numPr>
        <w:ilvl w:val="2"/>
      </w:numPr>
      <w:spacing w:before="120" w:after="120"/>
    </w:pPr>
    <w:rPr>
      <w:color w:val="auto"/>
      <w:sz w:val="24"/>
    </w:rPr>
  </w:style>
  <w:style w:type="paragraph" w:customStyle="1" w:styleId="EYBulletedList1">
    <w:name w:val="EY Bulleted List 1"/>
    <w:basedOn w:val="EYBulletedtext1"/>
    <w:rsid w:val="00093F52"/>
    <w:pPr>
      <w:numPr>
        <w:numId w:val="6"/>
      </w:numPr>
      <w:spacing w:after="0"/>
    </w:pPr>
  </w:style>
  <w:style w:type="paragraph" w:customStyle="1" w:styleId="EYBulletedtext1">
    <w:name w:val="EY Bulleted text 1"/>
    <w:basedOn w:val="EYBodytextwithparaspace"/>
    <w:rsid w:val="00093F52"/>
    <w:pPr>
      <w:tabs>
        <w:tab w:val="num" w:pos="425"/>
      </w:tabs>
      <w:ind w:left="425" w:hanging="425"/>
    </w:pPr>
  </w:style>
  <w:style w:type="paragraph" w:customStyle="1" w:styleId="EYBulletedList2">
    <w:name w:val="EY Bulleted List 2"/>
    <w:basedOn w:val="Normal"/>
    <w:rsid w:val="00093F52"/>
    <w:pPr>
      <w:tabs>
        <w:tab w:val="num" w:pos="1701"/>
      </w:tabs>
      <w:suppressAutoHyphens/>
      <w:spacing w:after="0" w:line="240" w:lineRule="auto"/>
      <w:ind w:left="1701" w:hanging="426"/>
    </w:pPr>
    <w:rPr>
      <w:rFonts w:ascii="Arial" w:eastAsia="Times New Roman" w:hAnsi="Arial" w:cs="Times New Roman"/>
      <w:kern w:val="12"/>
      <w:sz w:val="20"/>
      <w:szCs w:val="24"/>
    </w:rPr>
  </w:style>
  <w:style w:type="paragraph" w:customStyle="1" w:styleId="EYBulletedList3">
    <w:name w:val="EY Bulleted List 3"/>
    <w:basedOn w:val="Normal"/>
    <w:rsid w:val="00093F52"/>
    <w:pPr>
      <w:numPr>
        <w:ilvl w:val="2"/>
        <w:numId w:val="6"/>
      </w:numPr>
      <w:suppressAutoHyphens/>
      <w:spacing w:after="0" w:line="240" w:lineRule="auto"/>
    </w:pPr>
    <w:rPr>
      <w:rFonts w:ascii="Arial" w:eastAsia="Times New Roman" w:hAnsi="Arial" w:cs="Times New Roman"/>
      <w:kern w:val="12"/>
      <w:sz w:val="20"/>
      <w:szCs w:val="24"/>
    </w:rPr>
  </w:style>
  <w:style w:type="paragraph" w:customStyle="1" w:styleId="EYHeading4">
    <w:name w:val="EY Heading 4"/>
    <w:basedOn w:val="EYHeading3"/>
    <w:next w:val="EYBodytextwithparaspace"/>
    <w:rsid w:val="00093F52"/>
    <w:pPr>
      <w:numPr>
        <w:ilvl w:val="3"/>
      </w:numPr>
    </w:pPr>
    <w:rPr>
      <w:sz w:val="20"/>
    </w:rPr>
  </w:style>
  <w:style w:type="paragraph" w:customStyle="1" w:styleId="EYBulletedtext2">
    <w:name w:val="EY Bulleted text 2"/>
    <w:basedOn w:val="Normal"/>
    <w:rsid w:val="00093F52"/>
    <w:pPr>
      <w:tabs>
        <w:tab w:val="num" w:pos="851"/>
      </w:tabs>
      <w:suppressAutoHyphens/>
      <w:spacing w:after="240" w:line="240" w:lineRule="auto"/>
      <w:ind w:left="851" w:hanging="426"/>
    </w:pPr>
    <w:rPr>
      <w:rFonts w:ascii="Arial" w:eastAsia="Times New Roman" w:hAnsi="Arial" w:cs="Times New Roman"/>
      <w:kern w:val="12"/>
      <w:sz w:val="20"/>
      <w:szCs w:val="24"/>
    </w:rPr>
  </w:style>
  <w:style w:type="paragraph" w:customStyle="1" w:styleId="EYBulletedtext3">
    <w:name w:val="EY Bulleted text 3"/>
    <w:basedOn w:val="EYBulletedtext1"/>
    <w:qFormat/>
    <w:rsid w:val="00093F52"/>
    <w:pPr>
      <w:tabs>
        <w:tab w:val="clear" w:pos="425"/>
        <w:tab w:val="num" w:pos="1276"/>
      </w:tabs>
      <w:ind w:left="1276"/>
    </w:pPr>
  </w:style>
  <w:style w:type="paragraph" w:customStyle="1" w:styleId="35PullOutQuote15ptAMerchantCantosGenericStyles">
    <w:name w:val="35_Pull Out Quote 15pt (A_MerchantCantosGenericStyles)"/>
    <w:basedOn w:val="Normal"/>
    <w:uiPriority w:val="99"/>
    <w:rsid w:val="00093F52"/>
    <w:pPr>
      <w:tabs>
        <w:tab w:val="left" w:pos="351"/>
      </w:tabs>
      <w:suppressAutoHyphens/>
      <w:autoSpaceDE w:val="0"/>
      <w:autoSpaceDN w:val="0"/>
      <w:adjustRightInd w:val="0"/>
      <w:spacing w:after="0" w:line="320" w:lineRule="atLeast"/>
      <w:textAlignment w:val="center"/>
    </w:pPr>
    <w:rPr>
      <w:rFonts w:ascii="Calibre Light" w:hAnsi="Calibre Light" w:cs="Calibre Light"/>
      <w:color w:val="475B6D"/>
      <w:spacing w:val="-9"/>
      <w:sz w:val="30"/>
      <w:szCs w:val="30"/>
    </w:rPr>
  </w:style>
  <w:style w:type="paragraph" w:customStyle="1" w:styleId="21BulletAMerchantCantosGenericStyles">
    <w:name w:val="21_Bullet (A_MerchantCantosGenericStyles)"/>
    <w:basedOn w:val="NoParagraphStyle"/>
    <w:uiPriority w:val="99"/>
    <w:rsid w:val="00093F52"/>
    <w:pPr>
      <w:widowControl/>
      <w:tabs>
        <w:tab w:val="left" w:pos="170"/>
      </w:tabs>
      <w:suppressAutoHyphens/>
      <w:spacing w:after="28" w:line="190" w:lineRule="atLeast"/>
      <w:ind w:left="170" w:hanging="170"/>
    </w:pPr>
    <w:rPr>
      <w:rFonts w:ascii="Calibre Light" w:eastAsiaTheme="minorHAnsi" w:hAnsi="Calibre Light" w:cs="Calibre Light"/>
      <w:color w:val="475B6D"/>
      <w:spacing w:val="-2"/>
      <w:sz w:val="17"/>
      <w:szCs w:val="17"/>
    </w:rPr>
  </w:style>
  <w:style w:type="paragraph" w:customStyle="1" w:styleId="11BodyTextAMerchantCantosGenericStyles">
    <w:name w:val="11_BodyText (A_MerchantCantosGenericStyles)"/>
    <w:basedOn w:val="NoParagraphStyle"/>
    <w:uiPriority w:val="99"/>
    <w:rsid w:val="00093F52"/>
    <w:pPr>
      <w:widowControl/>
      <w:tabs>
        <w:tab w:val="left" w:pos="170"/>
        <w:tab w:val="left" w:pos="340"/>
      </w:tabs>
      <w:suppressAutoHyphens/>
      <w:spacing w:after="113" w:line="190" w:lineRule="atLeast"/>
    </w:pPr>
    <w:rPr>
      <w:rFonts w:ascii="Calibre Light" w:eastAsiaTheme="minorHAnsi" w:hAnsi="Calibre Light" w:cs="Calibre Light"/>
      <w:color w:val="475B6D"/>
      <w:spacing w:val="-2"/>
      <w:sz w:val="17"/>
      <w:szCs w:val="17"/>
    </w:rPr>
  </w:style>
  <w:style w:type="paragraph" w:styleId="NormalWeb">
    <w:name w:val="Normal (Web)"/>
    <w:basedOn w:val="Normal"/>
    <w:uiPriority w:val="99"/>
    <w:unhideWhenUsed/>
    <w:rsid w:val="00093F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DNocharacterstyle">
    <w:name w:val="ID No character style"/>
    <w:rsid w:val="00093F52"/>
  </w:style>
  <w:style w:type="paragraph" w:customStyle="1" w:styleId="GenericStylesHeading">
    <w:name w:val="Generic Styles Heading"/>
    <w:basedOn w:val="Normal"/>
    <w:rsid w:val="00243D7F"/>
    <w:pPr>
      <w:spacing w:before="204" w:after="85" w:line="259" w:lineRule="auto"/>
    </w:pPr>
    <w:rPr>
      <w:rFonts w:ascii="Calibre (OTF) Regular" w:eastAsiaTheme="majorEastAsia" w:hAnsi="Calibre (OTF) Regular" w:cstheme="majorBidi"/>
      <w:sz w:val="32"/>
      <w:lang w:eastAsia="en-GB"/>
    </w:rPr>
  </w:style>
  <w:style w:type="paragraph" w:customStyle="1" w:styleId="GenericStylesIntroduction">
    <w:name w:val="Generic Styles Introduction"/>
    <w:basedOn w:val="Normal"/>
    <w:rsid w:val="00243D7F"/>
    <w:pPr>
      <w:spacing w:after="170" w:line="259" w:lineRule="auto"/>
    </w:pPr>
    <w:rPr>
      <w:rFonts w:ascii="Calibre (OTF) Regular" w:eastAsiaTheme="majorEastAsia" w:hAnsi="Calibre (OTF) Regular" w:cstheme="majorBidi"/>
      <w:sz w:val="32"/>
      <w:lang w:eastAsia="en-GB"/>
    </w:rPr>
  </w:style>
  <w:style w:type="paragraph" w:customStyle="1" w:styleId="GenericStylesBodytext95pt">
    <w:name w:val="Generic Styles Bodytext 9 5pt"/>
    <w:basedOn w:val="Normal"/>
    <w:rsid w:val="002D4A9B"/>
    <w:pPr>
      <w:spacing w:after="85" w:line="259" w:lineRule="auto"/>
    </w:pPr>
    <w:rPr>
      <w:rFonts w:ascii="Calibre (OTF) Regular" w:eastAsiaTheme="majorEastAsia" w:hAnsi="Calibre (OTF) Regular" w:cstheme="majorBidi"/>
      <w:sz w:val="20"/>
      <w:lang w:eastAsia="en-GB"/>
    </w:rPr>
  </w:style>
  <w:style w:type="paragraph" w:customStyle="1" w:styleId="GenericStylesBodytext">
    <w:name w:val="Generic Styles Bodytext"/>
    <w:basedOn w:val="Normal"/>
    <w:rsid w:val="00652B28"/>
    <w:pPr>
      <w:spacing w:after="85" w:line="259" w:lineRule="auto"/>
    </w:pPr>
    <w:rPr>
      <w:rFonts w:ascii="Calibre (OTF) Regular" w:eastAsiaTheme="majorEastAsia" w:hAnsi="Calibre (OTF) Regular" w:cstheme="majorBidi"/>
      <w:sz w:val="16"/>
      <w:lang w:eastAsia="en-GB"/>
    </w:rPr>
  </w:style>
  <w:style w:type="paragraph" w:customStyle="1" w:styleId="GenericStylesHeading1">
    <w:name w:val="Generic Styles Heading 1"/>
    <w:basedOn w:val="Normal"/>
    <w:rsid w:val="00652B28"/>
    <w:pPr>
      <w:spacing w:after="57" w:line="259" w:lineRule="auto"/>
    </w:pPr>
    <w:rPr>
      <w:rFonts w:ascii="Calibre (OTF) Regular" w:eastAsiaTheme="majorEastAsia" w:hAnsi="Calibre (OTF) Regular" w:cstheme="majorBidi"/>
      <w:sz w:val="20"/>
      <w:lang w:eastAsia="en-GB"/>
    </w:rPr>
  </w:style>
  <w:style w:type="paragraph" w:customStyle="1" w:styleId="GenericStylesPageReference">
    <w:name w:val="Generic Styles Page Reference"/>
    <w:basedOn w:val="Normal"/>
    <w:rsid w:val="00652B28"/>
    <w:pPr>
      <w:spacing w:after="85" w:line="259" w:lineRule="auto"/>
    </w:pPr>
    <w:rPr>
      <w:rFonts w:ascii="Calibre (OTF) Regular" w:eastAsiaTheme="majorEastAsia" w:hAnsi="Calibre (OTF) Regular" w:cstheme="majorBidi"/>
      <w:sz w:val="20"/>
      <w:lang w:eastAsia="en-GB"/>
    </w:rPr>
  </w:style>
  <w:style w:type="paragraph" w:customStyle="1" w:styleId="GenericStylesIntroduction2">
    <w:name w:val="Generic Styles Introduction 2"/>
    <w:basedOn w:val="GenericStylesIntroduction"/>
    <w:rsid w:val="00652B28"/>
    <w:rPr>
      <w:sz w:val="24"/>
    </w:rPr>
  </w:style>
  <w:style w:type="character" w:customStyle="1" w:styleId="ColorBlack">
    <w:name w:val="Color Black"/>
    <w:basedOn w:val="IDNocharacterstyle"/>
    <w:rsid w:val="00652B28"/>
  </w:style>
  <w:style w:type="character" w:customStyle="1" w:styleId="ColorP2145Darkblue">
    <w:name w:val="Color P2145 Dark blue"/>
    <w:basedOn w:val="IDNocharacterstyle"/>
    <w:rsid w:val="00652B28"/>
  </w:style>
  <w:style w:type="paragraph" w:customStyle="1" w:styleId="IDNoparagraphstyle">
    <w:name w:val="ID No paragraph style"/>
    <w:rsid w:val="005E0C40"/>
    <w:pPr>
      <w:spacing w:after="0"/>
    </w:pPr>
    <w:rPr>
      <w:rFonts w:ascii="Calibre (OTF) Regular" w:eastAsiaTheme="majorEastAsia" w:hAnsi="Calibre (OTF) Regular" w:cstheme="majorBidi"/>
      <w:sz w:val="24"/>
      <w:lang w:eastAsia="en-GB"/>
    </w:rPr>
  </w:style>
  <w:style w:type="character" w:styleId="UnresolvedMention">
    <w:name w:val="Unresolved Mention"/>
    <w:basedOn w:val="DefaultParagraphFont"/>
    <w:uiPriority w:val="99"/>
    <w:semiHidden/>
    <w:unhideWhenUsed/>
    <w:rsid w:val="00D411F8"/>
    <w:rPr>
      <w:color w:val="605E5C"/>
      <w:shd w:val="clear" w:color="auto" w:fill="E1DFDD"/>
    </w:rPr>
  </w:style>
  <w:style w:type="paragraph" w:customStyle="1" w:styleId="TableParagraph">
    <w:name w:val="Table Paragraph"/>
    <w:basedOn w:val="Normal"/>
    <w:uiPriority w:val="1"/>
    <w:qFormat/>
    <w:rsid w:val="00A05912"/>
    <w:pPr>
      <w:widowControl w:val="0"/>
      <w:autoSpaceDE w:val="0"/>
      <w:autoSpaceDN w:val="0"/>
      <w:spacing w:after="0" w:line="240" w:lineRule="auto"/>
      <w:jc w:val="right"/>
    </w:pPr>
    <w:rPr>
      <w:rFonts w:ascii="Calibre Light" w:eastAsia="Calibre Light" w:hAnsi="Calibre Light" w:cs="Calibre Light"/>
      <w:lang w:eastAsia="en-GB" w:bidi="en-GB"/>
    </w:rPr>
  </w:style>
  <w:style w:type="table" w:customStyle="1" w:styleId="TableGrid2">
    <w:name w:val="Table Grid2"/>
    <w:basedOn w:val="TableNormal"/>
    <w:next w:val="TableGrid"/>
    <w:uiPriority w:val="59"/>
    <w:rsid w:val="00E828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828EA"/>
  </w:style>
  <w:style w:type="character" w:styleId="EndnoteReference">
    <w:name w:val="endnote reference"/>
    <w:basedOn w:val="DefaultParagraphFont"/>
    <w:uiPriority w:val="99"/>
    <w:semiHidden/>
    <w:unhideWhenUsed/>
    <w:rsid w:val="00E828EA"/>
    <w:rPr>
      <w:vertAlign w:val="superscript"/>
    </w:rPr>
  </w:style>
  <w:style w:type="table" w:customStyle="1" w:styleId="TableGrid11">
    <w:name w:val="Table Grid11"/>
    <w:basedOn w:val="TableNormal"/>
    <w:next w:val="TableGrid"/>
    <w:rsid w:val="00E828EA"/>
    <w:pPr>
      <w:spacing w:after="0" w:line="240" w:lineRule="auto"/>
    </w:pPr>
    <w:rPr>
      <w:rFonts w:ascii="Arial" w:eastAsia="Times New Roman" w:hAnsi="Arial" w:cs="Times New Roman"/>
      <w:sz w:val="18"/>
      <w:szCs w:val="20"/>
      <w:lang w:val="nl-NL" w:eastAsia="nl-NL"/>
    </w:rPr>
    <w:tblPr>
      <w:tblCellMar>
        <w:left w:w="57" w:type="dxa"/>
        <w:right w:w="57" w:type="dxa"/>
      </w:tblCellMar>
    </w:tblPr>
    <w:tblStylePr w:type="firstRow">
      <w:tblPr/>
      <w:trPr>
        <w:tblHeader/>
      </w:trPr>
    </w:tblStylePr>
    <w:tblStylePr w:type="lastRow">
      <w:tblPr/>
      <w:tcPr>
        <w:tcBorders>
          <w:top w:val="nil"/>
          <w:left w:val="nil"/>
          <w:bottom w:val="nil"/>
          <w:right w:val="nil"/>
          <w:insideH w:val="nil"/>
          <w:insideV w:val="nil"/>
          <w:tl2br w:val="nil"/>
          <w:tr2bl w:val="nil"/>
        </w:tcBorders>
      </w:tcPr>
    </w:tblStylePr>
  </w:style>
  <w:style w:type="paragraph" w:styleId="Revision">
    <w:name w:val="Revision"/>
    <w:hidden/>
    <w:uiPriority w:val="99"/>
    <w:semiHidden/>
    <w:rsid w:val="00E828EA"/>
    <w:pPr>
      <w:spacing w:after="0" w:line="240" w:lineRule="auto"/>
    </w:pPr>
  </w:style>
  <w:style w:type="character" w:customStyle="1" w:styleId="UnresolvedMention1">
    <w:name w:val="Unresolved Mention1"/>
    <w:basedOn w:val="DefaultParagraphFont"/>
    <w:uiPriority w:val="99"/>
    <w:semiHidden/>
    <w:unhideWhenUsed/>
    <w:rsid w:val="00E828EA"/>
    <w:rPr>
      <w:color w:val="808080"/>
      <w:shd w:val="clear" w:color="auto" w:fill="E6E6E6"/>
    </w:rPr>
  </w:style>
  <w:style w:type="character" w:customStyle="1" w:styleId="UnresolvedMention2">
    <w:name w:val="Unresolved Mention2"/>
    <w:basedOn w:val="DefaultParagraphFont"/>
    <w:uiPriority w:val="99"/>
    <w:semiHidden/>
    <w:unhideWhenUsed/>
    <w:rsid w:val="00E828EA"/>
    <w:rPr>
      <w:color w:val="605E5C"/>
      <w:shd w:val="clear" w:color="auto" w:fill="E1DFDD"/>
    </w:rPr>
  </w:style>
  <w:style w:type="character" w:customStyle="1" w:styleId="UnresolvedMention3">
    <w:name w:val="Unresolved Mention3"/>
    <w:basedOn w:val="DefaultParagraphFont"/>
    <w:uiPriority w:val="99"/>
    <w:semiHidden/>
    <w:unhideWhenUsed/>
    <w:rsid w:val="00E828EA"/>
    <w:rPr>
      <w:color w:val="605E5C"/>
      <w:shd w:val="clear" w:color="auto" w:fill="E1DFDD"/>
    </w:rPr>
  </w:style>
  <w:style w:type="character" w:customStyle="1" w:styleId="CommentSubjectChar1">
    <w:name w:val="Comment Subject Char1"/>
    <w:basedOn w:val="CommentTextChar"/>
    <w:uiPriority w:val="99"/>
    <w:semiHidden/>
    <w:rsid w:val="00C556F8"/>
    <w:rPr>
      <w:rFonts w:ascii="Times New Roman" w:eastAsia="Times New Roman" w:hAnsi="Times New Roman" w:cs="Times New Roman"/>
      <w:b/>
      <w:bCs/>
      <w:sz w:val="20"/>
      <w:szCs w:val="20"/>
    </w:rPr>
  </w:style>
  <w:style w:type="character" w:customStyle="1" w:styleId="BodyTextChar1">
    <w:name w:val="Body Text Char1"/>
    <w:basedOn w:val="DefaultParagraphFont"/>
    <w:uiPriority w:val="99"/>
    <w:semiHidden/>
    <w:rsid w:val="00C556F8"/>
  </w:style>
  <w:style w:type="character" w:customStyle="1" w:styleId="EndnoteTextChar1">
    <w:name w:val="Endnote Text Char1"/>
    <w:basedOn w:val="DefaultParagraphFont"/>
    <w:uiPriority w:val="99"/>
    <w:semiHidden/>
    <w:rsid w:val="00C556F8"/>
    <w:rPr>
      <w:sz w:val="20"/>
      <w:szCs w:val="20"/>
    </w:rPr>
  </w:style>
  <w:style w:type="character" w:customStyle="1" w:styleId="DocumentMapChar1">
    <w:name w:val="Document Map Char1"/>
    <w:basedOn w:val="DefaultParagraphFont"/>
    <w:uiPriority w:val="99"/>
    <w:semiHidden/>
    <w:rsid w:val="00C556F8"/>
    <w:rPr>
      <w:rFonts w:ascii="Segoe UI" w:hAnsi="Segoe UI" w:cs="Segoe UI"/>
      <w:sz w:val="16"/>
      <w:szCs w:val="16"/>
    </w:rPr>
  </w:style>
  <w:style w:type="paragraph" w:customStyle="1" w:styleId="GenericStylesIntroductionsmaller">
    <w:name w:val="Generic Styles Introduction smaller"/>
    <w:basedOn w:val="GenericStylesIntroduction"/>
    <w:rsid w:val="00C556F8"/>
    <w:rPr>
      <w:rFonts w:ascii="Calibre" w:hAnsi="Calibre"/>
      <w:b/>
      <w:sz w:val="28"/>
    </w:rPr>
  </w:style>
  <w:style w:type="character" w:customStyle="1" w:styleId="ColourWater">
    <w:name w:val="Colour Water"/>
    <w:basedOn w:val="IDNocharacterstyle"/>
    <w:rsid w:val="00C556F8"/>
  </w:style>
  <w:style w:type="paragraph" w:customStyle="1" w:styleId="GenericStylesListsBulletList1">
    <w:name w:val="Generic Styles Lists Bullet List 1"/>
    <w:basedOn w:val="GenericStylesBodytext"/>
    <w:rsid w:val="00C556F8"/>
    <w:rPr>
      <w:rFonts w:ascii="Calibre" w:hAnsi="Calibre"/>
    </w:rPr>
  </w:style>
  <w:style w:type="paragraph" w:customStyle="1" w:styleId="Normal1">
    <w:name w:val="Normal1"/>
    <w:basedOn w:val="IDNoparagraphstyle"/>
    <w:rsid w:val="00C556F8"/>
    <w:pPr>
      <w:spacing w:after="200"/>
    </w:pPr>
    <w:rPr>
      <w:rFonts w:ascii="Minion Pro" w:hAnsi="Minion Pro"/>
      <w:sz w:val="22"/>
    </w:rPr>
  </w:style>
  <w:style w:type="paragraph" w:customStyle="1" w:styleId="GenericStylesBodytextsmallercentred">
    <w:name w:val="Generic Styles Bodytext smaller centred"/>
    <w:basedOn w:val="Normal"/>
    <w:rsid w:val="00C556F8"/>
    <w:pPr>
      <w:spacing w:after="85" w:line="259" w:lineRule="auto"/>
      <w:jc w:val="center"/>
    </w:pPr>
    <w:rPr>
      <w:rFonts w:ascii="Calibre" w:eastAsiaTheme="majorEastAsia" w:hAnsi="Calibre" w:cstheme="majorBidi"/>
      <w:sz w:val="12"/>
      <w:lang w:eastAsia="en-GB"/>
    </w:rPr>
  </w:style>
  <w:style w:type="paragraph" w:customStyle="1" w:styleId="EYTablebullet1">
    <w:name w:val="EY Table bullet 1"/>
    <w:basedOn w:val="Normal"/>
    <w:link w:val="EYTablebullet1Char"/>
    <w:uiPriority w:val="99"/>
    <w:qFormat/>
    <w:rsid w:val="000410E5"/>
    <w:pPr>
      <w:numPr>
        <w:numId w:val="41"/>
      </w:numPr>
      <w:suppressAutoHyphens/>
      <w:spacing w:before="20" w:after="20" w:line="240" w:lineRule="auto"/>
    </w:pPr>
    <w:rPr>
      <w:rFonts w:ascii="Arial" w:eastAsia="Times New Roman" w:hAnsi="Arial" w:cs="Times New Roman"/>
      <w:kern w:val="12"/>
      <w:sz w:val="20"/>
      <w:szCs w:val="24"/>
    </w:rPr>
  </w:style>
  <w:style w:type="paragraph" w:customStyle="1" w:styleId="EYTablebullet2">
    <w:name w:val="EY Table bullet 2"/>
    <w:basedOn w:val="EYTablebullet1"/>
    <w:uiPriority w:val="99"/>
    <w:qFormat/>
    <w:rsid w:val="000410E5"/>
    <w:pPr>
      <w:numPr>
        <w:ilvl w:val="1"/>
      </w:numPr>
      <w:tabs>
        <w:tab w:val="clear" w:pos="284"/>
      </w:tabs>
      <w:ind w:left="1440" w:hanging="360"/>
    </w:pPr>
  </w:style>
  <w:style w:type="character" w:customStyle="1" w:styleId="EYTablebullet1Char">
    <w:name w:val="EY Table bullet 1 Char"/>
    <w:basedOn w:val="DefaultParagraphFont"/>
    <w:link w:val="EYTablebullet1"/>
    <w:uiPriority w:val="99"/>
    <w:rsid w:val="000410E5"/>
    <w:rPr>
      <w:rFonts w:ascii="Arial" w:eastAsia="Times New Roman" w:hAnsi="Arial" w:cs="Times New Roman"/>
      <w:kern w:val="12"/>
      <w:sz w:val="20"/>
      <w:szCs w:val="24"/>
    </w:rPr>
  </w:style>
  <w:style w:type="paragraph" w:customStyle="1" w:styleId="Pa19">
    <w:name w:val="Pa19"/>
    <w:basedOn w:val="Normal"/>
    <w:next w:val="Normal"/>
    <w:uiPriority w:val="99"/>
    <w:rsid w:val="00BB46DF"/>
    <w:pPr>
      <w:autoSpaceDE w:val="0"/>
      <w:autoSpaceDN w:val="0"/>
      <w:adjustRightInd w:val="0"/>
      <w:spacing w:after="0" w:line="201" w:lineRule="atLeast"/>
    </w:pPr>
    <w:rPr>
      <w:rFonts w:ascii="Calibre Semibold" w:hAnsi="Calibre Semibold"/>
      <w:sz w:val="24"/>
      <w:szCs w:val="24"/>
    </w:rPr>
  </w:style>
  <w:style w:type="paragraph" w:customStyle="1" w:styleId="Pa13">
    <w:name w:val="Pa13"/>
    <w:basedOn w:val="Normal"/>
    <w:next w:val="Normal"/>
    <w:uiPriority w:val="99"/>
    <w:rsid w:val="00BB46DF"/>
    <w:pPr>
      <w:autoSpaceDE w:val="0"/>
      <w:autoSpaceDN w:val="0"/>
      <w:adjustRightInd w:val="0"/>
      <w:spacing w:after="0" w:line="161" w:lineRule="atLeast"/>
    </w:pPr>
    <w:rPr>
      <w:rFonts w:ascii="Calibre Semibold" w:hAnsi="Calibre Semibold"/>
      <w:sz w:val="24"/>
      <w:szCs w:val="24"/>
    </w:rPr>
  </w:style>
  <w:style w:type="paragraph" w:customStyle="1" w:styleId="Pa4">
    <w:name w:val="Pa4"/>
    <w:basedOn w:val="Default"/>
    <w:next w:val="Default"/>
    <w:uiPriority w:val="99"/>
    <w:rsid w:val="003C1E6F"/>
    <w:pPr>
      <w:spacing w:line="161" w:lineRule="atLeast"/>
    </w:pPr>
    <w:rPr>
      <w:rFonts w:ascii="Calibre Light" w:hAnsi="Calibre Light" w:cstheme="minorBidi"/>
      <w:color w:val="auto"/>
    </w:rPr>
  </w:style>
  <w:style w:type="paragraph" w:styleId="TOC1">
    <w:name w:val="toc 1"/>
    <w:basedOn w:val="Normal"/>
    <w:next w:val="Normal"/>
    <w:autoRedefine/>
    <w:uiPriority w:val="39"/>
    <w:unhideWhenUsed/>
    <w:rsid w:val="004F030D"/>
    <w:pPr>
      <w:spacing w:after="100"/>
    </w:pPr>
  </w:style>
  <w:style w:type="paragraph" w:styleId="TOC2">
    <w:name w:val="toc 2"/>
    <w:basedOn w:val="Normal"/>
    <w:next w:val="Normal"/>
    <w:autoRedefine/>
    <w:uiPriority w:val="39"/>
    <w:unhideWhenUsed/>
    <w:rsid w:val="004F030D"/>
    <w:pPr>
      <w:spacing w:after="100" w:line="259" w:lineRule="auto"/>
      <w:ind w:left="220"/>
    </w:pPr>
    <w:rPr>
      <w:rFonts w:eastAsiaTheme="minorEastAsia"/>
      <w:kern w:val="2"/>
      <w:lang w:eastAsia="en-GB"/>
      <w14:ligatures w14:val="standardContextual"/>
    </w:rPr>
  </w:style>
  <w:style w:type="paragraph" w:styleId="TOC3">
    <w:name w:val="toc 3"/>
    <w:basedOn w:val="Normal"/>
    <w:next w:val="Normal"/>
    <w:autoRedefine/>
    <w:uiPriority w:val="39"/>
    <w:unhideWhenUsed/>
    <w:rsid w:val="004F030D"/>
    <w:pPr>
      <w:spacing w:after="100" w:line="259" w:lineRule="auto"/>
      <w:ind w:left="440"/>
    </w:pPr>
    <w:rPr>
      <w:rFonts w:eastAsiaTheme="minorEastAsia"/>
      <w:kern w:val="2"/>
      <w:lang w:eastAsia="en-GB"/>
      <w14:ligatures w14:val="standardContextual"/>
    </w:rPr>
  </w:style>
  <w:style w:type="paragraph" w:styleId="TOC4">
    <w:name w:val="toc 4"/>
    <w:basedOn w:val="Normal"/>
    <w:next w:val="Normal"/>
    <w:autoRedefine/>
    <w:uiPriority w:val="39"/>
    <w:unhideWhenUsed/>
    <w:rsid w:val="004F030D"/>
    <w:pPr>
      <w:spacing w:after="100" w:line="259" w:lineRule="auto"/>
      <w:ind w:left="660"/>
    </w:pPr>
    <w:rPr>
      <w:rFonts w:eastAsiaTheme="minorEastAsia"/>
      <w:kern w:val="2"/>
      <w:lang w:eastAsia="en-GB"/>
      <w14:ligatures w14:val="standardContextual"/>
    </w:rPr>
  </w:style>
  <w:style w:type="paragraph" w:styleId="TOC5">
    <w:name w:val="toc 5"/>
    <w:basedOn w:val="Normal"/>
    <w:next w:val="Normal"/>
    <w:autoRedefine/>
    <w:uiPriority w:val="39"/>
    <w:unhideWhenUsed/>
    <w:rsid w:val="004F030D"/>
    <w:pPr>
      <w:spacing w:after="100" w:line="259" w:lineRule="auto"/>
      <w:ind w:left="880"/>
    </w:pPr>
    <w:rPr>
      <w:rFonts w:eastAsiaTheme="minorEastAsia"/>
      <w:kern w:val="2"/>
      <w:lang w:eastAsia="en-GB"/>
      <w14:ligatures w14:val="standardContextual"/>
    </w:rPr>
  </w:style>
  <w:style w:type="paragraph" w:styleId="TOC6">
    <w:name w:val="toc 6"/>
    <w:basedOn w:val="Normal"/>
    <w:next w:val="Normal"/>
    <w:autoRedefine/>
    <w:uiPriority w:val="39"/>
    <w:unhideWhenUsed/>
    <w:rsid w:val="004F030D"/>
    <w:pPr>
      <w:spacing w:after="100" w:line="259" w:lineRule="auto"/>
      <w:ind w:left="1100"/>
    </w:pPr>
    <w:rPr>
      <w:rFonts w:eastAsiaTheme="minorEastAsia"/>
      <w:kern w:val="2"/>
      <w:lang w:eastAsia="en-GB"/>
      <w14:ligatures w14:val="standardContextual"/>
    </w:rPr>
  </w:style>
  <w:style w:type="paragraph" w:styleId="TOC7">
    <w:name w:val="toc 7"/>
    <w:basedOn w:val="Normal"/>
    <w:next w:val="Normal"/>
    <w:autoRedefine/>
    <w:uiPriority w:val="39"/>
    <w:unhideWhenUsed/>
    <w:rsid w:val="004F030D"/>
    <w:pPr>
      <w:spacing w:after="100" w:line="259" w:lineRule="auto"/>
      <w:ind w:left="1320"/>
    </w:pPr>
    <w:rPr>
      <w:rFonts w:eastAsiaTheme="minorEastAsia"/>
      <w:kern w:val="2"/>
      <w:lang w:eastAsia="en-GB"/>
      <w14:ligatures w14:val="standardContextual"/>
    </w:rPr>
  </w:style>
  <w:style w:type="paragraph" w:styleId="TOC8">
    <w:name w:val="toc 8"/>
    <w:basedOn w:val="Normal"/>
    <w:next w:val="Normal"/>
    <w:autoRedefine/>
    <w:uiPriority w:val="39"/>
    <w:unhideWhenUsed/>
    <w:rsid w:val="004F030D"/>
    <w:pPr>
      <w:spacing w:after="100" w:line="259" w:lineRule="auto"/>
      <w:ind w:left="1540"/>
    </w:pPr>
    <w:rPr>
      <w:rFonts w:eastAsiaTheme="minorEastAsia"/>
      <w:kern w:val="2"/>
      <w:lang w:eastAsia="en-GB"/>
      <w14:ligatures w14:val="standardContextual"/>
    </w:rPr>
  </w:style>
  <w:style w:type="paragraph" w:styleId="TOC9">
    <w:name w:val="toc 9"/>
    <w:basedOn w:val="Normal"/>
    <w:next w:val="Normal"/>
    <w:autoRedefine/>
    <w:uiPriority w:val="39"/>
    <w:unhideWhenUsed/>
    <w:rsid w:val="004F030D"/>
    <w:pPr>
      <w:spacing w:after="100" w:line="259" w:lineRule="auto"/>
      <w:ind w:left="1760"/>
    </w:pPr>
    <w:rPr>
      <w:rFonts w:eastAsiaTheme="minorEastAsia"/>
      <w:kern w:val="2"/>
      <w:lang w:eastAsia="en-GB"/>
      <w14:ligatures w14:val="standardContextual"/>
    </w:rPr>
  </w:style>
  <w:style w:type="character" w:styleId="FollowedHyperlink">
    <w:name w:val="FollowedHyperlink"/>
    <w:basedOn w:val="DefaultParagraphFont"/>
    <w:uiPriority w:val="99"/>
    <w:semiHidden/>
    <w:unhideWhenUsed/>
    <w:rsid w:val="00A7222C"/>
    <w:rPr>
      <w:color w:val="954F72" w:themeColor="followedHyperlink"/>
      <w:u w:val="single"/>
    </w:rPr>
  </w:style>
  <w:style w:type="character" w:customStyle="1" w:styleId="StylesSkyBold">
    <w:name w:val="Styles Sky Bold"/>
    <w:basedOn w:val="IDNocharacterstyle"/>
    <w:rsid w:val="00956B51"/>
    <w:rPr>
      <w:b/>
    </w:rPr>
  </w:style>
  <w:style w:type="paragraph" w:customStyle="1" w:styleId="GenericStylesHeading3">
    <w:name w:val="Generic Styles Heading 3"/>
    <w:basedOn w:val="Normal"/>
    <w:rsid w:val="00956B51"/>
    <w:pPr>
      <w:spacing w:before="57" w:after="0" w:line="278" w:lineRule="auto"/>
    </w:pPr>
    <w:rPr>
      <w:rFonts w:ascii="Calibre Light" w:eastAsiaTheme="majorEastAsia" w:hAnsi="Calibre Light" w:cstheme="majorBidi"/>
      <w:b/>
      <w:kern w:val="2"/>
      <w:sz w:val="16"/>
      <w:szCs w:val="24"/>
      <w:lang w:eastAsia="en-GB"/>
      <w14:ligatures w14:val="standardContextual"/>
    </w:rPr>
  </w:style>
  <w:style w:type="paragraph" w:customStyle="1" w:styleId="GenericStylesBodytextC">
    <w:name w:val="Generic Styles Bodytext C"/>
    <w:basedOn w:val="GenericStylesBodytext"/>
    <w:rsid w:val="002C7511"/>
    <w:pPr>
      <w:spacing w:line="278" w:lineRule="auto"/>
      <w:jc w:val="center"/>
    </w:pPr>
    <w:rPr>
      <w:rFonts w:ascii="Calibre Light" w:hAnsi="Calibre Light"/>
      <w:kern w:val="2"/>
      <w:szCs w:val="24"/>
      <w14:ligatures w14:val="standardContextual"/>
    </w:rPr>
  </w:style>
  <w:style w:type="character" w:customStyle="1" w:styleId="Heading1Char">
    <w:name w:val="Heading 1 Char"/>
    <w:basedOn w:val="DefaultParagraphFont"/>
    <w:link w:val="Heading1"/>
    <w:uiPriority w:val="9"/>
    <w:rsid w:val="003424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1A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91A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1A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1A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1A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1A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1A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1A23"/>
    <w:rPr>
      <w:rFonts w:eastAsiaTheme="majorEastAsia" w:cstheme="majorBidi"/>
      <w:color w:val="272727" w:themeColor="text1" w:themeTint="D8"/>
    </w:rPr>
  </w:style>
  <w:style w:type="paragraph" w:styleId="Title">
    <w:name w:val="Title"/>
    <w:basedOn w:val="Normal"/>
    <w:next w:val="Normal"/>
    <w:link w:val="TitleChar"/>
    <w:uiPriority w:val="10"/>
    <w:qFormat/>
    <w:rsid w:val="00691A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1A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1A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1A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1A23"/>
    <w:pPr>
      <w:spacing w:before="160"/>
      <w:jc w:val="center"/>
    </w:pPr>
    <w:rPr>
      <w:i/>
      <w:iCs/>
      <w:color w:val="404040" w:themeColor="text1" w:themeTint="BF"/>
    </w:rPr>
  </w:style>
  <w:style w:type="character" w:customStyle="1" w:styleId="QuoteChar">
    <w:name w:val="Quote Char"/>
    <w:basedOn w:val="DefaultParagraphFont"/>
    <w:link w:val="Quote"/>
    <w:uiPriority w:val="29"/>
    <w:rsid w:val="00691A23"/>
    <w:rPr>
      <w:i/>
      <w:iCs/>
      <w:color w:val="404040" w:themeColor="text1" w:themeTint="BF"/>
    </w:rPr>
  </w:style>
  <w:style w:type="character" w:styleId="IntenseEmphasis">
    <w:name w:val="Intense Emphasis"/>
    <w:basedOn w:val="DefaultParagraphFont"/>
    <w:uiPriority w:val="21"/>
    <w:qFormat/>
    <w:rsid w:val="00691A23"/>
    <w:rPr>
      <w:i/>
      <w:iCs/>
      <w:color w:val="2F5496" w:themeColor="accent1" w:themeShade="BF"/>
    </w:rPr>
  </w:style>
  <w:style w:type="paragraph" w:styleId="IntenseQuote">
    <w:name w:val="Intense Quote"/>
    <w:basedOn w:val="Normal"/>
    <w:next w:val="Normal"/>
    <w:link w:val="IntenseQuoteChar"/>
    <w:uiPriority w:val="30"/>
    <w:qFormat/>
    <w:rsid w:val="00691A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1A23"/>
    <w:rPr>
      <w:i/>
      <w:iCs/>
      <w:color w:val="2F5496" w:themeColor="accent1" w:themeShade="BF"/>
    </w:rPr>
  </w:style>
  <w:style w:type="character" w:styleId="IntenseReference">
    <w:name w:val="Intense Reference"/>
    <w:basedOn w:val="DefaultParagraphFont"/>
    <w:uiPriority w:val="32"/>
    <w:qFormat/>
    <w:rsid w:val="00691A23"/>
    <w:rPr>
      <w:b/>
      <w:bCs/>
      <w:smallCaps/>
      <w:color w:val="2F5496" w:themeColor="accent1" w:themeShade="BF"/>
      <w:spacing w:val="5"/>
    </w:rPr>
  </w:style>
  <w:style w:type="paragraph" w:customStyle="1" w:styleId="MainHeading0">
    <w:name w:val="MainHeading"/>
    <w:basedOn w:val="Normal"/>
    <w:next w:val="Normal"/>
    <w:link w:val="MainHeadingChar"/>
    <w:qFormat/>
    <w:rsid w:val="008D611D"/>
    <w:pPr>
      <w:keepNext/>
      <w:spacing w:before="240" w:after="180"/>
      <w:contextualSpacing/>
      <w:outlineLvl w:val="0"/>
    </w:pPr>
    <w:rPr>
      <w:rFonts w:ascii="Georgia" w:eastAsia="Calibri" w:hAnsi="Georgia" w:cs="Arial"/>
      <w:bCs/>
      <w:color w:val="FD5108"/>
      <w:sz w:val="40"/>
      <w:szCs w:val="40"/>
      <w:lang w:eastAsia="en-GB"/>
    </w:rPr>
  </w:style>
  <w:style w:type="character" w:customStyle="1" w:styleId="MainHeadingChar">
    <w:name w:val="MainHeading Char"/>
    <w:basedOn w:val="DefaultParagraphFont"/>
    <w:link w:val="MainHeading0"/>
    <w:rsid w:val="008D611D"/>
    <w:rPr>
      <w:rFonts w:ascii="Georgia" w:eastAsia="Calibri" w:hAnsi="Georgia" w:cs="Arial"/>
      <w:bCs/>
      <w:color w:val="FD5108"/>
      <w:sz w:val="40"/>
      <w:szCs w:val="40"/>
      <w:lang w:eastAsia="en-GB"/>
    </w:rPr>
  </w:style>
  <w:style w:type="paragraph" w:customStyle="1" w:styleId="Text">
    <w:name w:val="Text"/>
    <w:basedOn w:val="Normal"/>
    <w:link w:val="TextChar"/>
    <w:qFormat/>
    <w:rsid w:val="008D611D"/>
    <w:pPr>
      <w:spacing w:after="240" w:line="240" w:lineRule="atLeast"/>
    </w:pPr>
    <w:rPr>
      <w:rFonts w:ascii="Calibri" w:eastAsia="Calibri" w:hAnsi="Calibri" w:cs="Arial"/>
      <w:color w:val="000000"/>
      <w:szCs w:val="17"/>
      <w:lang w:eastAsia="en-GB"/>
    </w:rPr>
  </w:style>
  <w:style w:type="paragraph" w:customStyle="1" w:styleId="Heading">
    <w:name w:val="Heading"/>
    <w:basedOn w:val="Text"/>
    <w:link w:val="HeadingChar"/>
    <w:qFormat/>
    <w:rsid w:val="008D611D"/>
    <w:pPr>
      <w:keepNext/>
      <w:spacing w:before="240" w:after="0" w:line="300" w:lineRule="exact"/>
      <w:outlineLvl w:val="0"/>
    </w:pPr>
    <w:rPr>
      <w:b/>
      <w:bCs/>
      <w:sz w:val="24"/>
      <w:szCs w:val="36"/>
    </w:rPr>
  </w:style>
  <w:style w:type="character" w:customStyle="1" w:styleId="TextChar">
    <w:name w:val="Text Char"/>
    <w:basedOn w:val="DefaultParagraphFont"/>
    <w:link w:val="Text"/>
    <w:rsid w:val="008D611D"/>
    <w:rPr>
      <w:rFonts w:ascii="Calibri" w:eastAsia="Calibri" w:hAnsi="Calibri" w:cs="Arial"/>
      <w:color w:val="000000"/>
      <w:szCs w:val="17"/>
      <w:lang w:eastAsia="en-GB"/>
    </w:rPr>
  </w:style>
  <w:style w:type="character" w:customStyle="1" w:styleId="HeadingChar">
    <w:name w:val="Heading Char"/>
    <w:basedOn w:val="TextChar"/>
    <w:link w:val="Heading"/>
    <w:rsid w:val="008D611D"/>
    <w:rPr>
      <w:rFonts w:ascii="Calibri" w:eastAsia="Calibri" w:hAnsi="Calibri" w:cs="Arial"/>
      <w:b/>
      <w:bCs/>
      <w:color w:val="000000"/>
      <w:sz w:val="24"/>
      <w:szCs w:val="36"/>
      <w:lang w:eastAsia="en-GB"/>
    </w:rPr>
  </w:style>
  <w:style w:type="paragraph" w:customStyle="1" w:styleId="Bullet">
    <w:name w:val="Bullet"/>
    <w:basedOn w:val="Text"/>
    <w:link w:val="BulletChar"/>
    <w:qFormat/>
    <w:rsid w:val="008D611D"/>
    <w:pPr>
      <w:numPr>
        <w:numId w:val="61"/>
      </w:numPr>
      <w:contextualSpacing/>
    </w:pPr>
  </w:style>
  <w:style w:type="character" w:customStyle="1" w:styleId="BulletChar">
    <w:name w:val="Bullet Char"/>
    <w:basedOn w:val="TextChar"/>
    <w:link w:val="Bullet"/>
    <w:rsid w:val="008D611D"/>
    <w:rPr>
      <w:rFonts w:ascii="Calibri" w:eastAsia="Calibri" w:hAnsi="Calibri" w:cs="Arial"/>
      <w:color w:val="000000"/>
      <w:szCs w:val="17"/>
      <w:lang w:eastAsia="en-GB"/>
    </w:rPr>
  </w:style>
  <w:style w:type="paragraph" w:customStyle="1" w:styleId="SubHeading">
    <w:name w:val="SubHeading"/>
    <w:basedOn w:val="Normal"/>
    <w:link w:val="SubHeadingChar"/>
    <w:qFormat/>
    <w:rsid w:val="008D611D"/>
    <w:pPr>
      <w:keepNext/>
      <w:spacing w:before="240" w:after="40" w:line="240" w:lineRule="auto"/>
      <w:outlineLvl w:val="2"/>
    </w:pPr>
    <w:rPr>
      <w:rFonts w:ascii="Calibri" w:eastAsia="Calibri" w:hAnsi="Calibri" w:cs="Arial"/>
      <w:b/>
      <w:bCs/>
      <w:color w:val="FD5108"/>
      <w:sz w:val="20"/>
      <w:szCs w:val="28"/>
      <w:lang w:eastAsia="en-GB"/>
    </w:rPr>
  </w:style>
  <w:style w:type="character" w:customStyle="1" w:styleId="SubHeadingChar">
    <w:name w:val="SubHeading Char"/>
    <w:basedOn w:val="DefaultParagraphFont"/>
    <w:link w:val="SubHeading"/>
    <w:rsid w:val="008D611D"/>
    <w:rPr>
      <w:rFonts w:ascii="Calibri" w:eastAsia="Calibri" w:hAnsi="Calibri" w:cs="Arial"/>
      <w:b/>
      <w:bCs/>
      <w:color w:val="FD5108"/>
      <w:sz w:val="20"/>
      <w:szCs w:val="28"/>
      <w:lang w:eastAsia="en-GB"/>
    </w:rPr>
  </w:style>
  <w:style w:type="table" w:customStyle="1" w:styleId="TableGridPHPDOCX">
    <w:name w:val="Table Grid PHPDOCX"/>
    <w:uiPriority w:val="59"/>
    <w:semiHidden/>
    <w:unhideWhenUsed/>
    <w:rsid w:val="00692123"/>
    <w:pPr>
      <w:spacing w:after="0" w:line="240" w:lineRule="auto"/>
    </w:pPr>
    <w:rPr>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Text"/>
    <w:basedOn w:val="Normal"/>
    <w:qFormat/>
    <w:rsid w:val="00692123"/>
    <w:pPr>
      <w:spacing w:after="40" w:line="240" w:lineRule="auto"/>
    </w:pPr>
    <w:rPr>
      <w:rFonts w:ascii="Calibri" w:eastAsia="Calibri" w:hAnsi="Calibri" w:cs="Arial"/>
      <w:color w:val="000000"/>
      <w:szCs w:val="17"/>
      <w:lang w:eastAsia="en-GB"/>
    </w:rPr>
  </w:style>
  <w:style w:type="paragraph" w:customStyle="1" w:styleId="TableMainHeader">
    <w:name w:val="TableMainHeader"/>
    <w:basedOn w:val="TableText"/>
    <w:qFormat/>
    <w:rsid w:val="00692123"/>
    <w:pPr>
      <w:keepNext/>
    </w:pPr>
    <w:rPr>
      <w:b/>
      <w:color w:val="FD5108"/>
    </w:rPr>
  </w:style>
  <w:style w:type="paragraph" w:customStyle="1" w:styleId="TableSubHeader">
    <w:name w:val="TableSubHeader"/>
    <w:basedOn w:val="TableText"/>
    <w:qFormat/>
    <w:rsid w:val="00692123"/>
    <w:pPr>
      <w:keepNext/>
    </w:pPr>
    <w:rPr>
      <w:i/>
      <w:color w:val="FD5108"/>
    </w:rPr>
  </w:style>
  <w:style w:type="paragraph" w:customStyle="1" w:styleId="Single">
    <w:name w:val="Single"/>
    <w:basedOn w:val="Text"/>
    <w:link w:val="SingleChar"/>
    <w:qFormat/>
    <w:rsid w:val="00476329"/>
    <w:pPr>
      <w:spacing w:after="0"/>
    </w:pPr>
  </w:style>
  <w:style w:type="character" w:customStyle="1" w:styleId="SingleChar">
    <w:name w:val="Single Char"/>
    <w:basedOn w:val="TextChar"/>
    <w:link w:val="Single"/>
    <w:rsid w:val="00476329"/>
    <w:rPr>
      <w:rFonts w:ascii="Calibri" w:eastAsia="Calibri" w:hAnsi="Calibri" w:cs="Arial"/>
      <w:color w:val="000000"/>
      <w:szCs w:val="17"/>
      <w:lang w:eastAsia="en-GB"/>
    </w:rPr>
  </w:style>
  <w:style w:type="numbering" w:customStyle="1" w:styleId="CurrentList1">
    <w:name w:val="Current List1"/>
    <w:uiPriority w:val="99"/>
    <w:rsid w:val="00646F4F"/>
    <w:pPr>
      <w:numPr>
        <w:numId w:val="106"/>
      </w:numPr>
    </w:pPr>
  </w:style>
  <w:style w:type="paragraph" w:customStyle="1" w:styleId="Pa2">
    <w:name w:val="Pa2"/>
    <w:basedOn w:val="Default"/>
    <w:next w:val="Default"/>
    <w:uiPriority w:val="99"/>
    <w:rsid w:val="00646F4F"/>
    <w:pPr>
      <w:spacing w:line="161" w:lineRule="atLeast"/>
    </w:pPr>
    <w:rPr>
      <w:rFonts w:ascii="Calibre Light" w:hAnsi="Calibre Light" w:cstheme="minorBidi"/>
      <w:color w:val="auto"/>
    </w:rPr>
  </w:style>
  <w:style w:type="paragraph" w:customStyle="1" w:styleId="BeforeBullet">
    <w:name w:val="BeforeBullet"/>
    <w:basedOn w:val="Text"/>
    <w:next w:val="Bullet"/>
    <w:link w:val="BeforeBulletChar"/>
    <w:qFormat/>
    <w:rsid w:val="00841478"/>
    <w:pPr>
      <w:spacing w:after="0" w:line="360" w:lineRule="auto"/>
    </w:pPr>
    <w:rPr>
      <w:rFonts w:ascii="Georgia" w:hAnsi="Georgia" w:cs="Calibri"/>
      <w:sz w:val="20"/>
    </w:rPr>
  </w:style>
  <w:style w:type="character" w:customStyle="1" w:styleId="BeforeBulletChar">
    <w:name w:val="BeforeBullet Char"/>
    <w:basedOn w:val="TextChar"/>
    <w:link w:val="BeforeBullet"/>
    <w:rsid w:val="00841478"/>
    <w:rPr>
      <w:rFonts w:ascii="Georgia" w:eastAsia="Calibri" w:hAnsi="Georgia" w:cs="Calibri"/>
      <w:color w:val="000000"/>
      <w:sz w:val="20"/>
      <w:szCs w:val="17"/>
      <w:lang w:eastAsia="en-GB"/>
    </w:rPr>
  </w:style>
  <w:style w:type="paragraph" w:customStyle="1" w:styleId="AfterBullet">
    <w:name w:val="AfterBullet"/>
    <w:basedOn w:val="Text"/>
    <w:next w:val="Text"/>
    <w:link w:val="AfterBulletChar"/>
    <w:qFormat/>
    <w:rsid w:val="00841478"/>
    <w:pPr>
      <w:spacing w:before="300" w:after="300" w:line="360" w:lineRule="auto"/>
    </w:pPr>
    <w:rPr>
      <w:rFonts w:ascii="Georgia" w:hAnsi="Georgia" w:cs="Calibri"/>
      <w:sz w:val="20"/>
    </w:rPr>
  </w:style>
  <w:style w:type="character" w:customStyle="1" w:styleId="AfterBulletChar">
    <w:name w:val="AfterBullet Char"/>
    <w:basedOn w:val="TextChar"/>
    <w:link w:val="AfterBullet"/>
    <w:rsid w:val="00841478"/>
    <w:rPr>
      <w:rFonts w:ascii="Georgia" w:eastAsia="Calibri" w:hAnsi="Georgia" w:cs="Calibri"/>
      <w:color w:val="000000"/>
      <w:sz w:val="20"/>
      <w:szCs w:val="17"/>
      <w:lang w:eastAsia="en-GB"/>
    </w:rPr>
  </w:style>
  <w:style w:type="paragraph" w:customStyle="1" w:styleId="Address">
    <w:name w:val="Address"/>
    <w:basedOn w:val="Text"/>
    <w:link w:val="AddressChar"/>
    <w:qFormat/>
    <w:rsid w:val="00841478"/>
    <w:pPr>
      <w:keepNext/>
      <w:keepLines/>
      <w:spacing w:after="0" w:line="240" w:lineRule="auto"/>
      <w:contextualSpacing/>
    </w:pPr>
    <w:rPr>
      <w:rFonts w:ascii="Georgia" w:hAnsi="Georgia" w:cs="Calibri"/>
      <w:sz w:val="20"/>
    </w:rPr>
  </w:style>
  <w:style w:type="character" w:customStyle="1" w:styleId="AddressChar">
    <w:name w:val="Address Char"/>
    <w:basedOn w:val="TextChar"/>
    <w:link w:val="Address"/>
    <w:rsid w:val="00841478"/>
    <w:rPr>
      <w:rFonts w:ascii="Georgia" w:eastAsia="Calibri" w:hAnsi="Georgia" w:cs="Calibri"/>
      <w:color w:val="000000"/>
      <w:sz w:val="20"/>
      <w:szCs w:val="17"/>
      <w:lang w:eastAsia="en-GB"/>
    </w:rPr>
  </w:style>
  <w:style w:type="paragraph" w:customStyle="1" w:styleId="Pa6">
    <w:name w:val="Pa6"/>
    <w:basedOn w:val="Default"/>
    <w:next w:val="Default"/>
    <w:uiPriority w:val="99"/>
    <w:rsid w:val="00E46DAC"/>
    <w:pPr>
      <w:spacing w:line="161" w:lineRule="atLeast"/>
    </w:pPr>
    <w:rPr>
      <w:rFonts w:ascii="Calibre Regular" w:hAnsi="Calibre Regular" w:cstheme="minorBidi"/>
      <w:color w:val="auto"/>
      <w14:ligatures w14:val="standardContextual"/>
    </w:rPr>
  </w:style>
  <w:style w:type="paragraph" w:customStyle="1" w:styleId="BetweenBullets">
    <w:name w:val="BetweenBullets"/>
    <w:basedOn w:val="Text"/>
    <w:next w:val="Bullet"/>
    <w:link w:val="BetweenBulletsChar"/>
    <w:qFormat/>
    <w:rsid w:val="00E0417D"/>
    <w:pPr>
      <w:spacing w:before="300" w:after="0" w:line="360" w:lineRule="auto"/>
    </w:pPr>
    <w:rPr>
      <w:rFonts w:ascii="Georgia" w:hAnsi="Georgia" w:cs="Calibri"/>
      <w:sz w:val="20"/>
    </w:rPr>
  </w:style>
  <w:style w:type="character" w:customStyle="1" w:styleId="BetweenBulletsChar">
    <w:name w:val="BetweenBullets Char"/>
    <w:basedOn w:val="TextChar"/>
    <w:link w:val="BetweenBullets"/>
    <w:rsid w:val="00E0417D"/>
    <w:rPr>
      <w:rFonts w:ascii="Georgia" w:eastAsia="Calibri" w:hAnsi="Georgia" w:cs="Calibri"/>
      <w:color w:val="000000"/>
      <w:sz w:val="20"/>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622">
      <w:bodyDiv w:val="1"/>
      <w:marLeft w:val="0"/>
      <w:marRight w:val="0"/>
      <w:marTop w:val="0"/>
      <w:marBottom w:val="0"/>
      <w:divBdr>
        <w:top w:val="none" w:sz="0" w:space="0" w:color="auto"/>
        <w:left w:val="none" w:sz="0" w:space="0" w:color="auto"/>
        <w:bottom w:val="none" w:sz="0" w:space="0" w:color="auto"/>
        <w:right w:val="none" w:sz="0" w:space="0" w:color="auto"/>
      </w:divBdr>
    </w:div>
    <w:div w:id="7144760">
      <w:bodyDiv w:val="1"/>
      <w:marLeft w:val="0"/>
      <w:marRight w:val="0"/>
      <w:marTop w:val="0"/>
      <w:marBottom w:val="0"/>
      <w:divBdr>
        <w:top w:val="none" w:sz="0" w:space="0" w:color="auto"/>
        <w:left w:val="none" w:sz="0" w:space="0" w:color="auto"/>
        <w:bottom w:val="none" w:sz="0" w:space="0" w:color="auto"/>
        <w:right w:val="none" w:sz="0" w:space="0" w:color="auto"/>
      </w:divBdr>
    </w:div>
    <w:div w:id="24597525">
      <w:bodyDiv w:val="1"/>
      <w:marLeft w:val="0"/>
      <w:marRight w:val="0"/>
      <w:marTop w:val="0"/>
      <w:marBottom w:val="0"/>
      <w:divBdr>
        <w:top w:val="none" w:sz="0" w:space="0" w:color="auto"/>
        <w:left w:val="none" w:sz="0" w:space="0" w:color="auto"/>
        <w:bottom w:val="none" w:sz="0" w:space="0" w:color="auto"/>
        <w:right w:val="none" w:sz="0" w:space="0" w:color="auto"/>
      </w:divBdr>
    </w:div>
    <w:div w:id="26025042">
      <w:bodyDiv w:val="1"/>
      <w:marLeft w:val="0"/>
      <w:marRight w:val="0"/>
      <w:marTop w:val="0"/>
      <w:marBottom w:val="0"/>
      <w:divBdr>
        <w:top w:val="none" w:sz="0" w:space="0" w:color="auto"/>
        <w:left w:val="none" w:sz="0" w:space="0" w:color="auto"/>
        <w:bottom w:val="none" w:sz="0" w:space="0" w:color="auto"/>
        <w:right w:val="none" w:sz="0" w:space="0" w:color="auto"/>
      </w:divBdr>
    </w:div>
    <w:div w:id="26686066">
      <w:bodyDiv w:val="1"/>
      <w:marLeft w:val="0"/>
      <w:marRight w:val="0"/>
      <w:marTop w:val="0"/>
      <w:marBottom w:val="0"/>
      <w:divBdr>
        <w:top w:val="none" w:sz="0" w:space="0" w:color="auto"/>
        <w:left w:val="none" w:sz="0" w:space="0" w:color="auto"/>
        <w:bottom w:val="none" w:sz="0" w:space="0" w:color="auto"/>
        <w:right w:val="none" w:sz="0" w:space="0" w:color="auto"/>
      </w:divBdr>
    </w:div>
    <w:div w:id="27803308">
      <w:bodyDiv w:val="1"/>
      <w:marLeft w:val="0"/>
      <w:marRight w:val="0"/>
      <w:marTop w:val="0"/>
      <w:marBottom w:val="0"/>
      <w:divBdr>
        <w:top w:val="none" w:sz="0" w:space="0" w:color="auto"/>
        <w:left w:val="none" w:sz="0" w:space="0" w:color="auto"/>
        <w:bottom w:val="none" w:sz="0" w:space="0" w:color="auto"/>
        <w:right w:val="none" w:sz="0" w:space="0" w:color="auto"/>
      </w:divBdr>
    </w:div>
    <w:div w:id="28726755">
      <w:bodyDiv w:val="1"/>
      <w:marLeft w:val="0"/>
      <w:marRight w:val="0"/>
      <w:marTop w:val="0"/>
      <w:marBottom w:val="0"/>
      <w:divBdr>
        <w:top w:val="none" w:sz="0" w:space="0" w:color="auto"/>
        <w:left w:val="none" w:sz="0" w:space="0" w:color="auto"/>
        <w:bottom w:val="none" w:sz="0" w:space="0" w:color="auto"/>
        <w:right w:val="none" w:sz="0" w:space="0" w:color="auto"/>
      </w:divBdr>
    </w:div>
    <w:div w:id="32312784">
      <w:bodyDiv w:val="1"/>
      <w:marLeft w:val="0"/>
      <w:marRight w:val="0"/>
      <w:marTop w:val="0"/>
      <w:marBottom w:val="0"/>
      <w:divBdr>
        <w:top w:val="none" w:sz="0" w:space="0" w:color="auto"/>
        <w:left w:val="none" w:sz="0" w:space="0" w:color="auto"/>
        <w:bottom w:val="none" w:sz="0" w:space="0" w:color="auto"/>
        <w:right w:val="none" w:sz="0" w:space="0" w:color="auto"/>
      </w:divBdr>
    </w:div>
    <w:div w:id="46540328">
      <w:bodyDiv w:val="1"/>
      <w:marLeft w:val="0"/>
      <w:marRight w:val="0"/>
      <w:marTop w:val="0"/>
      <w:marBottom w:val="0"/>
      <w:divBdr>
        <w:top w:val="none" w:sz="0" w:space="0" w:color="auto"/>
        <w:left w:val="none" w:sz="0" w:space="0" w:color="auto"/>
        <w:bottom w:val="none" w:sz="0" w:space="0" w:color="auto"/>
        <w:right w:val="none" w:sz="0" w:space="0" w:color="auto"/>
      </w:divBdr>
    </w:div>
    <w:div w:id="47072404">
      <w:bodyDiv w:val="1"/>
      <w:marLeft w:val="0"/>
      <w:marRight w:val="0"/>
      <w:marTop w:val="0"/>
      <w:marBottom w:val="0"/>
      <w:divBdr>
        <w:top w:val="none" w:sz="0" w:space="0" w:color="auto"/>
        <w:left w:val="none" w:sz="0" w:space="0" w:color="auto"/>
        <w:bottom w:val="none" w:sz="0" w:space="0" w:color="auto"/>
        <w:right w:val="none" w:sz="0" w:space="0" w:color="auto"/>
      </w:divBdr>
    </w:div>
    <w:div w:id="69619241">
      <w:bodyDiv w:val="1"/>
      <w:marLeft w:val="0"/>
      <w:marRight w:val="0"/>
      <w:marTop w:val="0"/>
      <w:marBottom w:val="0"/>
      <w:divBdr>
        <w:top w:val="none" w:sz="0" w:space="0" w:color="auto"/>
        <w:left w:val="none" w:sz="0" w:space="0" w:color="auto"/>
        <w:bottom w:val="none" w:sz="0" w:space="0" w:color="auto"/>
        <w:right w:val="none" w:sz="0" w:space="0" w:color="auto"/>
      </w:divBdr>
    </w:div>
    <w:div w:id="70548076">
      <w:bodyDiv w:val="1"/>
      <w:marLeft w:val="0"/>
      <w:marRight w:val="0"/>
      <w:marTop w:val="0"/>
      <w:marBottom w:val="0"/>
      <w:divBdr>
        <w:top w:val="none" w:sz="0" w:space="0" w:color="auto"/>
        <w:left w:val="none" w:sz="0" w:space="0" w:color="auto"/>
        <w:bottom w:val="none" w:sz="0" w:space="0" w:color="auto"/>
        <w:right w:val="none" w:sz="0" w:space="0" w:color="auto"/>
      </w:divBdr>
    </w:div>
    <w:div w:id="72553460">
      <w:bodyDiv w:val="1"/>
      <w:marLeft w:val="0"/>
      <w:marRight w:val="0"/>
      <w:marTop w:val="0"/>
      <w:marBottom w:val="0"/>
      <w:divBdr>
        <w:top w:val="none" w:sz="0" w:space="0" w:color="auto"/>
        <w:left w:val="none" w:sz="0" w:space="0" w:color="auto"/>
        <w:bottom w:val="none" w:sz="0" w:space="0" w:color="auto"/>
        <w:right w:val="none" w:sz="0" w:space="0" w:color="auto"/>
      </w:divBdr>
    </w:div>
    <w:div w:id="84150293">
      <w:bodyDiv w:val="1"/>
      <w:marLeft w:val="0"/>
      <w:marRight w:val="0"/>
      <w:marTop w:val="0"/>
      <w:marBottom w:val="0"/>
      <w:divBdr>
        <w:top w:val="none" w:sz="0" w:space="0" w:color="auto"/>
        <w:left w:val="none" w:sz="0" w:space="0" w:color="auto"/>
        <w:bottom w:val="none" w:sz="0" w:space="0" w:color="auto"/>
        <w:right w:val="none" w:sz="0" w:space="0" w:color="auto"/>
      </w:divBdr>
    </w:div>
    <w:div w:id="100537977">
      <w:bodyDiv w:val="1"/>
      <w:marLeft w:val="0"/>
      <w:marRight w:val="0"/>
      <w:marTop w:val="0"/>
      <w:marBottom w:val="0"/>
      <w:divBdr>
        <w:top w:val="none" w:sz="0" w:space="0" w:color="auto"/>
        <w:left w:val="none" w:sz="0" w:space="0" w:color="auto"/>
        <w:bottom w:val="none" w:sz="0" w:space="0" w:color="auto"/>
        <w:right w:val="none" w:sz="0" w:space="0" w:color="auto"/>
      </w:divBdr>
    </w:div>
    <w:div w:id="123625554">
      <w:bodyDiv w:val="1"/>
      <w:marLeft w:val="0"/>
      <w:marRight w:val="0"/>
      <w:marTop w:val="0"/>
      <w:marBottom w:val="0"/>
      <w:divBdr>
        <w:top w:val="none" w:sz="0" w:space="0" w:color="auto"/>
        <w:left w:val="none" w:sz="0" w:space="0" w:color="auto"/>
        <w:bottom w:val="none" w:sz="0" w:space="0" w:color="auto"/>
        <w:right w:val="none" w:sz="0" w:space="0" w:color="auto"/>
      </w:divBdr>
    </w:div>
    <w:div w:id="130171018">
      <w:bodyDiv w:val="1"/>
      <w:marLeft w:val="0"/>
      <w:marRight w:val="0"/>
      <w:marTop w:val="0"/>
      <w:marBottom w:val="0"/>
      <w:divBdr>
        <w:top w:val="none" w:sz="0" w:space="0" w:color="auto"/>
        <w:left w:val="none" w:sz="0" w:space="0" w:color="auto"/>
        <w:bottom w:val="none" w:sz="0" w:space="0" w:color="auto"/>
        <w:right w:val="none" w:sz="0" w:space="0" w:color="auto"/>
      </w:divBdr>
    </w:div>
    <w:div w:id="139350574">
      <w:bodyDiv w:val="1"/>
      <w:marLeft w:val="0"/>
      <w:marRight w:val="0"/>
      <w:marTop w:val="0"/>
      <w:marBottom w:val="0"/>
      <w:divBdr>
        <w:top w:val="none" w:sz="0" w:space="0" w:color="auto"/>
        <w:left w:val="none" w:sz="0" w:space="0" w:color="auto"/>
        <w:bottom w:val="none" w:sz="0" w:space="0" w:color="auto"/>
        <w:right w:val="none" w:sz="0" w:space="0" w:color="auto"/>
      </w:divBdr>
    </w:div>
    <w:div w:id="139883543">
      <w:bodyDiv w:val="1"/>
      <w:marLeft w:val="0"/>
      <w:marRight w:val="0"/>
      <w:marTop w:val="0"/>
      <w:marBottom w:val="0"/>
      <w:divBdr>
        <w:top w:val="none" w:sz="0" w:space="0" w:color="auto"/>
        <w:left w:val="none" w:sz="0" w:space="0" w:color="auto"/>
        <w:bottom w:val="none" w:sz="0" w:space="0" w:color="auto"/>
        <w:right w:val="none" w:sz="0" w:space="0" w:color="auto"/>
      </w:divBdr>
    </w:div>
    <w:div w:id="151802061">
      <w:bodyDiv w:val="1"/>
      <w:marLeft w:val="0"/>
      <w:marRight w:val="0"/>
      <w:marTop w:val="0"/>
      <w:marBottom w:val="0"/>
      <w:divBdr>
        <w:top w:val="none" w:sz="0" w:space="0" w:color="auto"/>
        <w:left w:val="none" w:sz="0" w:space="0" w:color="auto"/>
        <w:bottom w:val="none" w:sz="0" w:space="0" w:color="auto"/>
        <w:right w:val="none" w:sz="0" w:space="0" w:color="auto"/>
      </w:divBdr>
    </w:div>
    <w:div w:id="154490416">
      <w:bodyDiv w:val="1"/>
      <w:marLeft w:val="0"/>
      <w:marRight w:val="0"/>
      <w:marTop w:val="0"/>
      <w:marBottom w:val="0"/>
      <w:divBdr>
        <w:top w:val="none" w:sz="0" w:space="0" w:color="auto"/>
        <w:left w:val="none" w:sz="0" w:space="0" w:color="auto"/>
        <w:bottom w:val="none" w:sz="0" w:space="0" w:color="auto"/>
        <w:right w:val="none" w:sz="0" w:space="0" w:color="auto"/>
      </w:divBdr>
    </w:div>
    <w:div w:id="157693438">
      <w:bodyDiv w:val="1"/>
      <w:marLeft w:val="0"/>
      <w:marRight w:val="0"/>
      <w:marTop w:val="0"/>
      <w:marBottom w:val="0"/>
      <w:divBdr>
        <w:top w:val="none" w:sz="0" w:space="0" w:color="auto"/>
        <w:left w:val="none" w:sz="0" w:space="0" w:color="auto"/>
        <w:bottom w:val="none" w:sz="0" w:space="0" w:color="auto"/>
        <w:right w:val="none" w:sz="0" w:space="0" w:color="auto"/>
      </w:divBdr>
    </w:div>
    <w:div w:id="161481088">
      <w:bodyDiv w:val="1"/>
      <w:marLeft w:val="0"/>
      <w:marRight w:val="0"/>
      <w:marTop w:val="0"/>
      <w:marBottom w:val="0"/>
      <w:divBdr>
        <w:top w:val="none" w:sz="0" w:space="0" w:color="auto"/>
        <w:left w:val="none" w:sz="0" w:space="0" w:color="auto"/>
        <w:bottom w:val="none" w:sz="0" w:space="0" w:color="auto"/>
        <w:right w:val="none" w:sz="0" w:space="0" w:color="auto"/>
      </w:divBdr>
    </w:div>
    <w:div w:id="168787919">
      <w:bodyDiv w:val="1"/>
      <w:marLeft w:val="0"/>
      <w:marRight w:val="0"/>
      <w:marTop w:val="0"/>
      <w:marBottom w:val="0"/>
      <w:divBdr>
        <w:top w:val="none" w:sz="0" w:space="0" w:color="auto"/>
        <w:left w:val="none" w:sz="0" w:space="0" w:color="auto"/>
        <w:bottom w:val="none" w:sz="0" w:space="0" w:color="auto"/>
        <w:right w:val="none" w:sz="0" w:space="0" w:color="auto"/>
      </w:divBdr>
    </w:div>
    <w:div w:id="169221307">
      <w:bodyDiv w:val="1"/>
      <w:marLeft w:val="0"/>
      <w:marRight w:val="0"/>
      <w:marTop w:val="0"/>
      <w:marBottom w:val="0"/>
      <w:divBdr>
        <w:top w:val="none" w:sz="0" w:space="0" w:color="auto"/>
        <w:left w:val="none" w:sz="0" w:space="0" w:color="auto"/>
        <w:bottom w:val="none" w:sz="0" w:space="0" w:color="auto"/>
        <w:right w:val="none" w:sz="0" w:space="0" w:color="auto"/>
      </w:divBdr>
    </w:div>
    <w:div w:id="169758444">
      <w:bodyDiv w:val="1"/>
      <w:marLeft w:val="0"/>
      <w:marRight w:val="0"/>
      <w:marTop w:val="0"/>
      <w:marBottom w:val="0"/>
      <w:divBdr>
        <w:top w:val="none" w:sz="0" w:space="0" w:color="auto"/>
        <w:left w:val="none" w:sz="0" w:space="0" w:color="auto"/>
        <w:bottom w:val="none" w:sz="0" w:space="0" w:color="auto"/>
        <w:right w:val="none" w:sz="0" w:space="0" w:color="auto"/>
      </w:divBdr>
    </w:div>
    <w:div w:id="174391717">
      <w:bodyDiv w:val="1"/>
      <w:marLeft w:val="0"/>
      <w:marRight w:val="0"/>
      <w:marTop w:val="0"/>
      <w:marBottom w:val="0"/>
      <w:divBdr>
        <w:top w:val="none" w:sz="0" w:space="0" w:color="auto"/>
        <w:left w:val="none" w:sz="0" w:space="0" w:color="auto"/>
        <w:bottom w:val="none" w:sz="0" w:space="0" w:color="auto"/>
        <w:right w:val="none" w:sz="0" w:space="0" w:color="auto"/>
      </w:divBdr>
    </w:div>
    <w:div w:id="176889386">
      <w:bodyDiv w:val="1"/>
      <w:marLeft w:val="0"/>
      <w:marRight w:val="0"/>
      <w:marTop w:val="0"/>
      <w:marBottom w:val="0"/>
      <w:divBdr>
        <w:top w:val="none" w:sz="0" w:space="0" w:color="auto"/>
        <w:left w:val="none" w:sz="0" w:space="0" w:color="auto"/>
        <w:bottom w:val="none" w:sz="0" w:space="0" w:color="auto"/>
        <w:right w:val="none" w:sz="0" w:space="0" w:color="auto"/>
      </w:divBdr>
    </w:div>
    <w:div w:id="178392254">
      <w:bodyDiv w:val="1"/>
      <w:marLeft w:val="0"/>
      <w:marRight w:val="0"/>
      <w:marTop w:val="0"/>
      <w:marBottom w:val="0"/>
      <w:divBdr>
        <w:top w:val="none" w:sz="0" w:space="0" w:color="auto"/>
        <w:left w:val="none" w:sz="0" w:space="0" w:color="auto"/>
        <w:bottom w:val="none" w:sz="0" w:space="0" w:color="auto"/>
        <w:right w:val="none" w:sz="0" w:space="0" w:color="auto"/>
      </w:divBdr>
    </w:div>
    <w:div w:id="184100645">
      <w:bodyDiv w:val="1"/>
      <w:marLeft w:val="0"/>
      <w:marRight w:val="0"/>
      <w:marTop w:val="0"/>
      <w:marBottom w:val="0"/>
      <w:divBdr>
        <w:top w:val="none" w:sz="0" w:space="0" w:color="auto"/>
        <w:left w:val="none" w:sz="0" w:space="0" w:color="auto"/>
        <w:bottom w:val="none" w:sz="0" w:space="0" w:color="auto"/>
        <w:right w:val="none" w:sz="0" w:space="0" w:color="auto"/>
      </w:divBdr>
    </w:div>
    <w:div w:id="190999399">
      <w:bodyDiv w:val="1"/>
      <w:marLeft w:val="0"/>
      <w:marRight w:val="0"/>
      <w:marTop w:val="0"/>
      <w:marBottom w:val="0"/>
      <w:divBdr>
        <w:top w:val="none" w:sz="0" w:space="0" w:color="auto"/>
        <w:left w:val="none" w:sz="0" w:space="0" w:color="auto"/>
        <w:bottom w:val="none" w:sz="0" w:space="0" w:color="auto"/>
        <w:right w:val="none" w:sz="0" w:space="0" w:color="auto"/>
      </w:divBdr>
    </w:div>
    <w:div w:id="204098725">
      <w:bodyDiv w:val="1"/>
      <w:marLeft w:val="0"/>
      <w:marRight w:val="0"/>
      <w:marTop w:val="0"/>
      <w:marBottom w:val="0"/>
      <w:divBdr>
        <w:top w:val="none" w:sz="0" w:space="0" w:color="auto"/>
        <w:left w:val="none" w:sz="0" w:space="0" w:color="auto"/>
        <w:bottom w:val="none" w:sz="0" w:space="0" w:color="auto"/>
        <w:right w:val="none" w:sz="0" w:space="0" w:color="auto"/>
      </w:divBdr>
    </w:div>
    <w:div w:id="205606970">
      <w:bodyDiv w:val="1"/>
      <w:marLeft w:val="0"/>
      <w:marRight w:val="0"/>
      <w:marTop w:val="0"/>
      <w:marBottom w:val="0"/>
      <w:divBdr>
        <w:top w:val="none" w:sz="0" w:space="0" w:color="auto"/>
        <w:left w:val="none" w:sz="0" w:space="0" w:color="auto"/>
        <w:bottom w:val="none" w:sz="0" w:space="0" w:color="auto"/>
        <w:right w:val="none" w:sz="0" w:space="0" w:color="auto"/>
      </w:divBdr>
    </w:div>
    <w:div w:id="210075068">
      <w:bodyDiv w:val="1"/>
      <w:marLeft w:val="0"/>
      <w:marRight w:val="0"/>
      <w:marTop w:val="0"/>
      <w:marBottom w:val="0"/>
      <w:divBdr>
        <w:top w:val="none" w:sz="0" w:space="0" w:color="auto"/>
        <w:left w:val="none" w:sz="0" w:space="0" w:color="auto"/>
        <w:bottom w:val="none" w:sz="0" w:space="0" w:color="auto"/>
        <w:right w:val="none" w:sz="0" w:space="0" w:color="auto"/>
      </w:divBdr>
    </w:div>
    <w:div w:id="218058641">
      <w:bodyDiv w:val="1"/>
      <w:marLeft w:val="0"/>
      <w:marRight w:val="0"/>
      <w:marTop w:val="0"/>
      <w:marBottom w:val="0"/>
      <w:divBdr>
        <w:top w:val="none" w:sz="0" w:space="0" w:color="auto"/>
        <w:left w:val="none" w:sz="0" w:space="0" w:color="auto"/>
        <w:bottom w:val="none" w:sz="0" w:space="0" w:color="auto"/>
        <w:right w:val="none" w:sz="0" w:space="0" w:color="auto"/>
      </w:divBdr>
    </w:div>
    <w:div w:id="229120220">
      <w:bodyDiv w:val="1"/>
      <w:marLeft w:val="0"/>
      <w:marRight w:val="0"/>
      <w:marTop w:val="0"/>
      <w:marBottom w:val="0"/>
      <w:divBdr>
        <w:top w:val="none" w:sz="0" w:space="0" w:color="auto"/>
        <w:left w:val="none" w:sz="0" w:space="0" w:color="auto"/>
        <w:bottom w:val="none" w:sz="0" w:space="0" w:color="auto"/>
        <w:right w:val="none" w:sz="0" w:space="0" w:color="auto"/>
      </w:divBdr>
    </w:div>
    <w:div w:id="230388927">
      <w:bodyDiv w:val="1"/>
      <w:marLeft w:val="0"/>
      <w:marRight w:val="0"/>
      <w:marTop w:val="0"/>
      <w:marBottom w:val="0"/>
      <w:divBdr>
        <w:top w:val="none" w:sz="0" w:space="0" w:color="auto"/>
        <w:left w:val="none" w:sz="0" w:space="0" w:color="auto"/>
        <w:bottom w:val="none" w:sz="0" w:space="0" w:color="auto"/>
        <w:right w:val="none" w:sz="0" w:space="0" w:color="auto"/>
      </w:divBdr>
    </w:div>
    <w:div w:id="236864850">
      <w:bodyDiv w:val="1"/>
      <w:marLeft w:val="0"/>
      <w:marRight w:val="0"/>
      <w:marTop w:val="0"/>
      <w:marBottom w:val="0"/>
      <w:divBdr>
        <w:top w:val="none" w:sz="0" w:space="0" w:color="auto"/>
        <w:left w:val="none" w:sz="0" w:space="0" w:color="auto"/>
        <w:bottom w:val="none" w:sz="0" w:space="0" w:color="auto"/>
        <w:right w:val="none" w:sz="0" w:space="0" w:color="auto"/>
      </w:divBdr>
    </w:div>
    <w:div w:id="241724212">
      <w:bodyDiv w:val="1"/>
      <w:marLeft w:val="0"/>
      <w:marRight w:val="0"/>
      <w:marTop w:val="0"/>
      <w:marBottom w:val="0"/>
      <w:divBdr>
        <w:top w:val="none" w:sz="0" w:space="0" w:color="auto"/>
        <w:left w:val="none" w:sz="0" w:space="0" w:color="auto"/>
        <w:bottom w:val="none" w:sz="0" w:space="0" w:color="auto"/>
        <w:right w:val="none" w:sz="0" w:space="0" w:color="auto"/>
      </w:divBdr>
    </w:div>
    <w:div w:id="242029105">
      <w:bodyDiv w:val="1"/>
      <w:marLeft w:val="0"/>
      <w:marRight w:val="0"/>
      <w:marTop w:val="0"/>
      <w:marBottom w:val="0"/>
      <w:divBdr>
        <w:top w:val="none" w:sz="0" w:space="0" w:color="auto"/>
        <w:left w:val="none" w:sz="0" w:space="0" w:color="auto"/>
        <w:bottom w:val="none" w:sz="0" w:space="0" w:color="auto"/>
        <w:right w:val="none" w:sz="0" w:space="0" w:color="auto"/>
      </w:divBdr>
    </w:div>
    <w:div w:id="244146849">
      <w:bodyDiv w:val="1"/>
      <w:marLeft w:val="0"/>
      <w:marRight w:val="0"/>
      <w:marTop w:val="0"/>
      <w:marBottom w:val="0"/>
      <w:divBdr>
        <w:top w:val="none" w:sz="0" w:space="0" w:color="auto"/>
        <w:left w:val="none" w:sz="0" w:space="0" w:color="auto"/>
        <w:bottom w:val="none" w:sz="0" w:space="0" w:color="auto"/>
        <w:right w:val="none" w:sz="0" w:space="0" w:color="auto"/>
      </w:divBdr>
    </w:div>
    <w:div w:id="248195130">
      <w:bodyDiv w:val="1"/>
      <w:marLeft w:val="0"/>
      <w:marRight w:val="0"/>
      <w:marTop w:val="0"/>
      <w:marBottom w:val="0"/>
      <w:divBdr>
        <w:top w:val="none" w:sz="0" w:space="0" w:color="auto"/>
        <w:left w:val="none" w:sz="0" w:space="0" w:color="auto"/>
        <w:bottom w:val="none" w:sz="0" w:space="0" w:color="auto"/>
        <w:right w:val="none" w:sz="0" w:space="0" w:color="auto"/>
      </w:divBdr>
    </w:div>
    <w:div w:id="252011862">
      <w:bodyDiv w:val="1"/>
      <w:marLeft w:val="0"/>
      <w:marRight w:val="0"/>
      <w:marTop w:val="0"/>
      <w:marBottom w:val="0"/>
      <w:divBdr>
        <w:top w:val="none" w:sz="0" w:space="0" w:color="auto"/>
        <w:left w:val="none" w:sz="0" w:space="0" w:color="auto"/>
        <w:bottom w:val="none" w:sz="0" w:space="0" w:color="auto"/>
        <w:right w:val="none" w:sz="0" w:space="0" w:color="auto"/>
      </w:divBdr>
    </w:div>
    <w:div w:id="255797104">
      <w:bodyDiv w:val="1"/>
      <w:marLeft w:val="0"/>
      <w:marRight w:val="0"/>
      <w:marTop w:val="0"/>
      <w:marBottom w:val="0"/>
      <w:divBdr>
        <w:top w:val="none" w:sz="0" w:space="0" w:color="auto"/>
        <w:left w:val="none" w:sz="0" w:space="0" w:color="auto"/>
        <w:bottom w:val="none" w:sz="0" w:space="0" w:color="auto"/>
        <w:right w:val="none" w:sz="0" w:space="0" w:color="auto"/>
      </w:divBdr>
    </w:div>
    <w:div w:id="257955797">
      <w:bodyDiv w:val="1"/>
      <w:marLeft w:val="0"/>
      <w:marRight w:val="0"/>
      <w:marTop w:val="0"/>
      <w:marBottom w:val="0"/>
      <w:divBdr>
        <w:top w:val="none" w:sz="0" w:space="0" w:color="auto"/>
        <w:left w:val="none" w:sz="0" w:space="0" w:color="auto"/>
        <w:bottom w:val="none" w:sz="0" w:space="0" w:color="auto"/>
        <w:right w:val="none" w:sz="0" w:space="0" w:color="auto"/>
      </w:divBdr>
    </w:div>
    <w:div w:id="260603763">
      <w:bodyDiv w:val="1"/>
      <w:marLeft w:val="0"/>
      <w:marRight w:val="0"/>
      <w:marTop w:val="0"/>
      <w:marBottom w:val="0"/>
      <w:divBdr>
        <w:top w:val="none" w:sz="0" w:space="0" w:color="auto"/>
        <w:left w:val="none" w:sz="0" w:space="0" w:color="auto"/>
        <w:bottom w:val="none" w:sz="0" w:space="0" w:color="auto"/>
        <w:right w:val="none" w:sz="0" w:space="0" w:color="auto"/>
      </w:divBdr>
    </w:div>
    <w:div w:id="262884550">
      <w:bodyDiv w:val="1"/>
      <w:marLeft w:val="0"/>
      <w:marRight w:val="0"/>
      <w:marTop w:val="0"/>
      <w:marBottom w:val="0"/>
      <w:divBdr>
        <w:top w:val="none" w:sz="0" w:space="0" w:color="auto"/>
        <w:left w:val="none" w:sz="0" w:space="0" w:color="auto"/>
        <w:bottom w:val="none" w:sz="0" w:space="0" w:color="auto"/>
        <w:right w:val="none" w:sz="0" w:space="0" w:color="auto"/>
      </w:divBdr>
    </w:div>
    <w:div w:id="264047114">
      <w:bodyDiv w:val="1"/>
      <w:marLeft w:val="0"/>
      <w:marRight w:val="0"/>
      <w:marTop w:val="0"/>
      <w:marBottom w:val="0"/>
      <w:divBdr>
        <w:top w:val="none" w:sz="0" w:space="0" w:color="auto"/>
        <w:left w:val="none" w:sz="0" w:space="0" w:color="auto"/>
        <w:bottom w:val="none" w:sz="0" w:space="0" w:color="auto"/>
        <w:right w:val="none" w:sz="0" w:space="0" w:color="auto"/>
      </w:divBdr>
    </w:div>
    <w:div w:id="264925966">
      <w:bodyDiv w:val="1"/>
      <w:marLeft w:val="0"/>
      <w:marRight w:val="0"/>
      <w:marTop w:val="0"/>
      <w:marBottom w:val="0"/>
      <w:divBdr>
        <w:top w:val="none" w:sz="0" w:space="0" w:color="auto"/>
        <w:left w:val="none" w:sz="0" w:space="0" w:color="auto"/>
        <w:bottom w:val="none" w:sz="0" w:space="0" w:color="auto"/>
        <w:right w:val="none" w:sz="0" w:space="0" w:color="auto"/>
      </w:divBdr>
    </w:div>
    <w:div w:id="273827544">
      <w:bodyDiv w:val="1"/>
      <w:marLeft w:val="0"/>
      <w:marRight w:val="0"/>
      <w:marTop w:val="0"/>
      <w:marBottom w:val="0"/>
      <w:divBdr>
        <w:top w:val="none" w:sz="0" w:space="0" w:color="auto"/>
        <w:left w:val="none" w:sz="0" w:space="0" w:color="auto"/>
        <w:bottom w:val="none" w:sz="0" w:space="0" w:color="auto"/>
        <w:right w:val="none" w:sz="0" w:space="0" w:color="auto"/>
      </w:divBdr>
    </w:div>
    <w:div w:id="283660148">
      <w:bodyDiv w:val="1"/>
      <w:marLeft w:val="0"/>
      <w:marRight w:val="0"/>
      <w:marTop w:val="0"/>
      <w:marBottom w:val="0"/>
      <w:divBdr>
        <w:top w:val="none" w:sz="0" w:space="0" w:color="auto"/>
        <w:left w:val="none" w:sz="0" w:space="0" w:color="auto"/>
        <w:bottom w:val="none" w:sz="0" w:space="0" w:color="auto"/>
        <w:right w:val="none" w:sz="0" w:space="0" w:color="auto"/>
      </w:divBdr>
    </w:div>
    <w:div w:id="296255339">
      <w:bodyDiv w:val="1"/>
      <w:marLeft w:val="0"/>
      <w:marRight w:val="0"/>
      <w:marTop w:val="0"/>
      <w:marBottom w:val="0"/>
      <w:divBdr>
        <w:top w:val="none" w:sz="0" w:space="0" w:color="auto"/>
        <w:left w:val="none" w:sz="0" w:space="0" w:color="auto"/>
        <w:bottom w:val="none" w:sz="0" w:space="0" w:color="auto"/>
        <w:right w:val="none" w:sz="0" w:space="0" w:color="auto"/>
      </w:divBdr>
    </w:div>
    <w:div w:id="311760039">
      <w:bodyDiv w:val="1"/>
      <w:marLeft w:val="0"/>
      <w:marRight w:val="0"/>
      <w:marTop w:val="0"/>
      <w:marBottom w:val="0"/>
      <w:divBdr>
        <w:top w:val="none" w:sz="0" w:space="0" w:color="auto"/>
        <w:left w:val="none" w:sz="0" w:space="0" w:color="auto"/>
        <w:bottom w:val="none" w:sz="0" w:space="0" w:color="auto"/>
        <w:right w:val="none" w:sz="0" w:space="0" w:color="auto"/>
      </w:divBdr>
    </w:div>
    <w:div w:id="311914478">
      <w:bodyDiv w:val="1"/>
      <w:marLeft w:val="0"/>
      <w:marRight w:val="0"/>
      <w:marTop w:val="0"/>
      <w:marBottom w:val="0"/>
      <w:divBdr>
        <w:top w:val="none" w:sz="0" w:space="0" w:color="auto"/>
        <w:left w:val="none" w:sz="0" w:space="0" w:color="auto"/>
        <w:bottom w:val="none" w:sz="0" w:space="0" w:color="auto"/>
        <w:right w:val="none" w:sz="0" w:space="0" w:color="auto"/>
      </w:divBdr>
    </w:div>
    <w:div w:id="322511814">
      <w:bodyDiv w:val="1"/>
      <w:marLeft w:val="0"/>
      <w:marRight w:val="0"/>
      <w:marTop w:val="0"/>
      <w:marBottom w:val="0"/>
      <w:divBdr>
        <w:top w:val="none" w:sz="0" w:space="0" w:color="auto"/>
        <w:left w:val="none" w:sz="0" w:space="0" w:color="auto"/>
        <w:bottom w:val="none" w:sz="0" w:space="0" w:color="auto"/>
        <w:right w:val="none" w:sz="0" w:space="0" w:color="auto"/>
      </w:divBdr>
    </w:div>
    <w:div w:id="332530810">
      <w:bodyDiv w:val="1"/>
      <w:marLeft w:val="0"/>
      <w:marRight w:val="0"/>
      <w:marTop w:val="0"/>
      <w:marBottom w:val="0"/>
      <w:divBdr>
        <w:top w:val="none" w:sz="0" w:space="0" w:color="auto"/>
        <w:left w:val="none" w:sz="0" w:space="0" w:color="auto"/>
        <w:bottom w:val="none" w:sz="0" w:space="0" w:color="auto"/>
        <w:right w:val="none" w:sz="0" w:space="0" w:color="auto"/>
      </w:divBdr>
    </w:div>
    <w:div w:id="339624425">
      <w:bodyDiv w:val="1"/>
      <w:marLeft w:val="0"/>
      <w:marRight w:val="0"/>
      <w:marTop w:val="0"/>
      <w:marBottom w:val="0"/>
      <w:divBdr>
        <w:top w:val="none" w:sz="0" w:space="0" w:color="auto"/>
        <w:left w:val="none" w:sz="0" w:space="0" w:color="auto"/>
        <w:bottom w:val="none" w:sz="0" w:space="0" w:color="auto"/>
        <w:right w:val="none" w:sz="0" w:space="0" w:color="auto"/>
      </w:divBdr>
    </w:div>
    <w:div w:id="342703704">
      <w:bodyDiv w:val="1"/>
      <w:marLeft w:val="0"/>
      <w:marRight w:val="0"/>
      <w:marTop w:val="0"/>
      <w:marBottom w:val="0"/>
      <w:divBdr>
        <w:top w:val="none" w:sz="0" w:space="0" w:color="auto"/>
        <w:left w:val="none" w:sz="0" w:space="0" w:color="auto"/>
        <w:bottom w:val="none" w:sz="0" w:space="0" w:color="auto"/>
        <w:right w:val="none" w:sz="0" w:space="0" w:color="auto"/>
      </w:divBdr>
    </w:div>
    <w:div w:id="352345352">
      <w:bodyDiv w:val="1"/>
      <w:marLeft w:val="0"/>
      <w:marRight w:val="0"/>
      <w:marTop w:val="0"/>
      <w:marBottom w:val="0"/>
      <w:divBdr>
        <w:top w:val="none" w:sz="0" w:space="0" w:color="auto"/>
        <w:left w:val="none" w:sz="0" w:space="0" w:color="auto"/>
        <w:bottom w:val="none" w:sz="0" w:space="0" w:color="auto"/>
        <w:right w:val="none" w:sz="0" w:space="0" w:color="auto"/>
      </w:divBdr>
    </w:div>
    <w:div w:id="354499614">
      <w:bodyDiv w:val="1"/>
      <w:marLeft w:val="0"/>
      <w:marRight w:val="0"/>
      <w:marTop w:val="0"/>
      <w:marBottom w:val="0"/>
      <w:divBdr>
        <w:top w:val="none" w:sz="0" w:space="0" w:color="auto"/>
        <w:left w:val="none" w:sz="0" w:space="0" w:color="auto"/>
        <w:bottom w:val="none" w:sz="0" w:space="0" w:color="auto"/>
        <w:right w:val="none" w:sz="0" w:space="0" w:color="auto"/>
      </w:divBdr>
    </w:div>
    <w:div w:id="356197078">
      <w:bodyDiv w:val="1"/>
      <w:marLeft w:val="0"/>
      <w:marRight w:val="0"/>
      <w:marTop w:val="0"/>
      <w:marBottom w:val="0"/>
      <w:divBdr>
        <w:top w:val="none" w:sz="0" w:space="0" w:color="auto"/>
        <w:left w:val="none" w:sz="0" w:space="0" w:color="auto"/>
        <w:bottom w:val="none" w:sz="0" w:space="0" w:color="auto"/>
        <w:right w:val="none" w:sz="0" w:space="0" w:color="auto"/>
      </w:divBdr>
    </w:div>
    <w:div w:id="357778706">
      <w:bodyDiv w:val="1"/>
      <w:marLeft w:val="0"/>
      <w:marRight w:val="0"/>
      <w:marTop w:val="0"/>
      <w:marBottom w:val="0"/>
      <w:divBdr>
        <w:top w:val="none" w:sz="0" w:space="0" w:color="auto"/>
        <w:left w:val="none" w:sz="0" w:space="0" w:color="auto"/>
        <w:bottom w:val="none" w:sz="0" w:space="0" w:color="auto"/>
        <w:right w:val="none" w:sz="0" w:space="0" w:color="auto"/>
      </w:divBdr>
    </w:div>
    <w:div w:id="364141065">
      <w:bodyDiv w:val="1"/>
      <w:marLeft w:val="0"/>
      <w:marRight w:val="0"/>
      <w:marTop w:val="0"/>
      <w:marBottom w:val="0"/>
      <w:divBdr>
        <w:top w:val="none" w:sz="0" w:space="0" w:color="auto"/>
        <w:left w:val="none" w:sz="0" w:space="0" w:color="auto"/>
        <w:bottom w:val="none" w:sz="0" w:space="0" w:color="auto"/>
        <w:right w:val="none" w:sz="0" w:space="0" w:color="auto"/>
      </w:divBdr>
    </w:div>
    <w:div w:id="366413304">
      <w:bodyDiv w:val="1"/>
      <w:marLeft w:val="0"/>
      <w:marRight w:val="0"/>
      <w:marTop w:val="0"/>
      <w:marBottom w:val="0"/>
      <w:divBdr>
        <w:top w:val="none" w:sz="0" w:space="0" w:color="auto"/>
        <w:left w:val="none" w:sz="0" w:space="0" w:color="auto"/>
        <w:bottom w:val="none" w:sz="0" w:space="0" w:color="auto"/>
        <w:right w:val="none" w:sz="0" w:space="0" w:color="auto"/>
      </w:divBdr>
    </w:div>
    <w:div w:id="369887341">
      <w:bodyDiv w:val="1"/>
      <w:marLeft w:val="0"/>
      <w:marRight w:val="0"/>
      <w:marTop w:val="0"/>
      <w:marBottom w:val="0"/>
      <w:divBdr>
        <w:top w:val="none" w:sz="0" w:space="0" w:color="auto"/>
        <w:left w:val="none" w:sz="0" w:space="0" w:color="auto"/>
        <w:bottom w:val="none" w:sz="0" w:space="0" w:color="auto"/>
        <w:right w:val="none" w:sz="0" w:space="0" w:color="auto"/>
      </w:divBdr>
    </w:div>
    <w:div w:id="379551341">
      <w:bodyDiv w:val="1"/>
      <w:marLeft w:val="0"/>
      <w:marRight w:val="0"/>
      <w:marTop w:val="0"/>
      <w:marBottom w:val="0"/>
      <w:divBdr>
        <w:top w:val="none" w:sz="0" w:space="0" w:color="auto"/>
        <w:left w:val="none" w:sz="0" w:space="0" w:color="auto"/>
        <w:bottom w:val="none" w:sz="0" w:space="0" w:color="auto"/>
        <w:right w:val="none" w:sz="0" w:space="0" w:color="auto"/>
      </w:divBdr>
    </w:div>
    <w:div w:id="379599557">
      <w:bodyDiv w:val="1"/>
      <w:marLeft w:val="0"/>
      <w:marRight w:val="0"/>
      <w:marTop w:val="0"/>
      <w:marBottom w:val="0"/>
      <w:divBdr>
        <w:top w:val="none" w:sz="0" w:space="0" w:color="auto"/>
        <w:left w:val="none" w:sz="0" w:space="0" w:color="auto"/>
        <w:bottom w:val="none" w:sz="0" w:space="0" w:color="auto"/>
        <w:right w:val="none" w:sz="0" w:space="0" w:color="auto"/>
      </w:divBdr>
    </w:div>
    <w:div w:id="380982082">
      <w:bodyDiv w:val="1"/>
      <w:marLeft w:val="0"/>
      <w:marRight w:val="0"/>
      <w:marTop w:val="0"/>
      <w:marBottom w:val="0"/>
      <w:divBdr>
        <w:top w:val="none" w:sz="0" w:space="0" w:color="auto"/>
        <w:left w:val="none" w:sz="0" w:space="0" w:color="auto"/>
        <w:bottom w:val="none" w:sz="0" w:space="0" w:color="auto"/>
        <w:right w:val="none" w:sz="0" w:space="0" w:color="auto"/>
      </w:divBdr>
    </w:div>
    <w:div w:id="393089971">
      <w:bodyDiv w:val="1"/>
      <w:marLeft w:val="0"/>
      <w:marRight w:val="0"/>
      <w:marTop w:val="0"/>
      <w:marBottom w:val="0"/>
      <w:divBdr>
        <w:top w:val="none" w:sz="0" w:space="0" w:color="auto"/>
        <w:left w:val="none" w:sz="0" w:space="0" w:color="auto"/>
        <w:bottom w:val="none" w:sz="0" w:space="0" w:color="auto"/>
        <w:right w:val="none" w:sz="0" w:space="0" w:color="auto"/>
      </w:divBdr>
    </w:div>
    <w:div w:id="396712587">
      <w:bodyDiv w:val="1"/>
      <w:marLeft w:val="0"/>
      <w:marRight w:val="0"/>
      <w:marTop w:val="0"/>
      <w:marBottom w:val="0"/>
      <w:divBdr>
        <w:top w:val="none" w:sz="0" w:space="0" w:color="auto"/>
        <w:left w:val="none" w:sz="0" w:space="0" w:color="auto"/>
        <w:bottom w:val="none" w:sz="0" w:space="0" w:color="auto"/>
        <w:right w:val="none" w:sz="0" w:space="0" w:color="auto"/>
      </w:divBdr>
    </w:div>
    <w:div w:id="397897215">
      <w:bodyDiv w:val="1"/>
      <w:marLeft w:val="0"/>
      <w:marRight w:val="0"/>
      <w:marTop w:val="0"/>
      <w:marBottom w:val="0"/>
      <w:divBdr>
        <w:top w:val="none" w:sz="0" w:space="0" w:color="auto"/>
        <w:left w:val="none" w:sz="0" w:space="0" w:color="auto"/>
        <w:bottom w:val="none" w:sz="0" w:space="0" w:color="auto"/>
        <w:right w:val="none" w:sz="0" w:space="0" w:color="auto"/>
      </w:divBdr>
    </w:div>
    <w:div w:id="401607919">
      <w:bodyDiv w:val="1"/>
      <w:marLeft w:val="0"/>
      <w:marRight w:val="0"/>
      <w:marTop w:val="0"/>
      <w:marBottom w:val="0"/>
      <w:divBdr>
        <w:top w:val="none" w:sz="0" w:space="0" w:color="auto"/>
        <w:left w:val="none" w:sz="0" w:space="0" w:color="auto"/>
        <w:bottom w:val="none" w:sz="0" w:space="0" w:color="auto"/>
        <w:right w:val="none" w:sz="0" w:space="0" w:color="auto"/>
      </w:divBdr>
    </w:div>
    <w:div w:id="405104193">
      <w:bodyDiv w:val="1"/>
      <w:marLeft w:val="0"/>
      <w:marRight w:val="0"/>
      <w:marTop w:val="0"/>
      <w:marBottom w:val="0"/>
      <w:divBdr>
        <w:top w:val="none" w:sz="0" w:space="0" w:color="auto"/>
        <w:left w:val="none" w:sz="0" w:space="0" w:color="auto"/>
        <w:bottom w:val="none" w:sz="0" w:space="0" w:color="auto"/>
        <w:right w:val="none" w:sz="0" w:space="0" w:color="auto"/>
      </w:divBdr>
    </w:div>
    <w:div w:id="407653086">
      <w:bodyDiv w:val="1"/>
      <w:marLeft w:val="0"/>
      <w:marRight w:val="0"/>
      <w:marTop w:val="0"/>
      <w:marBottom w:val="0"/>
      <w:divBdr>
        <w:top w:val="none" w:sz="0" w:space="0" w:color="auto"/>
        <w:left w:val="none" w:sz="0" w:space="0" w:color="auto"/>
        <w:bottom w:val="none" w:sz="0" w:space="0" w:color="auto"/>
        <w:right w:val="none" w:sz="0" w:space="0" w:color="auto"/>
      </w:divBdr>
    </w:div>
    <w:div w:id="419448811">
      <w:bodyDiv w:val="1"/>
      <w:marLeft w:val="0"/>
      <w:marRight w:val="0"/>
      <w:marTop w:val="0"/>
      <w:marBottom w:val="0"/>
      <w:divBdr>
        <w:top w:val="none" w:sz="0" w:space="0" w:color="auto"/>
        <w:left w:val="none" w:sz="0" w:space="0" w:color="auto"/>
        <w:bottom w:val="none" w:sz="0" w:space="0" w:color="auto"/>
        <w:right w:val="none" w:sz="0" w:space="0" w:color="auto"/>
      </w:divBdr>
    </w:div>
    <w:div w:id="423764731">
      <w:bodyDiv w:val="1"/>
      <w:marLeft w:val="0"/>
      <w:marRight w:val="0"/>
      <w:marTop w:val="0"/>
      <w:marBottom w:val="0"/>
      <w:divBdr>
        <w:top w:val="none" w:sz="0" w:space="0" w:color="auto"/>
        <w:left w:val="none" w:sz="0" w:space="0" w:color="auto"/>
        <w:bottom w:val="none" w:sz="0" w:space="0" w:color="auto"/>
        <w:right w:val="none" w:sz="0" w:space="0" w:color="auto"/>
      </w:divBdr>
    </w:div>
    <w:div w:id="430051242">
      <w:bodyDiv w:val="1"/>
      <w:marLeft w:val="0"/>
      <w:marRight w:val="0"/>
      <w:marTop w:val="0"/>
      <w:marBottom w:val="0"/>
      <w:divBdr>
        <w:top w:val="none" w:sz="0" w:space="0" w:color="auto"/>
        <w:left w:val="none" w:sz="0" w:space="0" w:color="auto"/>
        <w:bottom w:val="none" w:sz="0" w:space="0" w:color="auto"/>
        <w:right w:val="none" w:sz="0" w:space="0" w:color="auto"/>
      </w:divBdr>
    </w:div>
    <w:div w:id="430396612">
      <w:bodyDiv w:val="1"/>
      <w:marLeft w:val="0"/>
      <w:marRight w:val="0"/>
      <w:marTop w:val="0"/>
      <w:marBottom w:val="0"/>
      <w:divBdr>
        <w:top w:val="none" w:sz="0" w:space="0" w:color="auto"/>
        <w:left w:val="none" w:sz="0" w:space="0" w:color="auto"/>
        <w:bottom w:val="none" w:sz="0" w:space="0" w:color="auto"/>
        <w:right w:val="none" w:sz="0" w:space="0" w:color="auto"/>
      </w:divBdr>
    </w:div>
    <w:div w:id="446312821">
      <w:bodyDiv w:val="1"/>
      <w:marLeft w:val="0"/>
      <w:marRight w:val="0"/>
      <w:marTop w:val="0"/>
      <w:marBottom w:val="0"/>
      <w:divBdr>
        <w:top w:val="none" w:sz="0" w:space="0" w:color="auto"/>
        <w:left w:val="none" w:sz="0" w:space="0" w:color="auto"/>
        <w:bottom w:val="none" w:sz="0" w:space="0" w:color="auto"/>
        <w:right w:val="none" w:sz="0" w:space="0" w:color="auto"/>
      </w:divBdr>
    </w:div>
    <w:div w:id="451830332">
      <w:bodyDiv w:val="1"/>
      <w:marLeft w:val="0"/>
      <w:marRight w:val="0"/>
      <w:marTop w:val="0"/>
      <w:marBottom w:val="0"/>
      <w:divBdr>
        <w:top w:val="none" w:sz="0" w:space="0" w:color="auto"/>
        <w:left w:val="none" w:sz="0" w:space="0" w:color="auto"/>
        <w:bottom w:val="none" w:sz="0" w:space="0" w:color="auto"/>
        <w:right w:val="none" w:sz="0" w:space="0" w:color="auto"/>
      </w:divBdr>
    </w:div>
    <w:div w:id="456339235">
      <w:bodyDiv w:val="1"/>
      <w:marLeft w:val="0"/>
      <w:marRight w:val="0"/>
      <w:marTop w:val="0"/>
      <w:marBottom w:val="0"/>
      <w:divBdr>
        <w:top w:val="none" w:sz="0" w:space="0" w:color="auto"/>
        <w:left w:val="none" w:sz="0" w:space="0" w:color="auto"/>
        <w:bottom w:val="none" w:sz="0" w:space="0" w:color="auto"/>
        <w:right w:val="none" w:sz="0" w:space="0" w:color="auto"/>
      </w:divBdr>
    </w:div>
    <w:div w:id="460853749">
      <w:bodyDiv w:val="1"/>
      <w:marLeft w:val="0"/>
      <w:marRight w:val="0"/>
      <w:marTop w:val="0"/>
      <w:marBottom w:val="0"/>
      <w:divBdr>
        <w:top w:val="none" w:sz="0" w:space="0" w:color="auto"/>
        <w:left w:val="none" w:sz="0" w:space="0" w:color="auto"/>
        <w:bottom w:val="none" w:sz="0" w:space="0" w:color="auto"/>
        <w:right w:val="none" w:sz="0" w:space="0" w:color="auto"/>
      </w:divBdr>
    </w:div>
    <w:div w:id="465045271">
      <w:bodyDiv w:val="1"/>
      <w:marLeft w:val="0"/>
      <w:marRight w:val="0"/>
      <w:marTop w:val="0"/>
      <w:marBottom w:val="0"/>
      <w:divBdr>
        <w:top w:val="none" w:sz="0" w:space="0" w:color="auto"/>
        <w:left w:val="none" w:sz="0" w:space="0" w:color="auto"/>
        <w:bottom w:val="none" w:sz="0" w:space="0" w:color="auto"/>
        <w:right w:val="none" w:sz="0" w:space="0" w:color="auto"/>
      </w:divBdr>
    </w:div>
    <w:div w:id="469248939">
      <w:bodyDiv w:val="1"/>
      <w:marLeft w:val="0"/>
      <w:marRight w:val="0"/>
      <w:marTop w:val="0"/>
      <w:marBottom w:val="0"/>
      <w:divBdr>
        <w:top w:val="none" w:sz="0" w:space="0" w:color="auto"/>
        <w:left w:val="none" w:sz="0" w:space="0" w:color="auto"/>
        <w:bottom w:val="none" w:sz="0" w:space="0" w:color="auto"/>
        <w:right w:val="none" w:sz="0" w:space="0" w:color="auto"/>
      </w:divBdr>
    </w:div>
    <w:div w:id="475486681">
      <w:bodyDiv w:val="1"/>
      <w:marLeft w:val="0"/>
      <w:marRight w:val="0"/>
      <w:marTop w:val="0"/>
      <w:marBottom w:val="0"/>
      <w:divBdr>
        <w:top w:val="none" w:sz="0" w:space="0" w:color="auto"/>
        <w:left w:val="none" w:sz="0" w:space="0" w:color="auto"/>
        <w:bottom w:val="none" w:sz="0" w:space="0" w:color="auto"/>
        <w:right w:val="none" w:sz="0" w:space="0" w:color="auto"/>
      </w:divBdr>
    </w:div>
    <w:div w:id="486169139">
      <w:bodyDiv w:val="1"/>
      <w:marLeft w:val="0"/>
      <w:marRight w:val="0"/>
      <w:marTop w:val="0"/>
      <w:marBottom w:val="0"/>
      <w:divBdr>
        <w:top w:val="none" w:sz="0" w:space="0" w:color="auto"/>
        <w:left w:val="none" w:sz="0" w:space="0" w:color="auto"/>
        <w:bottom w:val="none" w:sz="0" w:space="0" w:color="auto"/>
        <w:right w:val="none" w:sz="0" w:space="0" w:color="auto"/>
      </w:divBdr>
    </w:div>
    <w:div w:id="489056007">
      <w:bodyDiv w:val="1"/>
      <w:marLeft w:val="0"/>
      <w:marRight w:val="0"/>
      <w:marTop w:val="0"/>
      <w:marBottom w:val="0"/>
      <w:divBdr>
        <w:top w:val="none" w:sz="0" w:space="0" w:color="auto"/>
        <w:left w:val="none" w:sz="0" w:space="0" w:color="auto"/>
        <w:bottom w:val="none" w:sz="0" w:space="0" w:color="auto"/>
        <w:right w:val="none" w:sz="0" w:space="0" w:color="auto"/>
      </w:divBdr>
    </w:div>
    <w:div w:id="499003919">
      <w:bodyDiv w:val="1"/>
      <w:marLeft w:val="0"/>
      <w:marRight w:val="0"/>
      <w:marTop w:val="0"/>
      <w:marBottom w:val="0"/>
      <w:divBdr>
        <w:top w:val="none" w:sz="0" w:space="0" w:color="auto"/>
        <w:left w:val="none" w:sz="0" w:space="0" w:color="auto"/>
        <w:bottom w:val="none" w:sz="0" w:space="0" w:color="auto"/>
        <w:right w:val="none" w:sz="0" w:space="0" w:color="auto"/>
      </w:divBdr>
    </w:div>
    <w:div w:id="499975086">
      <w:bodyDiv w:val="1"/>
      <w:marLeft w:val="0"/>
      <w:marRight w:val="0"/>
      <w:marTop w:val="0"/>
      <w:marBottom w:val="0"/>
      <w:divBdr>
        <w:top w:val="none" w:sz="0" w:space="0" w:color="auto"/>
        <w:left w:val="none" w:sz="0" w:space="0" w:color="auto"/>
        <w:bottom w:val="none" w:sz="0" w:space="0" w:color="auto"/>
        <w:right w:val="none" w:sz="0" w:space="0" w:color="auto"/>
      </w:divBdr>
    </w:div>
    <w:div w:id="501699857">
      <w:bodyDiv w:val="1"/>
      <w:marLeft w:val="0"/>
      <w:marRight w:val="0"/>
      <w:marTop w:val="0"/>
      <w:marBottom w:val="0"/>
      <w:divBdr>
        <w:top w:val="none" w:sz="0" w:space="0" w:color="auto"/>
        <w:left w:val="none" w:sz="0" w:space="0" w:color="auto"/>
        <w:bottom w:val="none" w:sz="0" w:space="0" w:color="auto"/>
        <w:right w:val="none" w:sz="0" w:space="0" w:color="auto"/>
      </w:divBdr>
    </w:div>
    <w:div w:id="502085949">
      <w:bodyDiv w:val="1"/>
      <w:marLeft w:val="0"/>
      <w:marRight w:val="0"/>
      <w:marTop w:val="0"/>
      <w:marBottom w:val="0"/>
      <w:divBdr>
        <w:top w:val="none" w:sz="0" w:space="0" w:color="auto"/>
        <w:left w:val="none" w:sz="0" w:space="0" w:color="auto"/>
        <w:bottom w:val="none" w:sz="0" w:space="0" w:color="auto"/>
        <w:right w:val="none" w:sz="0" w:space="0" w:color="auto"/>
      </w:divBdr>
    </w:div>
    <w:div w:id="506134616">
      <w:bodyDiv w:val="1"/>
      <w:marLeft w:val="0"/>
      <w:marRight w:val="0"/>
      <w:marTop w:val="0"/>
      <w:marBottom w:val="0"/>
      <w:divBdr>
        <w:top w:val="none" w:sz="0" w:space="0" w:color="auto"/>
        <w:left w:val="none" w:sz="0" w:space="0" w:color="auto"/>
        <w:bottom w:val="none" w:sz="0" w:space="0" w:color="auto"/>
        <w:right w:val="none" w:sz="0" w:space="0" w:color="auto"/>
      </w:divBdr>
    </w:div>
    <w:div w:id="517357825">
      <w:bodyDiv w:val="1"/>
      <w:marLeft w:val="0"/>
      <w:marRight w:val="0"/>
      <w:marTop w:val="0"/>
      <w:marBottom w:val="0"/>
      <w:divBdr>
        <w:top w:val="none" w:sz="0" w:space="0" w:color="auto"/>
        <w:left w:val="none" w:sz="0" w:space="0" w:color="auto"/>
        <w:bottom w:val="none" w:sz="0" w:space="0" w:color="auto"/>
        <w:right w:val="none" w:sz="0" w:space="0" w:color="auto"/>
      </w:divBdr>
    </w:div>
    <w:div w:id="528295022">
      <w:bodyDiv w:val="1"/>
      <w:marLeft w:val="0"/>
      <w:marRight w:val="0"/>
      <w:marTop w:val="0"/>
      <w:marBottom w:val="0"/>
      <w:divBdr>
        <w:top w:val="none" w:sz="0" w:space="0" w:color="auto"/>
        <w:left w:val="none" w:sz="0" w:space="0" w:color="auto"/>
        <w:bottom w:val="none" w:sz="0" w:space="0" w:color="auto"/>
        <w:right w:val="none" w:sz="0" w:space="0" w:color="auto"/>
      </w:divBdr>
    </w:div>
    <w:div w:id="554006586">
      <w:bodyDiv w:val="1"/>
      <w:marLeft w:val="0"/>
      <w:marRight w:val="0"/>
      <w:marTop w:val="0"/>
      <w:marBottom w:val="0"/>
      <w:divBdr>
        <w:top w:val="none" w:sz="0" w:space="0" w:color="auto"/>
        <w:left w:val="none" w:sz="0" w:space="0" w:color="auto"/>
        <w:bottom w:val="none" w:sz="0" w:space="0" w:color="auto"/>
        <w:right w:val="none" w:sz="0" w:space="0" w:color="auto"/>
      </w:divBdr>
    </w:div>
    <w:div w:id="556285075">
      <w:bodyDiv w:val="1"/>
      <w:marLeft w:val="0"/>
      <w:marRight w:val="0"/>
      <w:marTop w:val="0"/>
      <w:marBottom w:val="0"/>
      <w:divBdr>
        <w:top w:val="none" w:sz="0" w:space="0" w:color="auto"/>
        <w:left w:val="none" w:sz="0" w:space="0" w:color="auto"/>
        <w:bottom w:val="none" w:sz="0" w:space="0" w:color="auto"/>
        <w:right w:val="none" w:sz="0" w:space="0" w:color="auto"/>
      </w:divBdr>
    </w:div>
    <w:div w:id="558438768">
      <w:bodyDiv w:val="1"/>
      <w:marLeft w:val="0"/>
      <w:marRight w:val="0"/>
      <w:marTop w:val="0"/>
      <w:marBottom w:val="0"/>
      <w:divBdr>
        <w:top w:val="none" w:sz="0" w:space="0" w:color="auto"/>
        <w:left w:val="none" w:sz="0" w:space="0" w:color="auto"/>
        <w:bottom w:val="none" w:sz="0" w:space="0" w:color="auto"/>
        <w:right w:val="none" w:sz="0" w:space="0" w:color="auto"/>
      </w:divBdr>
    </w:div>
    <w:div w:id="566842991">
      <w:bodyDiv w:val="1"/>
      <w:marLeft w:val="0"/>
      <w:marRight w:val="0"/>
      <w:marTop w:val="0"/>
      <w:marBottom w:val="0"/>
      <w:divBdr>
        <w:top w:val="none" w:sz="0" w:space="0" w:color="auto"/>
        <w:left w:val="none" w:sz="0" w:space="0" w:color="auto"/>
        <w:bottom w:val="none" w:sz="0" w:space="0" w:color="auto"/>
        <w:right w:val="none" w:sz="0" w:space="0" w:color="auto"/>
      </w:divBdr>
    </w:div>
    <w:div w:id="585845830">
      <w:bodyDiv w:val="1"/>
      <w:marLeft w:val="0"/>
      <w:marRight w:val="0"/>
      <w:marTop w:val="0"/>
      <w:marBottom w:val="0"/>
      <w:divBdr>
        <w:top w:val="none" w:sz="0" w:space="0" w:color="auto"/>
        <w:left w:val="none" w:sz="0" w:space="0" w:color="auto"/>
        <w:bottom w:val="none" w:sz="0" w:space="0" w:color="auto"/>
        <w:right w:val="none" w:sz="0" w:space="0" w:color="auto"/>
      </w:divBdr>
    </w:div>
    <w:div w:id="585959655">
      <w:bodyDiv w:val="1"/>
      <w:marLeft w:val="0"/>
      <w:marRight w:val="0"/>
      <w:marTop w:val="0"/>
      <w:marBottom w:val="0"/>
      <w:divBdr>
        <w:top w:val="none" w:sz="0" w:space="0" w:color="auto"/>
        <w:left w:val="none" w:sz="0" w:space="0" w:color="auto"/>
        <w:bottom w:val="none" w:sz="0" w:space="0" w:color="auto"/>
        <w:right w:val="none" w:sz="0" w:space="0" w:color="auto"/>
      </w:divBdr>
    </w:div>
    <w:div w:id="586891903">
      <w:bodyDiv w:val="1"/>
      <w:marLeft w:val="0"/>
      <w:marRight w:val="0"/>
      <w:marTop w:val="0"/>
      <w:marBottom w:val="0"/>
      <w:divBdr>
        <w:top w:val="none" w:sz="0" w:space="0" w:color="auto"/>
        <w:left w:val="none" w:sz="0" w:space="0" w:color="auto"/>
        <w:bottom w:val="none" w:sz="0" w:space="0" w:color="auto"/>
        <w:right w:val="none" w:sz="0" w:space="0" w:color="auto"/>
      </w:divBdr>
    </w:div>
    <w:div w:id="591007468">
      <w:bodyDiv w:val="1"/>
      <w:marLeft w:val="0"/>
      <w:marRight w:val="0"/>
      <w:marTop w:val="0"/>
      <w:marBottom w:val="0"/>
      <w:divBdr>
        <w:top w:val="none" w:sz="0" w:space="0" w:color="auto"/>
        <w:left w:val="none" w:sz="0" w:space="0" w:color="auto"/>
        <w:bottom w:val="none" w:sz="0" w:space="0" w:color="auto"/>
        <w:right w:val="none" w:sz="0" w:space="0" w:color="auto"/>
      </w:divBdr>
    </w:div>
    <w:div w:id="609362010">
      <w:bodyDiv w:val="1"/>
      <w:marLeft w:val="0"/>
      <w:marRight w:val="0"/>
      <w:marTop w:val="0"/>
      <w:marBottom w:val="0"/>
      <w:divBdr>
        <w:top w:val="none" w:sz="0" w:space="0" w:color="auto"/>
        <w:left w:val="none" w:sz="0" w:space="0" w:color="auto"/>
        <w:bottom w:val="none" w:sz="0" w:space="0" w:color="auto"/>
        <w:right w:val="none" w:sz="0" w:space="0" w:color="auto"/>
      </w:divBdr>
    </w:div>
    <w:div w:id="617613366">
      <w:bodyDiv w:val="1"/>
      <w:marLeft w:val="0"/>
      <w:marRight w:val="0"/>
      <w:marTop w:val="0"/>
      <w:marBottom w:val="0"/>
      <w:divBdr>
        <w:top w:val="none" w:sz="0" w:space="0" w:color="auto"/>
        <w:left w:val="none" w:sz="0" w:space="0" w:color="auto"/>
        <w:bottom w:val="none" w:sz="0" w:space="0" w:color="auto"/>
        <w:right w:val="none" w:sz="0" w:space="0" w:color="auto"/>
      </w:divBdr>
    </w:div>
    <w:div w:id="646322758">
      <w:bodyDiv w:val="1"/>
      <w:marLeft w:val="0"/>
      <w:marRight w:val="0"/>
      <w:marTop w:val="0"/>
      <w:marBottom w:val="0"/>
      <w:divBdr>
        <w:top w:val="none" w:sz="0" w:space="0" w:color="auto"/>
        <w:left w:val="none" w:sz="0" w:space="0" w:color="auto"/>
        <w:bottom w:val="none" w:sz="0" w:space="0" w:color="auto"/>
        <w:right w:val="none" w:sz="0" w:space="0" w:color="auto"/>
      </w:divBdr>
    </w:div>
    <w:div w:id="662046543">
      <w:bodyDiv w:val="1"/>
      <w:marLeft w:val="0"/>
      <w:marRight w:val="0"/>
      <w:marTop w:val="0"/>
      <w:marBottom w:val="0"/>
      <w:divBdr>
        <w:top w:val="none" w:sz="0" w:space="0" w:color="auto"/>
        <w:left w:val="none" w:sz="0" w:space="0" w:color="auto"/>
        <w:bottom w:val="none" w:sz="0" w:space="0" w:color="auto"/>
        <w:right w:val="none" w:sz="0" w:space="0" w:color="auto"/>
      </w:divBdr>
    </w:div>
    <w:div w:id="666859571">
      <w:bodyDiv w:val="1"/>
      <w:marLeft w:val="0"/>
      <w:marRight w:val="0"/>
      <w:marTop w:val="0"/>
      <w:marBottom w:val="0"/>
      <w:divBdr>
        <w:top w:val="none" w:sz="0" w:space="0" w:color="auto"/>
        <w:left w:val="none" w:sz="0" w:space="0" w:color="auto"/>
        <w:bottom w:val="none" w:sz="0" w:space="0" w:color="auto"/>
        <w:right w:val="none" w:sz="0" w:space="0" w:color="auto"/>
      </w:divBdr>
    </w:div>
    <w:div w:id="667680822">
      <w:bodyDiv w:val="1"/>
      <w:marLeft w:val="0"/>
      <w:marRight w:val="0"/>
      <w:marTop w:val="0"/>
      <w:marBottom w:val="0"/>
      <w:divBdr>
        <w:top w:val="none" w:sz="0" w:space="0" w:color="auto"/>
        <w:left w:val="none" w:sz="0" w:space="0" w:color="auto"/>
        <w:bottom w:val="none" w:sz="0" w:space="0" w:color="auto"/>
        <w:right w:val="none" w:sz="0" w:space="0" w:color="auto"/>
      </w:divBdr>
    </w:div>
    <w:div w:id="669409917">
      <w:bodyDiv w:val="1"/>
      <w:marLeft w:val="0"/>
      <w:marRight w:val="0"/>
      <w:marTop w:val="0"/>
      <w:marBottom w:val="0"/>
      <w:divBdr>
        <w:top w:val="none" w:sz="0" w:space="0" w:color="auto"/>
        <w:left w:val="none" w:sz="0" w:space="0" w:color="auto"/>
        <w:bottom w:val="none" w:sz="0" w:space="0" w:color="auto"/>
        <w:right w:val="none" w:sz="0" w:space="0" w:color="auto"/>
      </w:divBdr>
    </w:div>
    <w:div w:id="672537241">
      <w:bodyDiv w:val="1"/>
      <w:marLeft w:val="0"/>
      <w:marRight w:val="0"/>
      <w:marTop w:val="0"/>
      <w:marBottom w:val="0"/>
      <w:divBdr>
        <w:top w:val="none" w:sz="0" w:space="0" w:color="auto"/>
        <w:left w:val="none" w:sz="0" w:space="0" w:color="auto"/>
        <w:bottom w:val="none" w:sz="0" w:space="0" w:color="auto"/>
        <w:right w:val="none" w:sz="0" w:space="0" w:color="auto"/>
      </w:divBdr>
    </w:div>
    <w:div w:id="677730063">
      <w:bodyDiv w:val="1"/>
      <w:marLeft w:val="0"/>
      <w:marRight w:val="0"/>
      <w:marTop w:val="0"/>
      <w:marBottom w:val="0"/>
      <w:divBdr>
        <w:top w:val="none" w:sz="0" w:space="0" w:color="auto"/>
        <w:left w:val="none" w:sz="0" w:space="0" w:color="auto"/>
        <w:bottom w:val="none" w:sz="0" w:space="0" w:color="auto"/>
        <w:right w:val="none" w:sz="0" w:space="0" w:color="auto"/>
      </w:divBdr>
    </w:div>
    <w:div w:id="691029598">
      <w:bodyDiv w:val="1"/>
      <w:marLeft w:val="0"/>
      <w:marRight w:val="0"/>
      <w:marTop w:val="0"/>
      <w:marBottom w:val="0"/>
      <w:divBdr>
        <w:top w:val="none" w:sz="0" w:space="0" w:color="auto"/>
        <w:left w:val="none" w:sz="0" w:space="0" w:color="auto"/>
        <w:bottom w:val="none" w:sz="0" w:space="0" w:color="auto"/>
        <w:right w:val="none" w:sz="0" w:space="0" w:color="auto"/>
      </w:divBdr>
    </w:div>
    <w:div w:id="693649428">
      <w:bodyDiv w:val="1"/>
      <w:marLeft w:val="0"/>
      <w:marRight w:val="0"/>
      <w:marTop w:val="0"/>
      <w:marBottom w:val="0"/>
      <w:divBdr>
        <w:top w:val="none" w:sz="0" w:space="0" w:color="auto"/>
        <w:left w:val="none" w:sz="0" w:space="0" w:color="auto"/>
        <w:bottom w:val="none" w:sz="0" w:space="0" w:color="auto"/>
        <w:right w:val="none" w:sz="0" w:space="0" w:color="auto"/>
      </w:divBdr>
    </w:div>
    <w:div w:id="696547727">
      <w:bodyDiv w:val="1"/>
      <w:marLeft w:val="0"/>
      <w:marRight w:val="0"/>
      <w:marTop w:val="0"/>
      <w:marBottom w:val="0"/>
      <w:divBdr>
        <w:top w:val="none" w:sz="0" w:space="0" w:color="auto"/>
        <w:left w:val="none" w:sz="0" w:space="0" w:color="auto"/>
        <w:bottom w:val="none" w:sz="0" w:space="0" w:color="auto"/>
        <w:right w:val="none" w:sz="0" w:space="0" w:color="auto"/>
      </w:divBdr>
    </w:div>
    <w:div w:id="704603500">
      <w:bodyDiv w:val="1"/>
      <w:marLeft w:val="0"/>
      <w:marRight w:val="0"/>
      <w:marTop w:val="0"/>
      <w:marBottom w:val="0"/>
      <w:divBdr>
        <w:top w:val="none" w:sz="0" w:space="0" w:color="auto"/>
        <w:left w:val="none" w:sz="0" w:space="0" w:color="auto"/>
        <w:bottom w:val="none" w:sz="0" w:space="0" w:color="auto"/>
        <w:right w:val="none" w:sz="0" w:space="0" w:color="auto"/>
      </w:divBdr>
    </w:div>
    <w:div w:id="712997294">
      <w:bodyDiv w:val="1"/>
      <w:marLeft w:val="0"/>
      <w:marRight w:val="0"/>
      <w:marTop w:val="0"/>
      <w:marBottom w:val="0"/>
      <w:divBdr>
        <w:top w:val="none" w:sz="0" w:space="0" w:color="auto"/>
        <w:left w:val="none" w:sz="0" w:space="0" w:color="auto"/>
        <w:bottom w:val="none" w:sz="0" w:space="0" w:color="auto"/>
        <w:right w:val="none" w:sz="0" w:space="0" w:color="auto"/>
      </w:divBdr>
    </w:div>
    <w:div w:id="728069590">
      <w:bodyDiv w:val="1"/>
      <w:marLeft w:val="0"/>
      <w:marRight w:val="0"/>
      <w:marTop w:val="0"/>
      <w:marBottom w:val="0"/>
      <w:divBdr>
        <w:top w:val="none" w:sz="0" w:space="0" w:color="auto"/>
        <w:left w:val="none" w:sz="0" w:space="0" w:color="auto"/>
        <w:bottom w:val="none" w:sz="0" w:space="0" w:color="auto"/>
        <w:right w:val="none" w:sz="0" w:space="0" w:color="auto"/>
      </w:divBdr>
    </w:div>
    <w:div w:id="748963907">
      <w:bodyDiv w:val="1"/>
      <w:marLeft w:val="0"/>
      <w:marRight w:val="0"/>
      <w:marTop w:val="0"/>
      <w:marBottom w:val="0"/>
      <w:divBdr>
        <w:top w:val="none" w:sz="0" w:space="0" w:color="auto"/>
        <w:left w:val="none" w:sz="0" w:space="0" w:color="auto"/>
        <w:bottom w:val="none" w:sz="0" w:space="0" w:color="auto"/>
        <w:right w:val="none" w:sz="0" w:space="0" w:color="auto"/>
      </w:divBdr>
    </w:div>
    <w:div w:id="749162104">
      <w:bodyDiv w:val="1"/>
      <w:marLeft w:val="0"/>
      <w:marRight w:val="0"/>
      <w:marTop w:val="0"/>
      <w:marBottom w:val="0"/>
      <w:divBdr>
        <w:top w:val="none" w:sz="0" w:space="0" w:color="auto"/>
        <w:left w:val="none" w:sz="0" w:space="0" w:color="auto"/>
        <w:bottom w:val="none" w:sz="0" w:space="0" w:color="auto"/>
        <w:right w:val="none" w:sz="0" w:space="0" w:color="auto"/>
      </w:divBdr>
    </w:div>
    <w:div w:id="763843499">
      <w:bodyDiv w:val="1"/>
      <w:marLeft w:val="0"/>
      <w:marRight w:val="0"/>
      <w:marTop w:val="0"/>
      <w:marBottom w:val="0"/>
      <w:divBdr>
        <w:top w:val="none" w:sz="0" w:space="0" w:color="auto"/>
        <w:left w:val="none" w:sz="0" w:space="0" w:color="auto"/>
        <w:bottom w:val="none" w:sz="0" w:space="0" w:color="auto"/>
        <w:right w:val="none" w:sz="0" w:space="0" w:color="auto"/>
      </w:divBdr>
    </w:div>
    <w:div w:id="792747274">
      <w:bodyDiv w:val="1"/>
      <w:marLeft w:val="0"/>
      <w:marRight w:val="0"/>
      <w:marTop w:val="0"/>
      <w:marBottom w:val="0"/>
      <w:divBdr>
        <w:top w:val="none" w:sz="0" w:space="0" w:color="auto"/>
        <w:left w:val="none" w:sz="0" w:space="0" w:color="auto"/>
        <w:bottom w:val="none" w:sz="0" w:space="0" w:color="auto"/>
        <w:right w:val="none" w:sz="0" w:space="0" w:color="auto"/>
      </w:divBdr>
    </w:div>
    <w:div w:id="796265307">
      <w:bodyDiv w:val="1"/>
      <w:marLeft w:val="0"/>
      <w:marRight w:val="0"/>
      <w:marTop w:val="0"/>
      <w:marBottom w:val="0"/>
      <w:divBdr>
        <w:top w:val="none" w:sz="0" w:space="0" w:color="auto"/>
        <w:left w:val="none" w:sz="0" w:space="0" w:color="auto"/>
        <w:bottom w:val="none" w:sz="0" w:space="0" w:color="auto"/>
        <w:right w:val="none" w:sz="0" w:space="0" w:color="auto"/>
      </w:divBdr>
    </w:div>
    <w:div w:id="806513942">
      <w:bodyDiv w:val="1"/>
      <w:marLeft w:val="0"/>
      <w:marRight w:val="0"/>
      <w:marTop w:val="0"/>
      <w:marBottom w:val="0"/>
      <w:divBdr>
        <w:top w:val="none" w:sz="0" w:space="0" w:color="auto"/>
        <w:left w:val="none" w:sz="0" w:space="0" w:color="auto"/>
        <w:bottom w:val="none" w:sz="0" w:space="0" w:color="auto"/>
        <w:right w:val="none" w:sz="0" w:space="0" w:color="auto"/>
      </w:divBdr>
    </w:div>
    <w:div w:id="814956261">
      <w:bodyDiv w:val="1"/>
      <w:marLeft w:val="0"/>
      <w:marRight w:val="0"/>
      <w:marTop w:val="0"/>
      <w:marBottom w:val="0"/>
      <w:divBdr>
        <w:top w:val="none" w:sz="0" w:space="0" w:color="auto"/>
        <w:left w:val="none" w:sz="0" w:space="0" w:color="auto"/>
        <w:bottom w:val="none" w:sz="0" w:space="0" w:color="auto"/>
        <w:right w:val="none" w:sz="0" w:space="0" w:color="auto"/>
      </w:divBdr>
    </w:div>
    <w:div w:id="818114133">
      <w:bodyDiv w:val="1"/>
      <w:marLeft w:val="0"/>
      <w:marRight w:val="0"/>
      <w:marTop w:val="0"/>
      <w:marBottom w:val="0"/>
      <w:divBdr>
        <w:top w:val="none" w:sz="0" w:space="0" w:color="auto"/>
        <w:left w:val="none" w:sz="0" w:space="0" w:color="auto"/>
        <w:bottom w:val="none" w:sz="0" w:space="0" w:color="auto"/>
        <w:right w:val="none" w:sz="0" w:space="0" w:color="auto"/>
      </w:divBdr>
    </w:div>
    <w:div w:id="821846873">
      <w:bodyDiv w:val="1"/>
      <w:marLeft w:val="0"/>
      <w:marRight w:val="0"/>
      <w:marTop w:val="0"/>
      <w:marBottom w:val="0"/>
      <w:divBdr>
        <w:top w:val="none" w:sz="0" w:space="0" w:color="auto"/>
        <w:left w:val="none" w:sz="0" w:space="0" w:color="auto"/>
        <w:bottom w:val="none" w:sz="0" w:space="0" w:color="auto"/>
        <w:right w:val="none" w:sz="0" w:space="0" w:color="auto"/>
      </w:divBdr>
    </w:div>
    <w:div w:id="832531111">
      <w:bodyDiv w:val="1"/>
      <w:marLeft w:val="0"/>
      <w:marRight w:val="0"/>
      <w:marTop w:val="0"/>
      <w:marBottom w:val="0"/>
      <w:divBdr>
        <w:top w:val="none" w:sz="0" w:space="0" w:color="auto"/>
        <w:left w:val="none" w:sz="0" w:space="0" w:color="auto"/>
        <w:bottom w:val="none" w:sz="0" w:space="0" w:color="auto"/>
        <w:right w:val="none" w:sz="0" w:space="0" w:color="auto"/>
      </w:divBdr>
    </w:div>
    <w:div w:id="835266801">
      <w:bodyDiv w:val="1"/>
      <w:marLeft w:val="0"/>
      <w:marRight w:val="0"/>
      <w:marTop w:val="0"/>
      <w:marBottom w:val="0"/>
      <w:divBdr>
        <w:top w:val="none" w:sz="0" w:space="0" w:color="auto"/>
        <w:left w:val="none" w:sz="0" w:space="0" w:color="auto"/>
        <w:bottom w:val="none" w:sz="0" w:space="0" w:color="auto"/>
        <w:right w:val="none" w:sz="0" w:space="0" w:color="auto"/>
      </w:divBdr>
    </w:div>
    <w:div w:id="841433423">
      <w:bodyDiv w:val="1"/>
      <w:marLeft w:val="0"/>
      <w:marRight w:val="0"/>
      <w:marTop w:val="0"/>
      <w:marBottom w:val="0"/>
      <w:divBdr>
        <w:top w:val="none" w:sz="0" w:space="0" w:color="auto"/>
        <w:left w:val="none" w:sz="0" w:space="0" w:color="auto"/>
        <w:bottom w:val="none" w:sz="0" w:space="0" w:color="auto"/>
        <w:right w:val="none" w:sz="0" w:space="0" w:color="auto"/>
      </w:divBdr>
    </w:div>
    <w:div w:id="842476613">
      <w:bodyDiv w:val="1"/>
      <w:marLeft w:val="0"/>
      <w:marRight w:val="0"/>
      <w:marTop w:val="0"/>
      <w:marBottom w:val="0"/>
      <w:divBdr>
        <w:top w:val="none" w:sz="0" w:space="0" w:color="auto"/>
        <w:left w:val="none" w:sz="0" w:space="0" w:color="auto"/>
        <w:bottom w:val="none" w:sz="0" w:space="0" w:color="auto"/>
        <w:right w:val="none" w:sz="0" w:space="0" w:color="auto"/>
      </w:divBdr>
    </w:div>
    <w:div w:id="843780640">
      <w:bodyDiv w:val="1"/>
      <w:marLeft w:val="0"/>
      <w:marRight w:val="0"/>
      <w:marTop w:val="0"/>
      <w:marBottom w:val="0"/>
      <w:divBdr>
        <w:top w:val="none" w:sz="0" w:space="0" w:color="auto"/>
        <w:left w:val="none" w:sz="0" w:space="0" w:color="auto"/>
        <w:bottom w:val="none" w:sz="0" w:space="0" w:color="auto"/>
        <w:right w:val="none" w:sz="0" w:space="0" w:color="auto"/>
      </w:divBdr>
    </w:div>
    <w:div w:id="852305970">
      <w:bodyDiv w:val="1"/>
      <w:marLeft w:val="0"/>
      <w:marRight w:val="0"/>
      <w:marTop w:val="0"/>
      <w:marBottom w:val="0"/>
      <w:divBdr>
        <w:top w:val="none" w:sz="0" w:space="0" w:color="auto"/>
        <w:left w:val="none" w:sz="0" w:space="0" w:color="auto"/>
        <w:bottom w:val="none" w:sz="0" w:space="0" w:color="auto"/>
        <w:right w:val="none" w:sz="0" w:space="0" w:color="auto"/>
      </w:divBdr>
    </w:div>
    <w:div w:id="864175710">
      <w:bodyDiv w:val="1"/>
      <w:marLeft w:val="0"/>
      <w:marRight w:val="0"/>
      <w:marTop w:val="0"/>
      <w:marBottom w:val="0"/>
      <w:divBdr>
        <w:top w:val="none" w:sz="0" w:space="0" w:color="auto"/>
        <w:left w:val="none" w:sz="0" w:space="0" w:color="auto"/>
        <w:bottom w:val="none" w:sz="0" w:space="0" w:color="auto"/>
        <w:right w:val="none" w:sz="0" w:space="0" w:color="auto"/>
      </w:divBdr>
    </w:div>
    <w:div w:id="865482025">
      <w:bodyDiv w:val="1"/>
      <w:marLeft w:val="0"/>
      <w:marRight w:val="0"/>
      <w:marTop w:val="0"/>
      <w:marBottom w:val="0"/>
      <w:divBdr>
        <w:top w:val="none" w:sz="0" w:space="0" w:color="auto"/>
        <w:left w:val="none" w:sz="0" w:space="0" w:color="auto"/>
        <w:bottom w:val="none" w:sz="0" w:space="0" w:color="auto"/>
        <w:right w:val="none" w:sz="0" w:space="0" w:color="auto"/>
      </w:divBdr>
    </w:div>
    <w:div w:id="868883458">
      <w:bodyDiv w:val="1"/>
      <w:marLeft w:val="0"/>
      <w:marRight w:val="0"/>
      <w:marTop w:val="0"/>
      <w:marBottom w:val="0"/>
      <w:divBdr>
        <w:top w:val="none" w:sz="0" w:space="0" w:color="auto"/>
        <w:left w:val="none" w:sz="0" w:space="0" w:color="auto"/>
        <w:bottom w:val="none" w:sz="0" w:space="0" w:color="auto"/>
        <w:right w:val="none" w:sz="0" w:space="0" w:color="auto"/>
      </w:divBdr>
    </w:div>
    <w:div w:id="874805817">
      <w:bodyDiv w:val="1"/>
      <w:marLeft w:val="0"/>
      <w:marRight w:val="0"/>
      <w:marTop w:val="0"/>
      <w:marBottom w:val="0"/>
      <w:divBdr>
        <w:top w:val="none" w:sz="0" w:space="0" w:color="auto"/>
        <w:left w:val="none" w:sz="0" w:space="0" w:color="auto"/>
        <w:bottom w:val="none" w:sz="0" w:space="0" w:color="auto"/>
        <w:right w:val="none" w:sz="0" w:space="0" w:color="auto"/>
      </w:divBdr>
    </w:div>
    <w:div w:id="881094799">
      <w:bodyDiv w:val="1"/>
      <w:marLeft w:val="0"/>
      <w:marRight w:val="0"/>
      <w:marTop w:val="0"/>
      <w:marBottom w:val="0"/>
      <w:divBdr>
        <w:top w:val="none" w:sz="0" w:space="0" w:color="auto"/>
        <w:left w:val="none" w:sz="0" w:space="0" w:color="auto"/>
        <w:bottom w:val="none" w:sz="0" w:space="0" w:color="auto"/>
        <w:right w:val="none" w:sz="0" w:space="0" w:color="auto"/>
      </w:divBdr>
    </w:div>
    <w:div w:id="886452028">
      <w:bodyDiv w:val="1"/>
      <w:marLeft w:val="0"/>
      <w:marRight w:val="0"/>
      <w:marTop w:val="0"/>
      <w:marBottom w:val="0"/>
      <w:divBdr>
        <w:top w:val="none" w:sz="0" w:space="0" w:color="auto"/>
        <w:left w:val="none" w:sz="0" w:space="0" w:color="auto"/>
        <w:bottom w:val="none" w:sz="0" w:space="0" w:color="auto"/>
        <w:right w:val="none" w:sz="0" w:space="0" w:color="auto"/>
      </w:divBdr>
    </w:div>
    <w:div w:id="891386734">
      <w:bodyDiv w:val="1"/>
      <w:marLeft w:val="0"/>
      <w:marRight w:val="0"/>
      <w:marTop w:val="0"/>
      <w:marBottom w:val="0"/>
      <w:divBdr>
        <w:top w:val="none" w:sz="0" w:space="0" w:color="auto"/>
        <w:left w:val="none" w:sz="0" w:space="0" w:color="auto"/>
        <w:bottom w:val="none" w:sz="0" w:space="0" w:color="auto"/>
        <w:right w:val="none" w:sz="0" w:space="0" w:color="auto"/>
      </w:divBdr>
    </w:div>
    <w:div w:id="896358017">
      <w:bodyDiv w:val="1"/>
      <w:marLeft w:val="0"/>
      <w:marRight w:val="0"/>
      <w:marTop w:val="0"/>
      <w:marBottom w:val="0"/>
      <w:divBdr>
        <w:top w:val="none" w:sz="0" w:space="0" w:color="auto"/>
        <w:left w:val="none" w:sz="0" w:space="0" w:color="auto"/>
        <w:bottom w:val="none" w:sz="0" w:space="0" w:color="auto"/>
        <w:right w:val="none" w:sz="0" w:space="0" w:color="auto"/>
      </w:divBdr>
    </w:div>
    <w:div w:id="907611549">
      <w:bodyDiv w:val="1"/>
      <w:marLeft w:val="0"/>
      <w:marRight w:val="0"/>
      <w:marTop w:val="0"/>
      <w:marBottom w:val="0"/>
      <w:divBdr>
        <w:top w:val="none" w:sz="0" w:space="0" w:color="auto"/>
        <w:left w:val="none" w:sz="0" w:space="0" w:color="auto"/>
        <w:bottom w:val="none" w:sz="0" w:space="0" w:color="auto"/>
        <w:right w:val="none" w:sz="0" w:space="0" w:color="auto"/>
      </w:divBdr>
    </w:div>
    <w:div w:id="925572682">
      <w:bodyDiv w:val="1"/>
      <w:marLeft w:val="0"/>
      <w:marRight w:val="0"/>
      <w:marTop w:val="0"/>
      <w:marBottom w:val="0"/>
      <w:divBdr>
        <w:top w:val="none" w:sz="0" w:space="0" w:color="auto"/>
        <w:left w:val="none" w:sz="0" w:space="0" w:color="auto"/>
        <w:bottom w:val="none" w:sz="0" w:space="0" w:color="auto"/>
        <w:right w:val="none" w:sz="0" w:space="0" w:color="auto"/>
      </w:divBdr>
    </w:div>
    <w:div w:id="929242361">
      <w:bodyDiv w:val="1"/>
      <w:marLeft w:val="0"/>
      <w:marRight w:val="0"/>
      <w:marTop w:val="0"/>
      <w:marBottom w:val="0"/>
      <w:divBdr>
        <w:top w:val="none" w:sz="0" w:space="0" w:color="auto"/>
        <w:left w:val="none" w:sz="0" w:space="0" w:color="auto"/>
        <w:bottom w:val="none" w:sz="0" w:space="0" w:color="auto"/>
        <w:right w:val="none" w:sz="0" w:space="0" w:color="auto"/>
      </w:divBdr>
    </w:div>
    <w:div w:id="930965828">
      <w:bodyDiv w:val="1"/>
      <w:marLeft w:val="0"/>
      <w:marRight w:val="0"/>
      <w:marTop w:val="0"/>
      <w:marBottom w:val="0"/>
      <w:divBdr>
        <w:top w:val="none" w:sz="0" w:space="0" w:color="auto"/>
        <w:left w:val="none" w:sz="0" w:space="0" w:color="auto"/>
        <w:bottom w:val="none" w:sz="0" w:space="0" w:color="auto"/>
        <w:right w:val="none" w:sz="0" w:space="0" w:color="auto"/>
      </w:divBdr>
    </w:div>
    <w:div w:id="938829962">
      <w:bodyDiv w:val="1"/>
      <w:marLeft w:val="0"/>
      <w:marRight w:val="0"/>
      <w:marTop w:val="0"/>
      <w:marBottom w:val="0"/>
      <w:divBdr>
        <w:top w:val="none" w:sz="0" w:space="0" w:color="auto"/>
        <w:left w:val="none" w:sz="0" w:space="0" w:color="auto"/>
        <w:bottom w:val="none" w:sz="0" w:space="0" w:color="auto"/>
        <w:right w:val="none" w:sz="0" w:space="0" w:color="auto"/>
      </w:divBdr>
    </w:div>
    <w:div w:id="942342479">
      <w:bodyDiv w:val="1"/>
      <w:marLeft w:val="0"/>
      <w:marRight w:val="0"/>
      <w:marTop w:val="0"/>
      <w:marBottom w:val="0"/>
      <w:divBdr>
        <w:top w:val="none" w:sz="0" w:space="0" w:color="auto"/>
        <w:left w:val="none" w:sz="0" w:space="0" w:color="auto"/>
        <w:bottom w:val="none" w:sz="0" w:space="0" w:color="auto"/>
        <w:right w:val="none" w:sz="0" w:space="0" w:color="auto"/>
      </w:divBdr>
    </w:div>
    <w:div w:id="948662055">
      <w:bodyDiv w:val="1"/>
      <w:marLeft w:val="0"/>
      <w:marRight w:val="0"/>
      <w:marTop w:val="0"/>
      <w:marBottom w:val="0"/>
      <w:divBdr>
        <w:top w:val="none" w:sz="0" w:space="0" w:color="auto"/>
        <w:left w:val="none" w:sz="0" w:space="0" w:color="auto"/>
        <w:bottom w:val="none" w:sz="0" w:space="0" w:color="auto"/>
        <w:right w:val="none" w:sz="0" w:space="0" w:color="auto"/>
      </w:divBdr>
    </w:div>
    <w:div w:id="950210214">
      <w:bodyDiv w:val="1"/>
      <w:marLeft w:val="0"/>
      <w:marRight w:val="0"/>
      <w:marTop w:val="0"/>
      <w:marBottom w:val="0"/>
      <w:divBdr>
        <w:top w:val="none" w:sz="0" w:space="0" w:color="auto"/>
        <w:left w:val="none" w:sz="0" w:space="0" w:color="auto"/>
        <w:bottom w:val="none" w:sz="0" w:space="0" w:color="auto"/>
        <w:right w:val="none" w:sz="0" w:space="0" w:color="auto"/>
      </w:divBdr>
    </w:div>
    <w:div w:id="951590964">
      <w:bodyDiv w:val="1"/>
      <w:marLeft w:val="0"/>
      <w:marRight w:val="0"/>
      <w:marTop w:val="0"/>
      <w:marBottom w:val="0"/>
      <w:divBdr>
        <w:top w:val="none" w:sz="0" w:space="0" w:color="auto"/>
        <w:left w:val="none" w:sz="0" w:space="0" w:color="auto"/>
        <w:bottom w:val="none" w:sz="0" w:space="0" w:color="auto"/>
        <w:right w:val="none" w:sz="0" w:space="0" w:color="auto"/>
      </w:divBdr>
    </w:div>
    <w:div w:id="958872805">
      <w:bodyDiv w:val="1"/>
      <w:marLeft w:val="0"/>
      <w:marRight w:val="0"/>
      <w:marTop w:val="0"/>
      <w:marBottom w:val="0"/>
      <w:divBdr>
        <w:top w:val="none" w:sz="0" w:space="0" w:color="auto"/>
        <w:left w:val="none" w:sz="0" w:space="0" w:color="auto"/>
        <w:bottom w:val="none" w:sz="0" w:space="0" w:color="auto"/>
        <w:right w:val="none" w:sz="0" w:space="0" w:color="auto"/>
      </w:divBdr>
    </w:div>
    <w:div w:id="962541063">
      <w:bodyDiv w:val="1"/>
      <w:marLeft w:val="0"/>
      <w:marRight w:val="0"/>
      <w:marTop w:val="0"/>
      <w:marBottom w:val="0"/>
      <w:divBdr>
        <w:top w:val="none" w:sz="0" w:space="0" w:color="auto"/>
        <w:left w:val="none" w:sz="0" w:space="0" w:color="auto"/>
        <w:bottom w:val="none" w:sz="0" w:space="0" w:color="auto"/>
        <w:right w:val="none" w:sz="0" w:space="0" w:color="auto"/>
      </w:divBdr>
    </w:div>
    <w:div w:id="962731648">
      <w:bodyDiv w:val="1"/>
      <w:marLeft w:val="0"/>
      <w:marRight w:val="0"/>
      <w:marTop w:val="0"/>
      <w:marBottom w:val="0"/>
      <w:divBdr>
        <w:top w:val="none" w:sz="0" w:space="0" w:color="auto"/>
        <w:left w:val="none" w:sz="0" w:space="0" w:color="auto"/>
        <w:bottom w:val="none" w:sz="0" w:space="0" w:color="auto"/>
        <w:right w:val="none" w:sz="0" w:space="0" w:color="auto"/>
      </w:divBdr>
    </w:div>
    <w:div w:id="964501591">
      <w:bodyDiv w:val="1"/>
      <w:marLeft w:val="0"/>
      <w:marRight w:val="0"/>
      <w:marTop w:val="0"/>
      <w:marBottom w:val="0"/>
      <w:divBdr>
        <w:top w:val="none" w:sz="0" w:space="0" w:color="auto"/>
        <w:left w:val="none" w:sz="0" w:space="0" w:color="auto"/>
        <w:bottom w:val="none" w:sz="0" w:space="0" w:color="auto"/>
        <w:right w:val="none" w:sz="0" w:space="0" w:color="auto"/>
      </w:divBdr>
    </w:div>
    <w:div w:id="965888285">
      <w:bodyDiv w:val="1"/>
      <w:marLeft w:val="0"/>
      <w:marRight w:val="0"/>
      <w:marTop w:val="0"/>
      <w:marBottom w:val="0"/>
      <w:divBdr>
        <w:top w:val="none" w:sz="0" w:space="0" w:color="auto"/>
        <w:left w:val="none" w:sz="0" w:space="0" w:color="auto"/>
        <w:bottom w:val="none" w:sz="0" w:space="0" w:color="auto"/>
        <w:right w:val="none" w:sz="0" w:space="0" w:color="auto"/>
      </w:divBdr>
    </w:div>
    <w:div w:id="967125411">
      <w:bodyDiv w:val="1"/>
      <w:marLeft w:val="0"/>
      <w:marRight w:val="0"/>
      <w:marTop w:val="0"/>
      <w:marBottom w:val="0"/>
      <w:divBdr>
        <w:top w:val="none" w:sz="0" w:space="0" w:color="auto"/>
        <w:left w:val="none" w:sz="0" w:space="0" w:color="auto"/>
        <w:bottom w:val="none" w:sz="0" w:space="0" w:color="auto"/>
        <w:right w:val="none" w:sz="0" w:space="0" w:color="auto"/>
      </w:divBdr>
    </w:div>
    <w:div w:id="968514623">
      <w:bodyDiv w:val="1"/>
      <w:marLeft w:val="0"/>
      <w:marRight w:val="0"/>
      <w:marTop w:val="0"/>
      <w:marBottom w:val="0"/>
      <w:divBdr>
        <w:top w:val="none" w:sz="0" w:space="0" w:color="auto"/>
        <w:left w:val="none" w:sz="0" w:space="0" w:color="auto"/>
        <w:bottom w:val="none" w:sz="0" w:space="0" w:color="auto"/>
        <w:right w:val="none" w:sz="0" w:space="0" w:color="auto"/>
      </w:divBdr>
    </w:div>
    <w:div w:id="1003513872">
      <w:bodyDiv w:val="1"/>
      <w:marLeft w:val="0"/>
      <w:marRight w:val="0"/>
      <w:marTop w:val="0"/>
      <w:marBottom w:val="0"/>
      <w:divBdr>
        <w:top w:val="none" w:sz="0" w:space="0" w:color="auto"/>
        <w:left w:val="none" w:sz="0" w:space="0" w:color="auto"/>
        <w:bottom w:val="none" w:sz="0" w:space="0" w:color="auto"/>
        <w:right w:val="none" w:sz="0" w:space="0" w:color="auto"/>
      </w:divBdr>
    </w:div>
    <w:div w:id="1016037078">
      <w:bodyDiv w:val="1"/>
      <w:marLeft w:val="0"/>
      <w:marRight w:val="0"/>
      <w:marTop w:val="0"/>
      <w:marBottom w:val="0"/>
      <w:divBdr>
        <w:top w:val="none" w:sz="0" w:space="0" w:color="auto"/>
        <w:left w:val="none" w:sz="0" w:space="0" w:color="auto"/>
        <w:bottom w:val="none" w:sz="0" w:space="0" w:color="auto"/>
        <w:right w:val="none" w:sz="0" w:space="0" w:color="auto"/>
      </w:divBdr>
    </w:div>
    <w:div w:id="1019701706">
      <w:bodyDiv w:val="1"/>
      <w:marLeft w:val="0"/>
      <w:marRight w:val="0"/>
      <w:marTop w:val="0"/>
      <w:marBottom w:val="0"/>
      <w:divBdr>
        <w:top w:val="none" w:sz="0" w:space="0" w:color="auto"/>
        <w:left w:val="none" w:sz="0" w:space="0" w:color="auto"/>
        <w:bottom w:val="none" w:sz="0" w:space="0" w:color="auto"/>
        <w:right w:val="none" w:sz="0" w:space="0" w:color="auto"/>
      </w:divBdr>
    </w:div>
    <w:div w:id="1052970485">
      <w:bodyDiv w:val="1"/>
      <w:marLeft w:val="0"/>
      <w:marRight w:val="0"/>
      <w:marTop w:val="0"/>
      <w:marBottom w:val="0"/>
      <w:divBdr>
        <w:top w:val="none" w:sz="0" w:space="0" w:color="auto"/>
        <w:left w:val="none" w:sz="0" w:space="0" w:color="auto"/>
        <w:bottom w:val="none" w:sz="0" w:space="0" w:color="auto"/>
        <w:right w:val="none" w:sz="0" w:space="0" w:color="auto"/>
      </w:divBdr>
    </w:div>
    <w:div w:id="1056508864">
      <w:bodyDiv w:val="1"/>
      <w:marLeft w:val="0"/>
      <w:marRight w:val="0"/>
      <w:marTop w:val="0"/>
      <w:marBottom w:val="0"/>
      <w:divBdr>
        <w:top w:val="none" w:sz="0" w:space="0" w:color="auto"/>
        <w:left w:val="none" w:sz="0" w:space="0" w:color="auto"/>
        <w:bottom w:val="none" w:sz="0" w:space="0" w:color="auto"/>
        <w:right w:val="none" w:sz="0" w:space="0" w:color="auto"/>
      </w:divBdr>
    </w:div>
    <w:div w:id="1058283613">
      <w:bodyDiv w:val="1"/>
      <w:marLeft w:val="0"/>
      <w:marRight w:val="0"/>
      <w:marTop w:val="0"/>
      <w:marBottom w:val="0"/>
      <w:divBdr>
        <w:top w:val="none" w:sz="0" w:space="0" w:color="auto"/>
        <w:left w:val="none" w:sz="0" w:space="0" w:color="auto"/>
        <w:bottom w:val="none" w:sz="0" w:space="0" w:color="auto"/>
        <w:right w:val="none" w:sz="0" w:space="0" w:color="auto"/>
      </w:divBdr>
    </w:div>
    <w:div w:id="1060135873">
      <w:bodyDiv w:val="1"/>
      <w:marLeft w:val="0"/>
      <w:marRight w:val="0"/>
      <w:marTop w:val="0"/>
      <w:marBottom w:val="0"/>
      <w:divBdr>
        <w:top w:val="none" w:sz="0" w:space="0" w:color="auto"/>
        <w:left w:val="none" w:sz="0" w:space="0" w:color="auto"/>
        <w:bottom w:val="none" w:sz="0" w:space="0" w:color="auto"/>
        <w:right w:val="none" w:sz="0" w:space="0" w:color="auto"/>
      </w:divBdr>
    </w:div>
    <w:div w:id="1072893527">
      <w:bodyDiv w:val="1"/>
      <w:marLeft w:val="0"/>
      <w:marRight w:val="0"/>
      <w:marTop w:val="0"/>
      <w:marBottom w:val="0"/>
      <w:divBdr>
        <w:top w:val="none" w:sz="0" w:space="0" w:color="auto"/>
        <w:left w:val="none" w:sz="0" w:space="0" w:color="auto"/>
        <w:bottom w:val="none" w:sz="0" w:space="0" w:color="auto"/>
        <w:right w:val="none" w:sz="0" w:space="0" w:color="auto"/>
      </w:divBdr>
    </w:div>
    <w:div w:id="1077675224">
      <w:bodyDiv w:val="1"/>
      <w:marLeft w:val="0"/>
      <w:marRight w:val="0"/>
      <w:marTop w:val="0"/>
      <w:marBottom w:val="0"/>
      <w:divBdr>
        <w:top w:val="none" w:sz="0" w:space="0" w:color="auto"/>
        <w:left w:val="none" w:sz="0" w:space="0" w:color="auto"/>
        <w:bottom w:val="none" w:sz="0" w:space="0" w:color="auto"/>
        <w:right w:val="none" w:sz="0" w:space="0" w:color="auto"/>
      </w:divBdr>
    </w:div>
    <w:div w:id="1078749244">
      <w:bodyDiv w:val="1"/>
      <w:marLeft w:val="0"/>
      <w:marRight w:val="0"/>
      <w:marTop w:val="0"/>
      <w:marBottom w:val="0"/>
      <w:divBdr>
        <w:top w:val="none" w:sz="0" w:space="0" w:color="auto"/>
        <w:left w:val="none" w:sz="0" w:space="0" w:color="auto"/>
        <w:bottom w:val="none" w:sz="0" w:space="0" w:color="auto"/>
        <w:right w:val="none" w:sz="0" w:space="0" w:color="auto"/>
      </w:divBdr>
    </w:div>
    <w:div w:id="1089543120">
      <w:bodyDiv w:val="1"/>
      <w:marLeft w:val="0"/>
      <w:marRight w:val="0"/>
      <w:marTop w:val="0"/>
      <w:marBottom w:val="0"/>
      <w:divBdr>
        <w:top w:val="none" w:sz="0" w:space="0" w:color="auto"/>
        <w:left w:val="none" w:sz="0" w:space="0" w:color="auto"/>
        <w:bottom w:val="none" w:sz="0" w:space="0" w:color="auto"/>
        <w:right w:val="none" w:sz="0" w:space="0" w:color="auto"/>
      </w:divBdr>
    </w:div>
    <w:div w:id="1090004299">
      <w:bodyDiv w:val="1"/>
      <w:marLeft w:val="0"/>
      <w:marRight w:val="0"/>
      <w:marTop w:val="0"/>
      <w:marBottom w:val="0"/>
      <w:divBdr>
        <w:top w:val="none" w:sz="0" w:space="0" w:color="auto"/>
        <w:left w:val="none" w:sz="0" w:space="0" w:color="auto"/>
        <w:bottom w:val="none" w:sz="0" w:space="0" w:color="auto"/>
        <w:right w:val="none" w:sz="0" w:space="0" w:color="auto"/>
      </w:divBdr>
    </w:div>
    <w:div w:id="1095515716">
      <w:bodyDiv w:val="1"/>
      <w:marLeft w:val="0"/>
      <w:marRight w:val="0"/>
      <w:marTop w:val="0"/>
      <w:marBottom w:val="0"/>
      <w:divBdr>
        <w:top w:val="none" w:sz="0" w:space="0" w:color="auto"/>
        <w:left w:val="none" w:sz="0" w:space="0" w:color="auto"/>
        <w:bottom w:val="none" w:sz="0" w:space="0" w:color="auto"/>
        <w:right w:val="none" w:sz="0" w:space="0" w:color="auto"/>
      </w:divBdr>
    </w:div>
    <w:div w:id="1103184751">
      <w:bodyDiv w:val="1"/>
      <w:marLeft w:val="0"/>
      <w:marRight w:val="0"/>
      <w:marTop w:val="0"/>
      <w:marBottom w:val="0"/>
      <w:divBdr>
        <w:top w:val="none" w:sz="0" w:space="0" w:color="auto"/>
        <w:left w:val="none" w:sz="0" w:space="0" w:color="auto"/>
        <w:bottom w:val="none" w:sz="0" w:space="0" w:color="auto"/>
        <w:right w:val="none" w:sz="0" w:space="0" w:color="auto"/>
      </w:divBdr>
    </w:div>
    <w:div w:id="1123385279">
      <w:bodyDiv w:val="1"/>
      <w:marLeft w:val="0"/>
      <w:marRight w:val="0"/>
      <w:marTop w:val="0"/>
      <w:marBottom w:val="0"/>
      <w:divBdr>
        <w:top w:val="none" w:sz="0" w:space="0" w:color="auto"/>
        <w:left w:val="none" w:sz="0" w:space="0" w:color="auto"/>
        <w:bottom w:val="none" w:sz="0" w:space="0" w:color="auto"/>
        <w:right w:val="none" w:sz="0" w:space="0" w:color="auto"/>
      </w:divBdr>
    </w:div>
    <w:div w:id="1130168927">
      <w:bodyDiv w:val="1"/>
      <w:marLeft w:val="0"/>
      <w:marRight w:val="0"/>
      <w:marTop w:val="0"/>
      <w:marBottom w:val="0"/>
      <w:divBdr>
        <w:top w:val="none" w:sz="0" w:space="0" w:color="auto"/>
        <w:left w:val="none" w:sz="0" w:space="0" w:color="auto"/>
        <w:bottom w:val="none" w:sz="0" w:space="0" w:color="auto"/>
        <w:right w:val="none" w:sz="0" w:space="0" w:color="auto"/>
      </w:divBdr>
    </w:div>
    <w:div w:id="1132290033">
      <w:bodyDiv w:val="1"/>
      <w:marLeft w:val="0"/>
      <w:marRight w:val="0"/>
      <w:marTop w:val="0"/>
      <w:marBottom w:val="0"/>
      <w:divBdr>
        <w:top w:val="none" w:sz="0" w:space="0" w:color="auto"/>
        <w:left w:val="none" w:sz="0" w:space="0" w:color="auto"/>
        <w:bottom w:val="none" w:sz="0" w:space="0" w:color="auto"/>
        <w:right w:val="none" w:sz="0" w:space="0" w:color="auto"/>
      </w:divBdr>
    </w:div>
    <w:div w:id="1139230644">
      <w:bodyDiv w:val="1"/>
      <w:marLeft w:val="0"/>
      <w:marRight w:val="0"/>
      <w:marTop w:val="0"/>
      <w:marBottom w:val="0"/>
      <w:divBdr>
        <w:top w:val="none" w:sz="0" w:space="0" w:color="auto"/>
        <w:left w:val="none" w:sz="0" w:space="0" w:color="auto"/>
        <w:bottom w:val="none" w:sz="0" w:space="0" w:color="auto"/>
        <w:right w:val="none" w:sz="0" w:space="0" w:color="auto"/>
      </w:divBdr>
    </w:div>
    <w:div w:id="1146170701">
      <w:bodyDiv w:val="1"/>
      <w:marLeft w:val="0"/>
      <w:marRight w:val="0"/>
      <w:marTop w:val="0"/>
      <w:marBottom w:val="0"/>
      <w:divBdr>
        <w:top w:val="none" w:sz="0" w:space="0" w:color="auto"/>
        <w:left w:val="none" w:sz="0" w:space="0" w:color="auto"/>
        <w:bottom w:val="none" w:sz="0" w:space="0" w:color="auto"/>
        <w:right w:val="none" w:sz="0" w:space="0" w:color="auto"/>
      </w:divBdr>
    </w:div>
    <w:div w:id="1161654533">
      <w:bodyDiv w:val="1"/>
      <w:marLeft w:val="0"/>
      <w:marRight w:val="0"/>
      <w:marTop w:val="0"/>
      <w:marBottom w:val="0"/>
      <w:divBdr>
        <w:top w:val="none" w:sz="0" w:space="0" w:color="auto"/>
        <w:left w:val="none" w:sz="0" w:space="0" w:color="auto"/>
        <w:bottom w:val="none" w:sz="0" w:space="0" w:color="auto"/>
        <w:right w:val="none" w:sz="0" w:space="0" w:color="auto"/>
      </w:divBdr>
    </w:div>
    <w:div w:id="1171136842">
      <w:bodyDiv w:val="1"/>
      <w:marLeft w:val="0"/>
      <w:marRight w:val="0"/>
      <w:marTop w:val="0"/>
      <w:marBottom w:val="0"/>
      <w:divBdr>
        <w:top w:val="none" w:sz="0" w:space="0" w:color="auto"/>
        <w:left w:val="none" w:sz="0" w:space="0" w:color="auto"/>
        <w:bottom w:val="none" w:sz="0" w:space="0" w:color="auto"/>
        <w:right w:val="none" w:sz="0" w:space="0" w:color="auto"/>
      </w:divBdr>
    </w:div>
    <w:div w:id="1172599107">
      <w:bodyDiv w:val="1"/>
      <w:marLeft w:val="0"/>
      <w:marRight w:val="0"/>
      <w:marTop w:val="0"/>
      <w:marBottom w:val="0"/>
      <w:divBdr>
        <w:top w:val="none" w:sz="0" w:space="0" w:color="auto"/>
        <w:left w:val="none" w:sz="0" w:space="0" w:color="auto"/>
        <w:bottom w:val="none" w:sz="0" w:space="0" w:color="auto"/>
        <w:right w:val="none" w:sz="0" w:space="0" w:color="auto"/>
      </w:divBdr>
    </w:div>
    <w:div w:id="1173764546">
      <w:bodyDiv w:val="1"/>
      <w:marLeft w:val="0"/>
      <w:marRight w:val="0"/>
      <w:marTop w:val="0"/>
      <w:marBottom w:val="0"/>
      <w:divBdr>
        <w:top w:val="none" w:sz="0" w:space="0" w:color="auto"/>
        <w:left w:val="none" w:sz="0" w:space="0" w:color="auto"/>
        <w:bottom w:val="none" w:sz="0" w:space="0" w:color="auto"/>
        <w:right w:val="none" w:sz="0" w:space="0" w:color="auto"/>
      </w:divBdr>
    </w:div>
    <w:div w:id="1175922865">
      <w:bodyDiv w:val="1"/>
      <w:marLeft w:val="0"/>
      <w:marRight w:val="0"/>
      <w:marTop w:val="0"/>
      <w:marBottom w:val="0"/>
      <w:divBdr>
        <w:top w:val="none" w:sz="0" w:space="0" w:color="auto"/>
        <w:left w:val="none" w:sz="0" w:space="0" w:color="auto"/>
        <w:bottom w:val="none" w:sz="0" w:space="0" w:color="auto"/>
        <w:right w:val="none" w:sz="0" w:space="0" w:color="auto"/>
      </w:divBdr>
    </w:div>
    <w:div w:id="1188909708">
      <w:bodyDiv w:val="1"/>
      <w:marLeft w:val="0"/>
      <w:marRight w:val="0"/>
      <w:marTop w:val="0"/>
      <w:marBottom w:val="0"/>
      <w:divBdr>
        <w:top w:val="none" w:sz="0" w:space="0" w:color="auto"/>
        <w:left w:val="none" w:sz="0" w:space="0" w:color="auto"/>
        <w:bottom w:val="none" w:sz="0" w:space="0" w:color="auto"/>
        <w:right w:val="none" w:sz="0" w:space="0" w:color="auto"/>
      </w:divBdr>
    </w:div>
    <w:div w:id="1197545045">
      <w:bodyDiv w:val="1"/>
      <w:marLeft w:val="0"/>
      <w:marRight w:val="0"/>
      <w:marTop w:val="0"/>
      <w:marBottom w:val="0"/>
      <w:divBdr>
        <w:top w:val="none" w:sz="0" w:space="0" w:color="auto"/>
        <w:left w:val="none" w:sz="0" w:space="0" w:color="auto"/>
        <w:bottom w:val="none" w:sz="0" w:space="0" w:color="auto"/>
        <w:right w:val="none" w:sz="0" w:space="0" w:color="auto"/>
      </w:divBdr>
    </w:div>
    <w:div w:id="1204052066">
      <w:bodyDiv w:val="1"/>
      <w:marLeft w:val="0"/>
      <w:marRight w:val="0"/>
      <w:marTop w:val="0"/>
      <w:marBottom w:val="0"/>
      <w:divBdr>
        <w:top w:val="none" w:sz="0" w:space="0" w:color="auto"/>
        <w:left w:val="none" w:sz="0" w:space="0" w:color="auto"/>
        <w:bottom w:val="none" w:sz="0" w:space="0" w:color="auto"/>
        <w:right w:val="none" w:sz="0" w:space="0" w:color="auto"/>
      </w:divBdr>
    </w:div>
    <w:div w:id="1208251481">
      <w:bodyDiv w:val="1"/>
      <w:marLeft w:val="0"/>
      <w:marRight w:val="0"/>
      <w:marTop w:val="0"/>
      <w:marBottom w:val="0"/>
      <w:divBdr>
        <w:top w:val="none" w:sz="0" w:space="0" w:color="auto"/>
        <w:left w:val="none" w:sz="0" w:space="0" w:color="auto"/>
        <w:bottom w:val="none" w:sz="0" w:space="0" w:color="auto"/>
        <w:right w:val="none" w:sz="0" w:space="0" w:color="auto"/>
      </w:divBdr>
    </w:div>
    <w:div w:id="1216090903">
      <w:bodyDiv w:val="1"/>
      <w:marLeft w:val="0"/>
      <w:marRight w:val="0"/>
      <w:marTop w:val="0"/>
      <w:marBottom w:val="0"/>
      <w:divBdr>
        <w:top w:val="none" w:sz="0" w:space="0" w:color="auto"/>
        <w:left w:val="none" w:sz="0" w:space="0" w:color="auto"/>
        <w:bottom w:val="none" w:sz="0" w:space="0" w:color="auto"/>
        <w:right w:val="none" w:sz="0" w:space="0" w:color="auto"/>
      </w:divBdr>
    </w:div>
    <w:div w:id="1220020934">
      <w:bodyDiv w:val="1"/>
      <w:marLeft w:val="0"/>
      <w:marRight w:val="0"/>
      <w:marTop w:val="0"/>
      <w:marBottom w:val="0"/>
      <w:divBdr>
        <w:top w:val="none" w:sz="0" w:space="0" w:color="auto"/>
        <w:left w:val="none" w:sz="0" w:space="0" w:color="auto"/>
        <w:bottom w:val="none" w:sz="0" w:space="0" w:color="auto"/>
        <w:right w:val="none" w:sz="0" w:space="0" w:color="auto"/>
      </w:divBdr>
    </w:div>
    <w:div w:id="1226259635">
      <w:bodyDiv w:val="1"/>
      <w:marLeft w:val="0"/>
      <w:marRight w:val="0"/>
      <w:marTop w:val="0"/>
      <w:marBottom w:val="0"/>
      <w:divBdr>
        <w:top w:val="none" w:sz="0" w:space="0" w:color="auto"/>
        <w:left w:val="none" w:sz="0" w:space="0" w:color="auto"/>
        <w:bottom w:val="none" w:sz="0" w:space="0" w:color="auto"/>
        <w:right w:val="none" w:sz="0" w:space="0" w:color="auto"/>
      </w:divBdr>
    </w:div>
    <w:div w:id="1248727711">
      <w:bodyDiv w:val="1"/>
      <w:marLeft w:val="0"/>
      <w:marRight w:val="0"/>
      <w:marTop w:val="0"/>
      <w:marBottom w:val="0"/>
      <w:divBdr>
        <w:top w:val="none" w:sz="0" w:space="0" w:color="auto"/>
        <w:left w:val="none" w:sz="0" w:space="0" w:color="auto"/>
        <w:bottom w:val="none" w:sz="0" w:space="0" w:color="auto"/>
        <w:right w:val="none" w:sz="0" w:space="0" w:color="auto"/>
      </w:divBdr>
    </w:div>
    <w:div w:id="1249652075">
      <w:bodyDiv w:val="1"/>
      <w:marLeft w:val="0"/>
      <w:marRight w:val="0"/>
      <w:marTop w:val="0"/>
      <w:marBottom w:val="0"/>
      <w:divBdr>
        <w:top w:val="none" w:sz="0" w:space="0" w:color="auto"/>
        <w:left w:val="none" w:sz="0" w:space="0" w:color="auto"/>
        <w:bottom w:val="none" w:sz="0" w:space="0" w:color="auto"/>
        <w:right w:val="none" w:sz="0" w:space="0" w:color="auto"/>
      </w:divBdr>
    </w:div>
    <w:div w:id="1255749853">
      <w:bodyDiv w:val="1"/>
      <w:marLeft w:val="0"/>
      <w:marRight w:val="0"/>
      <w:marTop w:val="0"/>
      <w:marBottom w:val="0"/>
      <w:divBdr>
        <w:top w:val="none" w:sz="0" w:space="0" w:color="auto"/>
        <w:left w:val="none" w:sz="0" w:space="0" w:color="auto"/>
        <w:bottom w:val="none" w:sz="0" w:space="0" w:color="auto"/>
        <w:right w:val="none" w:sz="0" w:space="0" w:color="auto"/>
      </w:divBdr>
    </w:div>
    <w:div w:id="1260062483">
      <w:bodyDiv w:val="1"/>
      <w:marLeft w:val="0"/>
      <w:marRight w:val="0"/>
      <w:marTop w:val="0"/>
      <w:marBottom w:val="0"/>
      <w:divBdr>
        <w:top w:val="none" w:sz="0" w:space="0" w:color="auto"/>
        <w:left w:val="none" w:sz="0" w:space="0" w:color="auto"/>
        <w:bottom w:val="none" w:sz="0" w:space="0" w:color="auto"/>
        <w:right w:val="none" w:sz="0" w:space="0" w:color="auto"/>
      </w:divBdr>
    </w:div>
    <w:div w:id="1266886604">
      <w:bodyDiv w:val="1"/>
      <w:marLeft w:val="0"/>
      <w:marRight w:val="0"/>
      <w:marTop w:val="0"/>
      <w:marBottom w:val="0"/>
      <w:divBdr>
        <w:top w:val="none" w:sz="0" w:space="0" w:color="auto"/>
        <w:left w:val="none" w:sz="0" w:space="0" w:color="auto"/>
        <w:bottom w:val="none" w:sz="0" w:space="0" w:color="auto"/>
        <w:right w:val="none" w:sz="0" w:space="0" w:color="auto"/>
      </w:divBdr>
    </w:div>
    <w:div w:id="1276014419">
      <w:bodyDiv w:val="1"/>
      <w:marLeft w:val="0"/>
      <w:marRight w:val="0"/>
      <w:marTop w:val="0"/>
      <w:marBottom w:val="0"/>
      <w:divBdr>
        <w:top w:val="none" w:sz="0" w:space="0" w:color="auto"/>
        <w:left w:val="none" w:sz="0" w:space="0" w:color="auto"/>
        <w:bottom w:val="none" w:sz="0" w:space="0" w:color="auto"/>
        <w:right w:val="none" w:sz="0" w:space="0" w:color="auto"/>
      </w:divBdr>
    </w:div>
    <w:div w:id="1279028828">
      <w:bodyDiv w:val="1"/>
      <w:marLeft w:val="0"/>
      <w:marRight w:val="0"/>
      <w:marTop w:val="0"/>
      <w:marBottom w:val="0"/>
      <w:divBdr>
        <w:top w:val="none" w:sz="0" w:space="0" w:color="auto"/>
        <w:left w:val="none" w:sz="0" w:space="0" w:color="auto"/>
        <w:bottom w:val="none" w:sz="0" w:space="0" w:color="auto"/>
        <w:right w:val="none" w:sz="0" w:space="0" w:color="auto"/>
      </w:divBdr>
    </w:div>
    <w:div w:id="1279919198">
      <w:bodyDiv w:val="1"/>
      <w:marLeft w:val="0"/>
      <w:marRight w:val="0"/>
      <w:marTop w:val="0"/>
      <w:marBottom w:val="0"/>
      <w:divBdr>
        <w:top w:val="none" w:sz="0" w:space="0" w:color="auto"/>
        <w:left w:val="none" w:sz="0" w:space="0" w:color="auto"/>
        <w:bottom w:val="none" w:sz="0" w:space="0" w:color="auto"/>
        <w:right w:val="none" w:sz="0" w:space="0" w:color="auto"/>
      </w:divBdr>
    </w:div>
    <w:div w:id="1284927047">
      <w:bodyDiv w:val="1"/>
      <w:marLeft w:val="0"/>
      <w:marRight w:val="0"/>
      <w:marTop w:val="0"/>
      <w:marBottom w:val="0"/>
      <w:divBdr>
        <w:top w:val="none" w:sz="0" w:space="0" w:color="auto"/>
        <w:left w:val="none" w:sz="0" w:space="0" w:color="auto"/>
        <w:bottom w:val="none" w:sz="0" w:space="0" w:color="auto"/>
        <w:right w:val="none" w:sz="0" w:space="0" w:color="auto"/>
      </w:divBdr>
    </w:div>
    <w:div w:id="1291131104">
      <w:bodyDiv w:val="1"/>
      <w:marLeft w:val="0"/>
      <w:marRight w:val="0"/>
      <w:marTop w:val="0"/>
      <w:marBottom w:val="0"/>
      <w:divBdr>
        <w:top w:val="none" w:sz="0" w:space="0" w:color="auto"/>
        <w:left w:val="none" w:sz="0" w:space="0" w:color="auto"/>
        <w:bottom w:val="none" w:sz="0" w:space="0" w:color="auto"/>
        <w:right w:val="none" w:sz="0" w:space="0" w:color="auto"/>
      </w:divBdr>
    </w:div>
    <w:div w:id="1304851046">
      <w:bodyDiv w:val="1"/>
      <w:marLeft w:val="0"/>
      <w:marRight w:val="0"/>
      <w:marTop w:val="0"/>
      <w:marBottom w:val="0"/>
      <w:divBdr>
        <w:top w:val="none" w:sz="0" w:space="0" w:color="auto"/>
        <w:left w:val="none" w:sz="0" w:space="0" w:color="auto"/>
        <w:bottom w:val="none" w:sz="0" w:space="0" w:color="auto"/>
        <w:right w:val="none" w:sz="0" w:space="0" w:color="auto"/>
      </w:divBdr>
    </w:div>
    <w:div w:id="1307736689">
      <w:bodyDiv w:val="1"/>
      <w:marLeft w:val="0"/>
      <w:marRight w:val="0"/>
      <w:marTop w:val="0"/>
      <w:marBottom w:val="0"/>
      <w:divBdr>
        <w:top w:val="none" w:sz="0" w:space="0" w:color="auto"/>
        <w:left w:val="none" w:sz="0" w:space="0" w:color="auto"/>
        <w:bottom w:val="none" w:sz="0" w:space="0" w:color="auto"/>
        <w:right w:val="none" w:sz="0" w:space="0" w:color="auto"/>
      </w:divBdr>
    </w:div>
    <w:div w:id="1338654597">
      <w:bodyDiv w:val="1"/>
      <w:marLeft w:val="0"/>
      <w:marRight w:val="0"/>
      <w:marTop w:val="0"/>
      <w:marBottom w:val="0"/>
      <w:divBdr>
        <w:top w:val="none" w:sz="0" w:space="0" w:color="auto"/>
        <w:left w:val="none" w:sz="0" w:space="0" w:color="auto"/>
        <w:bottom w:val="none" w:sz="0" w:space="0" w:color="auto"/>
        <w:right w:val="none" w:sz="0" w:space="0" w:color="auto"/>
      </w:divBdr>
    </w:div>
    <w:div w:id="1368676949">
      <w:bodyDiv w:val="1"/>
      <w:marLeft w:val="0"/>
      <w:marRight w:val="0"/>
      <w:marTop w:val="0"/>
      <w:marBottom w:val="0"/>
      <w:divBdr>
        <w:top w:val="none" w:sz="0" w:space="0" w:color="auto"/>
        <w:left w:val="none" w:sz="0" w:space="0" w:color="auto"/>
        <w:bottom w:val="none" w:sz="0" w:space="0" w:color="auto"/>
        <w:right w:val="none" w:sz="0" w:space="0" w:color="auto"/>
      </w:divBdr>
    </w:div>
    <w:div w:id="1373729310">
      <w:bodyDiv w:val="1"/>
      <w:marLeft w:val="0"/>
      <w:marRight w:val="0"/>
      <w:marTop w:val="0"/>
      <w:marBottom w:val="0"/>
      <w:divBdr>
        <w:top w:val="none" w:sz="0" w:space="0" w:color="auto"/>
        <w:left w:val="none" w:sz="0" w:space="0" w:color="auto"/>
        <w:bottom w:val="none" w:sz="0" w:space="0" w:color="auto"/>
        <w:right w:val="none" w:sz="0" w:space="0" w:color="auto"/>
      </w:divBdr>
    </w:div>
    <w:div w:id="1375347627">
      <w:bodyDiv w:val="1"/>
      <w:marLeft w:val="0"/>
      <w:marRight w:val="0"/>
      <w:marTop w:val="0"/>
      <w:marBottom w:val="0"/>
      <w:divBdr>
        <w:top w:val="none" w:sz="0" w:space="0" w:color="auto"/>
        <w:left w:val="none" w:sz="0" w:space="0" w:color="auto"/>
        <w:bottom w:val="none" w:sz="0" w:space="0" w:color="auto"/>
        <w:right w:val="none" w:sz="0" w:space="0" w:color="auto"/>
      </w:divBdr>
    </w:div>
    <w:div w:id="1390152956">
      <w:bodyDiv w:val="1"/>
      <w:marLeft w:val="0"/>
      <w:marRight w:val="0"/>
      <w:marTop w:val="0"/>
      <w:marBottom w:val="0"/>
      <w:divBdr>
        <w:top w:val="none" w:sz="0" w:space="0" w:color="auto"/>
        <w:left w:val="none" w:sz="0" w:space="0" w:color="auto"/>
        <w:bottom w:val="none" w:sz="0" w:space="0" w:color="auto"/>
        <w:right w:val="none" w:sz="0" w:space="0" w:color="auto"/>
      </w:divBdr>
    </w:div>
    <w:div w:id="1391802356">
      <w:bodyDiv w:val="1"/>
      <w:marLeft w:val="0"/>
      <w:marRight w:val="0"/>
      <w:marTop w:val="0"/>
      <w:marBottom w:val="0"/>
      <w:divBdr>
        <w:top w:val="none" w:sz="0" w:space="0" w:color="auto"/>
        <w:left w:val="none" w:sz="0" w:space="0" w:color="auto"/>
        <w:bottom w:val="none" w:sz="0" w:space="0" w:color="auto"/>
        <w:right w:val="none" w:sz="0" w:space="0" w:color="auto"/>
      </w:divBdr>
    </w:div>
    <w:div w:id="1392269318">
      <w:bodyDiv w:val="1"/>
      <w:marLeft w:val="0"/>
      <w:marRight w:val="0"/>
      <w:marTop w:val="0"/>
      <w:marBottom w:val="0"/>
      <w:divBdr>
        <w:top w:val="none" w:sz="0" w:space="0" w:color="auto"/>
        <w:left w:val="none" w:sz="0" w:space="0" w:color="auto"/>
        <w:bottom w:val="none" w:sz="0" w:space="0" w:color="auto"/>
        <w:right w:val="none" w:sz="0" w:space="0" w:color="auto"/>
      </w:divBdr>
    </w:div>
    <w:div w:id="1405450384">
      <w:bodyDiv w:val="1"/>
      <w:marLeft w:val="0"/>
      <w:marRight w:val="0"/>
      <w:marTop w:val="0"/>
      <w:marBottom w:val="0"/>
      <w:divBdr>
        <w:top w:val="none" w:sz="0" w:space="0" w:color="auto"/>
        <w:left w:val="none" w:sz="0" w:space="0" w:color="auto"/>
        <w:bottom w:val="none" w:sz="0" w:space="0" w:color="auto"/>
        <w:right w:val="none" w:sz="0" w:space="0" w:color="auto"/>
      </w:divBdr>
    </w:div>
    <w:div w:id="1406801342">
      <w:bodyDiv w:val="1"/>
      <w:marLeft w:val="0"/>
      <w:marRight w:val="0"/>
      <w:marTop w:val="0"/>
      <w:marBottom w:val="0"/>
      <w:divBdr>
        <w:top w:val="none" w:sz="0" w:space="0" w:color="auto"/>
        <w:left w:val="none" w:sz="0" w:space="0" w:color="auto"/>
        <w:bottom w:val="none" w:sz="0" w:space="0" w:color="auto"/>
        <w:right w:val="none" w:sz="0" w:space="0" w:color="auto"/>
      </w:divBdr>
    </w:div>
    <w:div w:id="1409424555">
      <w:bodyDiv w:val="1"/>
      <w:marLeft w:val="0"/>
      <w:marRight w:val="0"/>
      <w:marTop w:val="0"/>
      <w:marBottom w:val="0"/>
      <w:divBdr>
        <w:top w:val="none" w:sz="0" w:space="0" w:color="auto"/>
        <w:left w:val="none" w:sz="0" w:space="0" w:color="auto"/>
        <w:bottom w:val="none" w:sz="0" w:space="0" w:color="auto"/>
        <w:right w:val="none" w:sz="0" w:space="0" w:color="auto"/>
      </w:divBdr>
    </w:div>
    <w:div w:id="1416127294">
      <w:bodyDiv w:val="1"/>
      <w:marLeft w:val="0"/>
      <w:marRight w:val="0"/>
      <w:marTop w:val="0"/>
      <w:marBottom w:val="0"/>
      <w:divBdr>
        <w:top w:val="none" w:sz="0" w:space="0" w:color="auto"/>
        <w:left w:val="none" w:sz="0" w:space="0" w:color="auto"/>
        <w:bottom w:val="none" w:sz="0" w:space="0" w:color="auto"/>
        <w:right w:val="none" w:sz="0" w:space="0" w:color="auto"/>
      </w:divBdr>
    </w:div>
    <w:div w:id="1421831487">
      <w:bodyDiv w:val="1"/>
      <w:marLeft w:val="0"/>
      <w:marRight w:val="0"/>
      <w:marTop w:val="0"/>
      <w:marBottom w:val="0"/>
      <w:divBdr>
        <w:top w:val="none" w:sz="0" w:space="0" w:color="auto"/>
        <w:left w:val="none" w:sz="0" w:space="0" w:color="auto"/>
        <w:bottom w:val="none" w:sz="0" w:space="0" w:color="auto"/>
        <w:right w:val="none" w:sz="0" w:space="0" w:color="auto"/>
      </w:divBdr>
    </w:div>
    <w:div w:id="1436095720">
      <w:bodyDiv w:val="1"/>
      <w:marLeft w:val="0"/>
      <w:marRight w:val="0"/>
      <w:marTop w:val="0"/>
      <w:marBottom w:val="0"/>
      <w:divBdr>
        <w:top w:val="none" w:sz="0" w:space="0" w:color="auto"/>
        <w:left w:val="none" w:sz="0" w:space="0" w:color="auto"/>
        <w:bottom w:val="none" w:sz="0" w:space="0" w:color="auto"/>
        <w:right w:val="none" w:sz="0" w:space="0" w:color="auto"/>
      </w:divBdr>
    </w:div>
    <w:div w:id="1441142031">
      <w:bodyDiv w:val="1"/>
      <w:marLeft w:val="0"/>
      <w:marRight w:val="0"/>
      <w:marTop w:val="0"/>
      <w:marBottom w:val="0"/>
      <w:divBdr>
        <w:top w:val="none" w:sz="0" w:space="0" w:color="auto"/>
        <w:left w:val="none" w:sz="0" w:space="0" w:color="auto"/>
        <w:bottom w:val="none" w:sz="0" w:space="0" w:color="auto"/>
        <w:right w:val="none" w:sz="0" w:space="0" w:color="auto"/>
      </w:divBdr>
    </w:div>
    <w:div w:id="1448699866">
      <w:bodyDiv w:val="1"/>
      <w:marLeft w:val="0"/>
      <w:marRight w:val="0"/>
      <w:marTop w:val="0"/>
      <w:marBottom w:val="0"/>
      <w:divBdr>
        <w:top w:val="none" w:sz="0" w:space="0" w:color="auto"/>
        <w:left w:val="none" w:sz="0" w:space="0" w:color="auto"/>
        <w:bottom w:val="none" w:sz="0" w:space="0" w:color="auto"/>
        <w:right w:val="none" w:sz="0" w:space="0" w:color="auto"/>
      </w:divBdr>
    </w:div>
    <w:div w:id="1454518342">
      <w:bodyDiv w:val="1"/>
      <w:marLeft w:val="0"/>
      <w:marRight w:val="0"/>
      <w:marTop w:val="0"/>
      <w:marBottom w:val="0"/>
      <w:divBdr>
        <w:top w:val="none" w:sz="0" w:space="0" w:color="auto"/>
        <w:left w:val="none" w:sz="0" w:space="0" w:color="auto"/>
        <w:bottom w:val="none" w:sz="0" w:space="0" w:color="auto"/>
        <w:right w:val="none" w:sz="0" w:space="0" w:color="auto"/>
      </w:divBdr>
    </w:div>
    <w:div w:id="1460755889">
      <w:bodyDiv w:val="1"/>
      <w:marLeft w:val="0"/>
      <w:marRight w:val="0"/>
      <w:marTop w:val="0"/>
      <w:marBottom w:val="0"/>
      <w:divBdr>
        <w:top w:val="none" w:sz="0" w:space="0" w:color="auto"/>
        <w:left w:val="none" w:sz="0" w:space="0" w:color="auto"/>
        <w:bottom w:val="none" w:sz="0" w:space="0" w:color="auto"/>
        <w:right w:val="none" w:sz="0" w:space="0" w:color="auto"/>
      </w:divBdr>
    </w:div>
    <w:div w:id="1478453266">
      <w:bodyDiv w:val="1"/>
      <w:marLeft w:val="0"/>
      <w:marRight w:val="0"/>
      <w:marTop w:val="0"/>
      <w:marBottom w:val="0"/>
      <w:divBdr>
        <w:top w:val="none" w:sz="0" w:space="0" w:color="auto"/>
        <w:left w:val="none" w:sz="0" w:space="0" w:color="auto"/>
        <w:bottom w:val="none" w:sz="0" w:space="0" w:color="auto"/>
        <w:right w:val="none" w:sz="0" w:space="0" w:color="auto"/>
      </w:divBdr>
    </w:div>
    <w:div w:id="1499072557">
      <w:bodyDiv w:val="1"/>
      <w:marLeft w:val="0"/>
      <w:marRight w:val="0"/>
      <w:marTop w:val="0"/>
      <w:marBottom w:val="0"/>
      <w:divBdr>
        <w:top w:val="none" w:sz="0" w:space="0" w:color="auto"/>
        <w:left w:val="none" w:sz="0" w:space="0" w:color="auto"/>
        <w:bottom w:val="none" w:sz="0" w:space="0" w:color="auto"/>
        <w:right w:val="none" w:sz="0" w:space="0" w:color="auto"/>
      </w:divBdr>
    </w:div>
    <w:div w:id="1502894502">
      <w:bodyDiv w:val="1"/>
      <w:marLeft w:val="0"/>
      <w:marRight w:val="0"/>
      <w:marTop w:val="0"/>
      <w:marBottom w:val="0"/>
      <w:divBdr>
        <w:top w:val="none" w:sz="0" w:space="0" w:color="auto"/>
        <w:left w:val="none" w:sz="0" w:space="0" w:color="auto"/>
        <w:bottom w:val="none" w:sz="0" w:space="0" w:color="auto"/>
        <w:right w:val="none" w:sz="0" w:space="0" w:color="auto"/>
      </w:divBdr>
    </w:div>
    <w:div w:id="1525631013">
      <w:bodyDiv w:val="1"/>
      <w:marLeft w:val="0"/>
      <w:marRight w:val="0"/>
      <w:marTop w:val="0"/>
      <w:marBottom w:val="0"/>
      <w:divBdr>
        <w:top w:val="none" w:sz="0" w:space="0" w:color="auto"/>
        <w:left w:val="none" w:sz="0" w:space="0" w:color="auto"/>
        <w:bottom w:val="none" w:sz="0" w:space="0" w:color="auto"/>
        <w:right w:val="none" w:sz="0" w:space="0" w:color="auto"/>
      </w:divBdr>
    </w:div>
    <w:div w:id="1526404767">
      <w:bodyDiv w:val="1"/>
      <w:marLeft w:val="0"/>
      <w:marRight w:val="0"/>
      <w:marTop w:val="0"/>
      <w:marBottom w:val="0"/>
      <w:divBdr>
        <w:top w:val="none" w:sz="0" w:space="0" w:color="auto"/>
        <w:left w:val="none" w:sz="0" w:space="0" w:color="auto"/>
        <w:bottom w:val="none" w:sz="0" w:space="0" w:color="auto"/>
        <w:right w:val="none" w:sz="0" w:space="0" w:color="auto"/>
      </w:divBdr>
    </w:div>
    <w:div w:id="1528522093">
      <w:bodyDiv w:val="1"/>
      <w:marLeft w:val="0"/>
      <w:marRight w:val="0"/>
      <w:marTop w:val="0"/>
      <w:marBottom w:val="0"/>
      <w:divBdr>
        <w:top w:val="none" w:sz="0" w:space="0" w:color="auto"/>
        <w:left w:val="none" w:sz="0" w:space="0" w:color="auto"/>
        <w:bottom w:val="none" w:sz="0" w:space="0" w:color="auto"/>
        <w:right w:val="none" w:sz="0" w:space="0" w:color="auto"/>
      </w:divBdr>
    </w:div>
    <w:div w:id="1528980346">
      <w:bodyDiv w:val="1"/>
      <w:marLeft w:val="0"/>
      <w:marRight w:val="0"/>
      <w:marTop w:val="0"/>
      <w:marBottom w:val="0"/>
      <w:divBdr>
        <w:top w:val="none" w:sz="0" w:space="0" w:color="auto"/>
        <w:left w:val="none" w:sz="0" w:space="0" w:color="auto"/>
        <w:bottom w:val="none" w:sz="0" w:space="0" w:color="auto"/>
        <w:right w:val="none" w:sz="0" w:space="0" w:color="auto"/>
      </w:divBdr>
    </w:div>
    <w:div w:id="1530097555">
      <w:bodyDiv w:val="1"/>
      <w:marLeft w:val="0"/>
      <w:marRight w:val="0"/>
      <w:marTop w:val="0"/>
      <w:marBottom w:val="0"/>
      <w:divBdr>
        <w:top w:val="none" w:sz="0" w:space="0" w:color="auto"/>
        <w:left w:val="none" w:sz="0" w:space="0" w:color="auto"/>
        <w:bottom w:val="none" w:sz="0" w:space="0" w:color="auto"/>
        <w:right w:val="none" w:sz="0" w:space="0" w:color="auto"/>
      </w:divBdr>
    </w:div>
    <w:div w:id="1533305108">
      <w:bodyDiv w:val="1"/>
      <w:marLeft w:val="0"/>
      <w:marRight w:val="0"/>
      <w:marTop w:val="0"/>
      <w:marBottom w:val="0"/>
      <w:divBdr>
        <w:top w:val="none" w:sz="0" w:space="0" w:color="auto"/>
        <w:left w:val="none" w:sz="0" w:space="0" w:color="auto"/>
        <w:bottom w:val="none" w:sz="0" w:space="0" w:color="auto"/>
        <w:right w:val="none" w:sz="0" w:space="0" w:color="auto"/>
      </w:divBdr>
    </w:div>
    <w:div w:id="1554268412">
      <w:bodyDiv w:val="1"/>
      <w:marLeft w:val="0"/>
      <w:marRight w:val="0"/>
      <w:marTop w:val="0"/>
      <w:marBottom w:val="0"/>
      <w:divBdr>
        <w:top w:val="none" w:sz="0" w:space="0" w:color="auto"/>
        <w:left w:val="none" w:sz="0" w:space="0" w:color="auto"/>
        <w:bottom w:val="none" w:sz="0" w:space="0" w:color="auto"/>
        <w:right w:val="none" w:sz="0" w:space="0" w:color="auto"/>
      </w:divBdr>
    </w:div>
    <w:div w:id="1563514871">
      <w:bodyDiv w:val="1"/>
      <w:marLeft w:val="0"/>
      <w:marRight w:val="0"/>
      <w:marTop w:val="0"/>
      <w:marBottom w:val="0"/>
      <w:divBdr>
        <w:top w:val="none" w:sz="0" w:space="0" w:color="auto"/>
        <w:left w:val="none" w:sz="0" w:space="0" w:color="auto"/>
        <w:bottom w:val="none" w:sz="0" w:space="0" w:color="auto"/>
        <w:right w:val="none" w:sz="0" w:space="0" w:color="auto"/>
      </w:divBdr>
    </w:div>
    <w:div w:id="1568221327">
      <w:bodyDiv w:val="1"/>
      <w:marLeft w:val="0"/>
      <w:marRight w:val="0"/>
      <w:marTop w:val="0"/>
      <w:marBottom w:val="0"/>
      <w:divBdr>
        <w:top w:val="none" w:sz="0" w:space="0" w:color="auto"/>
        <w:left w:val="none" w:sz="0" w:space="0" w:color="auto"/>
        <w:bottom w:val="none" w:sz="0" w:space="0" w:color="auto"/>
        <w:right w:val="none" w:sz="0" w:space="0" w:color="auto"/>
      </w:divBdr>
    </w:div>
    <w:div w:id="1578901389">
      <w:bodyDiv w:val="1"/>
      <w:marLeft w:val="0"/>
      <w:marRight w:val="0"/>
      <w:marTop w:val="0"/>
      <w:marBottom w:val="0"/>
      <w:divBdr>
        <w:top w:val="none" w:sz="0" w:space="0" w:color="auto"/>
        <w:left w:val="none" w:sz="0" w:space="0" w:color="auto"/>
        <w:bottom w:val="none" w:sz="0" w:space="0" w:color="auto"/>
        <w:right w:val="none" w:sz="0" w:space="0" w:color="auto"/>
      </w:divBdr>
    </w:div>
    <w:div w:id="1585722141">
      <w:bodyDiv w:val="1"/>
      <w:marLeft w:val="0"/>
      <w:marRight w:val="0"/>
      <w:marTop w:val="0"/>
      <w:marBottom w:val="0"/>
      <w:divBdr>
        <w:top w:val="none" w:sz="0" w:space="0" w:color="auto"/>
        <w:left w:val="none" w:sz="0" w:space="0" w:color="auto"/>
        <w:bottom w:val="none" w:sz="0" w:space="0" w:color="auto"/>
        <w:right w:val="none" w:sz="0" w:space="0" w:color="auto"/>
      </w:divBdr>
    </w:div>
    <w:div w:id="1587105120">
      <w:bodyDiv w:val="1"/>
      <w:marLeft w:val="0"/>
      <w:marRight w:val="0"/>
      <w:marTop w:val="0"/>
      <w:marBottom w:val="0"/>
      <w:divBdr>
        <w:top w:val="none" w:sz="0" w:space="0" w:color="auto"/>
        <w:left w:val="none" w:sz="0" w:space="0" w:color="auto"/>
        <w:bottom w:val="none" w:sz="0" w:space="0" w:color="auto"/>
        <w:right w:val="none" w:sz="0" w:space="0" w:color="auto"/>
      </w:divBdr>
    </w:div>
    <w:div w:id="1588996056">
      <w:bodyDiv w:val="1"/>
      <w:marLeft w:val="0"/>
      <w:marRight w:val="0"/>
      <w:marTop w:val="0"/>
      <w:marBottom w:val="0"/>
      <w:divBdr>
        <w:top w:val="none" w:sz="0" w:space="0" w:color="auto"/>
        <w:left w:val="none" w:sz="0" w:space="0" w:color="auto"/>
        <w:bottom w:val="none" w:sz="0" w:space="0" w:color="auto"/>
        <w:right w:val="none" w:sz="0" w:space="0" w:color="auto"/>
      </w:divBdr>
    </w:div>
    <w:div w:id="1614744078">
      <w:bodyDiv w:val="1"/>
      <w:marLeft w:val="0"/>
      <w:marRight w:val="0"/>
      <w:marTop w:val="0"/>
      <w:marBottom w:val="0"/>
      <w:divBdr>
        <w:top w:val="none" w:sz="0" w:space="0" w:color="auto"/>
        <w:left w:val="none" w:sz="0" w:space="0" w:color="auto"/>
        <w:bottom w:val="none" w:sz="0" w:space="0" w:color="auto"/>
        <w:right w:val="none" w:sz="0" w:space="0" w:color="auto"/>
      </w:divBdr>
    </w:div>
    <w:div w:id="1625425842">
      <w:bodyDiv w:val="1"/>
      <w:marLeft w:val="0"/>
      <w:marRight w:val="0"/>
      <w:marTop w:val="0"/>
      <w:marBottom w:val="0"/>
      <w:divBdr>
        <w:top w:val="none" w:sz="0" w:space="0" w:color="auto"/>
        <w:left w:val="none" w:sz="0" w:space="0" w:color="auto"/>
        <w:bottom w:val="none" w:sz="0" w:space="0" w:color="auto"/>
        <w:right w:val="none" w:sz="0" w:space="0" w:color="auto"/>
      </w:divBdr>
    </w:div>
    <w:div w:id="1625693161">
      <w:bodyDiv w:val="1"/>
      <w:marLeft w:val="0"/>
      <w:marRight w:val="0"/>
      <w:marTop w:val="0"/>
      <w:marBottom w:val="0"/>
      <w:divBdr>
        <w:top w:val="none" w:sz="0" w:space="0" w:color="auto"/>
        <w:left w:val="none" w:sz="0" w:space="0" w:color="auto"/>
        <w:bottom w:val="none" w:sz="0" w:space="0" w:color="auto"/>
        <w:right w:val="none" w:sz="0" w:space="0" w:color="auto"/>
      </w:divBdr>
    </w:div>
    <w:div w:id="1625965470">
      <w:bodyDiv w:val="1"/>
      <w:marLeft w:val="0"/>
      <w:marRight w:val="0"/>
      <w:marTop w:val="0"/>
      <w:marBottom w:val="0"/>
      <w:divBdr>
        <w:top w:val="none" w:sz="0" w:space="0" w:color="auto"/>
        <w:left w:val="none" w:sz="0" w:space="0" w:color="auto"/>
        <w:bottom w:val="none" w:sz="0" w:space="0" w:color="auto"/>
        <w:right w:val="none" w:sz="0" w:space="0" w:color="auto"/>
      </w:divBdr>
    </w:div>
    <w:div w:id="1629583499">
      <w:bodyDiv w:val="1"/>
      <w:marLeft w:val="0"/>
      <w:marRight w:val="0"/>
      <w:marTop w:val="0"/>
      <w:marBottom w:val="0"/>
      <w:divBdr>
        <w:top w:val="none" w:sz="0" w:space="0" w:color="auto"/>
        <w:left w:val="none" w:sz="0" w:space="0" w:color="auto"/>
        <w:bottom w:val="none" w:sz="0" w:space="0" w:color="auto"/>
        <w:right w:val="none" w:sz="0" w:space="0" w:color="auto"/>
      </w:divBdr>
    </w:div>
    <w:div w:id="1653825613">
      <w:bodyDiv w:val="1"/>
      <w:marLeft w:val="0"/>
      <w:marRight w:val="0"/>
      <w:marTop w:val="0"/>
      <w:marBottom w:val="0"/>
      <w:divBdr>
        <w:top w:val="none" w:sz="0" w:space="0" w:color="auto"/>
        <w:left w:val="none" w:sz="0" w:space="0" w:color="auto"/>
        <w:bottom w:val="none" w:sz="0" w:space="0" w:color="auto"/>
        <w:right w:val="none" w:sz="0" w:space="0" w:color="auto"/>
      </w:divBdr>
    </w:div>
    <w:div w:id="1663390959">
      <w:bodyDiv w:val="1"/>
      <w:marLeft w:val="0"/>
      <w:marRight w:val="0"/>
      <w:marTop w:val="0"/>
      <w:marBottom w:val="0"/>
      <w:divBdr>
        <w:top w:val="none" w:sz="0" w:space="0" w:color="auto"/>
        <w:left w:val="none" w:sz="0" w:space="0" w:color="auto"/>
        <w:bottom w:val="none" w:sz="0" w:space="0" w:color="auto"/>
        <w:right w:val="none" w:sz="0" w:space="0" w:color="auto"/>
      </w:divBdr>
    </w:div>
    <w:div w:id="1670793242">
      <w:bodyDiv w:val="1"/>
      <w:marLeft w:val="0"/>
      <w:marRight w:val="0"/>
      <w:marTop w:val="0"/>
      <w:marBottom w:val="0"/>
      <w:divBdr>
        <w:top w:val="none" w:sz="0" w:space="0" w:color="auto"/>
        <w:left w:val="none" w:sz="0" w:space="0" w:color="auto"/>
        <w:bottom w:val="none" w:sz="0" w:space="0" w:color="auto"/>
        <w:right w:val="none" w:sz="0" w:space="0" w:color="auto"/>
      </w:divBdr>
    </w:div>
    <w:div w:id="1671980511">
      <w:bodyDiv w:val="1"/>
      <w:marLeft w:val="0"/>
      <w:marRight w:val="0"/>
      <w:marTop w:val="0"/>
      <w:marBottom w:val="0"/>
      <w:divBdr>
        <w:top w:val="none" w:sz="0" w:space="0" w:color="auto"/>
        <w:left w:val="none" w:sz="0" w:space="0" w:color="auto"/>
        <w:bottom w:val="none" w:sz="0" w:space="0" w:color="auto"/>
        <w:right w:val="none" w:sz="0" w:space="0" w:color="auto"/>
      </w:divBdr>
    </w:div>
    <w:div w:id="1681345378">
      <w:bodyDiv w:val="1"/>
      <w:marLeft w:val="0"/>
      <w:marRight w:val="0"/>
      <w:marTop w:val="0"/>
      <w:marBottom w:val="0"/>
      <w:divBdr>
        <w:top w:val="none" w:sz="0" w:space="0" w:color="auto"/>
        <w:left w:val="none" w:sz="0" w:space="0" w:color="auto"/>
        <w:bottom w:val="none" w:sz="0" w:space="0" w:color="auto"/>
        <w:right w:val="none" w:sz="0" w:space="0" w:color="auto"/>
      </w:divBdr>
    </w:div>
    <w:div w:id="1688754574">
      <w:bodyDiv w:val="1"/>
      <w:marLeft w:val="0"/>
      <w:marRight w:val="0"/>
      <w:marTop w:val="0"/>
      <w:marBottom w:val="0"/>
      <w:divBdr>
        <w:top w:val="none" w:sz="0" w:space="0" w:color="auto"/>
        <w:left w:val="none" w:sz="0" w:space="0" w:color="auto"/>
        <w:bottom w:val="none" w:sz="0" w:space="0" w:color="auto"/>
        <w:right w:val="none" w:sz="0" w:space="0" w:color="auto"/>
      </w:divBdr>
    </w:div>
    <w:div w:id="1692993446">
      <w:bodyDiv w:val="1"/>
      <w:marLeft w:val="0"/>
      <w:marRight w:val="0"/>
      <w:marTop w:val="0"/>
      <w:marBottom w:val="0"/>
      <w:divBdr>
        <w:top w:val="none" w:sz="0" w:space="0" w:color="auto"/>
        <w:left w:val="none" w:sz="0" w:space="0" w:color="auto"/>
        <w:bottom w:val="none" w:sz="0" w:space="0" w:color="auto"/>
        <w:right w:val="none" w:sz="0" w:space="0" w:color="auto"/>
      </w:divBdr>
    </w:div>
    <w:div w:id="1695377702">
      <w:bodyDiv w:val="1"/>
      <w:marLeft w:val="0"/>
      <w:marRight w:val="0"/>
      <w:marTop w:val="0"/>
      <w:marBottom w:val="0"/>
      <w:divBdr>
        <w:top w:val="none" w:sz="0" w:space="0" w:color="auto"/>
        <w:left w:val="none" w:sz="0" w:space="0" w:color="auto"/>
        <w:bottom w:val="none" w:sz="0" w:space="0" w:color="auto"/>
        <w:right w:val="none" w:sz="0" w:space="0" w:color="auto"/>
      </w:divBdr>
    </w:div>
    <w:div w:id="1705253056">
      <w:bodyDiv w:val="1"/>
      <w:marLeft w:val="0"/>
      <w:marRight w:val="0"/>
      <w:marTop w:val="0"/>
      <w:marBottom w:val="0"/>
      <w:divBdr>
        <w:top w:val="none" w:sz="0" w:space="0" w:color="auto"/>
        <w:left w:val="none" w:sz="0" w:space="0" w:color="auto"/>
        <w:bottom w:val="none" w:sz="0" w:space="0" w:color="auto"/>
        <w:right w:val="none" w:sz="0" w:space="0" w:color="auto"/>
      </w:divBdr>
    </w:div>
    <w:div w:id="1711883814">
      <w:bodyDiv w:val="1"/>
      <w:marLeft w:val="0"/>
      <w:marRight w:val="0"/>
      <w:marTop w:val="0"/>
      <w:marBottom w:val="0"/>
      <w:divBdr>
        <w:top w:val="none" w:sz="0" w:space="0" w:color="auto"/>
        <w:left w:val="none" w:sz="0" w:space="0" w:color="auto"/>
        <w:bottom w:val="none" w:sz="0" w:space="0" w:color="auto"/>
        <w:right w:val="none" w:sz="0" w:space="0" w:color="auto"/>
      </w:divBdr>
    </w:div>
    <w:div w:id="1716461536">
      <w:bodyDiv w:val="1"/>
      <w:marLeft w:val="0"/>
      <w:marRight w:val="0"/>
      <w:marTop w:val="0"/>
      <w:marBottom w:val="0"/>
      <w:divBdr>
        <w:top w:val="none" w:sz="0" w:space="0" w:color="auto"/>
        <w:left w:val="none" w:sz="0" w:space="0" w:color="auto"/>
        <w:bottom w:val="none" w:sz="0" w:space="0" w:color="auto"/>
        <w:right w:val="none" w:sz="0" w:space="0" w:color="auto"/>
      </w:divBdr>
    </w:div>
    <w:div w:id="1717044115">
      <w:bodyDiv w:val="1"/>
      <w:marLeft w:val="0"/>
      <w:marRight w:val="0"/>
      <w:marTop w:val="0"/>
      <w:marBottom w:val="0"/>
      <w:divBdr>
        <w:top w:val="none" w:sz="0" w:space="0" w:color="auto"/>
        <w:left w:val="none" w:sz="0" w:space="0" w:color="auto"/>
        <w:bottom w:val="none" w:sz="0" w:space="0" w:color="auto"/>
        <w:right w:val="none" w:sz="0" w:space="0" w:color="auto"/>
      </w:divBdr>
    </w:div>
    <w:div w:id="1719208547">
      <w:bodyDiv w:val="1"/>
      <w:marLeft w:val="0"/>
      <w:marRight w:val="0"/>
      <w:marTop w:val="0"/>
      <w:marBottom w:val="0"/>
      <w:divBdr>
        <w:top w:val="none" w:sz="0" w:space="0" w:color="auto"/>
        <w:left w:val="none" w:sz="0" w:space="0" w:color="auto"/>
        <w:bottom w:val="none" w:sz="0" w:space="0" w:color="auto"/>
        <w:right w:val="none" w:sz="0" w:space="0" w:color="auto"/>
      </w:divBdr>
    </w:div>
    <w:div w:id="1736932835">
      <w:bodyDiv w:val="1"/>
      <w:marLeft w:val="0"/>
      <w:marRight w:val="0"/>
      <w:marTop w:val="0"/>
      <w:marBottom w:val="0"/>
      <w:divBdr>
        <w:top w:val="none" w:sz="0" w:space="0" w:color="auto"/>
        <w:left w:val="none" w:sz="0" w:space="0" w:color="auto"/>
        <w:bottom w:val="none" w:sz="0" w:space="0" w:color="auto"/>
        <w:right w:val="none" w:sz="0" w:space="0" w:color="auto"/>
      </w:divBdr>
    </w:div>
    <w:div w:id="1737781374">
      <w:bodyDiv w:val="1"/>
      <w:marLeft w:val="0"/>
      <w:marRight w:val="0"/>
      <w:marTop w:val="0"/>
      <w:marBottom w:val="0"/>
      <w:divBdr>
        <w:top w:val="none" w:sz="0" w:space="0" w:color="auto"/>
        <w:left w:val="none" w:sz="0" w:space="0" w:color="auto"/>
        <w:bottom w:val="none" w:sz="0" w:space="0" w:color="auto"/>
        <w:right w:val="none" w:sz="0" w:space="0" w:color="auto"/>
      </w:divBdr>
    </w:div>
    <w:div w:id="1740863338">
      <w:bodyDiv w:val="1"/>
      <w:marLeft w:val="0"/>
      <w:marRight w:val="0"/>
      <w:marTop w:val="0"/>
      <w:marBottom w:val="0"/>
      <w:divBdr>
        <w:top w:val="none" w:sz="0" w:space="0" w:color="auto"/>
        <w:left w:val="none" w:sz="0" w:space="0" w:color="auto"/>
        <w:bottom w:val="none" w:sz="0" w:space="0" w:color="auto"/>
        <w:right w:val="none" w:sz="0" w:space="0" w:color="auto"/>
      </w:divBdr>
    </w:div>
    <w:div w:id="1749380387">
      <w:bodyDiv w:val="1"/>
      <w:marLeft w:val="0"/>
      <w:marRight w:val="0"/>
      <w:marTop w:val="0"/>
      <w:marBottom w:val="0"/>
      <w:divBdr>
        <w:top w:val="none" w:sz="0" w:space="0" w:color="auto"/>
        <w:left w:val="none" w:sz="0" w:space="0" w:color="auto"/>
        <w:bottom w:val="none" w:sz="0" w:space="0" w:color="auto"/>
        <w:right w:val="none" w:sz="0" w:space="0" w:color="auto"/>
      </w:divBdr>
    </w:div>
    <w:div w:id="1751611102">
      <w:bodyDiv w:val="1"/>
      <w:marLeft w:val="0"/>
      <w:marRight w:val="0"/>
      <w:marTop w:val="0"/>
      <w:marBottom w:val="0"/>
      <w:divBdr>
        <w:top w:val="none" w:sz="0" w:space="0" w:color="auto"/>
        <w:left w:val="none" w:sz="0" w:space="0" w:color="auto"/>
        <w:bottom w:val="none" w:sz="0" w:space="0" w:color="auto"/>
        <w:right w:val="none" w:sz="0" w:space="0" w:color="auto"/>
      </w:divBdr>
    </w:div>
    <w:div w:id="1768190035">
      <w:bodyDiv w:val="1"/>
      <w:marLeft w:val="0"/>
      <w:marRight w:val="0"/>
      <w:marTop w:val="0"/>
      <w:marBottom w:val="0"/>
      <w:divBdr>
        <w:top w:val="none" w:sz="0" w:space="0" w:color="auto"/>
        <w:left w:val="none" w:sz="0" w:space="0" w:color="auto"/>
        <w:bottom w:val="none" w:sz="0" w:space="0" w:color="auto"/>
        <w:right w:val="none" w:sz="0" w:space="0" w:color="auto"/>
      </w:divBdr>
    </w:div>
    <w:div w:id="1775318617">
      <w:bodyDiv w:val="1"/>
      <w:marLeft w:val="0"/>
      <w:marRight w:val="0"/>
      <w:marTop w:val="0"/>
      <w:marBottom w:val="0"/>
      <w:divBdr>
        <w:top w:val="none" w:sz="0" w:space="0" w:color="auto"/>
        <w:left w:val="none" w:sz="0" w:space="0" w:color="auto"/>
        <w:bottom w:val="none" w:sz="0" w:space="0" w:color="auto"/>
        <w:right w:val="none" w:sz="0" w:space="0" w:color="auto"/>
      </w:divBdr>
    </w:div>
    <w:div w:id="1784106132">
      <w:bodyDiv w:val="1"/>
      <w:marLeft w:val="0"/>
      <w:marRight w:val="0"/>
      <w:marTop w:val="0"/>
      <w:marBottom w:val="0"/>
      <w:divBdr>
        <w:top w:val="none" w:sz="0" w:space="0" w:color="auto"/>
        <w:left w:val="none" w:sz="0" w:space="0" w:color="auto"/>
        <w:bottom w:val="none" w:sz="0" w:space="0" w:color="auto"/>
        <w:right w:val="none" w:sz="0" w:space="0" w:color="auto"/>
      </w:divBdr>
    </w:div>
    <w:div w:id="1793130542">
      <w:bodyDiv w:val="1"/>
      <w:marLeft w:val="0"/>
      <w:marRight w:val="0"/>
      <w:marTop w:val="0"/>
      <w:marBottom w:val="0"/>
      <w:divBdr>
        <w:top w:val="none" w:sz="0" w:space="0" w:color="auto"/>
        <w:left w:val="none" w:sz="0" w:space="0" w:color="auto"/>
        <w:bottom w:val="none" w:sz="0" w:space="0" w:color="auto"/>
        <w:right w:val="none" w:sz="0" w:space="0" w:color="auto"/>
      </w:divBdr>
    </w:div>
    <w:div w:id="1805391613">
      <w:bodyDiv w:val="1"/>
      <w:marLeft w:val="0"/>
      <w:marRight w:val="0"/>
      <w:marTop w:val="0"/>
      <w:marBottom w:val="0"/>
      <w:divBdr>
        <w:top w:val="none" w:sz="0" w:space="0" w:color="auto"/>
        <w:left w:val="none" w:sz="0" w:space="0" w:color="auto"/>
        <w:bottom w:val="none" w:sz="0" w:space="0" w:color="auto"/>
        <w:right w:val="none" w:sz="0" w:space="0" w:color="auto"/>
      </w:divBdr>
    </w:div>
    <w:div w:id="1824197373">
      <w:bodyDiv w:val="1"/>
      <w:marLeft w:val="0"/>
      <w:marRight w:val="0"/>
      <w:marTop w:val="0"/>
      <w:marBottom w:val="0"/>
      <w:divBdr>
        <w:top w:val="none" w:sz="0" w:space="0" w:color="auto"/>
        <w:left w:val="none" w:sz="0" w:space="0" w:color="auto"/>
        <w:bottom w:val="none" w:sz="0" w:space="0" w:color="auto"/>
        <w:right w:val="none" w:sz="0" w:space="0" w:color="auto"/>
      </w:divBdr>
    </w:div>
    <w:div w:id="1832939283">
      <w:bodyDiv w:val="1"/>
      <w:marLeft w:val="0"/>
      <w:marRight w:val="0"/>
      <w:marTop w:val="0"/>
      <w:marBottom w:val="0"/>
      <w:divBdr>
        <w:top w:val="none" w:sz="0" w:space="0" w:color="auto"/>
        <w:left w:val="none" w:sz="0" w:space="0" w:color="auto"/>
        <w:bottom w:val="none" w:sz="0" w:space="0" w:color="auto"/>
        <w:right w:val="none" w:sz="0" w:space="0" w:color="auto"/>
      </w:divBdr>
    </w:div>
    <w:div w:id="1838689187">
      <w:bodyDiv w:val="1"/>
      <w:marLeft w:val="0"/>
      <w:marRight w:val="0"/>
      <w:marTop w:val="0"/>
      <w:marBottom w:val="0"/>
      <w:divBdr>
        <w:top w:val="none" w:sz="0" w:space="0" w:color="auto"/>
        <w:left w:val="none" w:sz="0" w:space="0" w:color="auto"/>
        <w:bottom w:val="none" w:sz="0" w:space="0" w:color="auto"/>
        <w:right w:val="none" w:sz="0" w:space="0" w:color="auto"/>
      </w:divBdr>
    </w:div>
    <w:div w:id="1846288947">
      <w:bodyDiv w:val="1"/>
      <w:marLeft w:val="0"/>
      <w:marRight w:val="0"/>
      <w:marTop w:val="0"/>
      <w:marBottom w:val="0"/>
      <w:divBdr>
        <w:top w:val="none" w:sz="0" w:space="0" w:color="auto"/>
        <w:left w:val="none" w:sz="0" w:space="0" w:color="auto"/>
        <w:bottom w:val="none" w:sz="0" w:space="0" w:color="auto"/>
        <w:right w:val="none" w:sz="0" w:space="0" w:color="auto"/>
      </w:divBdr>
    </w:div>
    <w:div w:id="1853569676">
      <w:bodyDiv w:val="1"/>
      <w:marLeft w:val="0"/>
      <w:marRight w:val="0"/>
      <w:marTop w:val="0"/>
      <w:marBottom w:val="0"/>
      <w:divBdr>
        <w:top w:val="none" w:sz="0" w:space="0" w:color="auto"/>
        <w:left w:val="none" w:sz="0" w:space="0" w:color="auto"/>
        <w:bottom w:val="none" w:sz="0" w:space="0" w:color="auto"/>
        <w:right w:val="none" w:sz="0" w:space="0" w:color="auto"/>
      </w:divBdr>
    </w:div>
    <w:div w:id="1854686803">
      <w:bodyDiv w:val="1"/>
      <w:marLeft w:val="0"/>
      <w:marRight w:val="0"/>
      <w:marTop w:val="0"/>
      <w:marBottom w:val="0"/>
      <w:divBdr>
        <w:top w:val="none" w:sz="0" w:space="0" w:color="auto"/>
        <w:left w:val="none" w:sz="0" w:space="0" w:color="auto"/>
        <w:bottom w:val="none" w:sz="0" w:space="0" w:color="auto"/>
        <w:right w:val="none" w:sz="0" w:space="0" w:color="auto"/>
      </w:divBdr>
    </w:div>
    <w:div w:id="1858303700">
      <w:bodyDiv w:val="1"/>
      <w:marLeft w:val="0"/>
      <w:marRight w:val="0"/>
      <w:marTop w:val="0"/>
      <w:marBottom w:val="0"/>
      <w:divBdr>
        <w:top w:val="none" w:sz="0" w:space="0" w:color="auto"/>
        <w:left w:val="none" w:sz="0" w:space="0" w:color="auto"/>
        <w:bottom w:val="none" w:sz="0" w:space="0" w:color="auto"/>
        <w:right w:val="none" w:sz="0" w:space="0" w:color="auto"/>
      </w:divBdr>
    </w:div>
    <w:div w:id="1859267332">
      <w:bodyDiv w:val="1"/>
      <w:marLeft w:val="0"/>
      <w:marRight w:val="0"/>
      <w:marTop w:val="0"/>
      <w:marBottom w:val="0"/>
      <w:divBdr>
        <w:top w:val="none" w:sz="0" w:space="0" w:color="auto"/>
        <w:left w:val="none" w:sz="0" w:space="0" w:color="auto"/>
        <w:bottom w:val="none" w:sz="0" w:space="0" w:color="auto"/>
        <w:right w:val="none" w:sz="0" w:space="0" w:color="auto"/>
      </w:divBdr>
    </w:div>
    <w:div w:id="1866090758">
      <w:bodyDiv w:val="1"/>
      <w:marLeft w:val="0"/>
      <w:marRight w:val="0"/>
      <w:marTop w:val="0"/>
      <w:marBottom w:val="0"/>
      <w:divBdr>
        <w:top w:val="none" w:sz="0" w:space="0" w:color="auto"/>
        <w:left w:val="none" w:sz="0" w:space="0" w:color="auto"/>
        <w:bottom w:val="none" w:sz="0" w:space="0" w:color="auto"/>
        <w:right w:val="none" w:sz="0" w:space="0" w:color="auto"/>
      </w:divBdr>
    </w:div>
    <w:div w:id="1873498772">
      <w:bodyDiv w:val="1"/>
      <w:marLeft w:val="0"/>
      <w:marRight w:val="0"/>
      <w:marTop w:val="0"/>
      <w:marBottom w:val="0"/>
      <w:divBdr>
        <w:top w:val="none" w:sz="0" w:space="0" w:color="auto"/>
        <w:left w:val="none" w:sz="0" w:space="0" w:color="auto"/>
        <w:bottom w:val="none" w:sz="0" w:space="0" w:color="auto"/>
        <w:right w:val="none" w:sz="0" w:space="0" w:color="auto"/>
      </w:divBdr>
    </w:div>
    <w:div w:id="1873885662">
      <w:bodyDiv w:val="1"/>
      <w:marLeft w:val="0"/>
      <w:marRight w:val="0"/>
      <w:marTop w:val="0"/>
      <w:marBottom w:val="0"/>
      <w:divBdr>
        <w:top w:val="none" w:sz="0" w:space="0" w:color="auto"/>
        <w:left w:val="none" w:sz="0" w:space="0" w:color="auto"/>
        <w:bottom w:val="none" w:sz="0" w:space="0" w:color="auto"/>
        <w:right w:val="none" w:sz="0" w:space="0" w:color="auto"/>
      </w:divBdr>
    </w:div>
    <w:div w:id="1875147494">
      <w:bodyDiv w:val="1"/>
      <w:marLeft w:val="0"/>
      <w:marRight w:val="0"/>
      <w:marTop w:val="0"/>
      <w:marBottom w:val="0"/>
      <w:divBdr>
        <w:top w:val="none" w:sz="0" w:space="0" w:color="auto"/>
        <w:left w:val="none" w:sz="0" w:space="0" w:color="auto"/>
        <w:bottom w:val="none" w:sz="0" w:space="0" w:color="auto"/>
        <w:right w:val="none" w:sz="0" w:space="0" w:color="auto"/>
      </w:divBdr>
    </w:div>
    <w:div w:id="1879395101">
      <w:bodyDiv w:val="1"/>
      <w:marLeft w:val="0"/>
      <w:marRight w:val="0"/>
      <w:marTop w:val="0"/>
      <w:marBottom w:val="0"/>
      <w:divBdr>
        <w:top w:val="none" w:sz="0" w:space="0" w:color="auto"/>
        <w:left w:val="none" w:sz="0" w:space="0" w:color="auto"/>
        <w:bottom w:val="none" w:sz="0" w:space="0" w:color="auto"/>
        <w:right w:val="none" w:sz="0" w:space="0" w:color="auto"/>
      </w:divBdr>
    </w:div>
    <w:div w:id="1880314330">
      <w:bodyDiv w:val="1"/>
      <w:marLeft w:val="0"/>
      <w:marRight w:val="0"/>
      <w:marTop w:val="0"/>
      <w:marBottom w:val="0"/>
      <w:divBdr>
        <w:top w:val="none" w:sz="0" w:space="0" w:color="auto"/>
        <w:left w:val="none" w:sz="0" w:space="0" w:color="auto"/>
        <w:bottom w:val="none" w:sz="0" w:space="0" w:color="auto"/>
        <w:right w:val="none" w:sz="0" w:space="0" w:color="auto"/>
      </w:divBdr>
    </w:div>
    <w:div w:id="1883439921">
      <w:bodyDiv w:val="1"/>
      <w:marLeft w:val="0"/>
      <w:marRight w:val="0"/>
      <w:marTop w:val="0"/>
      <w:marBottom w:val="0"/>
      <w:divBdr>
        <w:top w:val="none" w:sz="0" w:space="0" w:color="auto"/>
        <w:left w:val="none" w:sz="0" w:space="0" w:color="auto"/>
        <w:bottom w:val="none" w:sz="0" w:space="0" w:color="auto"/>
        <w:right w:val="none" w:sz="0" w:space="0" w:color="auto"/>
      </w:divBdr>
    </w:div>
    <w:div w:id="1885604917">
      <w:bodyDiv w:val="1"/>
      <w:marLeft w:val="0"/>
      <w:marRight w:val="0"/>
      <w:marTop w:val="0"/>
      <w:marBottom w:val="0"/>
      <w:divBdr>
        <w:top w:val="none" w:sz="0" w:space="0" w:color="auto"/>
        <w:left w:val="none" w:sz="0" w:space="0" w:color="auto"/>
        <w:bottom w:val="none" w:sz="0" w:space="0" w:color="auto"/>
        <w:right w:val="none" w:sz="0" w:space="0" w:color="auto"/>
      </w:divBdr>
    </w:div>
    <w:div w:id="1892156828">
      <w:bodyDiv w:val="1"/>
      <w:marLeft w:val="0"/>
      <w:marRight w:val="0"/>
      <w:marTop w:val="0"/>
      <w:marBottom w:val="0"/>
      <w:divBdr>
        <w:top w:val="none" w:sz="0" w:space="0" w:color="auto"/>
        <w:left w:val="none" w:sz="0" w:space="0" w:color="auto"/>
        <w:bottom w:val="none" w:sz="0" w:space="0" w:color="auto"/>
        <w:right w:val="none" w:sz="0" w:space="0" w:color="auto"/>
      </w:divBdr>
    </w:div>
    <w:div w:id="1894997913">
      <w:bodyDiv w:val="1"/>
      <w:marLeft w:val="0"/>
      <w:marRight w:val="0"/>
      <w:marTop w:val="0"/>
      <w:marBottom w:val="0"/>
      <w:divBdr>
        <w:top w:val="none" w:sz="0" w:space="0" w:color="auto"/>
        <w:left w:val="none" w:sz="0" w:space="0" w:color="auto"/>
        <w:bottom w:val="none" w:sz="0" w:space="0" w:color="auto"/>
        <w:right w:val="none" w:sz="0" w:space="0" w:color="auto"/>
      </w:divBdr>
    </w:div>
    <w:div w:id="1899049393">
      <w:bodyDiv w:val="1"/>
      <w:marLeft w:val="0"/>
      <w:marRight w:val="0"/>
      <w:marTop w:val="0"/>
      <w:marBottom w:val="0"/>
      <w:divBdr>
        <w:top w:val="none" w:sz="0" w:space="0" w:color="auto"/>
        <w:left w:val="none" w:sz="0" w:space="0" w:color="auto"/>
        <w:bottom w:val="none" w:sz="0" w:space="0" w:color="auto"/>
        <w:right w:val="none" w:sz="0" w:space="0" w:color="auto"/>
      </w:divBdr>
    </w:div>
    <w:div w:id="1928883017">
      <w:bodyDiv w:val="1"/>
      <w:marLeft w:val="0"/>
      <w:marRight w:val="0"/>
      <w:marTop w:val="0"/>
      <w:marBottom w:val="0"/>
      <w:divBdr>
        <w:top w:val="none" w:sz="0" w:space="0" w:color="auto"/>
        <w:left w:val="none" w:sz="0" w:space="0" w:color="auto"/>
        <w:bottom w:val="none" w:sz="0" w:space="0" w:color="auto"/>
        <w:right w:val="none" w:sz="0" w:space="0" w:color="auto"/>
      </w:divBdr>
    </w:div>
    <w:div w:id="1929078457">
      <w:bodyDiv w:val="1"/>
      <w:marLeft w:val="0"/>
      <w:marRight w:val="0"/>
      <w:marTop w:val="0"/>
      <w:marBottom w:val="0"/>
      <w:divBdr>
        <w:top w:val="none" w:sz="0" w:space="0" w:color="auto"/>
        <w:left w:val="none" w:sz="0" w:space="0" w:color="auto"/>
        <w:bottom w:val="none" w:sz="0" w:space="0" w:color="auto"/>
        <w:right w:val="none" w:sz="0" w:space="0" w:color="auto"/>
      </w:divBdr>
    </w:div>
    <w:div w:id="1937205057">
      <w:bodyDiv w:val="1"/>
      <w:marLeft w:val="0"/>
      <w:marRight w:val="0"/>
      <w:marTop w:val="0"/>
      <w:marBottom w:val="0"/>
      <w:divBdr>
        <w:top w:val="none" w:sz="0" w:space="0" w:color="auto"/>
        <w:left w:val="none" w:sz="0" w:space="0" w:color="auto"/>
        <w:bottom w:val="none" w:sz="0" w:space="0" w:color="auto"/>
        <w:right w:val="none" w:sz="0" w:space="0" w:color="auto"/>
      </w:divBdr>
    </w:div>
    <w:div w:id="1947075788">
      <w:bodyDiv w:val="1"/>
      <w:marLeft w:val="0"/>
      <w:marRight w:val="0"/>
      <w:marTop w:val="0"/>
      <w:marBottom w:val="0"/>
      <w:divBdr>
        <w:top w:val="none" w:sz="0" w:space="0" w:color="auto"/>
        <w:left w:val="none" w:sz="0" w:space="0" w:color="auto"/>
        <w:bottom w:val="none" w:sz="0" w:space="0" w:color="auto"/>
        <w:right w:val="none" w:sz="0" w:space="0" w:color="auto"/>
      </w:divBdr>
    </w:div>
    <w:div w:id="1947958482">
      <w:bodyDiv w:val="1"/>
      <w:marLeft w:val="0"/>
      <w:marRight w:val="0"/>
      <w:marTop w:val="0"/>
      <w:marBottom w:val="0"/>
      <w:divBdr>
        <w:top w:val="none" w:sz="0" w:space="0" w:color="auto"/>
        <w:left w:val="none" w:sz="0" w:space="0" w:color="auto"/>
        <w:bottom w:val="none" w:sz="0" w:space="0" w:color="auto"/>
        <w:right w:val="none" w:sz="0" w:space="0" w:color="auto"/>
      </w:divBdr>
    </w:div>
    <w:div w:id="1955090409">
      <w:bodyDiv w:val="1"/>
      <w:marLeft w:val="0"/>
      <w:marRight w:val="0"/>
      <w:marTop w:val="0"/>
      <w:marBottom w:val="0"/>
      <w:divBdr>
        <w:top w:val="none" w:sz="0" w:space="0" w:color="auto"/>
        <w:left w:val="none" w:sz="0" w:space="0" w:color="auto"/>
        <w:bottom w:val="none" w:sz="0" w:space="0" w:color="auto"/>
        <w:right w:val="none" w:sz="0" w:space="0" w:color="auto"/>
      </w:divBdr>
    </w:div>
    <w:div w:id="1956709103">
      <w:bodyDiv w:val="1"/>
      <w:marLeft w:val="0"/>
      <w:marRight w:val="0"/>
      <w:marTop w:val="0"/>
      <w:marBottom w:val="0"/>
      <w:divBdr>
        <w:top w:val="none" w:sz="0" w:space="0" w:color="auto"/>
        <w:left w:val="none" w:sz="0" w:space="0" w:color="auto"/>
        <w:bottom w:val="none" w:sz="0" w:space="0" w:color="auto"/>
        <w:right w:val="none" w:sz="0" w:space="0" w:color="auto"/>
      </w:divBdr>
    </w:div>
    <w:div w:id="1958903561">
      <w:bodyDiv w:val="1"/>
      <w:marLeft w:val="0"/>
      <w:marRight w:val="0"/>
      <w:marTop w:val="0"/>
      <w:marBottom w:val="0"/>
      <w:divBdr>
        <w:top w:val="none" w:sz="0" w:space="0" w:color="auto"/>
        <w:left w:val="none" w:sz="0" w:space="0" w:color="auto"/>
        <w:bottom w:val="none" w:sz="0" w:space="0" w:color="auto"/>
        <w:right w:val="none" w:sz="0" w:space="0" w:color="auto"/>
      </w:divBdr>
    </w:div>
    <w:div w:id="1959489198">
      <w:bodyDiv w:val="1"/>
      <w:marLeft w:val="0"/>
      <w:marRight w:val="0"/>
      <w:marTop w:val="0"/>
      <w:marBottom w:val="0"/>
      <w:divBdr>
        <w:top w:val="none" w:sz="0" w:space="0" w:color="auto"/>
        <w:left w:val="none" w:sz="0" w:space="0" w:color="auto"/>
        <w:bottom w:val="none" w:sz="0" w:space="0" w:color="auto"/>
        <w:right w:val="none" w:sz="0" w:space="0" w:color="auto"/>
      </w:divBdr>
    </w:div>
    <w:div w:id="1977489304">
      <w:bodyDiv w:val="1"/>
      <w:marLeft w:val="0"/>
      <w:marRight w:val="0"/>
      <w:marTop w:val="0"/>
      <w:marBottom w:val="0"/>
      <w:divBdr>
        <w:top w:val="none" w:sz="0" w:space="0" w:color="auto"/>
        <w:left w:val="none" w:sz="0" w:space="0" w:color="auto"/>
        <w:bottom w:val="none" w:sz="0" w:space="0" w:color="auto"/>
        <w:right w:val="none" w:sz="0" w:space="0" w:color="auto"/>
      </w:divBdr>
    </w:div>
    <w:div w:id="1978412688">
      <w:bodyDiv w:val="1"/>
      <w:marLeft w:val="0"/>
      <w:marRight w:val="0"/>
      <w:marTop w:val="0"/>
      <w:marBottom w:val="0"/>
      <w:divBdr>
        <w:top w:val="none" w:sz="0" w:space="0" w:color="auto"/>
        <w:left w:val="none" w:sz="0" w:space="0" w:color="auto"/>
        <w:bottom w:val="none" w:sz="0" w:space="0" w:color="auto"/>
        <w:right w:val="none" w:sz="0" w:space="0" w:color="auto"/>
      </w:divBdr>
    </w:div>
    <w:div w:id="1987659325">
      <w:bodyDiv w:val="1"/>
      <w:marLeft w:val="0"/>
      <w:marRight w:val="0"/>
      <w:marTop w:val="0"/>
      <w:marBottom w:val="0"/>
      <w:divBdr>
        <w:top w:val="none" w:sz="0" w:space="0" w:color="auto"/>
        <w:left w:val="none" w:sz="0" w:space="0" w:color="auto"/>
        <w:bottom w:val="none" w:sz="0" w:space="0" w:color="auto"/>
        <w:right w:val="none" w:sz="0" w:space="0" w:color="auto"/>
      </w:divBdr>
    </w:div>
    <w:div w:id="1995988240">
      <w:bodyDiv w:val="1"/>
      <w:marLeft w:val="0"/>
      <w:marRight w:val="0"/>
      <w:marTop w:val="0"/>
      <w:marBottom w:val="0"/>
      <w:divBdr>
        <w:top w:val="none" w:sz="0" w:space="0" w:color="auto"/>
        <w:left w:val="none" w:sz="0" w:space="0" w:color="auto"/>
        <w:bottom w:val="none" w:sz="0" w:space="0" w:color="auto"/>
        <w:right w:val="none" w:sz="0" w:space="0" w:color="auto"/>
      </w:divBdr>
    </w:div>
    <w:div w:id="1999067910">
      <w:bodyDiv w:val="1"/>
      <w:marLeft w:val="0"/>
      <w:marRight w:val="0"/>
      <w:marTop w:val="0"/>
      <w:marBottom w:val="0"/>
      <w:divBdr>
        <w:top w:val="none" w:sz="0" w:space="0" w:color="auto"/>
        <w:left w:val="none" w:sz="0" w:space="0" w:color="auto"/>
        <w:bottom w:val="none" w:sz="0" w:space="0" w:color="auto"/>
        <w:right w:val="none" w:sz="0" w:space="0" w:color="auto"/>
      </w:divBdr>
    </w:div>
    <w:div w:id="2011131838">
      <w:bodyDiv w:val="1"/>
      <w:marLeft w:val="0"/>
      <w:marRight w:val="0"/>
      <w:marTop w:val="0"/>
      <w:marBottom w:val="0"/>
      <w:divBdr>
        <w:top w:val="none" w:sz="0" w:space="0" w:color="auto"/>
        <w:left w:val="none" w:sz="0" w:space="0" w:color="auto"/>
        <w:bottom w:val="none" w:sz="0" w:space="0" w:color="auto"/>
        <w:right w:val="none" w:sz="0" w:space="0" w:color="auto"/>
      </w:divBdr>
    </w:div>
    <w:div w:id="2012366383">
      <w:bodyDiv w:val="1"/>
      <w:marLeft w:val="0"/>
      <w:marRight w:val="0"/>
      <w:marTop w:val="0"/>
      <w:marBottom w:val="0"/>
      <w:divBdr>
        <w:top w:val="none" w:sz="0" w:space="0" w:color="auto"/>
        <w:left w:val="none" w:sz="0" w:space="0" w:color="auto"/>
        <w:bottom w:val="none" w:sz="0" w:space="0" w:color="auto"/>
        <w:right w:val="none" w:sz="0" w:space="0" w:color="auto"/>
      </w:divBdr>
    </w:div>
    <w:div w:id="2023235689">
      <w:bodyDiv w:val="1"/>
      <w:marLeft w:val="0"/>
      <w:marRight w:val="0"/>
      <w:marTop w:val="0"/>
      <w:marBottom w:val="0"/>
      <w:divBdr>
        <w:top w:val="none" w:sz="0" w:space="0" w:color="auto"/>
        <w:left w:val="none" w:sz="0" w:space="0" w:color="auto"/>
        <w:bottom w:val="none" w:sz="0" w:space="0" w:color="auto"/>
        <w:right w:val="none" w:sz="0" w:space="0" w:color="auto"/>
      </w:divBdr>
    </w:div>
    <w:div w:id="2030570752">
      <w:bodyDiv w:val="1"/>
      <w:marLeft w:val="0"/>
      <w:marRight w:val="0"/>
      <w:marTop w:val="0"/>
      <w:marBottom w:val="0"/>
      <w:divBdr>
        <w:top w:val="none" w:sz="0" w:space="0" w:color="auto"/>
        <w:left w:val="none" w:sz="0" w:space="0" w:color="auto"/>
        <w:bottom w:val="none" w:sz="0" w:space="0" w:color="auto"/>
        <w:right w:val="none" w:sz="0" w:space="0" w:color="auto"/>
      </w:divBdr>
    </w:div>
    <w:div w:id="2035574500">
      <w:bodyDiv w:val="1"/>
      <w:marLeft w:val="0"/>
      <w:marRight w:val="0"/>
      <w:marTop w:val="0"/>
      <w:marBottom w:val="0"/>
      <w:divBdr>
        <w:top w:val="none" w:sz="0" w:space="0" w:color="auto"/>
        <w:left w:val="none" w:sz="0" w:space="0" w:color="auto"/>
        <w:bottom w:val="none" w:sz="0" w:space="0" w:color="auto"/>
        <w:right w:val="none" w:sz="0" w:space="0" w:color="auto"/>
      </w:divBdr>
    </w:div>
    <w:div w:id="2059090821">
      <w:bodyDiv w:val="1"/>
      <w:marLeft w:val="0"/>
      <w:marRight w:val="0"/>
      <w:marTop w:val="0"/>
      <w:marBottom w:val="0"/>
      <w:divBdr>
        <w:top w:val="none" w:sz="0" w:space="0" w:color="auto"/>
        <w:left w:val="none" w:sz="0" w:space="0" w:color="auto"/>
        <w:bottom w:val="none" w:sz="0" w:space="0" w:color="auto"/>
        <w:right w:val="none" w:sz="0" w:space="0" w:color="auto"/>
      </w:divBdr>
    </w:div>
    <w:div w:id="2066297532">
      <w:bodyDiv w:val="1"/>
      <w:marLeft w:val="0"/>
      <w:marRight w:val="0"/>
      <w:marTop w:val="0"/>
      <w:marBottom w:val="0"/>
      <w:divBdr>
        <w:top w:val="none" w:sz="0" w:space="0" w:color="auto"/>
        <w:left w:val="none" w:sz="0" w:space="0" w:color="auto"/>
        <w:bottom w:val="none" w:sz="0" w:space="0" w:color="auto"/>
        <w:right w:val="none" w:sz="0" w:space="0" w:color="auto"/>
      </w:divBdr>
    </w:div>
    <w:div w:id="2074305331">
      <w:bodyDiv w:val="1"/>
      <w:marLeft w:val="0"/>
      <w:marRight w:val="0"/>
      <w:marTop w:val="0"/>
      <w:marBottom w:val="0"/>
      <w:divBdr>
        <w:top w:val="none" w:sz="0" w:space="0" w:color="auto"/>
        <w:left w:val="none" w:sz="0" w:space="0" w:color="auto"/>
        <w:bottom w:val="none" w:sz="0" w:space="0" w:color="auto"/>
        <w:right w:val="none" w:sz="0" w:space="0" w:color="auto"/>
      </w:divBdr>
    </w:div>
    <w:div w:id="2076708035">
      <w:bodyDiv w:val="1"/>
      <w:marLeft w:val="0"/>
      <w:marRight w:val="0"/>
      <w:marTop w:val="0"/>
      <w:marBottom w:val="0"/>
      <w:divBdr>
        <w:top w:val="none" w:sz="0" w:space="0" w:color="auto"/>
        <w:left w:val="none" w:sz="0" w:space="0" w:color="auto"/>
        <w:bottom w:val="none" w:sz="0" w:space="0" w:color="auto"/>
        <w:right w:val="none" w:sz="0" w:space="0" w:color="auto"/>
      </w:divBdr>
    </w:div>
    <w:div w:id="2088528421">
      <w:bodyDiv w:val="1"/>
      <w:marLeft w:val="0"/>
      <w:marRight w:val="0"/>
      <w:marTop w:val="0"/>
      <w:marBottom w:val="0"/>
      <w:divBdr>
        <w:top w:val="none" w:sz="0" w:space="0" w:color="auto"/>
        <w:left w:val="none" w:sz="0" w:space="0" w:color="auto"/>
        <w:bottom w:val="none" w:sz="0" w:space="0" w:color="auto"/>
        <w:right w:val="none" w:sz="0" w:space="0" w:color="auto"/>
      </w:divBdr>
    </w:div>
    <w:div w:id="2097708578">
      <w:bodyDiv w:val="1"/>
      <w:marLeft w:val="0"/>
      <w:marRight w:val="0"/>
      <w:marTop w:val="0"/>
      <w:marBottom w:val="0"/>
      <w:divBdr>
        <w:top w:val="none" w:sz="0" w:space="0" w:color="auto"/>
        <w:left w:val="none" w:sz="0" w:space="0" w:color="auto"/>
        <w:bottom w:val="none" w:sz="0" w:space="0" w:color="auto"/>
        <w:right w:val="none" w:sz="0" w:space="0" w:color="auto"/>
      </w:divBdr>
    </w:div>
    <w:div w:id="2100976535">
      <w:bodyDiv w:val="1"/>
      <w:marLeft w:val="0"/>
      <w:marRight w:val="0"/>
      <w:marTop w:val="0"/>
      <w:marBottom w:val="0"/>
      <w:divBdr>
        <w:top w:val="none" w:sz="0" w:space="0" w:color="auto"/>
        <w:left w:val="none" w:sz="0" w:space="0" w:color="auto"/>
        <w:bottom w:val="none" w:sz="0" w:space="0" w:color="auto"/>
        <w:right w:val="none" w:sz="0" w:space="0" w:color="auto"/>
      </w:divBdr>
    </w:div>
    <w:div w:id="2105489982">
      <w:bodyDiv w:val="1"/>
      <w:marLeft w:val="0"/>
      <w:marRight w:val="0"/>
      <w:marTop w:val="0"/>
      <w:marBottom w:val="0"/>
      <w:divBdr>
        <w:top w:val="none" w:sz="0" w:space="0" w:color="auto"/>
        <w:left w:val="none" w:sz="0" w:space="0" w:color="auto"/>
        <w:bottom w:val="none" w:sz="0" w:space="0" w:color="auto"/>
        <w:right w:val="none" w:sz="0" w:space="0" w:color="auto"/>
      </w:divBdr>
    </w:div>
    <w:div w:id="2106992350">
      <w:bodyDiv w:val="1"/>
      <w:marLeft w:val="0"/>
      <w:marRight w:val="0"/>
      <w:marTop w:val="0"/>
      <w:marBottom w:val="0"/>
      <w:divBdr>
        <w:top w:val="none" w:sz="0" w:space="0" w:color="auto"/>
        <w:left w:val="none" w:sz="0" w:space="0" w:color="auto"/>
        <w:bottom w:val="none" w:sz="0" w:space="0" w:color="auto"/>
        <w:right w:val="none" w:sz="0" w:space="0" w:color="auto"/>
      </w:divBdr>
    </w:div>
    <w:div w:id="2107186834">
      <w:bodyDiv w:val="1"/>
      <w:marLeft w:val="0"/>
      <w:marRight w:val="0"/>
      <w:marTop w:val="0"/>
      <w:marBottom w:val="0"/>
      <w:divBdr>
        <w:top w:val="none" w:sz="0" w:space="0" w:color="auto"/>
        <w:left w:val="none" w:sz="0" w:space="0" w:color="auto"/>
        <w:bottom w:val="none" w:sz="0" w:space="0" w:color="auto"/>
        <w:right w:val="none" w:sz="0" w:space="0" w:color="auto"/>
      </w:divBdr>
    </w:div>
    <w:div w:id="2114784573">
      <w:bodyDiv w:val="1"/>
      <w:marLeft w:val="0"/>
      <w:marRight w:val="0"/>
      <w:marTop w:val="0"/>
      <w:marBottom w:val="0"/>
      <w:divBdr>
        <w:top w:val="none" w:sz="0" w:space="0" w:color="auto"/>
        <w:left w:val="none" w:sz="0" w:space="0" w:color="auto"/>
        <w:bottom w:val="none" w:sz="0" w:space="0" w:color="auto"/>
        <w:right w:val="none" w:sz="0" w:space="0" w:color="auto"/>
      </w:divBdr>
    </w:div>
    <w:div w:id="2116364112">
      <w:bodyDiv w:val="1"/>
      <w:marLeft w:val="0"/>
      <w:marRight w:val="0"/>
      <w:marTop w:val="0"/>
      <w:marBottom w:val="0"/>
      <w:divBdr>
        <w:top w:val="none" w:sz="0" w:space="0" w:color="auto"/>
        <w:left w:val="none" w:sz="0" w:space="0" w:color="auto"/>
        <w:bottom w:val="none" w:sz="0" w:space="0" w:color="auto"/>
        <w:right w:val="none" w:sz="0" w:space="0" w:color="auto"/>
      </w:divBdr>
    </w:div>
    <w:div w:id="2135636079">
      <w:bodyDiv w:val="1"/>
      <w:marLeft w:val="0"/>
      <w:marRight w:val="0"/>
      <w:marTop w:val="0"/>
      <w:marBottom w:val="0"/>
      <w:divBdr>
        <w:top w:val="none" w:sz="0" w:space="0" w:color="auto"/>
        <w:left w:val="none" w:sz="0" w:space="0" w:color="auto"/>
        <w:bottom w:val="none" w:sz="0" w:space="0" w:color="auto"/>
        <w:right w:val="none" w:sz="0" w:space="0" w:color="auto"/>
      </w:divBdr>
    </w:div>
    <w:div w:id="214141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document xmlns:i="http://www.w3.org/2001/XMLSchema-instance" xmlns="http://www.kpmg.co.uk/tmt/xme">
  <entryPointUri xmlns:d2p1="http://schemas.microsoft.com/2003/10/Serialization/Arrays">
    <d2p1:string>https://xbrl.frc.org.uk/IFRS/2021-01-01/IFRS-2021-01-01.xsd</d2p1:string>
  </entryPointUri>
  <configuration>
    <identifier>
      <scheme>http://www.companieshouse.gov.uk/</scheme>
      <value>02366665</value>
    </identifier>
    <identifierValueSource>{http://xbrl.frc.org.uk/cd/2021-01-01/business}UKCompaniesHouseRegisteredNumber</identifierValueSource>
    <submissionAuthority>HMRC</submissionAuthority>
    <periods>
      <period>
        <periodType>Instant</periodType>
        <startDate i:nil="true"/>
        <endDate>2022-03-31T00:00:00</endDate>
      </period>
      <period>
        <periodType>Instant</periodType>
        <startDate i:nil="true"/>
        <endDate>2021-03-31T00:00:00</endDate>
      </period>
      <period>
        <periodType>Duration</periodType>
        <startDate>2021-04-01T00:00:00</startDate>
        <endDate>2022-03-31T00:00:00</endDate>
      </period>
      <period>
        <periodType>Instant</periodType>
        <startDate i:nil="true"/>
        <endDate>2020-03-31T00:00:00</endDate>
      </period>
      <period>
        <periodType>Duration</periodType>
        <startDate>2020-04-01T00:00:00</startDate>
        <endDate>2021-03-31T00:00:00</endDate>
      </period>
    </periods>
    <currencies>
      <unit>
        <numeratorMeasures>
          <name>{http://www.xbrl.org/2003/iso4217}GBP</name>
        </numeratorMeasures>
        <denominatorMeasures/>
      </unit>
    </currencies>
    <defaultInstant>
      <periodType>Instant</periodType>
      <startDate i:nil="true"/>
      <endDate>2020-03-31T00:00:00</endDate>
    </defaultInstant>
    <defaultDuration>
      <periodType>Duration</periodType>
      <startDate>2021-04-01T00:00:00</startDate>
      <endDate>2022-03-31T00:00:00</endDate>
    </defaultDuration>
    <defaultScale>6</defaultScale>
    <defaultCurrency>
      <numeratorMeasures>
        <name>{http://www.xbrl.org/2003/iso4217}GBP</name>
      </numeratorMeasures>
      <denominatorMeasures/>
    </defaultCurrency>
    <isCustomIdentifierScheme>false</isCustomIdentifierScheme>
  </configuration>
  <highlightMode>None</highlightMode>
  <facts>
    <fact i:type="item">
      <id>XMETag_819cd66b76a84ababc18688a8a68b04c</id>
      <concept>{http://xbrl.frc.org.uk/cd/2021-01-01/business}EntityCurrentLegalOrRegisteredName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SOUTH WEST WATER LIMITED</value>
      <format xmlns:d4p1="http://schemas.datacontract.org/2004/07/System.Xml.Linq" i:nil="true"/>
    </fact>
    <fact i:type="item">
      <id>XMETag_e049b3e221ad44e491b48f8451bdb04a</id>
      <concept>{http://xbrl.frc.org.uk/cd/2021-01-01/business}ReportTitle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ANNUAL REPORT AND
FINANCIAL STATEMENTS </value>
      <format xmlns:d4p1="http://schemas.datacontract.org/2004/07/System.Xml.Linq" i:nil="true"/>
    </fact>
    <fact i:type="item">
      <id>XMETag_18de78b453eb4ac58d4d3e6f4c78dd1e</id>
      <concept>{http://xbrl.frc.org.uk/cd/2021-01-01/business}ScopeAccounts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true</hidden>
      <value i:nil="true"/>
      <format xmlns:d4p1="http://schemas.datacontract.org/2004/07/System.Xml.Linq" i:nil="true"/>
    </fact>
    <fact i:type="item">
      <id>XMETag_7fbd7f4d16b242ce9dbd778da3719747</id>
      <concept>{http://xbrl.frc.org.uk/cd/2021-01-01/business}AccountingStandardsApplied</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{http://xbrl.frc.org.uk/cd/2021-01-01/business}AccountingStandardsDimension</dimension>
          <member>{http://xbrl.frc.org.uk/cd/2021-01-01/business}FullIFRS</member>
          <typedValue i:nil="true"/>
          <contextContainer>Segment</contextContainer>
        </dimension>
      </dimensions>
      <transformGroup>United Kingdom</transformGroup>
      <hidden>true</hidden>
      <value i:nil="true"/>
      <format xmlns:d4p1="http://schemas.datacontract.org/2004/07/System.Xml.Linq" i:nil="true"/>
    </fact>
    <fact i:type="item">
      <id>XMETag_b8e430a353ed46059cc8386857b67c30</id>
      <concept>{http://xbrl.frc.org.uk/cd/2021-01-01/business}AccountsStatusAuditedOrUnaudited</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{http://xbrl.frc.org.uk/cd/2021-01-01/business}AccountsStatusDimension</dimension>
          <member>{http://xbrl.frc.org.uk/cd/2021-01-01/business}Audited</member>
          <typedValue i:nil="true"/>
          <contextContainer>Segment</contextContainer>
        </dimension>
      </dimensions>
      <transformGroup>United Kingdom</transformGroup>
      <hidden>true</hidden>
      <value i:nil="true"/>
      <format xmlns:d4p1="http://schemas.datacontract.org/2004/07/System.Xml.Linq" i:nil="true"/>
    </fact>
    <fact i:type="item">
      <id>XMETag_9d23643fa1ac4b4da01cc69e763b88f9</id>
      <concept>{http://xbrl.frc.org.uk/cd/2021-01-01/business}AccountsTypeFullOrAbbreviated</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{http://xbrl.frc.org.uk/cd/2021-01-01/business}AccountsTypeDimension</dimension>
          <member>{http://xbrl.frc.org.uk/cd/2021-01-01/business}FullAccounts</member>
          <typedValue i:nil="true"/>
          <contextContainer>Segment</contextContainer>
        </dimension>
      </dimensions>
      <transformGroup>United Kingdom</transformGroup>
      <hidden>true</hidden>
      <value i:nil="true"/>
      <format xmlns:d4p1="http://schemas.datacontract.org/2004/07/System.Xml.Linq" i:nil="true"/>
    </fact>
    <fact i:type="item">
      <id>XMETag_8735f6d2be034c2d8884f52a4e8f066b</id>
      <concept>{http://xbrl.frc.org.uk/cd/2021-01-01/business}StartDateForPeriodCoveredByReport</concept>
      <identifier>
        <scheme>http://www.companieshouse.gov.uk/</scheme>
        <value>02366665</value>
      </identifier>
      <period>
        <periodType>Instant</periodType>
        <startDate i:nil="true"/>
        <endDate>2022-03-31T00:00:00</endDate>
      </period>
      <numericProperties i:nil="true"/>
      <dimensions/>
      <transformGroup>United Kingdom</transformGroup>
      <hidden>true</hidden>
      <value>2021-04-01</value>
      <format xmlns:d4p1="http://schemas.datacontract.org/2004/07/System.Xml.Linq" i:nil="true"/>
    </fact>
    <fact i:type="item">
      <id>XMETag_ef6aa5eb71e846cbb51df166dc516060</id>
      <concept>{http://xbrl.frc.org.uk/cd/2021-01-01/business}EndDateForPeriodCoveredByReport</concept>
      <identifier>
        <scheme>http://www.companieshouse.gov.uk/</scheme>
        <value>02366665</value>
      </identifier>
      <period>
        <periodType>Instant</periodType>
        <startDate i:nil="true"/>
        <endDate>2022-03-31T00:00:00</endDate>
      </period>
      <numericProperties i:nil="true"/>
      <dimensions/>
      <transformGroup>United Kingdom</transformGroup>
      <hidden>false</hidden>
      <value>31 MARCH 2022</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XMETag_fc542eae4be14ffaa61fa0158cd6f03e</id>
      <concept>{http://xbrl.frc.org.uk/cd/2021-01-01/business}ReportIncludesStrategicReportTruefalse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true</hidden>
      <value>true</value>
      <format xmlns:d4p1="http://schemas.datacontract.org/2004/07/System.Xml.Linq" i:nil="true"/>
    </fact>
    <fact i:type="item">
      <id>XMETag_6a874071458f4b4bb8e508c5112c6777</id>
      <concept>{http://xbrl.frc.org.uk/cd/2021-01-01/business}PrincipalCurrencyUsedInBusinessReport</concept>
      <identifier>
        <scheme>http://www.companieshouse.gov.uk/</scheme>
        <value>02366665</value>
      </identifier>
      <period>
        <periodType>Duration</periodType>
        <startDate>2021-04-01T00:00:00</startDate>
        <endDate>2022-03-31T00:00:00</endDate>
      </period>
      <numericProperties i:nil="true"/>
      <dimensions>
        <dimension>
          <dimension>{http://xbrl.frc.org.uk/cd/2021-01-01/currencies}CurrenciesDimension</dimension>
          <member>{http://xbrl.frc.org.uk/cd/2021-01-01/currencies}PoundSterling</member>
          <typedValue i:nil="true"/>
          <contextContainer>Segment</contextContainer>
        </dimension>
      </dimensions>
      <transformGroup>United Kingdom</transformGroup>
      <hidden>true</hidden>
      <value i:nil="true"/>
      <format xmlns:d4p1="http://schemas.datacontract.org/2004/07/System.Xml.Linq" i:nil="true"/>
    </fact>
    <fact i:type="item">
      <id>XMETag_de7cb6a01b094436ba248823c97e6ee2</id>
      <concept>{http://xbrl.frc.org.uk/cd/2021-01-01/business}ReportPrincipalLanguage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true</hidden>
      <value i:nil="true"/>
      <format xmlns:d4p1="http://schemas.datacontract.org/2004/07/System.Xml.Linq" i:nil="true"/>
    </fact>
    <fact i:type="item">
      <id>XMETag_05737f7e03ff4fa8ba0164c252036f20</id>
      <concept>{http://xbrl.frc.org.uk/cd/2021-01-01/business}EntityDormantTruefalse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true</hidden>
      <value>false</value>
      <format xmlns:d4p1="http://schemas.datacontract.org/2004/07/System.Xml.Linq" i:nil="true"/>
    </fact>
    <fact i:type="item">
      <id>XMETag_85672f363bfb427aba7d744b19ad5632</id>
      <concept>{http://xbrl.frc.org.uk/cd/2021-01-01/business}EntityTradingStatus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true</hidden>
      <value i:nil="true"/>
      <format xmlns:d4p1="http://schemas.datacontract.org/2004/07/System.Xml.Linq" i:nil="true"/>
    </fact>
    <fact i:type="item">
      <id>XMETag_80b77cd4b1eb489c8be965ea258bc6c0</id>
      <concept>{http://xbrl.frc.org.uk/cd/2021-01-01/business}NameEntityOfficer</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{http://xbrl.frc.org.uk/cd/2021-01-01/business}Chairman</member>
          <typedValue i:nil="true"/>
          <contextContainer>Segment</contextContainer>
        </dimension>
      </dimensions>
      <transformGroup>United Kingdom</transformGroup>
      <hidden>false</hidden>
      <value>Gill Rider CB </value>
      <format xmlns:d4p1="http://schemas.datacontract.org/2004/07/System.Xml.Linq" i:nil="true"/>
    </fact>
    <fact i:type="item">
      <id>XMETag_5a2345adeea74630aa8668443289de98</id>
      <concept>{http://xbrl.frc.org.uk/reports/2021-01-01/direp}DateAssumedPosition</concept>
      <identifier>
        <scheme>http://www.companieshouse.gov.uk/</scheme>
        <value>02366665</value>
      </identifier>
      <period>
        <periodType>Instant</periodType>
        <startDate i:nil="true"/>
        <endDate>2022-03-31T00:00:00</endDate>
      </period>
      <numericProperties i:nil="true"/>
      <dimensions>
        <dimension>
          <dimension>{http://xbrl.frc.org.uk/cd/2021-01-01/business}EntityOfficersDimension</dimension>
          <member>{http://xbrl.frc.org.uk/cd/2021-01-01/business}Chairman</member>
          <typedValue i:nil="true"/>
          <contextContainer>Segment</contextContainer>
        </dimension>
      </dimensions>
      <transformGroup>United Kingdom</transformGroup>
      <hidden>false</hidden>
      <value>31 July 2020 </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XMETag_dd1fcfe66b82424d8c517577da571876</id>
      <concept>{http://xbrl.frc.org.uk/cd/2021-01-01/business}NameEntityOfficer</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{http://xbrl.frc.org.uk/cd/2021-01-01/business}ChiefExecutive</member>
          <typedValue i:nil="true"/>
          <contextContainer>Segment</contextContainer>
        </dimension>
      </dimensions>
      <transformGroup>United Kingdom</transformGroup>
      <hidden>false</hidden>
      <value>Susan Davy </value>
      <format xmlns:d4p1="http://schemas.datacontract.org/2004/07/System.Xml.Linq" i:nil="true"/>
    </fact>
    <fact i:type="item">
      <id>XMETag_3ff0fe4bda994698b28888848f520a52</id>
      <concept>{http://xbrl.frc.org.uk/reports/2021-01-01/direp}DateAssumedPosition</concept>
      <identifier>
        <scheme>http://www.companieshouse.gov.uk/</scheme>
        <value>02366665</value>
      </identifier>
      <period>
        <periodType>Instant</periodType>
        <startDate i:nil="true"/>
        <endDate>2022-03-31T00:00:00</endDate>
      </period>
      <numericProperties i:nil="true"/>
      <dimensions>
        <dimension>
          <dimension>{http://xbrl.frc.org.uk/cd/2021-01-01/business}EntityOfficersDimension</dimension>
          <member>{http://xbrl.frc.org.uk/cd/2021-01-01/business}ChiefExecutive</member>
          <typedValue i:nil="true"/>
          <contextContainer>Segment</contextContainer>
        </dimension>
      </dimensions>
      <transformGroup>United Kingdom</transformGroup>
      <hidden>false</hidden>
      <value>31 July 2020</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XMETag_ae59955951404422b23213e6c015a0d8</id>
      <concept>{http://xbrl.frc.org.uk/cd/2021-01-01/business}NameEntityOfficer</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{http://xbrl.frc.org.uk/cd/2021-01-01/business}Director1</member>
          <typedValue i:nil="true"/>
          <contextContainer>Segment</contextContainer>
        </dimension>
      </dimensions>
      <transformGroup>United Kingdom</transformGroup>
      <hidden>false</hidden>
      <value>Louise Rowe </value>
      <format xmlns:d4p1="http://schemas.datacontract.org/2004/07/System.Xml.Linq" i:nil="true"/>
    </fact>
    <fact i:type="item">
      <id>XMETag_186c42f32cab4642a06511db1e8ec462</id>
      <concept>{http://xbrl.frc.org.uk/reports/2021-01-01/direp}DateAssumedPosition</concept>
      <identifier>
        <scheme>http://www.companieshouse.gov.uk/</scheme>
        <value>02366665</value>
      </identifier>
      <period>
        <periodType>Instant</periodType>
        <startDate i:nil="true"/>
        <endDate>2022-03-31T00:00:00</endDate>
      </period>
      <numericProperties i:nil="true"/>
      <dimensions>
        <dimension>
          <dimension>{http://xbrl.frc.org.uk/cd/2021-01-01/business}EntityOfficersDimension</dimension>
          <member>{http://xbrl.frc.org.uk/cd/2021-01-01/business}Director1</member>
          <typedValue i:nil="true"/>
          <contextContainer>Segment</contextContainer>
        </dimension>
      </dimensions>
      <transformGroup>United Kingdom</transformGroup>
      <hidden>false</hidden>
      <value>1 February 2015</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XMETag_e33513d7a82a4c088dd507b87de7012e</id>
      <concept>{http://xbrl.frc.org.uk/reports/2021-01-01/direp}DateAssumedPosition</concept>
      <identifier>
        <scheme>http://www.companieshouse.gov.uk/</scheme>
        <value>02366665</value>
      </identifier>
      <period>
        <periodType>Instant</periodType>
        <startDate i:nil="true"/>
        <endDate>2022-03-31T00:00:00</endDate>
      </period>
      <numericProperties i:nil="true"/>
      <dimensions>
        <dimension>
          <dimension>{http://xbrl.frc.org.uk/cd/2021-01-01/business}EntityOfficersDimension</dimension>
          <member>{http://xbrl.frc.org.uk/cd/2021-01-01/business}Director2</member>
          <typedValue i:nil="true"/>
          <contextContainer>Segment</contextContainer>
        </dimension>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1 April 2016</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XMETag_17e3c2198c7747469f2ab0e014012ecf</id>
      <concept>{http://xbrl.frc.org.uk/cd/2021-01-01/business}NameEntityOfficer</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{http://xbrl.frc.org.uk/cd/2021-01-01/business}Director2</member>
          <typedValue i:nil="true"/>
          <contextContainer>Segment</contextContainer>
        </dimension>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Neil Cooper </value>
      <format xmlns:d4p1="http://schemas.datacontract.org/2004/07/System.Xml.Linq" i:nil="true"/>
    </fact>
    <fact i:type="item">
      <id>XMETag_1e8e7f394ce9462099f451cc57b4a62f</id>
      <concept>{http://xbrl.frc.org.uk/cd/2021-01-01/business}NameEntityOfficer</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{http://xbrl.frc.org.uk/cd/2021-01-01/business}Director3</member>
          <typedValue i:nil="true"/>
          <contextContainer>Segment</contextContainer>
        </dimension>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Jon Butterworth MBE </value>
      <format xmlns:d4p1="http://schemas.datacontract.org/2004/07/System.Xml.Linq" i:nil="true"/>
    </fact>
    <fact i:type="item">
      <id>XMETag_803c5ce1cc524b6e8214590f4ee63397</id>
      <concept>{http://xbrl.frc.org.uk/reports/2021-01-01/direp}DateAssumedPosition</concept>
      <identifier>
        <scheme>http://www.companieshouse.gov.uk/</scheme>
        <value>02366665</value>
      </identifier>
      <period>
        <periodType>Instant</periodType>
        <startDate i:nil="true"/>
        <endDate>2022-03-31T00:00:00</endDate>
      </period>
      <numericProperties i:nil="true"/>
      <dimensions>
        <dimension>
          <dimension>{http://xbrl.frc.org.uk/cd/2021-01-01/business}EntityOfficersDimension</dimension>
          <member>{http://xbrl.frc.org.uk/cd/2021-01-01/business}Director3</member>
          <typedValue i:nil="true"/>
          <contextContainer>Segment</contextContainer>
        </dimension>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28 September 2017</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XMETag_fe5c73da6f8e483090489d736fa062d3</id>
      <concept>{http://xbrl.frc.org.uk/reports/2021-01-01/direp}DateAssumedPosition</concept>
      <identifier>
        <scheme>http://www.companieshouse.gov.uk/</scheme>
        <value>02366665</value>
      </identifier>
      <period>
        <periodType>Instant</periodType>
        <startDate i:nil="true"/>
        <endDate>2022-03-31T00:00:00</endDate>
      </period>
      <numericProperties i:nil="true"/>
      <dimensions>
        <dimension>
          <dimension>{http://xbrl.frc.org.uk/cd/2021-01-01/business}EntityOfficersDimension</dimension>
          <member>{http://xbrl.frc.org.uk/cd/2021-01-01/business}Director4</member>
          <typedValue i:nil="true"/>
          <contextContainer>Segment</contextContainer>
        </dimension>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31 July 2020</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XMETag_1582679aea83492ca77c8c257c9055c1</id>
      <concept>{http://xbrl.frc.org.uk/cd/2021-01-01/business}NameEntityOfficer</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{http://xbrl.frc.org.uk/cd/2021-01-01/business}Director4</member>
          <typedValue i:nil="true"/>
          <contextContainer>Segment</contextContainer>
        </dimension>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Iain Evans CBE </value>
      <format xmlns:d4p1="http://schemas.datacontract.org/2004/07/System.Xml.Linq" i:nil="true"/>
    </fact>
    <fact i:type="item">
      <id>XMETag_742af7df22fa44aaad5510d7d414f88c</id>
      <concept>{http://xbrl.frc.org.uk/cd/2021-01-01/business}NameEntityOfficer</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{http://xbrl.frc.org.uk/cd/2021-01-01/business}Director5</member>
          <typedValue i:nil="true"/>
          <contextContainer>Segment</contextContainer>
        </dimension>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Claire Ighodaro CBE </value>
      <format xmlns:d4p1="http://schemas.datacontract.org/2004/07/System.Xml.Linq" i:nil="true"/>
    </fact>
    <fact i:type="item">
      <id>XMETag_2d103aea257e42ed8f5e4ac4ebd34a4d</id>
      <concept>{http://xbrl.frc.org.uk/reports/2021-01-01/direp}DateAssumedPosition</concept>
      <identifier>
        <scheme>http://www.companieshouse.gov.uk/</scheme>
        <value>02366665</value>
      </identifier>
      <period>
        <periodType>Instant</periodType>
        <startDate i:nil="true"/>
        <endDate>2022-03-31T00:00:00</endDate>
      </period>
      <numericProperties i:nil="true"/>
      <dimensions>
        <dimension>
          <dimension>{http://xbrl.frc.org.uk/cd/2021-01-01/business}EntityOfficersDimension</dimension>
          <member>{http://xbrl.frc.org.uk/cd/2021-01-01/business}Director5</member>
          <typedValue i:nil="true"/>
          <contextContainer>Segment</contextContainer>
        </dimension>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31 July 2020 </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XMETag_e7bc22d8607949e4a5dd053001803cf7</id>
      <concept>{http://xbrl.frc.org.uk/cd/2021-01-01/business}NameEntityOfficer</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{http://xbrl.frc.org.uk/cd/2021-01-01/business}Director6</member>
          <typedValue i:nil="true"/>
          <contextContainer>Segment</contextContainer>
        </dimension>
      </dimensions>
      <transformGroup>United Kingdom</transformGroup>
      <hidden>false</hidden>
      <value>Paul Boote </value>
      <format xmlns:d4p1="http://schemas.datacontract.org/2004/07/System.Xml.Linq" i:nil="true"/>
    </fact>
    <fact i:type="item">
      <id>XMETag_832b569429b942bbb3c5d8495e723058</id>
      <concept>{http://xbrl.frc.org.uk/cd/2021-01-01/business}NameEntityOfficer</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{http://xbrl.frc.org.uk/cd/2021-01-01/business}CompanySecretary1</member>
          <typedValue i:nil="true"/>
          <contextContainer>Segment</contextContainer>
        </dimension>
      </dimensions>
      <transformGroup>United Kingdom</transformGroup>
      <hidden>false</hidden>
      <value>S Pugsley</value>
      <format xmlns:d4p1="http://schemas.datacontract.org/2004/07/System.Xml.Linq" i:nil="true"/>
    </fact>
    <fact i:type="item">
      <id>XMETag_19ae846d39f54e3990a2e205d3d3f8fd</id>
      <concept>{http://xbrl.frc.org.uk/cd/2021-01-01/business}AddressLine1</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{http://xbrl.frc.org.uk/cd/2021-01-01/business}EntityContactTypeDimension</dimension>
          <member>{http://xbrl.frc.org.uk/cd/2021-01-01/business}RegisteredOffice</member>
          <typedValue i:nil="true"/>
          <contextContainer>Segment</contextContainer>
        </dimension>
      </dimensions>
      <transformGroup>United Kingdom</transformGroup>
      <hidden>false</hidden>
      <value>Peninsula House</value>
      <format xmlns:d4p1="http://schemas.datacontract.org/2004/07/System.Xml.Linq" i:nil="true"/>
    </fact>
    <fact i:type="item">
      <id>XMETag_4c78aca2f49c436fa2a9cc2c37529cbe</id>
      <concept>{http://xbrl.frc.org.uk/cd/2021-01-01/business}AddressLine2</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{http://xbrl.frc.org.uk/cd/2021-01-01/business}EntityContactTypeDimension</dimension>
          <member>{http://xbrl.frc.org.uk/cd/2021-01-01/business}RegisteredOffice</member>
          <typedValue i:nil="true"/>
          <contextContainer>Segment</contextContainer>
        </dimension>
      </dimensions>
      <transformGroup>United Kingdom</transformGroup>
      <hidden>false</hidden>
      <value>Rydon Lane</value>
      <format xmlns:d4p1="http://schemas.datacontract.org/2004/07/System.Xml.Linq" i:nil="true"/>
    </fact>
    <fact i:type="item">
      <id>XMETag_b78170af0aa34479ba8730afedee9cce</id>
      <concept>{http://xbrl.frc.org.uk/cd/2021-01-01/business}PrincipalLocation-CityOrTown</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{http://xbrl.frc.org.uk/cd/2021-01-01/business}EntityContactTypeDimension</dimension>
          <member>{http://xbrl.frc.org.uk/cd/2021-01-01/business}RegisteredOffice</member>
          <typedValue i:nil="true"/>
          <contextContainer>Segment</contextContainer>
        </dimension>
      </dimensions>
      <transformGroup>United Kingdom</transformGroup>
      <hidden>false</hidden>
      <value>Exeter</value>
      <format xmlns:d4p1="http://schemas.datacontract.org/2004/07/System.Xml.Linq" i:nil="true"/>
    </fact>
    <fact i:type="item">
      <id>XMETag_748c5367a32e48b4824f9afaface4380</id>
      <concept>{http://xbrl.frc.org.uk/cd/2021-01-01/business}CountyRegion</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{http://xbrl.frc.org.uk/cd/2021-01-01/business}EntityContactTypeDimension</dimension>
          <member>{http://xbrl.frc.org.uk/cd/2021-01-01/business}RegisteredOffice</member>
          <typedValue i:nil="true"/>
          <contextContainer>Segment</contextContainer>
        </dimension>
      </dimensions>
      <transformGroup>United Kingdom</transformGroup>
      <hidden>false</hidden>
      <value>Devon</value>
      <format xmlns:d4p1="http://schemas.datacontract.org/2004/07/System.Xml.Linq" i:nil="true"/>
    </fact>
    <fact i:type="item">
      <id>XMETag_d3f683935aca4f54a6ceae89752631df</id>
      <concept>{http://xbrl.frc.org.uk/cd/2021-01-01/business}PostalCodeZip</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{http://xbrl.frc.org.uk/cd/2021-01-01/business}EntityContactTypeDimension</dimension>
          <member>{http://xbrl.frc.org.uk/cd/2021-01-01/business}RegisteredOffice</member>
          <typedValue i:nil="true"/>
          <contextContainer>Segment</contextContainer>
        </dimension>
      </dimensions>
      <transformGroup>United Kingdom</transformGroup>
      <hidden>false</hidden>
      <value>EX2 7HR</value>
      <format xmlns:d4p1="http://schemas.datacontract.org/2004/07/System.Xml.Linq" i:nil="true"/>
    </fact>
    <fact i:type="item">
      <id>XMETag_4498e388ddc04461a7a8ce87a3fa644c</id>
      <concept>{http://xbrl.frc.org.uk/cd/2021-01-01/business}UKCompaniesHouseRegisteredNumber</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02366665</value>
      <format xmlns:d4p1="http://schemas.datacontract.org/2004/07/System.Xml.Linq" i:nil="true"/>
    </fact>
    <fact i:type="item">
      <id>XMETag_234f77899a504562bba0e1f0150ab731</id>
      <concept>{http://xbrl.frc.org.uk/cd/2021-01-01/business}DescriptionPrincipalActivities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principal activities of the Company are the provision of waterand sewerage services. The Company holds the water and sewerage appointments for Cornwall and Devon and parts of Somerset and Dorset. It also provides water supply services to parts of Dorset, Hampshire and Wiltshire.</value>
      <format xmlns:d4p1="http://schemas.datacontract.org/2004/07/System.Xml.Linq" i:nil="true"/>
    </fact>
    <fact i:type="item">
      <id>XMETag_f7646f938c594c7291173ed063d824ee</id>
      <concept>{http://xbrl.frc.org.uk/reports/2021-01-01/direp}StatementOnQualifyingThirdPartyIndemnityProvisions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has maintained throughout the year Directors’ and officers’ liability insurance for the benefit of the Company, the Directors and its officers. The Company has entered into qualifying third-party indemnity arrangements for the benefit of all its Directors in a form and scope which comply with the requirements of the Companies Act 2006 and which were in force throughout the year and remain in force.</value>
      <format xmlns:d4p1="http://schemas.datacontract.org/2004/07/System.Xml.Linq" i:nil="true"/>
    </fact>
    <fact i:type="item">
      <id>XMETag_87bb41a1d72c40d59a6e87c6f81d79bb</id>
      <concept>{http://xbrl.frc.org.uk/reports/2021-01-01/direp}EmploymentDisabledPersonsPolicy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South West Water has a culture of continuous improvement through investment in people at all levels within the Company. It is committed to pursuing equality and diversity in all its employment activities including recruitment, training, career development and promotion and ensuring there is no bias or discrimination in the treatment of people. In particular, applications for employment are welcomed from persons with disabilities, and special arrangements and adjustments as necessary are made to ensure that applicants are treated fairly when attending for interview or for pre-employment aptitude tests. Wherever possible the opportunity is taken to retrain people who become disabled during their employment in order to maintain their employment within the Company.</value>
      <format xmlns:d4p1="http://schemas.datacontract.org/2004/07/System.Xml.Linq" i:nil="true"/>
    </fact>
    <fact i:type="item">
      <id>XMETag_29b5e20a2df9429596af29edcfca55f8</id>
      <concept>{http://xbrl.frc.org.uk/reports/2021-01-01/direp}DescriptionArrangementsRelatedToEmployeesSuchAsProvisionInformationConsultation</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South West Water respects the right to freedom of association and employees are consulted regularly about changes which may affect them either through their trade union-appointed representatives, through consultation groups or by means of their elected representatives at the Employee Engagement Forum. These forums, together with regular meetings with particular groups of employees, are used to ensure that employees are kept up to date with the business performance of their employer and the financial and economic factors affecting the performance of the Company as a whole. South West Water also cascades information monthly to all employees to provide them with important and up to date information about key events and to obtain feedback from them.</value>
      <format xmlns:d4p1="http://schemas.datacontract.org/2004/07/System.Xml.Linq" i:nil="true"/>
    </fact>
    <fact i:type="item">
      <id>XMETag_a6aa89bb8f544b8d8d34ddde7b07f167</id>
      <concept>{http://xbrl.frc.org.uk/reports/2021-01-01/direp}PoliticalDonationsFree-textComment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No political donations were made or political expenditure incurred and no contributions were made to a non-EU political party (2020/21: nil).</value>
      <format xmlns:d4p1="http://schemas.datacontract.org/2004/07/System.Xml.Linq" i:nil="true"/>
    </fact>
    <fact i:type="item">
      <id>XMETag_f6349c2cfbd0442dae6dbcb30675f93a</id>
      <concept>{http://xbrl.frc.org.uk/reports/2021-01-01/direp}StatementThatDirectorsAcknowledgeTheirResponsibilitiesUnderCompaniesAct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Directors are responsible for preparing the annual report, the Directors’ remuneration report and the financial statements in accordance with applicable law and regulations. Company law requires the Directors to prepare financial statements for each financial year. Under that law the Directors have prepared the Company financial statements in accordance with UK adopted international accounting standards in conformity with the Companies Act 2006.
Under company law the Directors must not approve the financial statements unless they are satisfied that they give a true and fair view of the state of affairs of the Company and of the profit or loss of the Company for the year.
In preparing these financial statements, the Directors are required to:
Select suitable accounting policies in accordance with IAS 8 Accounting Policies, Changes in Estimates and Errors and then apply them consistently;
Make judgements and accounting estimates that are reasonable and prudent;
present information, including accounting policies, in a manner that provides relevant, reliable, comparable and understandable information;
provide additional disclosures when compliance with the specific requirements of IFRSs is insufficient to enable users to understand the impact of particular transactions, other events and conditions of the Company’s financial position and financial performance;
prepare the financial statements on the going concern basis unless it is appropriate to presume that the Company will not continue in business.
The Directors are responsible for keeping adequate accounting records that are sufficient to show and explain the Company’s transactions and disclose with reasonable accuracy at any time the financial position of the Company and enable them to ensure that the financial statements comply with the Companies Act 2006. They are also responsible for safeguarding the assets of the Company and hence for taking reasonable steps for the prevention and detection of fraud and other irregularities.
Under applicable law and regulations, the Directors are also responsible for preparing a Strategic Report, Directors’ Report, Directors’ Remuneration Report and Corporate Governance Statement that comply with the law and those regulations. The Directors are responsible for the maintenance and integrity of the corporate and financial information included on the Company’s website.
Each of the Directors, whose names and functions are listed on pages 110 and 158, confirms that, to the best of his or her knowledge:
The financial statements, which have been prepared in accordance with UK adopted international accounting standards in conformity with the Companies Act 2006, give a true and fair view of the assets, liabilities, financial position and profit of the Company.
The Annual Report, including the Strategic Report (pages 97 to 100), includes a fair review of the development and performance of the business during the year and the position of the Company, together with a description of the principal risks and uncertainties it faces.
They consider that the Annual Report, taken as a whole, is fair, balanced and understandable, and provides the information necessary for shareholders to assess the Company’s position, performance, business model and strategy.
The Directors are responsible for the maintenance and integrity of the Company’s website www.southwestwater.co.uk. Legislation in the United Kingdom governing the preparation and dissemination of financial statements may differ from legislation in other jurisdictions.</value>
      <format xmlns:d4p1="http://schemas.datacontract.org/2004/07/System.Xml.Linq" i:nil="true"/>
    </fact>
    <fact i:type="item">
      <id>XMETag_e639e3c062f4426d8b555b39cf55caa4</id>
      <concept>{http://xbrl.frc.org.uk/reports/2021-01-01/direp}StatementOnQualityCompletenessInformationProvidedToAuditors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a) So far as each of the Directors in office at the date of signing of the report is aware, there is no relevant audit information of which the Company’s auditor is unaware; and
b) each of the Directors has taken all the steps that each Director ought to have taken as a Director in order to make himself or herself aware of any relevant audit information and to establish that the Company’s auditor is aware of that information.</value>
      <format xmlns:d4p1="http://schemas.datacontract.org/2004/07/System.Xml.Linq" i:nil="true"/>
    </fact>
    <fact i:type="item">
      <id>XMETag_85128e746c6f4d078dd8f8c321aca751</id>
      <concept>{http://xbrl.frc.org.uk/reports/2021-01-01/direp}DateSigningDirectorsReport</concept>
      <identifier>
        <scheme>http://www.companieshouse.gov.uk/</scheme>
        <value>02366665</value>
      </identifier>
      <period>
        <periodType>Instant</periodType>
        <startDate i:nil="true"/>
        <endDate>2022-03-31T00:00:00</endDate>
      </period>
      <numericProperties i:nil="true"/>
      <dimensions/>
      <transformGroup>United Kingdom</transformGroup>
      <hidden>false</hidden>
      <value>5 July 2022</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XMETag_b402c0889a754457bbf67c3e6c1923d0</id>
      <concept>{http://xbrl.frc.org.uk/reports/2021-01-01/direp}DirectorSigningDirectorsReport</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{http://xbrl.frc.org.uk/cd/2021-01-01/business}CompanySecretary1</member>
          <typedValue i:nil="true"/>
          <contextContainer>Segment</contextContainer>
        </dimension>
      </dimensions>
      <transformGroup>United Kingdom</transformGroup>
      <hidden>false</hidden>
      <value>SIMON A F PUGSLEY</value>
      <format xmlns:d4p1="http://schemas.datacontract.org/2004/07/System.Xml.Linq" xmlns:z="http://schemas.microsoft.com/2003/10/Serialization/" z:FactoryType="d4p1:NameSerializer">
        <name xmlns:d5p1="http://www.w3.org/2001/XMLSchema" xmlns="" i:type="d5p1:string">{http://www.xbrl.org/inlineXBRL/transformation/2011-07-31}nocontent</name>
      </format>
    </fact>
    <fact i:type="item">
      <id>XMETag_483bef50ea9f4004bc71e1b57b13d3af</id>
      <concept>{http://xbrl.frc.org.uk/reports/2021-01-01/aurep}OpinionAuditorsOnEntity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In our opinion, the financial statements:  
give a true and fair view of the company’s affairs as at 31 March 2022 and of its profit for the year then ended;
have been properly prepared in accordance with UK adopted International Accounting Standards; and
have been prepared in accordance with the requirements of the Companies Act 2006.</value>
      <format xmlns:d4p1="http://schemas.datacontract.org/2004/07/System.Xml.Linq" i:nil="true"/>
    </fact>
    <fact i:type="item">
      <id>XMETag_d19d744fd70942f4bce9f80898a1dd93</id>
      <concept>{http://xbrl.frc.org.uk/reports/2021-01-01/aurep}BasisForOpinionAuditorsOnEntity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We conducted our audit in accordance with International Standards on Auditing (UK) (ISAs (UK)) and applicable law. Our responsibilities under those standards are further described in the Auditor’s responsibilities for the audit of the financial statements section of our report. We believe that the audit evidence we have obtained is sufficient and appropriate to provide a basis for our opinion.</value>
      <format xmlns:d4p1="http://schemas.datacontract.org/2004/07/System.Xml.Linq" i:nil="true"/>
    </fact>
    <fact i:type="item">
      <id>XMETag_ee0c99b3708c498b8291e344114958e7</id>
      <concept>{http://xbrl.frc.org.uk/reports/2021-01-01/aurep}StatementKeyAuditMatters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Key audit matters are those matters that, in our professional judgment, were of most significance in our audit of the financial statements of the current period and include the most significant assessed risks of material misstatement (whether or not due to fraud) that we identified. These matters included those which had the greatest effect on: the overall audit strategy, the allocation of resources in the audit; and directing the efforts of the engagement team. These matters were addressed in the context of our audit of the financial statements as a whole, and in our opinion thereon, and we do not provide a separate opinion on these matters.</value>
      <format xmlns:d4p1="http://schemas.datacontract.org/2004/07/System.Xml.Linq" i:nil="true"/>
    </fact>
    <fact i:type="item">
      <id>XMETag_f688db61186b4fbaa2c5ac52fda67de3</id>
      <concept>{http://xbrl.frc.org.uk/reports/2021-01-01/aurep}StatementOnApplicationMaterialityToAudit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application of materiality at the individual account or balance level.  It is set at an amount to reduce to an appropriately low level the probability that the aggregate of uncorrected and undetected misstatements exceeds materiality.
On the basis of our risk assessments, together with our assessment of the Company’s overall control environment, our judgement was that performance materiality was 75% (2021: 75%) of our planning materiality, namely £5.2m (2020: £6.2m).  We have set performance materiality at this percentage based on our assessment of the company’s internal control environment and the extent and nature of audit findings identified in the prior period. This basis is consistent with the prior year.</value>
      <format xmlns:d4p1="http://schemas.datacontract.org/2004/07/System.Xml.Linq" i:nil="true"/>
    </fact>
    <fact i:type="item">
      <id>XMETag_5595e59951004f3e8a29fa3c32130eda</id>
      <concept>{http://xbrl.frc.org.uk/reports/2021-01-01/aurep}StatementAuditorsResponsibilitiesRelatingToOtherInformation</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other information comprises the information included in the annual report, other than the financial statements and our auditor’s report thereon.  The directors are responsible for the other information contained within the annual report.  
Our opinion on the financial statements does not cover the other information and, except to the extent otherwise explicitly stated in this report, we do not express any form of assurance conclusion thereon. 
Our responsibility is to read the other information and, in doing so, consider whether the other information is materially inconsistent with the financial statements or our knowledge obtained in the course of the audit or otherwise appears to be materially misstated. If we identify such material inconsistencies or apparent material misstatements, we are required to determine whether there is a material misstatement in the financial statements themselves or a material misstatement of the other information. If, based on the work we have performed, we conclude that there is a material misstatement of the other information, we are required to report that fact.
We have nothing to report in this regard.</value>
      <format xmlns:d4p1="http://schemas.datacontract.org/2004/07/System.Xml.Linq" i:nil="true"/>
    </fact>
    <fact i:type="item">
      <id>XMETag_2ec966f0fa224b9ab598c1122df38abf</id>
      <concept>{http://xbrl.frc.org.uk/reports/2021-01-01/aurep}DirectorsReportConsistentWithAccountsTruefalse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information given in the strategic report and the directors’ report for the financial year for which the financial statements are prepared is consistent with the financial statements;</value>
      <format xmlns:d4p1="http://schemas.datacontract.org/2004/07/System.Xml.Linq" xmlns:z="http://schemas.microsoft.com/2003/10/Serialization/" z:FactoryType="d4p1:NameSerializer">
        <name xmlns:d5p1="http://www.w3.org/2001/XMLSchema" xmlns="" i:type="d5p1:string">{http://www.xbrl.org/inlineXBRL/transformation/2011-07-31}booleantrue</name>
      </format>
    </fact>
    <fact i:type="item">
      <id>XMETag_b3a55118e30f44938799eda5e4f21123</id>
      <concept>{http://xbrl.frc.org.uk/reports/2021-01-01/aurep}StatementOnMattersOnWhichAuditorReportsByException</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In the light of the knowledge and understanding of the company and its environment obtained in the course of the audit, we have not identified material misstatements in the strategic report or directors’ report.
We have nothing to report in respect of the following matters in relation to which the Companies Act 2006 requires us to report to you if, in our opinion:
adequate accounting records have not been kept, or returns adequate for our audit have not been received from branches not visited by us; or 
the financial statements and the part of the Directors’ Remuneration Report to be audited are not in agreement with the accounting records and returns; or
certain disclosures of directors’ remuneration specified by law are not made; or
we have not received all the information and explanations we require for our audit</value>
      <format xmlns:d4p1="http://schemas.datacontract.org/2004/07/System.Xml.Linq" i:nil="true"/>
    </fact>
    <fact i:type="item">
      <id>XMETag_3da98c076c1d469894c3cf46950db39a</id>
      <concept>{http://xbrl.frc.org.uk/reports/2021-01-01/aurep}StatementOnRespectiveResponsibilitiesDirectorsAuditors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RESPONSIBILITIES OF DIRECTORS
As explained more fully in the directors’ responsibilities statement set out on page 162, the directors are responsible for the preparation of the financial statements and for being satisfied that they give a true and fair view, and for such internal control as the directors determine is necessary to enable the preparation of financial statements that are free from material misstatement, whether due to fraud or error. 
In preparing the financial statements, the directors are responsible for assessing the company’s ability to continue as a going concern, disclosing, as applicable, matters related to going concern and using the going concern basis of accounting unless the directors either intend to liquidate the company or to cease operations, or have no realistic alternative but to do so.
AUDITOR’S RESPONSIBILITIES FOR THE AUDIT OF THE FINANCIAL STATEMENTS 
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  
Explanation as to what extent the audit was considered capable of detecting irregularities, including fraud 
Irregularities, including fraud, are instances of non-compliance with laws and regulations. We design procedures in line with our responsibilities, outlined above, to detect irregularities, including fraud. The risk of not detecting a material misstatement due to fraud is higher than the risk of not detecting one resulting from error, as fraud may involve deliberate concealment by, for example, forgery or intentional misrepresentations, or through collusion.  The extent to which our procedures are capable of detecting irregularities, including fraud is detailed below. 
However, the primary responsibility for the prevention and detection of fraud rests with both those charged with governance of the company and management. 
We obtained an understanding of the legal and regulatory frameworks that are applicable to the company and determined that the most significant are: 
Companies Act 2006
Financial Reporting Council (FRC) and the UK Corporate Governance Code
Tax legislation (governed by HM Revenue &amp; Customs)
Health and Safety legislation
Environment Agency environmental permits
Ofwat regulations
We understood how South West Water Limited is complying with those frameworks by reading internal policies and codes of conduct and assessing the entity level control environment, including the level of oversight of those charged with governance. We made enquiries of the company’s legal counsel, regulatory team and internal audit of known instances of non-compliance or suspected non-compliance with laws and regulations. We corroborated our enquiries through review of correspondence with regulatory bodies. We designed our audit procedures to identify non-compliance with such laws and regulations identified in the paragraph above. As well as enquiry and attendance at meetings, our procedures involved a review of the reporting to the above committees and a review of board meetings and other committee minutes to identify any non-compliance with laws and regulations. Our procedures also involved journal entry testing, with a focus on journals meeting our defined risk criteria based on our understanding of the business. 
We assessed the susceptibility of the company’s financial statements to material misstatement, including how fraud might occur by making enquiries of senior management, including the Chief Executive Officer, Chief Financial Officer, Head of Internal Audit and Audit Committee Chair. We planned our audit to identify risks of management override, tested higher risk journal entries and performed audit procedures to address the potential for management bias, particularly over areas involving significant estimation and judgement. Further discussion of our approach to address the identified risks of management override are set out in the key audit matters section of our report.
Based on this understanding we designed our audit procedures to identify non-compliance with such laws and regulations. Our procedures involved making enquiries of key management and legal counsel, reviewing key policies, inspecting legal registers and correspondence with regulators and reading key management meeting minutes. We also completed procedures to conclude on the compliance of significant disclosures in the Annual Report and Accounts with the requirements of the relevant accounting standards, UK legislation and the company’s voluntary compliance with the UK Corporate Governance Code.
We attended key meetings with management and legal counsel in order to identify and communicate any instances of non-compliance with laws and regulations.
The company operates in the water sector which is highly regulated. As such the Senior Statutory Auditor reviewed the experience and expertise of the engagement team to ensure that the team had the appropriate competence and capabilities, which included the use of an expert where appropriate.
A further description of our responsibilities for the audit of the financial statements is located on the
Financial Reporting Council’s website at https://www.frc.org.uk/auditorsresponsibilities.  This description forms part of our auditor’s report.</value>
      <format xmlns:d4p1="http://schemas.datacontract.org/2004/07/System.Xml.Linq" i:nil="true"/>
    </fact>
    <fact i:type="item">
      <id>XMETag_4ba1d28cddce4cacb4f97fd281271b1c</id>
      <concept>{http://xbrl.frc.org.uk/reports/2021-01-01/aurep}DateAuditorsReport</concept>
      <identifier>
        <scheme>http://www.companieshouse.gov.uk/</scheme>
        <value>02366665</value>
      </identifier>
      <period>
        <periodType>Instant</periodType>
        <startDate i:nil="true"/>
        <endDate>2022-03-31T00:00:00</endDate>
      </period>
      <numericProperties i:nil="true"/>
      <dimensions/>
      <transformGroup>United Kingdom</transformGroup>
      <hidden>false</hidden>
      <value>5 July 2022</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XMETag_e2d66ae97f39490682f08b9014f83890</id>
      <concept>{http://xbrl.frc.org.uk/cd/2021-01-01/business}NameEntityAuditors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Ernst &amp; Young LLP</value>
      <format xmlns:d4p1="http://schemas.datacontract.org/2004/07/System.Xml.Linq" i:nil="true"/>
    </fact>
    <fact i:type="item">
      <id>XMETag_29a8a7800427446d8e343d7c7c3c640a</id>
      <concept>{http://xbrl.frc.org.uk/reports/2021-01-01/aurep}NameOrLocationOfficePerformingAudit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Leeds</value>
      <format xmlns:d4p1="http://schemas.datacontract.org/2004/07/System.Xml.Linq" i:nil="true"/>
    </fact>
    <fact i:type="item">
      <id>XMETag_b342ce141ab74bf385b3fec1997f3c40</id>
      <concept>{http://xbrl.frc.org.uk/reports/2021-01-01/aurep}NameSeniorStatutoryAuditor</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Christabel Cowling</value>
      <format xmlns:d4p1="http://schemas.datacontract.org/2004/07/System.Xml.Linq" i:nil="true"/>
    </fact>
    <fact i:type="item">
      <id>XMETag_50e05f39a1274c72a6ef1e875b4ebb75</id>
      <concept>{http://xbrl.frc.org.uk/fr/2021-01-01/core}TurnoverRevenue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584.6</value>
      <format xmlns:d4p1="http://schemas.datacontract.org/2004/07/System.Xml.Linq" i:nil="true"/>
    </fact>
    <fact i:type="item">
      <id>XMETag_8e6e2aec2c8e400fa5abba1316a00d39</id>
      <concept>{http://xbrl.frc.org.uk/fr/2021-01-01/core}TurnoverRevenue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584.6</value>
      <format xmlns:d4p1="http://schemas.datacontract.org/2004/07/System.Xml.Linq" i:nil="true"/>
    </fact>
    <fact i:type="item">
      <id>XMETag_0820c1f18d4c434abd0cebb7505781b5</id>
      <concept>{http://xbrl.frc.org.uk/fr/2021-01-01/core}TurnoverRevenue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564.3</value>
      <format xmlns:d4p1="http://schemas.datacontract.org/2004/07/System.Xml.Linq" i:nil="true"/>
    </fact>
    <fact i:type="item">
      <id>XMETag_3ef98bb2de644f69bba23693df8fae4d</id>
      <concept>{http://xbrl.frc.org.uk/fr/2021-01-01/core}TurnoverRevenue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543.8</value>
      <format xmlns:d4p1="http://schemas.datacontract.org/2004/07/System.Xml.Linq" i:nil="true"/>
    </fact>
    <fact i:type="item">
      <id>XMETag_06a02e6733ae4dec8c1f983a89d28cbd</id>
      <concept>{http://xbrl.frc.org.uk/fr/2021-01-01/core}StaffCostsEmployeeBenefitsExpense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(56.9)</value>
      <format xmlns:d4p1="http://schemas.datacontract.org/2004/07/System.Xml.Linq" i:nil="true"/>
    </fact>
    <fact i:type="item">
      <id>XMETag_6be851785e5c4e518519499191f3245c</id>
      <concept>{http://xbrl.frc.org.uk/fr/2021-01-01/core}StaffCostsEmployeeBenefitsExpense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(1.7)</value>
      <format xmlns:d4p1="http://schemas.datacontract.org/2004/07/System.Xml.Linq" i:nil="true"/>
    </fact>
    <fact i:type="item">
      <id>XMETag_d0833c98dccd4e9ca3e4043fd6a8834c</id>
      <concept>{http://xbrl.frc.org.uk/fr/2021-01-01/core}StaffCostsEmployeeBenefitsExpense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(58.6)</value>
      <format xmlns:d4p1="http://schemas.datacontract.org/2004/07/System.Xml.Linq" i:nil="true"/>
    </fact>
    <fact i:type="item">
      <id>XMETag_7b9ba2eeffed4d8eb2c593cd196aee5b</id>
      <concept>{http://xbrl.frc.org.uk/fr/2021-01-01/core}StaffCostsEmployeeBenefitsExpense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(53.9)</value>
      <format xmlns:d4p1="http://schemas.datacontract.org/2004/07/System.Xml.Linq" i:nil="true"/>
    </fact>
    <fact i:type="item">
      <id>XMETag_1c0632c7b02b42629f1710fbc8dac73a</id>
      <concept>{http://xbrl.frc.org.uk/fr/2021-01-01/core}StaffCostsEmployeeBenefitsExpense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(3.5)</value>
      <format xmlns:d4p1="http://schemas.datacontract.org/2004/07/System.Xml.Linq" i:nil="true"/>
    </fact>
    <fact i:type="item">
      <id>XMETag_a949c79772f346f1a972b5fc2f12c97b</id>
      <concept>{http://xbrl.frc.org.uk/fr/2021-01-01/core}StaffCostsEmployeeBenefitsExpense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(57.4)</value>
      <format xmlns:d4p1="http://schemas.datacontract.org/2004/07/System.Xml.Linq" i:nil="true"/>
    </fact>
    <fact i:type="item">
      <id>XMETag_0a00b93fb7794f59b10cfa07d8a3e00b</id>
      <concept>{http://xbrl.frc.org.uk/fr/2021-01-01/core}RawMaterialsConsumablesUsed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(20.5)</value>
      <format xmlns:d4p1="http://schemas.datacontract.org/2004/07/System.Xml.Linq" i:nil="true"/>
    </fact>
    <fact i:type="item">
      <id>XMETag_30128c6b6788469ab3c797ff08c47bb2</id>
      <concept>{http://xbrl.frc.org.uk/fr/2021-01-01/core}RawMaterialsConsumablesUsed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XMETag_07d8643e70d9470d950f6a2786367eda</id>
      <concept>{http://xbrl.frc.org.uk/fr/2021-01-01/core}RawMaterialsConsumablesUsed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(20.5)</value>
      <format xmlns:d4p1="http://schemas.datacontract.org/2004/07/System.Xml.Linq" i:nil="true"/>
    </fact>
    <fact i:type="item">
      <id>XMETag_0cb48934fbb841baa16b5de31fe2eb79</id>
      <concept>{http://xbrl.frc.org.uk/fr/2021-01-01/core}RawMaterialsConsumablesUsed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(18.1)</value>
      <format xmlns:d4p1="http://schemas.datacontract.org/2004/07/System.Xml.Linq" i:nil="true"/>
    </fact>
    <fact i:type="item">
      <id>XMETag_33c956a75f9c4290be4756c3a7f81f0b</id>
      <concept>{http://xbrl.frc.org.uk/fr/2021-01-01/core}RawMaterialsConsumablesUsed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XMETag_2f7c319c479d40cfb0680015654108a7</id>
      <concept>{http://xbrl.frc.org.uk/fr/2021-01-01/core}RawMaterialsConsumablesUsed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(18.1)</value>
      <format xmlns:d4p1="http://schemas.datacontract.org/2004/07/System.Xml.Linq" i:nil="true"/>
    </fact>
    <fact i:type="item">
      <id>XMETag_49945720659a4ccd95ad75917c14a514</id>
      <concept>{http://xbrl.frc.org.uk/fr/2021-01-01/core}TotalOperatingExpensesByFunction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(175.9)</value>
      <format xmlns:d4p1="http://schemas.datacontract.org/2004/07/System.Xml.Linq" i:nil="true"/>
    </fact>
    <fact i:type="item">
      <id>XMETag_2db1e28bf07d4b34bdf5e679fa246ab8</id>
      <concept>{http://xbrl.frc.org.uk/fr/2021-01-01/core}TotalOperatingExpensesByFunction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(0.3)</value>
      <format xmlns:d4p1="http://schemas.datacontract.org/2004/07/System.Xml.Linq" i:nil="true"/>
    </fact>
    <fact i:type="item">
      <id>XMETag_6edc267e83b24a26927dc936e31873ae</id>
      <concept>{http://xbrl.frc.org.uk/fr/2021-01-01/core}TotalOperatingExpensesByFunction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(176.2)</value>
      <format xmlns:d4p1="http://schemas.datacontract.org/2004/07/System.Xml.Linq" i:nil="true"/>
    </fact>
    <fact i:type="item">
      <id>XMETag_f66601b9c8484a9093593502ba078e60</id>
      <concept>{http://xbrl.frc.org.uk/fr/2021-01-01/core}TotalOperatingExpensesByFunction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(151.7)</value>
      <format xmlns:d4p1="http://schemas.datacontract.org/2004/07/System.Xml.Linq" i:nil="true"/>
    </fact>
    <fact i:type="item">
      <id>XMETag_d549278ae8ff4e0db4401c9caff97cff</id>
      <concept>{http://xbrl.frc.org.uk/fr/2021-01-01/core}TotalOperatingExpensesByFunction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XMETag_941d3bc8bacd41738fb2e74e0607fc8a</id>
      <concept>{http://xbrl.frc.org.uk/fr/2021-01-01/core}TotalOperatingExpensesByFunction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(151.7)</value>
      <format xmlns:d4p1="http://schemas.datacontract.org/2004/07/System.Xml.Linq" i:nil="true"/>
    </fact>
    <fact i:type="item">
      <id>XMETag_c0a955675862471b8ef679e22223d7a8</id>
      <concept>{http://xbrl.frc.org.uk/fr/2021-01-01/core}DepreciationAmortisationExpense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(117.0)</value>
      <format xmlns:d4p1="http://schemas.datacontract.org/2004/07/System.Xml.Linq" i:nil="true"/>
    </fact>
    <fact i:type="item">
      <id>XMETag_b2dce27bf70f4e31b0e54693617becf5</id>
      <concept>{http://xbrl.frc.org.uk/fr/2021-01-01/core}DepreciationAmortisationExpense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XMETag_80261d523c0d4e84a23db06bab0404a8</id>
      <concept>{http://xbrl.frc.org.uk/fr/2021-01-01/core}DepreciationAmortisationExpense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(117.0)</value>
      <format xmlns:d4p1="http://schemas.datacontract.org/2004/07/System.Xml.Linq" i:nil="true"/>
    </fact>
    <fact i:type="item">
      <id>XMETag_215f70572d7c4b7484f2a23239f91ec8</id>
      <concept>{http://xbrl.frc.org.uk/fr/2021-01-01/core}DepreciationAmortisationExpense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(118.3)</value>
      <format xmlns:d4p1="http://schemas.datacontract.org/2004/07/System.Xml.Linq" i:nil="true"/>
    </fact>
    <fact i:type="item">
      <id>XMETag_7e45c668be3843ed978769befb7e8a4b</id>
      <concept>{http://xbrl.frc.org.uk/fr/2021-01-01/core}DepreciationAmortisationExpense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XMETag_82e9ac0d161c4d5f9df7494b2334a728</id>
      <concept>{http://xbrl.frc.org.uk/fr/2021-01-01/core}DepreciationAmortisationExpense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(118.3)</value>
      <format xmlns:d4p1="http://schemas.datacontract.org/2004/07/System.Xml.Linq" i:nil="true"/>
    </fact>
    <fact i:type="item">
      <id>XMETag_d0f089b2b2324c07b0156ce7141787b2</id>
      <concept>{http://xbrl.frc.org.uk/fr/2021-01-01/core}OperatingProfitLoss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214.3</value>
      <format xmlns:d4p1="http://schemas.datacontract.org/2004/07/System.Xml.Linq" i:nil="true"/>
    </fact>
    <fact i:type="item">
      <id>XMETag_36903bad1a704db0b98d2035a7dcfd6d</id>
      <concept>{http://xbrl.frc.org.uk/fr/2021-01-01/core}OperatingProfitLoss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(2.0)</value>
      <format xmlns:d4p1="http://schemas.datacontract.org/2004/07/System.Xml.Linq" i:nil="true"/>
    </fact>
    <fact i:type="item">
      <id>XMETag_ecae6645cad545269a46a94a0f3fb6f1</id>
      <concept>{http://xbrl.frc.org.uk/fr/2021-01-01/core}OperatingProfitLoss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212.3</value>
      <format xmlns:d4p1="http://schemas.datacontract.org/2004/07/System.Xml.Linq" i:nil="true"/>
    </fact>
    <fact i:type="item">
      <id>XMETag_a444bbd521dc4164ba94e984e02d1c52</id>
      <concept>{http://xbrl.frc.org.uk/fr/2021-01-01/core}OperatingProfitLoss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222.3</value>
      <format xmlns:d4p1="http://schemas.datacontract.org/2004/07/System.Xml.Linq" i:nil="true"/>
    </fact>
    <fact i:type="item">
      <id>XMETag_bc0697f0854e4b77b915edd7cc99309a</id>
      <concept>{http://xbrl.frc.org.uk/fr/2021-01-01/core}OperatingProfitLoss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(24.0)</value>
      <format xmlns:d4p1="http://schemas.datacontract.org/2004/07/System.Xml.Linq" i:nil="true"/>
    </fact>
    <fact i:type="item">
      <id>XMETag_8af18f98b18741f599fc5beed48c6918</id>
      <concept>{http://xbrl.frc.org.uk/fr/2021-01-01/core}OperatingProfitLoss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198.3</value>
      <format xmlns:d4p1="http://schemas.datacontract.org/2004/07/System.Xml.Linq" i:nil="true"/>
    </fact>
    <fact i:type="item">
      <id>XMETag_c131487a8b1e4894a1aa4f45d208870c</id>
      <concept>{http://xbrl.frc.org.uk/fr/2021-01-01/core}OtherInterestReceivableSimilarIncomeFinanceIncome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1.2</value>
      <format xmlns:d4p1="http://schemas.datacontract.org/2004/07/System.Xml.Linq" i:nil="true"/>
    </fact>
    <fact i:type="item">
      <id>XMETag_7ad13b1ac75240178e562ff8cf1e5c21</id>
      <concept>{http://xbrl.frc.org.uk/fr/2021-01-01/core}OtherInterestReceivableSimilarIncomeFinanceIncome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XMETag_293c2f0671db4f788a1d6030a18b2f3c</id>
      <concept>{http://xbrl.frc.org.uk/fr/2021-01-01/core}OtherInterestReceivableSimilarIncomeFinanceIncome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1.2</value>
      <format xmlns:d4p1="http://schemas.datacontract.org/2004/07/System.Xml.Linq" i:nil="true"/>
    </fact>
    <fact i:type="item">
      <id>XMETag_198a52855bb54dd99bac956bb8ef6350</id>
      <concept>{http://xbrl.frc.org.uk/fr/2021-01-01/core}OtherInterestReceivableSimilarIncomeFinanceIncome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0.7</value>
      <format xmlns:d4p1="http://schemas.datacontract.org/2004/07/System.Xml.Linq" i:nil="true"/>
    </fact>
    <fact i:type="item">
      <id>XMETag_1c15e810f2294f17a22d62a5aafc3fae</id>
      <concept>{http://xbrl.frc.org.uk/fr/2021-01-01/core}OtherInterestReceivableSimilarIncomeFinanceIncome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XMETag_f1a0f0513de84653ba31eb9b2d88f026</id>
      <concept>{http://xbrl.frc.org.uk/fr/2021-01-01/core}OtherInterestReceivableSimilarIncomeFinanceIncome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XMETag_f74c2990b74c48c7910ad33e715c1d73</id>
      <concept>{http://xbrl.frc.org.uk/fr/2021-01-01/core}InterestPayableSimilarChargesFinanceCosts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(78.0)</value>
      <format xmlns:d4p1="http://schemas.datacontract.org/2004/07/System.Xml.Linq" i:nil="true"/>
    </fact>
    <fact i:type="item">
      <id>XMETag_5f62d4dc6d77440d8aa5ef3a778a8189</id>
      <concept>{http://xbrl.frc.org.uk/fr/2021-01-01/core}InterestPayableSimilarChargesFinanceCosts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XMETag_a20d35a4599e45b8866d614334183f38</id>
      <concept>{http://xbrl.frc.org.uk/fr/2021-01-01/core}InterestPayableSimilarChargesFinanceCosts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(78.0)</value>
      <format xmlns:d4p1="http://schemas.datacontract.org/2004/07/System.Xml.Linq" i:nil="true"/>
    </fact>
    <fact i:type="item">
      <id>XMETag_73b18b688ae04706927c27ecb112bb1f</id>
      <concept>{http://xbrl.frc.org.uk/fr/2021-01-01/core}InterestPayableSimilarChargesFinanceCosts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(57.2)</value>
      <format xmlns:d4p1="http://schemas.datacontract.org/2004/07/System.Xml.Linq" i:nil="true"/>
    </fact>
    <fact i:type="item">
      <id>XMETag_568993acac46434b915d5a9aadf47f2d</id>
      <concept>{http://xbrl.frc.org.uk/fr/2021-01-01/core}InterestPayableSimilarChargesFinanceCosts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XMETag_8cbdf488fbe54c80950a10aa99f485ed</id>
      <concept>{http://xbrl.frc.org.uk/fr/2021-01-01/core}InterestPayableSimilarChargesFinanceCosts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(57.2)</value>
      <format xmlns:d4p1="http://schemas.datacontract.org/2004/07/System.Xml.Linq" i:nil="true"/>
    </fact>
    <fact i:type="item">
      <id>XMETag_1f80371588f543d598b81d7b531b4da8</id>
      <concept>{http://xbrl.frc.org.uk/fr/2021-01-01/core}NetFinanceIncomeCosts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(76.8)</value>
      <format xmlns:d4p1="http://schemas.datacontract.org/2004/07/System.Xml.Linq" i:nil="true"/>
    </fact>
    <fact i:type="item">
      <id>XMETag_69af66fa694a4da3990074c02beffda2</id>
      <concept>{http://xbrl.frc.org.uk/fr/2021-01-01/core}NetFinanceIncomeCosts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 -</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XMETag_7a2c309d430c4e37b1e6ce8c9e3f29fd</id>
      <concept>{http://xbrl.frc.org.uk/fr/2021-01-01/core}NetFinanceIncomeCosts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(76.8)</value>
      <format xmlns:d4p1="http://schemas.datacontract.org/2004/07/System.Xml.Linq" i:nil="true"/>
    </fact>
    <fact i:type="item">
      <id>XMETag_ac321f4885f941839a655841fa622ff6</id>
      <concept>{http://xbrl.frc.org.uk/fr/2021-01-01/core}NetFinanceIncomeCosts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(56.5)</value>
      <format xmlns:d4p1="http://schemas.datacontract.org/2004/07/System.Xml.Linq" i:nil="true"/>
    </fact>
    <fact i:type="item">
      <id>XMETag_683391597abf45c8aa79ed28c49e2f97</id>
      <concept>{http://xbrl.frc.org.uk/fr/2021-01-01/core}NetFinanceIncomeCosts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XMETag_057f50de510540249f782109524e56f0</id>
      <concept>{http://xbrl.frc.org.uk/fr/2021-01-01/core}NetFinanceIncomeCosts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(56.5)</value>
      <format xmlns:d4p1="http://schemas.datacontract.org/2004/07/System.Xml.Linq" i:nil="true"/>
    </fact>
    <fact i:type="item">
      <id>XMETag_5773fac28a1749189bcdec248d9b71b3</id>
      <concept>{http://xbrl.frc.org.uk/fr/2021-01-01/core}ProfitLossBeforeTax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137.5</value>
      <format xmlns:d4p1="http://schemas.datacontract.org/2004/07/System.Xml.Linq" i:nil="true"/>
    </fact>
    <fact i:type="item">
      <id>XMETag_cd36556fb0ab43f284cb39864171d27c</id>
      <concept>{http://xbrl.frc.org.uk/fr/2021-01-01/core}ProfitLossBeforeTax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(2.0)</value>
      <format xmlns:d4p1="http://schemas.datacontract.org/2004/07/System.Xml.Linq" i:nil="true"/>
    </fact>
    <fact i:type="item">
      <id>XMETag_04d6a19f801c460894a80aa7c5e8f310</id>
      <concept>{http://xbrl.frc.org.uk/fr/2021-01-01/core}ProfitLossBeforeTax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135.5</value>
      <format xmlns:d4p1="http://schemas.datacontract.org/2004/07/System.Xml.Linq" i:nil="true"/>
    </fact>
    <fact i:type="item">
      <id>XMETag_e904d231c8f3414fb3f517b581a20bc9</id>
      <concept>{http://xbrl.frc.org.uk/fr/2021-01-01/core}ProfitLossBeforeTax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165.8</value>
      <format xmlns:d4p1="http://schemas.datacontract.org/2004/07/System.Xml.Linq" i:nil="true"/>
    </fact>
    <fact i:type="item">
      <id>XMETag_f226e0a78f0d4a9ca2e7fcfed4055b4c</id>
      <concept>{http://xbrl.frc.org.uk/fr/2021-01-01/core}ProfitLossBeforeTax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(24.0)</value>
      <format xmlns:d4p1="http://schemas.datacontract.org/2004/07/System.Xml.Linq" i:nil="true"/>
    </fact>
    <fact i:type="item">
      <id>XMETag_2b20a66a97fb4f7899a2813106eda268</id>
      <concept>{http://xbrl.frc.org.uk/fr/2021-01-01/core}ProfitLossBeforeTax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141.8</value>
      <format xmlns:d4p1="http://schemas.datacontract.org/2004/07/System.Xml.Linq" i:nil="true"/>
    </fact>
    <fact i:type="item">
      <id>XMETag_c8e7d73ea55d4ab691e5798ea3d9dbf3</id>
      <concept>{http://xbrl.frc.org.uk/fr/2021-01-01/core}IncomeTaxExpenseCredit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(12.7)</value>
      <format xmlns:d4p1="http://schemas.datacontract.org/2004/07/System.Xml.Linq" i:nil="true"/>
    </fact>
    <fact i:type="item">
      <id>XMETag_031ba67f177d46b48e2bda6051aabf97</id>
      <concept>{http://xbrl.frc.org.uk/fr/2021-01-01/core}IncomeTaxExpenseCredit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(98.3)</value>
      <format xmlns:d4p1="http://schemas.datacontract.org/2004/07/System.Xml.Linq" i:nil="true"/>
    </fact>
    <fact i:type="item">
      <id>XMETag_b6e9b47b3de94a04b4aaa41749849e1a</id>
      <concept>{http://xbrl.frc.org.uk/fr/2021-01-01/core}IncomeTaxExpenseCredit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(111.0)</value>
      <format xmlns:d4p1="http://schemas.datacontract.org/2004/07/System.Xml.Linq" i:nil="true"/>
    </fact>
    <fact i:type="item">
      <id>XMETag_dbd67c9548e9406196930f4304ab8730</id>
      <concept>{http://xbrl.frc.org.uk/fr/2021-01-01/core}IncomeTaxExpenseCredit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(31.6)</value>
      <format xmlns:d4p1="http://schemas.datacontract.org/2004/07/System.Xml.Linq" i:nil="true"/>
    </fact>
    <fact i:type="item">
      <id>XMETag_1a05215c231f4238aee494cc2adf3ab1</id>
      <concept>{http://xbrl.frc.org.uk/fr/2021-01-01/core}IncomeTaxExpenseCredit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4.6</value>
      <format xmlns:d4p1="http://schemas.datacontract.org/2004/07/System.Xml.Linq" i:nil="true"/>
    </fact>
    <fact i:type="item">
      <id>XMETag_7307e0d8a4a54d2a954fdc83c3929ae7</id>
      <concept>{http://xbrl.frc.org.uk/fr/2021-01-01/core}IncomeTaxExpenseCredit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(27.0)</value>
      <format xmlns:d4p1="http://schemas.datacontract.org/2004/07/System.Xml.Linq" i:nil="true"/>
    </fact>
    <fact i:type="item">
      <id>XMETag_613f51ed22c24177aac8f41436e1be63</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124.8</value>
      <format xmlns:d4p1="http://schemas.datacontract.org/2004/07/System.Xml.Linq" i:nil="true"/>
    </fact>
    <fact i:type="item">
      <id>XMETag_296912c5ca8447c889f9cc3db70d4184</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(100.3)</value>
      <format xmlns:d4p1="http://schemas.datacontract.org/2004/07/System.Xml.Linq" i:nil="true"/>
    </fact>
    <fact i:type="item">
      <id>XMETag_0898d465964e49dd82a43e11c8acd3b2</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24.5</value>
      <format xmlns:d4p1="http://schemas.datacontract.org/2004/07/System.Xml.Linq" i:nil="true"/>
    </fact>
    <fact i:type="item">
      <id>XMETag_a824fb763c3d4ac7858424a55a950443</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134.2</value>
      <format xmlns:d4p1="http://schemas.datacontract.org/2004/07/System.Xml.Linq" i:nil="true"/>
    </fact>
    <fact i:type="item">
      <id>XMETag_e0bce943755f46a2b1fa027d5f6c48ca</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(19.4)</value>
      <format xmlns:d4p1="http://schemas.datacontract.org/2004/07/System.Xml.Linq" i:nil="true"/>
    </fact>
    <fact i:type="item">
      <id>XMETag_0cc3f072e6a14e81a5db4cae7b9ef6f5</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114.8</value>
      <format xmlns:d4p1="http://schemas.datacontract.org/2004/07/System.Xml.Linq" i:nil="true"/>
    </fact>
    <fact i:type="item">
      <id>XMETag_79822d65e75942cba5b6e5ec68bec260</id>
      <concept>{http://xbrl.frc.org.uk/fr/2021-01-01/core}TurnoverRevenue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XMETag_d6135a0fa7e94cff97bde233c5de65ff</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124.8</value>
      <format xmlns:d4p1="http://schemas.datacontract.org/2004/07/System.Xml.Linq" i:nil="true"/>
    </fact>
    <fact i:type="item">
      <id>XMETag_f784f9b51f234de5b4135dae202e290a</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(100.3)</value>
      <format xmlns:d4p1="http://schemas.datacontract.org/2004/07/System.Xml.Linq" i:nil="true"/>
    </fact>
    <fact i:type="item">
      <id>XMETag_444f344a240b468fa937ae0bffd9cca7</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24.5</value>
      <format xmlns:d4p1="http://schemas.datacontract.org/2004/07/System.Xml.Linq" i:nil="true"/>
    </fact>
    <fact i:type="item">
      <id>XMETag_5f70c950f1a8425a991c8a63200e4bfa</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134.2</value>
      <format xmlns:d4p1="http://schemas.datacontract.org/2004/07/System.Xml.Linq" i:nil="true"/>
    </fact>
    <fact i:type="item">
      <id>XMETag_c8449cdb3376496da05c9b4a18d80893</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(19.4)</value>
      <format xmlns:d4p1="http://schemas.datacontract.org/2004/07/System.Xml.Linq" i:nil="true"/>
    </fact>
    <fact i:type="item">
      <id>XMETag_7ac49377b8ec4237894da8c55b9ac343</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114.8</value>
      <format xmlns:d4p1="http://schemas.datacontract.org/2004/07/System.Xml.Linq" i:nil="true"/>
    </fact>
    <fact i:type="item">
      <id>XMETag_9ddb958c4f0b46189c2e5cab3079aa53</id>
      <concept>{http://xbrl.frc.org.uk/fr/2021-01-01/core}GainLossOnRemeasurementDefinedBenefitPlansBeforeTaxInOtherComprehensiveIncome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31.5</value>
      <format xmlns:d4p1="http://schemas.datacontract.org/2004/07/System.Xml.Linq" i:nil="true"/>
    </fact>
    <fact i:type="item">
      <id>XMETag_c668191350f44374a555398b36b27ef2</id>
      <concept>{http://xbrl.frc.org.uk/fr/2021-01-01/core}GainLossOnRemeasurementDefinedBenefitPlansBeforeTaxInOtherComprehensiveIncome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13.9</value>
      <format xmlns:d4p1="http://schemas.datacontract.org/2004/07/System.Xml.Linq" i:nil="true"/>
    </fact>
    <fact i:type="item">
      <id>XMETag_430c4fb8dfe049f2ba34e28291268e80</id>
      <concept>{http://xbrl.frc.org.uk/fr/2021-01-01/core}TaxExpenseCreditOnItemsInOtherComprehensiveIncomeThatWillNotBeReclassifiedToProfitOrLoss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XMETag_a38f075294754ae593fa17b5a051932f</id>
      <concept>{http://xbrl.frc.org.uk/fr/2021-01-01/core}TaxExpenseCreditOnItemsInOtherComprehensiveIncomeThatWillNotBeReclassifiedToProfitOrLoss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(2.6)</value>
      <format xmlns:d4p1="http://schemas.datacontract.org/2004/07/System.Xml.Linq" i:nil="true"/>
    </fact>
    <fact i:type="item">
      <id>XMETag_11bcc576b4044f2fa5a3a86f5b664371</id>
      <concept>{http://xbrl.frc.org.uk/fr/2021-01-01/core}ItemsInOtherComprehensiveIncomeThatWillNotBeReclassifiedToProfitOrLossNetTax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30.8</value>
      <format xmlns:d4p1="http://schemas.datacontract.org/2004/07/System.Xml.Linq" i:nil="true"/>
    </fact>
    <fact i:type="item">
      <id>XMETag_c7003b6624b249fcad5b6a204decb9a1</id>
      <concept>{http://xbrl.frc.org.uk/fr/2021-01-01/core}ItemsInOtherComprehensiveIncomeThatWillNotBeReclassifiedToProfitOrLossNetTax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11.3</value>
      <format xmlns:d4p1="http://schemas.datacontract.org/2004/07/System.Xml.Linq" i:nil="true"/>
    </fact>
    <fact i:type="item">
      <id>XMETag_360050858f464f8d9a76e01b041b6d80</id>
      <concept>{http://xbrl.frc.org.uk/fr/2021-01-01/core}TotalGainLossOnCashFlowHedgesBeforeTaxInOtherComprehensiveIncome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40.6</value>
      <format xmlns:d4p1="http://schemas.datacontract.org/2004/07/System.Xml.Linq" i:nil="true"/>
    </fact>
    <fact i:type="item">
      <id>XMETag_078c7583cb754ad3bcb297432c2ec247</id>
      <concept>{http://xbrl.frc.org.uk/fr/2021-01-01/core}TotalGainLossOnCashFlowHedgesBeforeTaxInOtherComprehensiveIncome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8.9</value>
      <format xmlns:d4p1="http://schemas.datacontract.org/2004/07/System.Xml.Linq" i:nil="true"/>
    </fact>
    <fact i:type="item">
      <id>XMETag_413eeaf3d6cc4815a442852ddef89f75</id>
      <concept>{http://xbrl.frc.org.uk/fr/2021-01-01/core}TaxExpenseCreditOnItemsInOtherComprehensiveIncomeThatMayBeReclassifiedToProfitOrLoss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(6.4)</value>
      <format xmlns:d4p1="http://schemas.datacontract.org/2004/07/System.Xml.Linq" i:nil="true"/>
    </fact>
    <fact i:type="item">
      <id>XMETag_7825d2eb122b4f149cffbf2bb6325e4a</id>
      <concept>{http://xbrl.frc.org.uk/fr/2021-01-01/core}TaxExpenseCreditOnItemsInOtherComprehensiveIncomeThatMayBeReclassifiedToProfitOrLoss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(1.6)</value>
      <format xmlns:d4p1="http://schemas.datacontract.org/2004/07/System.Xml.Linq" i:nil="true"/>
    </fact>
    <fact i:type="item">
      <id>XMETag_2833437ab51742b6b68937e3ace42700</id>
      <concept>{http://xbrl.frc.org.uk/fr/2021-01-01/core}ItemsInOtherComprehensiveIncomeThatMayBeReclassifiedToProfitOrLossNetTax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34.2</value>
      <format xmlns:d4p1="http://schemas.datacontract.org/2004/07/System.Xml.Linq" i:nil="true"/>
    </fact>
    <fact i:type="item">
      <id>XMETag_1f65cbd1adb04302a6278440ef5500c3</id>
      <concept>{http://xbrl.frc.org.uk/fr/2021-01-01/core}ItemsInOtherComprehensiveIncomeThatMayBeReclassifiedToProfitOrLossNetTax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7.3</value>
      <format xmlns:d4p1="http://schemas.datacontract.org/2004/07/System.Xml.Linq" i:nil="true"/>
    </fact>
    <fact i:type="item">
      <id>XMETag_1afbad568a5343f19456e4f8ad4bb36f</id>
      <concept>{http://xbrl.frc.org.uk/fr/2021-01-01/core}OtherComprehensiveIncomeExpenseNetTax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65.0</value>
      <format xmlns:d4p1="http://schemas.datacontract.org/2004/07/System.Xml.Linq" i:nil="true"/>
    </fact>
    <fact i:type="item">
      <id>XMETag_50f2150bd8454c0089e48eca332f663b</id>
      <concept>{http://xbrl.frc.org.uk/fr/2021-01-01/core}OtherComprehensiveIncomeExpenseNetTax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18.6</value>
      <format xmlns:d4p1="http://schemas.datacontract.org/2004/07/System.Xml.Linq" i:nil="true"/>
    </fact>
    <fact i:type="item">
      <id>XMETag_4e30844c464f43b69e10edb7f90156c7</id>
      <concept>{http://xbrl.frc.org.uk/fr/2021-01-01/core}ComprehensiveIncomeExpense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89.5</value>
      <format xmlns:d4p1="http://schemas.datacontract.org/2004/07/System.Xml.Linq" i:nil="true"/>
    </fact>
    <fact i:type="item">
      <id>XMETag_cc3c5de735dc42119e4a0d2e4c96a282</id>
      <concept>{http://xbrl.frc.org.uk/fr/2021-01-01/core}ComprehensiveIncomeExpense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133.4</value>
      <format xmlns:d4p1="http://schemas.datacontract.org/2004/07/System.Xml.Linq" i:nil="true"/>
    </fact>
    <fact i:type="item">
      <id>XMETag_fd435f7caa094d8f8fff5c47535a2023</id>
      <concept>{http://xbrl.frc.org.uk/cd/2021-01-01/business}BalanceSheetDate</concept>
      <identifier>
        <scheme>http://www.companieshouse.gov.uk/</scheme>
        <value>02366665</value>
      </identifier>
      <period>
        <periodType>Instant</periodType>
        <startDate i:nil="true"/>
        <endDate>2022-03-31T00:00:00</endDate>
      </period>
      <numericProperties i:nil="true"/>
      <dimensions/>
      <transformGroup>United Kingdom</transformGroup>
      <hidden>false</hidden>
      <value>31 MARCH 2022</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XMETag_ce3ecc841d7840bda0f636c780df96f1</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3,228.0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XMETag_d55a4491db3745f7bbfed1c30b30239c</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3,138.8</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XMETag_805b33dcb6fe48bf93c05b6df2490505</id>
      <concept>{http://xbrl.frc.org.uk/fr/2021-01-01/core}IntangibleAssetsIncludingRight-of-useAssets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{http://xbrl.frc.org.uk/fr/2021-01-01/core}IntangibleAssetClassesDimension</dimension>
          <member>{http://xbrl.frc.org.uk/fr/2021-01-01/core}NetGoodwill</member>
          <typedValue i:nil="true"/>
          <contextContainer>Segment</contextContainer>
        </dimension>
      </dimensions>
      <transformGroup>United Kingdom</transformGroup>
      <hidden>false</hidden>
      <value>51.3</value>
      <format xmlns:d4p1="http://schemas.datacontract.org/2004/07/System.Xml.Linq" i:nil="true"/>
    </fact>
    <fact i:type="item">
      <id>XMETag_a1ca212de5df48748b125af2af800ffa</id>
      <concept>{http://xbrl.frc.org.uk/fr/2021-01-01/core}IntangibleAssetsIncludingRight-of-useAssets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{http://xbrl.frc.org.uk/fr/2021-01-01/core}IntangibleAssetClassesDimension</dimension>
          <member>{http://xbrl.frc.org.uk/fr/2021-01-01/core}NetGoodwill</member>
          <typedValue i:nil="true"/>
          <contextContainer>Segment</contextContainer>
        </dimension>
      </dimensions>
      <transformGroup>United Kingdom</transformGroup>
      <hidden>false</hidden>
      <value>51.3</value>
      <format xmlns:d4p1="http://schemas.datacontract.org/2004/07/System.Xml.Linq" i:nil="true"/>
    </fact>
    <fact i:type="item">
      <id>XMETag_88d09f698f794429923f380c2122b852</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13.9</value>
      <format xmlns:d4p1="http://schemas.datacontract.org/2004/07/System.Xml.Linq" i:nil="true"/>
    </fact>
    <fact i:type="item">
      <id>XMETag_441c7079717c4d3484ee0eaa22fd277d</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1.5</value>
      <format xmlns:d4p1="http://schemas.datacontract.org/2004/07/System.Xml.Linq" i:nil="true"/>
    </fact>
    <fact i:type="item">
      <id>XMETag_dfe8e451279446718455e670216c5eb7</id>
      <concept>{http://xbrl.frc.org.uk/fr/2021-01-01/core}InvestmentsInSubsidiaries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3.3</value>
      <format xmlns:d4p1="http://schemas.datacontract.org/2004/07/System.Xml.Linq" i:nil="true"/>
    </fact>
    <fact i:type="item">
      <id>XMETag_3961e8f80e114817a6e4d14adee6b44e</id>
      <concept>{http://xbrl.frc.org.uk/fr/2021-01-01/core}InvestmentsInSubsidiaries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3.3</value>
      <format xmlns:d4p1="http://schemas.datacontract.org/2004/07/System.Xml.Linq" i:nil="true"/>
    </fact>
    <fact i:type="item">
      <id>XMETag_97e3411bea5e44cba6b2875328bc1d84</id>
      <concept>{http://xbrl.frc.org.uk/fr/2021-01-01/core}DeficitSurplusInDefinedBenefitPlan</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47.1</value>
      <format xmlns:d4p1="http://schemas.datacontract.org/2004/07/System.Xml.Linq" i:nil="true"/>
    </fact>
    <fact i:type="item">
      <id>XMETag_053693df1b55493bb0c22461ccaf9767</id>
      <concept>{http://xbrl.frc.org.uk/fr/2021-01-01/core}DeficitSurplusInDefinedBenefitPlan</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14.3</value>
      <format xmlns:d4p1="http://schemas.datacontract.org/2004/07/System.Xml.Linq" i:nil="true"/>
    </fact>
    <fact i:type="item">
      <id>XMETag_a09df7b090114470a05099c9c59c5e5a</id>
      <concept>{http://xbrl.frc.org.uk/fr/2021-01-01/core}Non-currentAssets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3,343.6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XMETag_f3ced4301abf49b59b8a542db85090b6</id>
      <concept>{http://xbrl.frc.org.uk/fr/2021-01-01/core}Non-currentAssets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3,209.2</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XMETag_a851a9e6fa6f4afe903c28a120779ad8</id>
      <concept>{http://xbrl.frc.org.uk/fr/2021-01-01/core}TotalInventories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5.8</value>
      <format xmlns:d4p1="http://schemas.datacontract.org/2004/07/System.Xml.Linq" i:nil="true"/>
    </fact>
    <fact i:type="item">
      <id>XMETag_300852bad3b9410a97c04e9065e5762a</id>
      <concept>{http://xbrl.frc.org.uk/fr/2021-01-01/core}TotalInventories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5.4</value>
      <format xmlns:d4p1="http://schemas.datacontract.org/2004/07/System.Xml.Linq" i:nil="true"/>
    </fact>
    <fact i:type="item">
      <id>XMETag_fe02550a5dd04bf58271a3d1d07bbcaa</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5.0</value>
      <format xmlns:d4p1="http://schemas.datacontract.org/2004/07/System.Xml.Linq" i:nil="true"/>
    </fact>
    <fact i:type="item">
      <id>XMETag_e3892a4b12e44f1bb33d37a165aeeee8</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0.2</value>
      <format xmlns:d4p1="http://schemas.datacontract.org/2004/07/System.Xml.Linq" i:nil="true"/>
    </fact>
    <fact i:type="item">
      <id>XMETag_ef41c658df0041b6a0e97708a6ec1abc</id>
      <concept>{http://xbrl.frc.org.uk/fr/2021-01-01/core}TradeOtherReceivables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198.9</value>
      <format xmlns:d4p1="http://schemas.datacontract.org/2004/07/System.Xml.Linq" i:nil="true"/>
    </fact>
    <fact i:type="item">
      <id>XMETag_5e6ae42e4b7d44798998c28f2190dd60</id>
      <concept>{http://xbrl.frc.org.uk/fr/2021-01-01/core}TradeOtherReceivables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164.3</value>
      <format xmlns:d4p1="http://schemas.datacontract.org/2004/07/System.Xml.Linq" i:nil="true"/>
    </fact>
    <fact i:type="item">
      <id>XMETag_89d2edf306214976a018e3e35f7b3213</id>
      <concept>{http://xbrl.frc.org.uk/fr/2021-01-01/core}CurrentTaxAssets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5.9</value>
      <format xmlns:d4p1="http://schemas.datacontract.org/2004/07/System.Xml.Linq" i:nil="true"/>
    </fact>
    <fact i:type="item">
      <id>XMETag_d0af266105c3419f991a6639756feb22</id>
      <concept>{http://xbrl.frc.org.uk/fr/2021-01-01/core}CurrentTaxAssets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3.9</value>
      <format xmlns:d4p1="http://schemas.datacontract.org/2004/07/System.Xml.Linq" i:nil="true"/>
    </fact>
    <fact i:type="item">
      <id>XMETag_46b1a9833b314bcfabe3aa2f6080740a</id>
      <concept>{http://xbrl.frc.org.uk/fr/2021-01-01/core}CashCashEquivalents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189.3</value>
      <format xmlns:d4p1="http://schemas.datacontract.org/2004/07/System.Xml.Linq" i:nil="true"/>
    </fact>
    <fact i:type="item">
      <id>XMETag_ea300462168d45dcbdeb5dd914a06eac</id>
      <concept>{http://xbrl.frc.org.uk/fr/2021-01-01/core}CashCashEquivalents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414.9</value>
      <format xmlns:d4p1="http://schemas.datacontract.org/2004/07/System.Xml.Linq" i:nil="true"/>
    </fact>
    <fact i:type="item">
      <id>XMETag_beb498273b744d6db76f4b2fdfc7146c</id>
      <concept>{http://xbrl.frc.org.uk/fr/2021-01-01/core}CurrentAssets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404.9</value>
      <format xmlns:d4p1="http://schemas.datacontract.org/2004/07/System.Xml.Linq" i:nil="true"/>
    </fact>
    <fact i:type="item">
      <id>XMETag_785f1c75ef4f44ad9e21daf1c2ce19c4</id>
      <concept>{http://xbrl.frc.org.uk/fr/2021-01-01/core}CurrentAssets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588.7</value>
      <format xmlns:d4p1="http://schemas.datacontract.org/2004/07/System.Xml.Linq" i:nil="true"/>
    </fact>
    <fact i:type="item">
      <id>XMETag_2bca471464a442a7834cac9871e956c0</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(213.1)</value>
      <format xmlns:d4p1="http://schemas.datacontract.org/2004/07/System.Xml.Linq" i:nil="true"/>
    </fact>
    <fact i:type="item">
      <id>XMETag_923f75fbaab7490fa5dbd17a1764b727</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(91.5)</value>
      <format xmlns:d4p1="http://schemas.datacontract.org/2004/07/System.Xml.Linq" i:nil="true"/>
    </fact>
    <fact i:type="item">
      <id>XMETag_4e4b434aaf3b41a1ab037d3e47db9b99</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XMETag_e8b586b1bd5f429dbea02e90d9ab17b1</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(6.1)</value>
      <format xmlns:d4p1="http://schemas.datacontract.org/2004/07/System.Xml.Linq" i:nil="true"/>
    </fact>
    <fact i:type="item">
      <id>XMETag_7a3e7b67541e4dcf928039b7d17ca846</id>
      <concept>{http://xbrl.frc.org.uk/fr/2021-01-01/core}TradeOtherPayables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(161.2)</value>
      <format xmlns:d4p1="http://schemas.datacontract.org/2004/07/System.Xml.Linq" i:nil="true"/>
    </fact>
    <fact i:type="item">
      <id>XMETag_9c2afb3897dd4c86afc09a4da9924108</id>
      <concept>{http://xbrl.frc.org.uk/fr/2021-01-01/core}TradeOtherPayables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(159.1)</value>
      <format xmlns:d4p1="http://schemas.datacontract.org/2004/07/System.Xml.Linq" i:nil="true"/>
    </fact>
    <fact i:type="item">
      <id>XMETag_2b552b0490ec46af8cfecc181a43eb04</id>
      <concept>{http://xbrl.frc.org.uk/fr/2021-01-01/core}CurrentProvisions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(1.0)</value>
      <format xmlns:d4p1="http://schemas.datacontract.org/2004/07/System.Xml.Linq" i:nil="true"/>
    </fact>
    <fact i:type="item">
      <id>XMETag_c58c1d9e5b2945e0861e64bef7e247b0</id>
      <concept>{http://xbrl.frc.org.uk/fr/2021-01-01/core}CurrentProvisions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(0.3)</value>
      <format xmlns:d4p1="http://schemas.datacontract.org/2004/07/System.Xml.Linq" i:nil="true"/>
    </fact>
    <fact i:type="item">
      <id>XMETag_ae6cc116217e441cb898c1ff19833f87</id>
      <concept>{http://xbrl.frc.org.uk/fr/2021-01-01/core}CurrentLiabilities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(375.3)</value>
      <format xmlns:d4p1="http://schemas.datacontract.org/2004/07/System.Xml.Linq" i:nil="true"/>
    </fact>
    <fact i:type="item">
      <id>XMETag_a5584a55e83942a5ad58609a8ec777c6</id>
      <concept>{http://xbrl.frc.org.uk/fr/2021-01-01/core}CurrentLiabilities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(257.0)</value>
      <format xmlns:d4p1="http://schemas.datacontract.org/2004/07/System.Xml.Linq" i:nil="true"/>
    </fact>
    <fact i:type="item">
      <id>XMETag_1f6849b38e3f4066afe46dc4d6926330</id>
      <concept>{http://xbrl.frc.org.uk/fr/2021-01-01/core}NetCurrentAssetsLiabilities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29.6</value>
      <format xmlns:d4p1="http://schemas.datacontract.org/2004/07/System.Xml.Linq" i:nil="true"/>
    </fact>
    <fact i:type="item">
      <id>XMETag_7fdcdcd86d3c4ba2ab55cb5a48327898</id>
      <concept>{http://xbrl.frc.org.uk/fr/2021-01-01/core}NetCurrentAssetsLiabilities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331.7</value>
      <format xmlns:d4p1="http://schemas.datacontract.org/2004/07/System.Xml.Linq" i:nil="true"/>
    </fact>
    <fact i:type="item">
      <id>XMETag_12daa45fa09946768d8ec284e42b06c1</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(2,281.4)</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XMETag_dfe5bd4fef314365853ad57e9a548264</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(2,597.0)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XMETag_909f241ede004c5ba9a7a0470dc2f83e</id>
      <concept>{http://xbrl.frc.org.uk/fr/2021-01-01/core}OtherNon-financialLiabilitiesNon-current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(137.2)</value>
      <format xmlns:d4p1="http://schemas.datacontract.org/2004/07/System.Xml.Linq" i:nil="true"/>
    </fact>
    <fact i:type="item">
      <id>XMETag_33a8133b74cc45eaa725864f6a0090dd</id>
      <concept>{http://xbrl.frc.org.uk/fr/2021-01-01/core}OtherNon-financialLiabilitiesNon-current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(128.2)</value>
      <format xmlns:d4p1="http://schemas.datacontract.org/2004/07/System.Xml.Linq" i:nil="true"/>
    </fact>
    <fact i:type="item">
      <id>XMETag_a86b4c85758943cdaedfd2ee69a43416</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XMETag_286c573181da4e1d81d6d4ec1e750c1d</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(17.4)</value>
      <format xmlns:d4p1="http://schemas.datacontract.org/2004/07/System.Xml.Linq" i:nil="true"/>
    </fact>
    <fact i:type="item">
      <id>XMETag_cc064b768ec242f381f37287548c6d14</id>
      <concept>{http://xbrl.frc.org.uk/fr/2021-01-01/core}NetDeferredTaxLiabilityAsset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(380.1)</value>
      <format xmlns:d4p1="http://schemas.datacontract.org/2004/07/System.Xml.Linq" i:nil="true"/>
    </fact>
    <fact i:type="item">
      <id>XMETag_2ab491fd53dc41a8a63b53b4d047c4ca</id>
      <concept>{http://xbrl.frc.org.uk/fr/2021-01-01/core}NetDeferredTaxLiabilityAsset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(271.2)</value>
      <format xmlns:d4p1="http://schemas.datacontract.org/2004/07/System.Xml.Linq" i:nil="true"/>
    </fact>
    <fact i:type="item">
      <id>XMETag_624045cd9ad24de5a502d48f042522d8</id>
      <concept>{http://xbrl.frc.org.uk/fr/2021-01-01/core}Non-currentLiabilities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(2,798.7)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XMETag_78de744ca6cd44ac9a226a6ddb075089</id>
      <concept>{http://xbrl.frc.org.uk/fr/2021-01-01/core}Non-currentLiabilities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(3,013.8)</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XMETag_deb9daeabbd14e96bc2763b0c0971ea3</id>
      <concept>{http://xbrl.frc.org.uk/fr/2021-01-01/core}NetAssetsLiabilities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574.5</value>
      <format xmlns:d4p1="http://schemas.datacontract.org/2004/07/System.Xml.Linq" i:nil="true"/>
    </fact>
    <fact i:type="item">
      <id>XMETag_f85e88f2000341afb686dba90591418c</id>
      <concept>{http://xbrl.frc.org.uk/fr/2021-01-01/core}NetAssetsLiabilities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527.1</value>
      <format xmlns:d4p1="http://schemas.datacontract.org/2004/07/System.Xml.Linq" i:nil="true"/>
    </fact>
    <fact i:type="item">
      <id>XMETag_3acdfc95b9544f938ca488f2f0017c0c</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member>
          <typedValue i:nil="true"/>
          <contextContainer>Segment</contextContainer>
        </dimension>
      </dimensions>
      <transformGroup>United Kingdom</transformGroup>
      <hidden>false</hidden>
      <value>295.9</value>
      <format xmlns:d4p1="http://schemas.datacontract.org/2004/07/System.Xml.Linq" i:nil="true"/>
    </fact>
    <fact i:type="item">
      <id>XMETag_477965fc2dd24f55a175af21f6082502</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member>
          <typedValue i:nil="true"/>
          <contextContainer>Segment</contextContainer>
        </dimension>
      </dimensions>
      <transformGroup>United Kingdom</transformGroup>
      <hidden>false</hidden>
      <value>250.9</value>
      <format xmlns:d4p1="http://schemas.datacontract.org/2004/07/System.Xml.Linq" i:nil="true"/>
    </fact>
    <fact i:type="item">
      <id>XMETag_4aff7d186cfc4bf081e0466d09da25d2</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278.6</value>
      <format xmlns:d4p1="http://schemas.datacontract.org/2004/07/System.Xml.Linq" i:nil="true"/>
    </fact>
    <fact i:type="item">
      <id>XMETag_f90225ddaab84144b765c6d08ba47e9a</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276.2</value>
      <format xmlns:d4p1="http://schemas.datacontract.org/2004/07/System.Xml.Linq" i:nil="true"/>
    </fact>
    <fact i:type="item">
      <id>XMETag_7fffd0d4b1374f1daa13763636dfa1ca</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574.5</value>
      <format xmlns:d4p1="http://schemas.datacontract.org/2004/07/System.Xml.Linq" i:nil="true"/>
    </fact>
    <fact i:type="item">
      <id>XMETag_04da5de0aeb4495da82953c213e0fb9c</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527.1</value>
      <format xmlns:d4p1="http://schemas.datacontract.org/2004/07/System.Xml.Linq" i:nil="true"/>
    </fact>
    <fact i:type="item">
      <id>XMETag_3d91ae876692406ca397f48d3731c1d7</id>
      <concept>{http://xbrl.frc.org.uk/fr/2021-01-01/core}DirectorSigningFinancialStatements</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{http://xbrl.frc.org.uk/cd/2021-01-01/business}EntityOfficersDimension</dimension>
          <member>{http://xbrl.frc.org.uk/cd/2021-01-01/business}ChiefExecutive</member>
          <typedValue i:nil="true"/>
          <contextContainer>Segment</contextContainer>
        </dimension>
      </dimensions>
      <transformGroup>United Kingdom</transformGroup>
      <hidden>false</hidden>
      <value>S Davy</value>
      <format xmlns:d4p1="http://schemas.datacontract.org/2004/07/System.Xml.Linq" xmlns:z="http://schemas.microsoft.com/2003/10/Serialization/" z:FactoryType="d4p1:NameSerializer">
        <name xmlns:d5p1="http://www.w3.org/2001/XMLSchema" xmlns="" i:type="d5p1:string">{http://www.xbrl.org/inlineXBRL/transformation/2011-07-31}nocontent</name>
      </format>
    </fact>
    <fact i:type="item">
      <id>XMETag_182927909af349b6b39918fe53cf4817</id>
      <concept>{http://xbrl.frc.org.uk/fr/2021-01-01/core}DateAuthorisationFinancialStatementsForIssue</concept>
      <identifier>
        <scheme>http://www.companieshouse.gov.uk/</scheme>
        <value>02366665</value>
      </identifier>
      <period>
        <periodType>Instant</periodType>
        <startDate i:nil="true"/>
        <endDate>2022-03-31T00:00:00</endDate>
      </period>
      <numericProperties i:nil="true"/>
      <dimensions/>
      <transformGroup>United Kingdom</transformGroup>
      <hidden>false</hidden>
      <value>5 July 2022</value>
      <format xmlns:d4p1="http://schemas.datacontract.org/2004/07/System.Xml.Linq" xmlns:z="http://schemas.microsoft.com/2003/10/Serialization/" z:FactoryType="d4p1:NameSerializer">
        <name xmlns:d5p1="http://www.w3.org/2001/XMLSchema" xmlns="" i:type="d5p1:string">{http://www.xbrl.org/inlineXBRL/transformation/2011-07-31}datedaymonthyearen</name>
      </format>
    </fact>
    <fact i:type="item">
      <id>XMETag_909fd08fbc794905a8717d7643b766c2</id>
      <concept>{http://xbrl.frc.org.uk/fr/2021-01-01/core}DescriptionBodyAuthorisingFinancialStatements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Board of Directors</value>
      <format xmlns:d4p1="http://schemas.datacontract.org/2004/07/System.Xml.Linq" i:nil="true"/>
    </fact>
    <fact i:type="item">
      <id>XMETag_609174946c2c4c8494205711ec35e3f2</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114.8</value>
      <format xmlns:d4p1="http://schemas.datacontract.org/2004/07/System.Xml.Linq" i:nil="true"/>
    </fact>
    <fact i:type="item">
      <id>XMETag_32ce41c6cb2c41fab2cd2c5b2aad6522</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114.8</value>
      <format xmlns:d4p1="http://schemas.datacontract.org/2004/07/System.Xml.Linq" i:nil="true"/>
    </fact>
    <fact i:type="item">
      <id>XMETag_79399259f8d9498b86fbaf7b758cd063</id>
      <concept>{http://xbrl.frc.org.uk/fr/2021-01-01/core}OtherComprehensiveIncomeExpenseNetTax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18.6</value>
      <format xmlns:d4p1="http://schemas.datacontract.org/2004/07/System.Xml.Linq" i:nil="true"/>
    </fact>
    <fact i:type="item">
      <id>XMETag_476e21d93e6d43c381271db7591046f8</id>
      <concept>{http://xbrl.frc.org.uk/fr/2021-01-01/core}OtherComprehensiveIncomeExpenseNetTax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18.6</value>
      <format xmlns:d4p1="http://schemas.datacontract.org/2004/07/System.Xml.Linq" i:nil="true"/>
    </fact>
    <fact i:type="item">
      <id>XMETag_acc77154242747e0b6b6d9d037435bd9</id>
      <concept>{http://xbrl.frc.org.uk/fr/2021-01-01/core}ComprehensiveIncomeExpense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133.4</value>
      <format xmlns:d4p1="http://schemas.datacontract.org/2004/07/System.Xml.Linq" i:nil="true"/>
    </fact>
    <fact i:type="item">
      <id>XMETag_7deed52597c44ab7a0659457806ed7b4</id>
      <concept>{http://xbrl.frc.org.uk/fr/2021-01-01/core}ComprehensiveIncomeExpense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133.4</value>
      <format xmlns:d4p1="http://schemas.datacontract.org/2004/07/System.Xml.Linq" i:nil="true"/>
    </fact>
    <fact i:type="item">
      <id>XMETag_6c8070564fc148b0b98a76415cd7830b</id>
      <concept>{http://xbrl.frc.org.uk/fr/2021-01-01/core}DividendsPaid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(43.5)</value>
      <format xmlns:d4p1="http://schemas.datacontract.org/2004/07/System.Xml.Linq" i:nil="true"/>
    </fact>
    <fact i:type="item">
      <id>XMETag_c3d67f7c513e40eebec9c7ceaecb27ac</id>
      <concept>{http://xbrl.frc.org.uk/fr/2021-01-01/core}DividendsPaid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(43.5)</value>
      <format xmlns:d4p1="http://schemas.datacontract.org/2004/07/System.Xml.Linq" i:nil="true"/>
    </fact>
    <fact i:type="item">
      <id>XMETag_7d35321a3b9a485f86cb318cea9f2c15</id>
      <concept>{http://xbrl.frc.org.uk/fr/2021-01-01/core}FurtherItemIncreaseDecreaseInEquityComponentTotalIncomeExpenseRecognisedDirectlyInEquity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{http://xbrl.frc.org.uk/fr/2021-01-01/core}OtherReservesSubtotal</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(58.1)</value>
      <format xmlns:d4p1="http://schemas.datacontract.org/2004/07/System.Xml.Linq" i:nil="true"/>
    </fact>
    <fact i:type="item">
      <id>XMETag_6c93a688c3524270803b44d652b67a01</id>
      <concept>{http://xbrl.frc.org.uk/fr/2021-01-01/core}FurtherItemIncreaseDecreaseInEquityComponentTotalIncomeExpenseRecognisedDirectlyInEquity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(58.1)</value>
      <format xmlns:d4p1="http://schemas.datacontract.org/2004/07/System.Xml.Linq" i:nil="true"/>
    </fact>
    <fact i:type="item">
      <id>XMETag_0cd896c0486847669c11e823f1cb2ac2</id>
      <concept>{http://xbrl.frc.org.uk/fr/2021-01-01/core}EquitySettledShare-basedPaymentsIncreaseDecreaseInEquity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0.5</value>
      <format xmlns:d4p1="http://schemas.datacontract.org/2004/07/System.Xml.Linq" i:nil="true"/>
    </fact>
    <fact i:type="item">
      <id>XMETag_702095f5f3194ae9922dc5d23c4999b1</id>
      <concept>{http://xbrl.frc.org.uk/fr/2021-01-01/core}EquitySettledShare-basedPaymentsIncreaseDecreaseInEquity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0.5</value>
      <format xmlns:d4p1="http://schemas.datacontract.org/2004/07/System.Xml.Linq" i:nil="true"/>
    </fact>
    <fact i:type="item">
      <id>XMETag_fc06a7a21efc4d09a34ff8f294f53621</id>
      <concept>{http://xbrl.frc.org.uk/fr/2021-01-01/core}FurtherItemIncreaseDecreaseInEquityComponentTotalIncomeExpenseRecognisedDirectlyInEquity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1.2</value>
      <format xmlns:d4p1="http://schemas.datacontract.org/2004/07/System.Xml.Linq" i:nil="true"/>
    </fact>
    <fact i:type="item">
      <id>XMETag_201df1bb8f794ec4927fc8d67d033fa9</id>
      <concept>{http://xbrl.frc.org.uk/fr/2021-01-01/core}FurtherItemIncreaseDecreaseInEquityComponentTotalIncomeExpenseRecognisedDirectlyInEquity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1.2</value>
      <format xmlns:d4p1="http://schemas.datacontract.org/2004/07/System.Xml.Linq" i:nil="true"/>
    </fact>
    <fact i:type="item">
      <id>XMETag_c7f61c5af558431cab29ad0b0c2aa848</id>
      <concept>{http://xbrl.frc.org.uk/fr/2021-01-01/core}IncomeExpenseRecognisedDirectlyInEquity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XMETag_48436c7248b14d93807ec1f8490a7f58</id>
      <concept>{http://xbrl.frc.org.uk/fr/2021-01-01/core}IncomeExpenseRecognisedDirectlyInEquity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(99.9)</value>
      <format xmlns:d4p1="http://schemas.datacontract.org/2004/07/System.Xml.Linq" i:nil="true"/>
    </fact>
    <fact i:type="item">
      <id>XMETag_7bb1ac951dfa4db3bdd923aace7a9b62</id>
      <concept>{http://xbrl.frc.org.uk/fr/2021-01-01/core}IncomeExpenseRecognisedDirectlyInEquity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(99.9)</value>
      <format xmlns:d4p1="http://schemas.datacontract.org/2004/07/System.Xml.Linq" i:nil="true"/>
    </fact>
    <fact i:type="item">
      <id>XMETag_fd7fd2d677f24313af0087be5d3770a9</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member>
          <typedValue i:nil="true"/>
          <contextContainer>Segment</contextContainer>
        </dimension>
      </dimensions>
      <transformGroup>United Kingdom</transformGroup>
      <hidden>false</hidden>
      <value>250.9</value>
      <format xmlns:d4p1="http://schemas.datacontract.org/2004/07/System.Xml.Linq" i:nil="true"/>
    </fact>
    <fact i:type="item">
      <id>XMETag_f91e8d244488418cb15464e5967b72b7</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276.2</value>
      <format xmlns:d4p1="http://schemas.datacontract.org/2004/07/System.Xml.Linq" i:nil="true"/>
    </fact>
    <fact i:type="item">
      <id>XMETag_0e71dcca15534b828a4ec5b31c6413f3</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527.1</value>
      <format xmlns:d4p1="http://schemas.datacontract.org/2004/07/System.Xml.Linq" i:nil="true"/>
    </fact>
    <fact i:type="item">
      <id>XMETag_84362489a56846c8808c3ace5d5ed7bc</id>
      <concept>{http://xbrl.frc.org.uk/fr/2021-01-01/core}Equity</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member>
          <typedValue i:nil="true"/>
          <contextContainer>Segment</contextContainer>
        </dimension>
      </dimensions>
      <transformGroup>United Kingdom</transformGroup>
      <hidden>false</hidden>
      <value>250.9</value>
      <format xmlns:d4p1="http://schemas.datacontract.org/2004/07/System.Xml.Linq" i:nil="true"/>
    </fact>
    <fact i:type="item">
      <id>XMETag_1fe2a826757d4ffd9f1e817111b1e386</id>
      <concept>{http://xbrl.frc.org.uk/fr/2021-01-01/core}Equity</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242.7</value>
      <format xmlns:d4p1="http://schemas.datacontract.org/2004/07/System.Xml.Linq" i:nil="true"/>
    </fact>
    <fact i:type="item">
      <id>XMETag_c060799edcae476aa41a9c87f98ead4e</id>
      <concept>{http://xbrl.frc.org.uk/fr/2021-01-01/core}Equity</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493.6</value>
      <format xmlns:d4p1="http://schemas.datacontract.org/2004/07/System.Xml.Linq" i:nil="true"/>
    </fact>
    <fact i:type="item">
      <id>XMETag_9c7f6560141c4e87b077d684a24d1265</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member>
          <typedValue i:nil="true"/>
          <contextContainer>Segment</contextContainer>
        </dimension>
      </dimensions>
      <transformGroup>United Kingdom</transformGroup>
      <hidden>false</hidden>
      <value>295.9</value>
      <format xmlns:d4p1="http://schemas.datacontract.org/2004/07/System.Xml.Linq" i:nil="true"/>
    </fact>
    <fact i:type="item">
      <id>XMETag_be7c3f90c7f84149b2cace6644081559</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278.6</value>
      <format xmlns:d4p1="http://schemas.datacontract.org/2004/07/System.Xml.Linq" i:nil="true"/>
    </fact>
    <fact i:type="item">
      <id>XMETag_2b43dd4ce1604f8181d8c8ae14a7c367</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574.5</value>
      <format xmlns:d4p1="http://schemas.datacontract.org/2004/07/System.Xml.Linq" i:nil="true"/>
    </fact>
    <fact i:type="item">
      <id>XMETag_ad04cfab0aef450f8af6a8c75f265970</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24.5</value>
      <format xmlns:d4p1="http://schemas.datacontract.org/2004/07/System.Xml.Linq" i:nil="true"/>
    </fact>
    <fact i:type="item">
      <id>XMETag_79ecdc0b20724e50b1b8a01f6029ce52</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24.5</value>
      <format xmlns:d4p1="http://schemas.datacontract.org/2004/07/System.Xml.Linq" i:nil="true"/>
    </fact>
    <fact i:type="item">
      <id>XMETag_2316bd4577c145b099b35692f4cf15e7</id>
      <concept>{http://xbrl.frc.org.uk/fr/2021-01-01/core}OtherComprehensiveIncomeExpenseNetTax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65.0</value>
      <format xmlns:d4p1="http://schemas.datacontract.org/2004/07/System.Xml.Linq" i:nil="true"/>
    </fact>
    <fact i:type="item">
      <id>XMETag_32e711b9f46f46259d873a06838c3ef1</id>
      <concept>{http://xbrl.frc.org.uk/fr/2021-01-01/core}OtherComprehensiveIncomeExpenseNetTax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65.0</value>
      <format xmlns:d4p1="http://schemas.datacontract.org/2004/07/System.Xml.Linq" i:nil="true"/>
    </fact>
    <fact i:type="item">
      <id>XMETag_30ab56787fd145f0be20b761c4f9f994</id>
      <concept>{http://xbrl.frc.org.uk/fr/2021-01-01/core}ComprehensiveIncomeExpense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89.5</value>
      <format xmlns:d4p1="http://schemas.datacontract.org/2004/07/System.Xml.Linq" i:nil="true"/>
    </fact>
    <fact i:type="item">
      <id>XMETag_ffcd13db23ae4fe0b69ddf324e1a602c</id>
      <concept>{http://xbrl.frc.org.uk/fr/2021-01-01/core}ComprehensiveIncomeExpense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89.5</value>
      <format xmlns:d4p1="http://schemas.datacontract.org/2004/07/System.Xml.Linq" i:nil="true"/>
    </fact>
    <fact i:type="item">
      <id>XMETag_f86432fd87d14f90901aa703265176ef</id>
      <concept>{http://xbrl.frc.org.uk/fr/2021-01-01/core}DividendsPaid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(45.0)</value>
      <format xmlns:d4p1="http://schemas.datacontract.org/2004/07/System.Xml.Linq" i:nil="true"/>
    </fact>
    <fact i:type="item">
      <id>XMETag_6e15645220cb447b83a1da9c4851475e</id>
      <concept>{http://xbrl.frc.org.uk/fr/2021-01-01/core}DividendsPaid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(45.0)</value>
      <format xmlns:d4p1="http://schemas.datacontract.org/2004/07/System.Xml.Linq" i:nil="true"/>
    </fact>
    <fact i:type="item">
      <id>XMETag_fd4a368c887f452aa7cf6164024f3438</id>
      <concept>{http://xbrl.frc.org.uk/fr/2021-01-01/core}FurtherItemIncreaseDecreaseInEquityComponentTotalIncomeExpenseRecognisedDirectlyInEquity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{http://xbrl.frc.org.uk/fr/2021-01-01/core}OtherReservesSubtotal</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(43.0)</value>
      <format xmlns:d4p1="http://schemas.datacontract.org/2004/07/System.Xml.Linq" i:nil="true"/>
    </fact>
    <fact i:type="item">
      <id>XMETag_517275cbc533488d9788486234ecdf9b</id>
      <concept>{http://xbrl.frc.org.uk/fr/2021-01-01/core}FurtherItemIncreaseDecreaseInEquityComponentTotalIncomeExpenseRecognisedDirectlyInEquity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(43.0)</value>
      <format xmlns:d4p1="http://schemas.datacontract.org/2004/07/System.Xml.Linq" i:nil="true"/>
    </fact>
    <fact i:type="item">
      <id>XMETag_c01b4258b08445a2a61d0b5d174e5c9c</id>
      <concept>{http://xbrl.frc.org.uk/fr/2021-01-01/core}EquitySettledShare-basedPaymentsIncreaseDecreaseInEquity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0.9</value>
      <format xmlns:d4p1="http://schemas.datacontract.org/2004/07/System.Xml.Linq" i:nil="true"/>
    </fact>
    <fact i:type="item">
      <id>XMETag_f7bc4cd5912f4b31adb594a42509192f</id>
      <concept>{http://xbrl.frc.org.uk/fr/2021-01-01/core}EquitySettledShare-basedPaymentsIncreaseDecreaseInEquity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0.9</value>
      <format xmlns:d4p1="http://schemas.datacontract.org/2004/07/System.Xml.Linq" i:nil="true"/>
    </fact>
    <fact i:type="item">
      <id>XMETag_4fda4207fa7c4a7aa774b85e789d1d71</id>
      <concept>{http://xbrl.frc.org.uk/fr/2021-01-01/core}IncomeExpenseRecognisedDirectlyInEquity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member>
          <typedValue i:nil="true"/>
          <contextContainer>Segment</contextContainer>
        </dimension>
      </dimensions>
      <transformGroup>United Kingdom</transformGroup>
      <hidden>false</hidden>
      <value>45.0</value>
      <format xmlns:d4p1="http://schemas.datacontract.org/2004/07/System.Xml.Linq" i:nil="true"/>
    </fact>
    <fact i:type="item">
      <id>XMETag_b58c5731bc8640ae98e53d8e6ca482b5</id>
      <concept>{http://xbrl.frc.org.uk/fr/2021-01-01/core}IncomeExpenseRecognisedDirectlyInEquity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(87.1)</value>
      <format xmlns:d4p1="http://schemas.datacontract.org/2004/07/System.Xml.Linq" i:nil="true"/>
    </fact>
    <fact i:type="item">
      <id>XMETag_5c3f0510805948bc9eced796dcdc43d9</id>
      <concept>{http://xbrl.frc.org.uk/fr/2021-01-01/core}IncomeExpenseRecognisedDirectlyInEquity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(42.1)</value>
      <format xmlns:d4p1="http://schemas.datacontract.org/2004/07/System.Xml.Linq" i:nil="true"/>
    </fact>
    <fact i:type="item">
      <id>XMETag_42e821e1c86a49909e29e885f4581853</id>
      <concept>{http://xbrl.frc.org.uk/fr/2021-01-01/core}IssueEquityInstruments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member>
          <typedValue i:nil="true"/>
          <contextContainer>Segment</contextContainer>
        </dimension>
      </dimensions>
      <transformGroup>United Kingdom</transformGroup>
      <hidden>false</hidden>
      <value>45.0</value>
      <format xmlns:d4p1="http://schemas.datacontract.org/2004/07/System.Xml.Linq" i:nil="true"/>
    </fact>
    <fact i:type="item">
      <id>XMETag_fad8d5e02a494293ba45afeed657c5d1</id>
      <concept>{http://xbrl.frc.org.uk/fr/2021-01-01/core}IssueEquityInstruments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45.0</value>
      <format xmlns:d4p1="http://schemas.datacontract.org/2004/07/System.Xml.Linq" i:nil="true"/>
    </fact>
    <fact i:type="item">
      <id>XMETag_f22e4502efa84afd8a15e83231ed28a5</id>
      <concept>{http://xbrl.frc.org.uk/fr/2021-01-01/core}NetCashGeneratedFromOperations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307.7</value>
      <format xmlns:d4p1="http://schemas.datacontract.org/2004/07/System.Xml.Linq" i:nil="true"/>
    </fact>
    <fact i:type="item">
      <id>XMETag_e97e88519dee49079ccd577458e3771d</id>
      <concept>{http://xbrl.frc.org.uk/fr/2021-01-01/core}NetCashGeneratedFromOperations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314.6</value>
      <format xmlns:d4p1="http://schemas.datacontract.org/2004/07/System.Xml.Linq" i:nil="true"/>
    </fact>
    <fact i:type="item">
      <id>XMETag_28dfdd48cdc24acc9ec940b92323f955</id>
      <concept>{http://xbrl.frc.org.uk/fr/2021-01-01/core}InterestPaidClassifiedAsOperatingActivities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(62.8)</value>
      <format xmlns:d4p1="http://schemas.datacontract.org/2004/07/System.Xml.Linq" i:nil="true"/>
    </fact>
    <fact i:type="item">
      <id>XMETag_2532f697f2e942f9acad7fa67c64e839</id>
      <concept>{http://xbrl.frc.org.uk/fr/2021-01-01/core}InterestPaidClassifiedAsOperatingActivities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(46.3)</value>
      <format xmlns:d4p1="http://schemas.datacontract.org/2004/07/System.Xml.Linq" i:nil="true"/>
    </fact>
    <fact i:type="item">
      <id>XMETag_9ea2ed7f17664004818c0e77269e37af</id>
      <concept>{http://xbrl.frc.org.uk/fr/2021-01-01/core}IncomeTaxesPaidRefundClassifiedAsOperatingActivities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(11.2)</value>
      <format xmlns:d4p1="http://schemas.datacontract.org/2004/07/System.Xml.Linq" i:nil="true"/>
    </fact>
    <fact i:type="item">
      <id>XMETag_d91f30c6d75b4349921ef571468caa43</id>
      <concept>{http://xbrl.frc.org.uk/fr/2021-01-01/core}IncomeTaxesPaidRefundClassifiedAsOperatingActivities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(24.7)</value>
      <format xmlns:d4p1="http://schemas.datacontract.org/2004/07/System.Xml.Linq" i:nil="true"/>
    </fact>
    <fact i:type="item">
      <id>XMETag_af7d999e8c954d7abfca6eb5bdf4730f</id>
      <concept>{http://xbrl.frc.org.uk/fr/2021-01-01/core}NetCashFlowsFromUsedInOperatingActivities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233.7</value>
      <format xmlns:d4p1="http://schemas.datacontract.org/2004/07/System.Xml.Linq" i:nil="true"/>
    </fact>
    <fact i:type="item">
      <id>XMETag_dcb46043ffbb44c4b7a97035103ec1d4</id>
      <concept>{http://xbrl.frc.org.uk/fr/2021-01-01/core}NetCashFlowsFromUsedInOperatingActivities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243.6</value>
      <format xmlns:d4p1="http://schemas.datacontract.org/2004/07/System.Xml.Linq" i:nil="true"/>
    </fact>
    <fact i:type="item">
      <id>XMETag_a5a701d5c71946f1bb6a3624fec54a44</id>
      <concept>{http://xbrl.frc.org.uk/fr/2021-01-01/core}InterestReceivedClassifiedAsInvestingActivities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0.3</value>
      <format xmlns:d4p1="http://schemas.datacontract.org/2004/07/System.Xml.Linq" i:nil="true"/>
    </fact>
    <fact i:type="item">
      <id>XMETag_5368bad7479242efb0d4ad49b1a79f5e</id>
      <concept>{http://xbrl.frc.org.uk/fr/2021-01-01/core}InterestReceivedClassifiedAsInvestingActivities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0.2</value>
      <format xmlns:d4p1="http://schemas.datacontract.org/2004/07/System.Xml.Linq" i:nil="true"/>
    </fact>
    <fact i:type="item">
      <id>XMETag_f4d77045970f4ca1b894385b3f61b592</id>
      <concept>{http://xbrl.frc.org.uk/fr/2021-01-01/core}PurchasePropertyPlantEquipment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(197.3)</value>
      <format xmlns:d4p1="http://schemas.datacontract.org/2004/07/System.Xml.Linq" i:nil="true"/>
    </fact>
    <fact i:type="item">
      <id>XMETag_0b403631a20b47b881bd1653a4d47712</id>
      <concept>{http://xbrl.frc.org.uk/fr/2021-01-01/core}PurchasePropertyPlantEquipment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(161.1)</value>
      <format xmlns:d4p1="http://schemas.datacontract.org/2004/07/System.Xml.Linq" i:nil="true"/>
    </fact>
    <fact i:type="item">
      <id>XMETag_20ff55204feb49e0a6e368d2a27130b0</id>
      <concept>{http://xbrl.frc.org.uk/fr/2021-01-01/core}ProceedsFromGovernmentGrantsClassifiedAsInvestingActivities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3.2</value>
      <format xmlns:d4p1="http://schemas.datacontract.org/2004/07/System.Xml.Linq" i:nil="true"/>
    </fact>
    <fact i:type="item">
      <id>XMETag_e585e26c43d448c78eb9a4c814c8b350</id>
      <concept>{http://xbrl.frc.org.uk/fr/2021-01-01/core}ProceedsFromGovernmentGrantsClassifiedAsInvestingActivities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3.3</value>
      <format xmlns:d4p1="http://schemas.datacontract.org/2004/07/System.Xml.Linq" i:nil="true"/>
    </fact>
    <fact i:type="item">
      <id>XMETag_e6bf8d7e004b4f51a92c9761d4aee133</id>
      <concept>{http://xbrl.frc.org.uk/fr/2021-01-01/core}ProceedsFromSalesPropertyPlantEquipment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1.4</value>
      <format xmlns:d4p1="http://schemas.datacontract.org/2004/07/System.Xml.Linq" i:nil="true"/>
    </fact>
    <fact i:type="item">
      <id>XMETag_38926e2b51784ec084acb21f47ccf30c</id>
      <concept>{http://xbrl.frc.org.uk/fr/2021-01-01/core}ProceedsFromSalesPropertyPlantEquipment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0.2</value>
      <format xmlns:d4p1="http://schemas.datacontract.org/2004/07/System.Xml.Linq" i:nil="true"/>
    </fact>
    <fact i:type="item">
      <id>XMETag_442ffc399a104b22b16ba371ec136ce5</id>
      <concept>{http://xbrl.frc.org.uk/fr/2021-01-01/core}NetCashFlowsFromUsedInInvestingActivities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(192.4)</value>
      <format xmlns:d4p1="http://schemas.datacontract.org/2004/07/System.Xml.Linq" i:nil="true"/>
    </fact>
    <fact i:type="item">
      <id>XMETag_bf8e96d9f76d40439763c990744ccc0b</id>
      <concept>{http://xbrl.frc.org.uk/fr/2021-01-01/core}NetCashFlowsFromUsedInInvestingActivities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(157.4)</value>
      <format xmlns:d4p1="http://schemas.datacontract.org/2004/07/System.Xml.Linq" i:nil="true"/>
    </fact>
    <fact i:type="item">
      <id>XMETag_4f21add856f9477f9f82591895f6482d</id>
      <concept>{http://xbrl.frc.org.uk/fr/2021-01-01/core}FurtherItemCashFlowFromUsedInFinancingActivitiesComponentNetCashFlowsFromUsedInFinancingActivities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89.6</value>
      <format xmlns:d4p1="http://schemas.datacontract.org/2004/07/System.Xml.Linq" i:nil="true"/>
    </fact>
    <fact i:type="item">
      <id>XMETag_90f9876222134ea9a6a19520f2af6075</id>
      <concept>{http://xbrl.frc.org.uk/fr/2021-01-01/core}FurtherItemCashFlowFromUsedInFinancingActivitiesComponentNetCashFlowsFromUsedInFinancingActivities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(24.3)</value>
      <format xmlns:d4p1="http://schemas.datacontract.org/2004/07/System.Xml.Linq" i:nil="true"/>
    </fact>
    <fact i:type="item">
      <id>XMETag_a4d97a9d542244e8b1b35987f475597d</id>
      <concept>{http://xbrl.frc.org.uk/fr/2021-01-01/core}ProceedsFromBorrowingsClassifiedAsFinancingActivities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50.0</value>
      <format xmlns:d4p1="http://schemas.datacontract.org/2004/07/System.Xml.Linq" i:nil="true"/>
    </fact>
    <fact i:type="item">
      <id>XMETag_acea51636ce54107ac13c16d1fc02fe2</id>
      <concept>{http://xbrl.frc.org.uk/fr/2021-01-01/core}ProceedsFromBorrowingsClassifiedAsFinancingActivities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130.0</value>
      <format xmlns:d4p1="http://schemas.datacontract.org/2004/07/System.Xml.Linq" i:nil="true"/>
    </fact>
    <fact i:type="item">
      <id>XMETag_836aa0096211420e8dd5a456c3ceb20b</id>
      <concept>{http://xbrl.frc.org.uk/fr/2021-01-01/core}RepaymentsBorrowingsClassifiedAsFinancingActivities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(40.4)</value>
      <format xmlns:d4p1="http://schemas.datacontract.org/2004/07/System.Xml.Linq" i:nil="true"/>
    </fact>
    <fact i:type="item">
      <id>XMETag_d3d343d42b214124809c108591d452c2</id>
      <concept>{http://xbrl.frc.org.uk/fr/2021-01-01/core}RepaymentsBorrowingsClassifiedAsFinancingActivities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(35.0)</value>
      <format xmlns:d4p1="http://schemas.datacontract.org/2004/07/System.Xml.Linq" i:nil="true"/>
    </fact>
    <fact i:type="item">
      <id>XMETag_c9d0b91d72b4422299e38f2812be2876</id>
      <concept>{http://xbrl.frc.org.uk/fr/2021-01-01/core}FurtherItemCashFlowFromUsedInFinancingActivitiesComponentNetCashFlowsFromUsedInFinancingActivities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(2.5)</value>
      <format xmlns:d4p1="http://schemas.datacontract.org/2004/07/System.Xml.Linq" i:nil="true"/>
    </fact>
    <fact i:type="item">
      <id>XMETag_1f43bf9ecaee465eaf310f0126488a12</id>
      <concept>{http://xbrl.frc.org.uk/fr/2021-01-01/core}FurtherItemCashFlowFromUsedInFinancingActivitiesComponentNetCashFlowsFromUsedInFinancingActivities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(3.7)</value>
      <format xmlns:d4p1="http://schemas.datacontract.org/2004/07/System.Xml.Linq" i:nil="true"/>
    </fact>
    <fact i:type="item">
      <id>XMETag_4360c0982c4d4ed8a19b82003516dbcb</id>
      <concept>{http://xbrl.frc.org.uk/fr/2021-01-01/core}ProceedsFromLeasesClassifiedAsFinancingActivities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{http://xbrl.frc.org.uk/fr/2021-01-01/core}FinanceLeases</member>
          <typedValue i:nil="true"/>
          <contextContainer>Segment</contextContainer>
        </dimension>
      </dimensions>
      <transformGroup>United Kingdom</transformGroup>
      <hidden>false</hidden>
      <value>15.0</value>
      <format xmlns:d4p1="http://schemas.datacontract.org/2004/07/System.Xml.Linq" i:nil="true"/>
    </fact>
    <fact i:type="item">
      <id>XMETag_c20a781d12a142549f3ace0ce9a8e7c3</id>
      <concept>{http://xbrl.frc.org.uk/fr/2021-01-01/core}ProceedsFromLeasesClassifiedAsFinancingActivities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{http://xbrl.frc.org.uk/fr/2021-01-01/core}FinanceLeases</member>
          <typedValue i:nil="true"/>
          <contextContainer>Segment</contextContainer>
        </dimension>
      </dimensions>
      <transformGroup>United Kingdom</transformGroup>
      <hidden>false</hidden>
      <value>15.0</value>
      <format xmlns:d4p1="http://schemas.datacontract.org/2004/07/System.Xml.Linq" i:nil="true"/>
    </fact>
    <fact i:type="item">
      <id>XMETag_e249f7e7216443d39f12ec825a2ede02</id>
      <concept>{http://xbrl.frc.org.uk/fr/2021-01-01/core}PaymentsLeaseLiabilitiesClassifiedAsFinancingActivities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{http://xbrl.frc.org.uk/fr/2021-01-01/core}FinanceLeases</member>
          <typedValue i:nil="true"/>
          <contextContainer>Segment</contextContainer>
        </dimension>
      </dimensions>
      <transformGroup>United Kingdom</transformGroup>
      <hidden>false</hidden>
      <value>(231.4)</value>
      <format xmlns:d4p1="http://schemas.datacontract.org/2004/07/System.Xml.Linq" i:nil="true"/>
    </fact>
    <fact i:type="item">
      <id>XMETag_f5a12f689e544e488ed95c2f434e82da</id>
      <concept>{http://xbrl.frc.org.uk/fr/2021-01-01/core}PaymentsLeaseLiabilitiesClassifiedAsFinancingActivities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{http://xbrl.frc.org.uk/fr/2021-01-01/core}FinanceLeases</member>
          <typedValue i:nil="true"/>
          <contextContainer>Segment</contextContainer>
        </dimension>
      </dimensions>
      <transformGroup>United Kingdom</transformGroup>
      <hidden>false</hidden>
      <value>(18.8)</value>
      <format xmlns:d4p1="http://schemas.datacontract.org/2004/07/System.Xml.Linq" i:nil="true"/>
    </fact>
    <fact i:type="item">
      <id>XMETag_b3e46a9194cc45d6ad2383ce7fbe7447</id>
      <concept>{http://xbrl.frc.org.uk/fr/2021-01-01/core}DividendsPaidClassifiedAsFinancingActivities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(103.1)</value>
      <format xmlns:d4p1="http://schemas.datacontract.org/2004/07/System.Xml.Linq" i:nil="true"/>
    </fact>
    <fact i:type="item">
      <id>XMETag_a227f61487fa481983ae91faab30db9e</id>
      <concept>{http://xbrl.frc.org.uk/fr/2021-01-01/core}DividendsPaidClassifiedAsFinancingActivities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(43.5)</value>
      <format xmlns:d4p1="http://schemas.datacontract.org/2004/07/System.Xml.Linq" i:nil="true"/>
    </fact>
    <fact i:type="item">
      <id>XMETag_08a0699713b74857bf1d4cbae869566a</id>
      <concept>{http://xbrl.frc.org.uk/fr/2021-01-01/core}NetCashFlowsFromUsedInFinancingActivities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(177.8)</value>
      <format xmlns:d4p1="http://schemas.datacontract.org/2004/07/System.Xml.Linq" i:nil="true"/>
    </fact>
    <fact i:type="item">
      <id>XMETag_88472c179cca48c4a545cac1bfb44b8d</id>
      <concept>{http://xbrl.frc.org.uk/fr/2021-01-01/core}NetCashFlowsFromUsedInFinancingActivities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19.7</value>
      <format xmlns:d4p1="http://schemas.datacontract.org/2004/07/System.Xml.Linq" i:nil="true"/>
    </fact>
    <fact i:type="item">
      <id>XMETag_1e35d7c4346a490c94f7a3437ea73313</id>
      <concept>{http://xbrl.frc.org.uk/fr/2021-01-01/core}IncreaseDecreaseInCashCashEquivalentsAfterForeignExchangeDifferencesChangesInConsolidation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(136.5)</value>
      <format xmlns:d4p1="http://schemas.datacontract.org/2004/07/System.Xml.Linq" i:nil="true"/>
    </fact>
    <fact i:type="item">
      <id>XMETag_e0af7f81af884230bada9c8482f9603e</id>
      <concept>{http://xbrl.frc.org.uk/fr/2021-01-01/core}IncreaseDecreaseInCashCashEquivalentsAfterForeignExchangeDifferencesChangesInConsolidation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105.9</value>
      <format xmlns:d4p1="http://schemas.datacontract.org/2004/07/System.Xml.Linq" i:nil="true"/>
    </fact>
    <fact i:type="item">
      <id>XMETag_314db511243c4e07a3fe9952b41063b6</id>
      <concept>{http://xbrl.frc.org.uk/fr/2021-01-01/core}CashCashEquivalentsCashFlowValue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164.1</value>
      <format xmlns:d4p1="http://schemas.datacontract.org/2004/07/System.Xml.Linq" i:nil="true"/>
    </fact>
    <fact i:type="item">
      <id>XMETag_c7a904e8a6d74a8393d950145ceddf04</id>
      <concept>{http://xbrl.frc.org.uk/fr/2021-01-01/core}CashCashEquivalentsCashFlowValue</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58.2</value>
      <format xmlns:d4p1="http://schemas.datacontract.org/2004/07/System.Xml.Linq" i:nil="true"/>
    </fact>
    <fact i:type="item">
      <id>XMETag_9ddd37df01e740d9875b5053ccf0651d</id>
      <concept>{http://xbrl.frc.org.uk/fr/2021-01-01/core}CashCashEquivalentsCashFlowValue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27.6</value>
      <format xmlns:d4p1="http://schemas.datacontract.org/2004/07/System.Xml.Linq" i:nil="true"/>
    </fact>
    <fact i:type="item">
      <id>XMETag_aabef07d1d44402a81abf756163fd718</id>
      <concept>{http://xbrl.frc.org.uk/fr/2021-01-01/core}CashCashEquivalentsCashFlowValue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164.1</value>
      <format xmlns:d4p1="http://schemas.datacontract.org/2004/07/System.Xml.Linq" i:nil="true"/>
    </fact>
    <fact i:type="item">
      <id>XMETag_a6e30f0110c949a4b4939b7af27e9344</id>
      <concept>{http://xbrl.frc.org.uk/fr/2021-01-01/core}ProceedsFromIssuingSharesOtherEquityInstruments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45.0</value>
      <format xmlns:d4p1="http://schemas.datacontract.org/2004/07/System.Xml.Linq" i:nil="true"/>
    </fact>
    <fact i:type="item">
      <id>XMETag_a79c85dad4ce45e587b7b36b9713f2b1</id>
      <concept>{http://xbrl.frc.org.uk/fr/2021-01-01/core}ProceedsFromIssuingSharesOtherEquityInstruments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XMETag_4eadb024c299421888944bf99652cc5d</id>
      <concept>{http://xbrl.frc.org.uk/cd/2021-01-01/business}LegalFormEntity</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{http://xbrl.frc.org.uk/cd/2021-01-01/business}LegalFormEntityDimension</dimension>
          <member>{http://xbrl.frc.org.uk/cd/2021-01-01/business}PrivateLimitedCompanyLtd</member>
          <typedValue i:nil="true"/>
          <contextContainer>Segment</contextContainer>
        </dimension>
      </dimensions>
      <transformGroup>United Kingdom</transformGroup>
      <hidden>false</hidden>
      <value>South West Water Limited is a company</value>
      <format xmlns:d4p1="http://schemas.datacontract.org/2004/07/System.Xml.Linq" xmlns:z="http://schemas.microsoft.com/2003/10/Serialization/" z:FactoryType="d4p1:NameSerializer">
        <name xmlns:d5p1="http://www.w3.org/2001/XMLSchema" xmlns="" i:type="d5p1:string">{http://www.xbrl.org/inlineXBRL/transformation/2011-07-31}nocontent</name>
      </format>
    </fact>
    <fact i:type="item">
      <id>XMETag_5a96d6f4a3b746e8811d32267a6bd384</id>
      <concept>{http://xbrl.frc.org.uk/cd/2021-01-01/business}CountryFormationOrIncorporation</concept>
      <identifier>
        <scheme>http://www.companieshouse.gov.uk/</scheme>
        <value>02366665</value>
      </identifier>
      <period>
        <periodType>Duration</periodType>
        <startDate>2021-04-01T00:00:00</startDate>
        <endDate>2022-03-31T00:00:00</endDate>
      </period>
      <numericProperties i:nil="true"/>
      <dimensions>
        <dimension>
          <dimension>{http://xbrl.frc.org.uk/cd/2021-01-01/countries}CountriesRegionsDimension</dimension>
          <member>{http://xbrl.frc.org.uk/cd/2021-01-01/countries}UnitedKingdom</member>
          <typedValue i:nil="true"/>
          <contextContainer>Segment</contextContainer>
        </dimension>
      </dimensions>
      <transformGroup>United Kingdom</transformGroup>
      <hidden>false</hidden>
      <value>United Kingdom</value>
      <format xmlns:d4p1="http://schemas.datacontract.org/2004/07/System.Xml.Linq" xmlns:z="http://schemas.microsoft.com/2003/10/Serialization/" z:FactoryType="d4p1:NameSerializer">
        <name xmlns:d5p1="http://www.w3.org/2001/XMLSchema" xmlns="" i:type="d5p1:string">{http://www.xbrl.org/inlineXBRL/transformation/2011-07-31}nocontent</name>
      </format>
    </fact>
    <fact i:type="item">
      <id>XMETag_7e5613823ca044a8ae54d746c1746815</id>
      <concept>{http://xbrl.frc.org.uk/fr/2021-01-01/core}GeneralDescriptionBasisMeasurementUsedInPreparingFinancialStatements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These financial statements have been prepared on the historical cost accounting basis (except for fair value items, principally transfers of assets from customers and certain financial instruments as described in accounting policy note (u) and (n) respectively</value>
      <format xmlns:d4p1="http://schemas.datacontract.org/2004/07/System.Xml.Linq" i:nil="true"/>
    </fact>
    <fact i:type="item">
      <id>XMETag_4c5d8e888d5b41e6ac377e6241a792c8</id>
      <concept>{http://xbrl.frc.org.uk/fr/2021-01-01/core}StatementComplianceWithApplicableReportingFramework</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in accordance with UK adopted international accounting standards in conformity with the requirements of the Companies Act 2006. A summary of the principal accounting policies is set out below, together with an explanation where changes have been made to previous policies on the adoption of new accounting standards and interpretations in the year.</value>
      <format xmlns:d4p1="http://schemas.datacontract.org/2004/07/System.Xml.Linq" i:nil="true"/>
    </fact>
    <fact i:type="item">
      <id>XMETag_102ea842418c4972ba8ff7d13ac9123c</id>
      <concept>{http://xbrl.frc.org.uk/fr/2021-01-01/core}FinancialStatementsArePreparedOnGoing-concernBasisTruefalse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going concern basis has been adopted in preparing the financial statements as stated by the Directors on page 120. At 31 March 2022, the Company had access to undrawn committed funds and cash and cash deposits totalling £193 million (excluding restricted cash of £161.7 million). Having considered the Company’s strong funding position and prudent financial projections, which take into account a range of possible impacts, as described in this report, the Directors have a reasonable expectation that the Company has adequate resource to continue in operational existence for the period from approval of the 2022 financial statements through to 31 July 2023 and that there are no material uncertainties to disclose. For this reason they continue to adopt the going concern basis in preparing the financial statements. 
In preparing the financial statements management has considered the impact of climate change, taking into account the relevant disclosures in the Strategic Report, including those made in accordance with the recommendations of the Taskforce on Climate-related Financial Disclosure. The expected environmental impact of climate change on the water business has been modelled noting that the physical risks are increasing. It is likely that the Company will need to invest to protect certain assets such as sewage works and pumping stations against sea level inundation and these considerations form part of the planning process for new capital expenditure. Longer term investment, outlined in the strategic plans, will be needed to manage future risks. To achieve this, combined regulatory and government support within their policy frameworks will be essential. Whilst it is estimated additional spend will be required to manage future risks, the current available information and assessment did not identify any risks that would require the useful economic lives of assets to be reduced in the year or identify the need for impairment that would impact the carrying values of such assets or have any other impact on the financial statements. The impact assessments will be continuously updated to reflect the latest available information on the impact of climate change.</value>
      <format xmlns:d4p1="http://schemas.datacontract.org/2004/07/System.Xml.Linq" xmlns:z="http://schemas.microsoft.com/2003/10/Serialization/" z:FactoryType="d4p1:NameSerializer">
        <name xmlns:d5p1="http://www.w3.org/2001/XMLSchema" xmlns="" i:type="d5p1:string">{http://www.xbrl.org/inlineXBRL/transformation/2011-07-31}booleantrue</name>
      </format>
    </fact>
    <fact i:type="item">
      <id>XMETag_e69be9fc6358405fb3142693fec10894</id>
      <concept>{http://xbrl.frc.org.uk/fr/2021-01-01/core}GeneralDescriptionImpactNewlyEffectiveStandardsOrInterpretations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New standards or interpretations which were mandatory for the first time in the year beginning 1 April 2021 did not have a material impact on the net assets or results of the Company. Although the IASB’s interest rate benchmark reform amendments IFRS 7 ‘Financial Instrument (FI) disclosures’ and IFRS 9 ‘FI recognition and measurement’ came into effect from 1 January 2020, these had already been early adopted by the Company in its 2020 financial statements as explained in the accounting policy for financial instruments.
New standards or interpretations due to be adopted from 1 April 2022 are not expected to have a material impact on the Company’s net assets or results. Existing borrowing covenants are not impacted by changes in accounting standards.</value>
      <format xmlns:d4p1="http://schemas.datacontract.org/2004/07/System.Xml.Linq" i:nil="true"/>
    </fact>
    <fact i:type="item">
      <id>XMETag_dc822c4009d64f80ab4960bc184ebc9e</id>
      <concept>{http://xbrl.frc.org.uk/fr/2021-01-01/core}DescriptionRelatedEntityWhichHasPreparedConsolidatedFinancialStatementsTheirAvailability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Group financial statements are included in the Annual Report of Pennon 
PRINCIPAL ACCOUNTING POLICIES (CONTINUED)
(b)	Exemption from consolidation (continued)
Group plc which is available from Peninsula House, Rydon Lane, Exeter, EX2 7HR.</value>
      <format xmlns:d4p1="http://schemas.datacontract.org/2004/07/System.Xml.Linq" i:nil="true"/>
    </fact>
    <fact i:type="item">
      <id>XMETag_e020a6e3c5f14ae5b2d4f370b5c1a9b6</id>
      <concept>{http://xbrl.frc.org.uk/fr/2021-01-01/core}DescriptionReasonWhyEntityHasNotPreparedConsolidatedFinancialStatements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is exempt under the provisions of section 400 of the Companies Act 2006 from the requirement to produce group financial statements as it is a wholly-owned subsidiary of Pennon Group plc which is registered within the United Kingdom and which itself produces consolidated financial statements. Accordingly consolidated financial statements have not been prepared and the financial information presented is for the Company as an individual undertaking.</value>
      <format xmlns:d4p1="http://schemas.datacontract.org/2004/07/System.Xml.Linq" i:nil="true"/>
    </fact>
    <fact i:type="item">
      <id>XMETag_d3b0f968ec534b08a548586c429c9732</id>
      <concept>{http://xbrl.frc.org.uk/fr/2021-01-01/core}RevenueRecognitionPolicy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Revenue is recognised following delivery of performance obligation and an assessment of when control over the product or service is transferred to the customer. Revenue is only recognised when collection of consideration is highly probable. 
Revenue is recognised either when the performance obligation in the contract has been performed (point in time) or ‘over time’ as the performance obligations to the customer are satisfied. For each obligation satisfied over time, the Company applies a revenue recognition method that accurately reflects performance in transferring control to the customer. 
Where a contract with a customer includes more than one performance obligation, revenue is allocated to each obligation in proportion to a fair value assessment of the total contract sales value split across the services provided. 
At the inception of a contract, the total transaction price is estimated, being the fair value to which the Company expects to be entitled under the contract, including any variable consideration. Variable consideration is based on the most likely outcome of the performance obligations. 
Revenue excludes value added tax, trade discounts and revenue arising from transactions between Group companies.
For most of the services provided to domestic customers, contract terms are implied through statute and regulation in the absence of formal, written contracts. South West Water has a duty under legislation to provide domestic customers with services regardless of payment and is not permitted to disconnect domestic customers for non-payment of bills. Charges are set via the periodic review price-setting process, regulated by Ofwat.
In respect of ongoing, continuous services to customers, such as the provision of drinking water and wastewater services, revenue is recognised over time in line with customer usage of those services.
Customers with an unmeasured supply are billed at the start of the year for the full amount of the annual charge but typically take advantage of a choice of payment arrangements to pay by regular instalments.
Customers with a metered supply are sent up to four bills per year, based either on actual meter readings or estimated usage. For these customers, revenue includes an estimation of the amount of unbilled usage at the period end. Payment options for domestic customers include an annual Meter Payment Plan where customers agree to pay a fixed amount per month which is adjusted to reflect actual consumption at the end of the year.
A range of regulated services is offered to property developers and owners who require connection to the water and sewerage networks or need the networks to be extended or altered. Typically, these customers pay an estimate of the charges in advance as a deposit, which is treated as a contract liability and are billed or refunded the difference between the estimate and actual costs on completion of the work.
Where the performance obligation relates solely to a connection to the network, revenue is recognised at the point of connection when the customer is deemed to obtain control.
Where assets are constructed or provided by the Company or assets transferred to the Company, it is considered that there is an explicit or implied performance obligation to provide an ongoing water and / or wastewater service, with the result that revenue is recognised over a time no longer than the economic life of assets provided by or transferred to the Company.
Contract assets and liabilities
A trade receivable is recognised when the Company has an unconditional right to receive consideration in exchange for performance obligations already fulfilled. A contract asset is recognised when the Company has fulfilled some of its performance obligations but has not yet obtained an unconditional right to receive consideration. The amounts of contract assets is disclosed within note 18 (Trade and other receivables - current) if applicable.  A contract liability is recognised when consideration is received in advance of the Company performing its performance obligations to customers, including, when appropriate, transfers of assets from customers (per paragraph (u) below). The value of contract liabilities is disclosed within note 21 (Trade and other payables - current) and note 23 (Other non-current liabilities) as appropriate.</value>
      <format xmlns:d4p1="http://schemas.datacontract.org/2004/07/System.Xml.Linq" i:nil="true"/>
    </fact>
    <fact i:type="item">
      <id>XMETag_988be9522f14499ea333f7ae5fa02f28</id>
      <concept>{http://xbrl.frc.org.uk/fr/2021-01-01/core}SegmentReportingPolicy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Directors believe that the whole of the Company’s activities constitute one single segment. Operating segments are reported in the manner consistent with internal reporting to the Chief Operating Decision Maker, which has been identified as the Board of 
Directors.
The Company’s country of domicile is the United Kingdom and is the country in which it generates all of its revenue. The Company’s non-current assets are all located within the United Kingdom. 
In accordance with IFRS 15, revenue has been disaggregated based on the services of supplying clean water, removal and treatment of wastewater and retail and other services. Further details are contained in note 5.</value>
      <format xmlns:d4p1="http://schemas.datacontract.org/2004/07/System.Xml.Linq" i:nil="true"/>
    </fact>
    <fact i:type="item">
      <id>XMETag_f5b7746e395a469eaba6ddbbb4cee6a4</id>
      <concept>{http://xbrl.frc.org.uk/fr/2021-01-01/core}DescriptionRecognitionBasisMeasurementIntangibleAssetsIncludingRight-of-use</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{http://xbrl.frc.org.uk/fr/2021-01-01/core}IntangibleAssetClassesDimension</dimension>
          <member>{http://xbrl.frc.org.uk/fr/2021-01-01/core}NetGoodwill</member>
          <typedValue i:nil="true"/>
          <contextContainer>Segment</contextContainer>
        </dimension>
      </dimensions>
      <transformGroup>United Kingdom</transformGroup>
      <hidden>false</hidden>
      <value>Goodwill arising on consolidation from the acquisition of subsidiary undertakings represents the excess of the purchase consideration over the fair value of net assets acquired, less any subsequent impairment charges.
Goodwill is recognised as an asset and reviewed for impairment at least annually. Any impairment is recognised immediately in the income statement and is not subsequently reversed. For the purpose of impairment testing, goodwill acquired in a business combination is allocated to each of the cash generating units (CGUs) or group of CGUs, that is expected to benefit from the synergies of the combination. Each unit or group of units to which goodwill is allocated represents the lowest level within the entity 
at which the goodwill is monitored for internal reporting purposes. Goodwill is allocated and monitored at the reportable operating segment level. Further details are contained in accounting policy (i).
When a subsidiary undertaking is sold, the profit or loss on disposal is determined after including the attributable amount of goodwill.</value>
      <format xmlns:d4p1="http://schemas.datacontract.org/2004/07/System.Xml.Linq" i:nil="true"/>
    </fact>
    <fact i:type="item">
      <id>XMETag_9967cded13894fee95fdbc14a497447b</id>
      <concept>{http://xbrl.frc.org.uk/fr/2021-01-01/core}DescriptionAmortisationMethodForIntangibleAssetsIncludingRight-of-use</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{http://xbrl.frc.org.uk/fr/2021-01-01/core}IntangibleAssetClassesDimension</dimension>
          <member>{http://xbrl.frc.org.uk/fr/2021-01-01/core}IntangibleAssetsOtherThanGoodwill</member>
          <typedValue i:nil="true"/>
          <contextContainer>Segment</contextContainer>
        </dimension>
      </dimensions>
      <transformGroup>United Kingdom</transformGroup>
      <hidden>false</hidden>
      <value>Following initial recognition, finite life intangible assets are amortised on a straight-line basis over their estimated useful lives, with the expense charged to the income statement through operating costs.</value>
      <format xmlns:d4p1="http://schemas.datacontract.org/2004/07/System.Xml.Linq" i:nil="true"/>
    </fact>
    <fact i:type="item">
      <id>XMETag_7a88fc9aab374cc5adabc177051fc204</id>
      <concept>{http://xbrl.frc.org.uk/fr/2021-01-01/core}DescriptionRecognitionBasisMeasurementIntangibleAssetsIncludingRight-of-use</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{http://xbrl.frc.org.uk/fr/2021-01-01/core}IntangibleAssetClassesDimension</dimension>
          <member>{http://xbrl.frc.org.uk/fr/2021-01-01/core}IntangibleAssetsOtherThanGoodwill</member>
          <typedValue i:nil="true"/>
          <contextContainer>Segment</contextContainer>
        </dimension>
      </dimensions>
      <transformGroup>United Kingdom</transformGroup>
      <hidden>false</hidden>
      <value>Other intangible assets include assets acquired in a business combination and are capitalised at fair value at the date of acquisition.</value>
      <format xmlns:d4p1="http://schemas.datacontract.org/2004/07/System.Xml.Linq" i:nil="true"/>
    </fact>
    <fact i:type="item">
      <id>XMETag_12708b8159ea4160940f3189dbc0c3c9</id>
      <concept>{http://xbrl.frc.org.uk/fr/2021-01-01/core}DescriptionMeasurementBasisForPropertyPlantEquipmentIncludingRight-of-use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Infrastructure assets were included at fair value on transition to IFRS and subsequent additions at cost, less accumulated depreciation. Expenditure to increase capacity or enhance infrastructure assets is capitalised where it can be reliably measured and it is probable that incremental future economic benefits will flow to the Company. The cost of day to day servicing of infrastructure components is recognised in the income statement as it arises.</value>
      <format xmlns:d4p1="http://schemas.datacontract.org/2004/07/System.Xml.Linq" i:nil="true"/>
    </fact>
    <fact i:type="item">
      <id>XMETag_38aeb05b582d4f768b51a3f67f378114</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200</value>
      <format xmlns:d4p1="http://schemas.datacontract.org/2004/07/System.Xml.Linq" i:nil="true"/>
    </fact>
    <fact i:type="item">
      <id>XMETag_d3562e628ce84dc6834401a2cf4177b6</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
          <dimension>{http://xbrl.frc.org.uk/fr/2021-01-01/core}RangeDimension</dimension>
          <member>{http://xbrl.frc.org.uk/fr/2021-01-01/core}BottomRangeValue</member>
          <typedValue i:nil="true"/>
          <contextContainer>Segment</contextContainer>
        </dimension>
      </dimensions>
      <transformGroup>United Kingdom</transformGroup>
      <hidden>false</hidden>
      <value>40 </value>
      <format xmlns:d4p1="http://schemas.datacontract.org/2004/07/System.Xml.Linq" i:nil="true"/>
    </fact>
    <fact i:type="item">
      <id>XMETag_22d90201f6134172877be7b37d084c9e</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
          <dimension>{http://xbrl.frc.org.uk/fr/2021-01-01/core}RangeDimension</dimension>
          <member>{http://xbrl.frc.org.uk/fr/2021-01-01/core}BottomRangeValue</member>
          <typedValue i:nil="true"/>
          <contextContainer>Segment</contextContainer>
        </dimension>
      </dimensions>
      <transformGroup>United Kingdom</transformGroup>
      <hidden>false</hidden>
      <value>40</value>
      <format xmlns:d4p1="http://schemas.datacontract.org/2004/07/System.Xml.Linq" i:nil="true"/>
    </fact>
    <fact i:type="item">
      <id>XMETag_b792ac7d915e43fbab9301a8664635fc</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
          <dimension>{http://xbrl.frc.org.uk/fr/2021-01-01/core}RangeDimension</dimension>
          <member>{http://xbrl.frc.org.uk/fr/2021-01-01/core}TopRangeValue</member>
          <typedValue i:nil="true"/>
          <contextContainer>Segment</contextContainer>
        </dimension>
      </dimensions>
      <transformGroup>United Kingdom</transformGroup>
      <hidden>false</hidden>
      <value>120</value>
      <format xmlns:d4p1="http://schemas.datacontract.org/2004/07/System.Xml.Linq" i:nil="true"/>
    </fact>
    <fact i:type="item">
      <id>XMETag_506f23bf114f4d78bf6fd670e5270ffe</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
          <dimension>{http://xbrl.frc.org.uk/fr/2021-01-01/core}RangeDimension</dimension>
          <member>{http://xbrl.frc.org.uk/fr/2021-01-01/core}TopRangeValue</member>
          <typedValue i:nil="true"/>
          <contextContainer>Segment</contextContainer>
        </dimension>
      </dimensions>
      <transformGroup>United Kingdom</transformGroup>
      <hidden>false</hidden>
      <value>120</value>
      <format xmlns:d4p1="http://schemas.datacontract.org/2004/07/System.Xml.Linq" i:nil="true"/>
    </fact>
    <fact i:type="item">
      <id>XMETag_88fb0a08f010425b82463e1625515560</id>
      <concept>{http://xbrl.frc.org.uk/fr/2021-01-01/core}DescriptionDepreciationMethodForPropertyPlantEquipmentIncludingRight-of-use</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Assets in the course of construction are not depreciated until commissioned.</value>
      <format xmlns:d4p1="http://schemas.datacontract.org/2004/07/System.Xml.Linq" i:nil="true"/>
    </fact>
    <fact i:type="item">
      <id>XMETag_0dd047d1b71e442887d495c180b1dc8d</id>
      <concept>{http://xbrl.frc.org.uk/fr/2021-01-01/core}DescriptionMeasurementBasisForPropertyPlantEquipmentIncludingRight-of-use</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{http://xbrl.frc.org.uk/fr/2021-01-01/core}PropertyPlantEquipmentClassesDimension</dimension>
          <member>{http://xbrl.frc.org.uk/fr/2021-01-01/core}OtherPropertyPlantEquipment</member>
          <typedValue i:nil="true"/>
          <contextContainer>Segment</contextContainer>
        </dimension>
      </dimensions>
      <transformGroup>United Kingdom</transformGroup>
      <hidden>false</hidden>
      <value>Other assets are included at cost less accumulated depreciation.</value>
      <format xmlns:d4p1="http://schemas.datacontract.org/2004/07/System.Xml.Linq" i:nil="true"/>
    </fact>
    <fact i:type="item">
      <id>XMETag_cb31cd92311046978d8fdf5c1ee3be34</id>
      <concept>{http://xbrl.frc.org.uk/fr/2021-01-01/core}DescriptionDepreciationMethodForPropertyPlantEquipmentIncludingRight-of-use</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member>
          <typedValue i:nil="true"/>
          <contextContainer>Segment</contextContainer>
        </dimension>
      </dimensions>
      <transformGroup>United Kingdom</transformGroup>
      <hidden>false</hidden>
      <value>Freehold land is not depreciated.</value>
      <format xmlns:d4p1="http://schemas.datacontract.org/2004/07/System.Xml.Linq" i:nil="true"/>
    </fact>
    <fact i:type="item">
      <id>XMETag_be9a4ae90f5e43d2b180a8a1a8f1ef99</id>
      <concept>{http://xbrl.frc.org.uk/fr/2021-01-01/core}DescriptionDepreciationMethodForPropertyPlantEquipmentIncludingRight-of-use</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{http://xbrl.frc.org.uk/fr/2021-01-01/core}PropertyPlantEquipmentClassesDimension</dimension>
          <member>{http://xbrl.frc.org.uk/fr/2021-01-01/core}OtherPropertyPlantEquipment</member>
          <typedValue i:nil="true"/>
          <contextContainer>Segment</contextContainer>
        </dimension>
      </dimensions>
      <transformGroup>United Kingdom</transformGroup>
      <hidden>false</hidden>
      <value>Other assets are depreciated evenly over their estimated useful economic lives to their residual value and are principally</value>
      <format xmlns:d4p1="http://schemas.datacontract.org/2004/07/System.Xml.Linq" i:nil="true"/>
    </fact>
    <fact i:type="item">
      <id>XMETag_1ed39200ca2f4449b34b929b02e0b25c</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
          <dimension>{http://xbrl.frc.org.uk/fr/2021-01-01/core}RangeDimension</dimension>
          <member>{http://xbrl.frc.org.uk/fr/2021-01-01/core}BottomRangeValue</member>
          <typedValue i:nil="true"/>
          <contextContainer>Segment</contextContainer>
        </dimension>
      </dimensions>
      <transformGroup>United Kingdom</transformGroup>
      <hidden>false</hidden>
      <value>30</value>
      <format xmlns:d4p1="http://schemas.datacontract.org/2004/07/System.Xml.Linq" i:nil="true"/>
    </fact>
    <fact i:type="item">
      <id>XMETag_4f4836ad03824fcc85be34992b4a12a2</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{http://xbrl.frc.org.uk/fr/2021-01-01/core}Non-standardPPEClass4ComponentTotalPropertyPlantEquipment</member>
          <typedValue i:nil="true"/>
          <contextContainer>Segment</contextContainer>
        </dimension>
        <dimension>
          <dimension>{http://xbrl.frc.org.uk/fr/2021-01-01/core}RangeDimension</dimension>
          <member>{http://xbrl.frc.org.uk/fr/2021-01-01/core}BottomRangeValue</member>
          <typedValue i:nil="true"/>
          <contextContainer>Segment</contextContainer>
        </dimension>
      </dimensions>
      <transformGroup>United Kingdom</transformGroup>
      <hidden>false</hidden>
      <value>40</value>
      <format xmlns:d4p1="http://schemas.datacontract.org/2004/07/System.Xml.Linq" i:nil="true"/>
    </fact>
    <fact i:type="item">
      <id>XMETag_3edf51757c384b1cb745b03601e76980</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{http://xbrl.frc.org.uk/fr/2021-01-01/core}PlantMachinery</member>
          <typedValue i:nil="true"/>
          <contextContainer>Segment</contextContainer>
        </dimension>
        <dimension>
          <dimension>{http://xbrl.frc.org.uk/fr/2021-01-01/core}RangeDimension</dimension>
          <member>{http://xbrl.frc.org.uk/fr/2021-01-01/core}BottomRangeValue</member>
          <typedValue i:nil="true"/>
          <contextContainer>Segment</contextContainer>
        </dimension>
      </dimensions>
      <transformGroup>United Kingdom</transformGroup>
      <hidden>false</hidden>
      <value>20</value>
      <format xmlns:d4p1="http://schemas.datacontract.org/2004/07/System.Xml.Linq" i:nil="true"/>
    </fact>
    <fact i:type="item">
      <id>XMETag_6d3c073458e749d5ac7edcabad0d59f1</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{http://xbrl.frc.org.uk/fr/2021-01-01/core}VehiclesPlantMachinery</member>
          <typedValue i:nil="true"/>
          <contextContainer>Segment</contextContainer>
        </dimension>
        <dimension>
          <dimension>{http://xbrl.frc.org.uk/fr/2021-01-01/core}RangeDimension</dimension>
          <member>{http://xbrl.frc.org.uk/fr/2021-01-01/core}BottomRangeValue</member>
          <typedValue i:nil="true"/>
          <contextContainer>Segment</contextContainer>
        </dimension>
      </dimensions>
      <transformGroup>United Kingdom</transformGroup>
      <hidden>false</hidden>
      <value>4</value>
      <format xmlns:d4p1="http://schemas.datacontract.org/2004/07/System.Xml.Linq" i:nil="true"/>
    </fact>
    <fact i:type="item">
      <id>XMETag_f460c36d30514d6583466c68085779db</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
          <dimension>{http://xbrl.frc.org.uk/fr/2021-01-01/core}RangeDimension</dimension>
          <member>{http://xbrl.frc.org.uk/fr/2021-01-01/core}TopRangeValue</member>
          <typedValue i:nil="true"/>
          <contextContainer>Segment</contextContainer>
        </dimension>
      </dimensions>
      <transformGroup>United Kingdom</transformGroup>
      <hidden>false</hidden>
      <value>60</value>
      <format xmlns:d4p1="http://schemas.datacontract.org/2004/07/System.Xml.Linq" i:nil="true"/>
    </fact>
    <fact i:type="item">
      <id>XMETag_4c4e8f6b9e63485788b43e3f3cfa00c5</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{http://xbrl.frc.org.uk/fr/2021-01-01/core}Non-standardPPEClass4ComponentTotalPropertyPlantEquipment</member>
          <typedValue i:nil="true"/>
          <contextContainer>Segment</contextContainer>
        </dimension>
        <dimension>
          <dimension>{http://xbrl.frc.org.uk/fr/2021-01-01/core}RangeDimension</dimension>
          <member>{http://xbrl.frc.org.uk/fr/2021-01-01/core}TopRangeValue</member>
          <typedValue i:nil="true"/>
          <contextContainer>Segment</contextContainer>
        </dimension>
      </dimensions>
      <transformGroup>United Kingdom</transformGroup>
      <hidden>false</hidden>
      <value>100</value>
      <format xmlns:d4p1="http://schemas.datacontract.org/2004/07/System.Xml.Linq" i:nil="true"/>
    </fact>
    <fact i:type="item">
      <id>XMETag_9bddb739c7a8481b849bd17524c073bd</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{http://xbrl.frc.org.uk/fr/2021-01-01/core}PlantMachinery</member>
          <typedValue i:nil="true"/>
          <contextContainer>Segment</contextContainer>
        </dimension>
        <dimension>
          <dimension>{http://xbrl.frc.org.uk/fr/2021-01-01/core}RangeDimension</dimension>
          <member>{http://xbrl.frc.org.uk/fr/2021-01-01/core}TopRangeValue</member>
          <typedValue i:nil="true"/>
          <contextContainer>Segment</contextContainer>
        </dimension>
      </dimensions>
      <transformGroup>United Kingdom</transformGroup>
      <hidden>false</hidden>
      <value>40</value>
      <format xmlns:d4p1="http://schemas.datacontract.org/2004/07/System.Xml.Linq" i:nil="true"/>
    </fact>
    <fact i:type="item">
      <id>XMETag_0aef7f3efb714721b63d49743f39468e</id>
      <concept>{http://xbrl.frc.org.uk/fr/2021-01-01/core}UsefulLifePropertyPlantEquipmentIncludingRight-of-useYears</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{http://xbrl.frc.org.uk/fr/2021-01-01/core}PropertyPlantEquipmentClassesDimension</dimension>
          <member>{http://xbrl.frc.org.uk/fr/2021-01-01/core}VehiclesPlantMachinery</member>
          <typedValue i:nil="true"/>
          <contextContainer>Segment</contextContainer>
        </dimension>
        <dimension>
          <dimension>{http://xbrl.frc.org.uk/fr/2021-01-01/core}RangeDimension</dimension>
          <member>{http://xbrl.frc.org.uk/fr/2021-01-01/core}TopRangeValue</member>
          <typedValue i:nil="true"/>
          <contextContainer>Segment</contextContainer>
        </dimension>
      </dimensions>
      <transformGroup>United Kingdom</transformGroup>
      <hidden>false</hidden>
      <value>10</value>
      <format xmlns:d4p1="http://schemas.datacontract.org/2004/07/System.Xml.Linq" i:nil="true"/>
    </fact>
    <fact i:type="item">
      <id>XMETag_7475c0af6bae464c94826eddfb26e930</id>
      <concept>{http://xbrl.frc.org.uk/fr/2021-01-01/core}DescriptionDepreciationMethodForPropertyPlantEquipmentIncludingRight-of-use</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{http://xbrl.frc.org.uk/fr/2021-01-01/core}PPEOwnershipDimension</dimension>
          <member>{http://xbrl.frc.org.uk/fr/2021-01-01/core}LeasedAssetsHeldAsLessee</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Over the estimated useful life or the lease period, whichever is shorter</value>
      <format xmlns:d4p1="http://schemas.datacontract.org/2004/07/System.Xml.Linq" i:nil="true"/>
    </fact>
    <fact i:type="item">
      <id>XMETag_41232c395a774aef84229d0bb5901a34</id>
      <concept>{http://xbrl.frc.org.uk/fr/2021-01-01/core}PropertyPlantEquipmentPolicyIncludingRight-of-use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Assets in the course of construction are not depreciated until commissioned.
PRINCIPAL ACCOUNTING POLICIES (CONTINUED)
(g)	Property, plant and equipment (continued)
The cost of assets includes directly attributable labour and overhead costs which are incremental to the Company. Borrowing costs directly attributable to the construction of a qualifying asset (an asset necessarily taking a substantial period of time to be prepared for its intended use) are capitalised as part of the asset. Assets transferred from customers are recognised at fair value as set out in accounting policy (u).
The assets residual value and useful lives are reviewed annually.
Gains or losses on disposals are determined by comparing the proceeds of sale with the carrying amount and are recognised within the income statement.</value>
      <format xmlns:d4p1="http://schemas.datacontract.org/2004/07/System.Xml.Linq" i:nil="true"/>
    </fact>
    <fact i:type="item">
      <id>XMETag_3ad1c6133fff4b95938fc4416ad4e110</id>
      <concept>{http://xbrl.frc.org.uk/fr/2021-01-01/core}LeasesPolicy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All are accounted for by recognising a right-of use-asset and a lease liability except for:
Low value assets; and
Leases with a duration of 12 months or less.
Contracts are initially measured at the present value of contractual payments due to the lessor over the lease term, with the discount rate determined by reference to the rate inherent in the lease unless this is not readily determinable, in which case the Company’s incremental borrowing rate on commencement of the lease is used. After initial measurement, lease payments are allocated between the liability and finance cost. The finance cost is charged to profit and loss over the lease period to produce a constant periodic rate of interest on the remaining balance of the liability for each period. The interest element of cash payments in respect of these leases is included within interest payments in determining net cash generated from operating activities. The capital element of the cash payment is included within cash flows from financing activities. Right-of-use assets are amortised on a straight line basis over the remaining term of the lease or the remaining economic life of the asset if shorter. When the Company revisits its estimate of lease term (because, for example, it reassesses an extension option), it adjusts the carrying amount of the lease liability to reflect the payments to make over the revised term, which is discounted at the same discount rate that applied on lease commencement. In these circumstances an equivalent adjustment is made to the carrying value of the right-of-use asset, with the revised carrying amount being amortised over the remaining (revised) lease term.
Assets are included as property, plant and equipment as right-of-use assets at the present value of the minimum lease payments and are depreciated over their estimated economic lives or the lease period, whichever is the shorter. The corresponding liability is recorded as borrowings. The interest element of the rental costs is charged against profits using the actuarial method over the period of the lease.
The Company regularly uses sale and lease back transactions to finance its capital programme. A sale and leaseback transaction is where the Company sells an asset and immediately reacquires the use of the asset by entering into a lease with the buyer. Each transaction is assessed as to whether it meets the criteria within IFRS 15 ‘Revenue from contracts with customers’ for a sale to have occurred. As a result, a lease liability is recognised, the associated property, plant and equipment asset is derecognised, and a right-of-use asset is recognised at the proportion of the carrying value relating to the right retained. Any gain or loss arising relates to the rights transferred to the buyer. If the criteria for a sale under IFRS 15 have not been met the asset is not derecognised and no sale is recorded.</value>
      <format xmlns:d4p1="http://schemas.datacontract.org/2004/07/System.Xml.Linq" i:nil="true"/>
    </fact>
    <fact i:type="item">
      <id>XMETag_f3468cf6ced14e5b9ee04a38c5e148c9</id>
      <concept>{http://xbrl.frc.org.uk/fr/2021-01-01/core}ImpairmentNon-financialAssetsPolicy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Assets with an indefinite useful life are not subject to amortisation and are tested annually for impairment, or whenever events or 
changes in circumstance indicate that the carrying amount may not be recoverable.
Assets subject to amortisation or depreciation are tested for impairment whenever events or changes in circumstances indicate that the carrying amount may not be recoverable.
An impairment loss is recognised for the amount by which an asset’s carrying amount exceeds its recoverable value. The recoverable amount is the higher of an asset’s fair value less costs to sell and value in use. For the purposes of assessing impairment, assets are grouped at the lowest levels for which there are separately identifiable cash flows (CGUs). Value in use represents the present value of projected future cash flows expected to be derived from a CGU, discounted using a pre-tax discount rate which reflects an assessment of the market cost of capital of the CGU. Impairments are charged to the income statement in the year in which they arise.
PRINCIPAL ACCOUNTING POLICIES (CONTINUED)
(i)	Impairment of non-financial assets (continued)
Non-financial assets other than goodwill that have been impaired are reviewed for possible reversal of the impairment at each reporting date.
Where a previously impairs asset or CGU’s recoverable amount is in excess of its carrying amount, previous impairments are reversed to the carrying value that would have expected to be recognised had the original impairment not occurred.</value>
      <format xmlns:d4p1="http://schemas.datacontract.org/2004/07/System.Xml.Linq" i:nil="true"/>
    </fact>
    <fact i:type="item">
      <id>XMETag_9d9cfe599a3d4cbea6f3432bfa69f3f5</id>
      <concept>{http://xbrl.frc.org.uk/fr/2021-01-01/core}GovernmentGrantsOtherGovernmentAssistancePolicy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Grants and contributions receivable in respect of property, plant and equipment are deducted from the cost of those assets. Grants and contributions receivable in respect of expenditure charged against profits in the year have been included in the income statement.</value>
      <format xmlns:d4p1="http://schemas.datacontract.org/2004/07/System.Xml.Linq" i:nil="true"/>
    </fact>
    <fact i:type="item">
      <id>XMETag_93eff1aed3494f3aae9c945b7e3dad5e</id>
      <concept>{http://xbrl.frc.org.uk/fr/2021-01-01/core}DescriptionMethodsUsedToAccountForInvestmentsInSubsidiariesInSeparateFinancialStatements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Investments in subsidiary undertakings are initially recorded at cost, being the fair value of the consideration paid, including associated acquisition costs. Subsequently, investments are reviewed for impairment on an individual basis annually or if events or changes in circumstances indicate that the carrying value may not be fully recoverable.</value>
      <format xmlns:d4p1="http://schemas.datacontract.org/2004/07/System.Xml.Linq" i:nil="true"/>
    </fact>
    <fact i:type="item">
      <id>XMETag_1cfc01873ec94d5189f0d4e1bb595880</id>
      <concept>{http://xbrl.frc.org.uk/fr/2021-01-01/core}InventoriesPolicy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Inventories are stated at the lower of cost and net realisable value. The cost of finished goods and work in progress includes raw materials and the cost of bringing stocks to their present location and condition. It excludes borrowing costs. Net realisable value is the estimated selling price less cost to sell. The costs of items of inventory are determined using weighted average costs.</value>
      <format xmlns:d4p1="http://schemas.datacontract.org/2004/07/System.Xml.Linq" i:nil="true"/>
    </fact>
    <fact i:type="item">
      <id>XMETag_579aae62baee49b09f6898e44cb11eaa</id>
      <concept>{http://xbrl.frc.org.uk/fr/2021-01-01/core}CashCashEquivalentsPolicy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Cash and cash deposits comprise cash in hand and short-term deposits held at banks. Bank overdrafts are shown within current borrowings.</value>
      <format xmlns:d4p1="http://schemas.datacontract.org/2004/07/System.Xml.Linq" i:nil="true"/>
    </fact>
    <fact i:type="item">
      <id>XMETag_0370919370fc48d7ba20b7708a86f40c</id>
      <concept>{http://xbrl.frc.org.uk/fr/2021-01-01/core}FinancialInstrumentsRecognitionMeasurementPolicy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{http://xbrl.frc.org.uk/fr/2021-01-01/core}FinancialInstrumentsClassesCategoriesDimension</dimension>
          <member>{http://xbrl.frc.org.uk/fr/2021-01-01/core}FinancialInstrumentsAmortisedCost</member>
          <typedValue i:nil="true"/>
          <contextContainer>Segment</contextContainer>
        </dimension>
      </dimensions>
      <transformGroup>United Kingdom</transformGroup>
      <hidden>false</hidden>
      <value>All loans and borrowings are initially recognised at fair value, net of transaction costs incurred. Following initial recognition interest-bearing loans and borrowings are subsequently stated at amortised cost using the effective interest method. Gains and losses are recognised in the income statement when the instruments are derecognised or impaired. Premia, discounts and other costs and fees are recognised in the income statement through amortisation. 
Borrowings are classified as current liabilities unless the Company has an unconditional right to defer settlement of the liability for at least 12 months after the balance sheet date.</value>
      <format xmlns:d4p1="http://schemas.datacontract.org/2004/07/System.Xml.Linq" i:nil="true"/>
    </fact>
    <fact i:type="item">
      <id>XMETag_6ed2d8eb2b5044428646376b3533dd98</id>
      <concept>{http://xbrl.frc.org.uk/fr/2021-01-01/core}TradeReceivablesPolicy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Trade receivables do not carry any interest receivable and are recognised initially at fair value and subsequently at amortised cost using the effective interest method, less provision for expected credit losses (ECLs). In accordance with the terms and conditions of IFRS 9, the Company performs an impairment analysis at each reporting date to measure the ECLs. The Company does not track changes in credit risk but instead recognises a loss allowance based on lifetime ECLs at each reporting date. The Company has established a provision matrix that is based on its historical credit loss experience, adjusted for forward-looking factors specific to the receivables and the economic environment.</value>
      <format xmlns:d4p1="http://schemas.datacontract.org/2004/07/System.Xml.Linq" i:nil="true"/>
    </fact>
    <fact i:type="item">
      <id>XMETag_a5a249591811498a8b11c4b1a2b16e8a</id>
      <concept>{http://xbrl.frc.org.uk/fr/2021-01-01/core}TradePayablesPolicy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Trade payables are not interest-bearing and are recognised initially at fair value and subsequently measured at amortised cost using the effective interest method.</value>
      <format xmlns:d4p1="http://schemas.datacontract.org/2004/07/System.Xml.Linq" i:nil="true"/>
    </fact>
    <fact i:type="item">
      <id>XMETag_2215a739a3394cd694a8693ecd20e907</id>
      <concept>{http://xbrl.frc.org.uk/fr/2021-01-01/core}TitleOtherSpecificAccountingPolicy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{http://xbrl.frc.org.uk/fr/2021-01-01/core}X-OtherSpecificAccountingPolicyGroupingDimension</dimension>
          <member i:nil="true"/>
          <typedValue>1</typedValue>
          <contextContainer>Segment</contextContainer>
        </dimension>
      </dimensions>
      <transformGroup>United Kingdom</transformGroup>
      <hidden>false</hidden>
      <value>Receivables due from fellow subsidiary undertakings</value>
      <format xmlns:d4p1="http://schemas.datacontract.org/2004/07/System.Xml.Linq" i:nil="true"/>
    </fact>
    <fact i:type="item">
      <id>XMETag_f9730f0cf92340d3af51d2cf475a0bda</id>
      <concept>{http://xbrl.frc.org.uk/fr/2021-01-01/core}ContentOtherSpecificAccountingPolicy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{http://xbrl.frc.org.uk/fr/2021-01-01/core}X-OtherSpecificAccountingPolicyGroupingDimension</dimension>
          <member i:nil="true"/>
          <typedValue>1</typedValue>
          <contextContainer>Segment</contextContainer>
        </dimension>
      </dimensions>
      <transformGroup>United Kingdom</transformGroup>
      <hidden>false</hidden>
      <value>Amounts owed by fellow subsidiaries are classified and recorded at amortised cost and reduced by allowances for ECLs. Estimated future credit losses are first recorded on initial recognition of a receivable and are based on estimated probability of default.  
Individual balances are written off when management deems them not to be collectible.</value>
      <format xmlns:d4p1="http://schemas.datacontract.org/2004/07/System.Xml.Linq" i:nil="true"/>
    </fact>
    <fact i:type="item">
      <id>XMETag_f0f7259dc2e0484bb79b1fddb74894c9</id>
      <concept>{http://xbrl.frc.org.uk/fr/2021-01-01/core}GeneralDerivativesHedgingPolicy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uses derivative financial instruments, principally interest rate swaps, to hedge risks associated with interest rate and exchange rate fluctuations. Derivative instruments are initially recognised at fair value on the date the derivative contract is entered into and subsequently remeasured at fair value for the reported balance sheet.
The Company designates certain hedging derivatives as either:
a hedge of a highly probable forecast transaction or change in the cash flows of a recognised asset or liability (a cash flow hedge); or
a hedge of the exposure to change in the fair value of a recognised asset or liability (a fair value hedge).
The gain or loss on re-measurement is taken to the income statement except for cash flow hedges which meet the conditions for hedge accounting, when the portion of the gain or loss on the hedging instrument which is determined to be an effective hedge is recognised directly in equity, and the ineffective portion in the income statement. The gains or losses deferred in equity in this way are subsequently recognised in the income statement in the same period in which the hedged underlying transaction or firm commitment is recognised in the income statement.
To qualify for hedge accounting, the Company is required to document in advance the relationship between the item being hedged and the hedging instrument. The Company is also required to document and demonstrate an assessment of the relationship between the hedged item and the hedging instrument which shows that the hedge will be highly effective on an ongoing basis. This effectiveness testing is reperformed at the end of each reporting period to ensure that the hedge remains highly effective.
The full fair value of a hedging derivative is apportioned on a straight-line basis between non-current and current assets or liabilities based on the remaining maturity of the hedging derivative.
Derivative financial instruments deemed held for trading which do not qualify for hedge accounting are classified as a current asset or liability with any change in fair value recognised immediately in the income statement.
The Company uses cross-currency swaps for some of its foreign currency denominated private placement borrowings. The swaps either have the effect of (i) converting variable rate foreign currency borrowings into fixed rate sterling borrowings, (ii) converting fixed rate foreign currency borrowings into fixed rate sterling borrowings, or (iii) converting fixed rate foreign currency borrowings into floating rate sterling borrowings.
In January 2020, the IASB’s interest rate benchmark reform amendments to IFRS 7 ‘Financial Instrument (FI) disclosures’ and to IFRS 9 ‘FI recognition and measurement’ (the ‘Phase 1 amendments’) were endorsed by the EU. The amendments modified hedge accounting requirements to allow hedge accounting to continue for affected hedges during the period of uncertainty before the hedged items or hedging instruments are affected when current interest rate benchmarks are amended due to the ongoing interest rate benchmark reforms. The Group chose to early adopt the Phase 1 amendments, which were mandatory for annual reporting periods commencing after 1 January 2020, for its reporting period ended 31 March 2020. 
In August 2020, Phase 2 of interest rate benchmark reform was published, effective from 1 January 2021. The amendments address issues that arise from the implementation of the reforms including the replacement of one benchmark with an alternative one. The Phase 2 amendments provide additional temporary reliefs from applying specific IAS 39 Financial Instruments: Recognition and Measurement and IFRS 9: Financial Instruments hedge accounting requirements to hedging relationships directly affected by benchmark reform. 
During the year ended 31 March 2022, the Company continued with its interest rate benchmark reform transition project to assess and implement changes to systems, processes, risk and valuation models, as well as managing related tax and accounting implications. The Company’s risk exposure that is directly affected by the interest rate benchmark reform is its floating rate debt, linked to the UK’s benchmark rate GBP London Inter-Bank Offered Rate (GBP LIBOR) and a number of its foreign exchange contracts. The floating rate debt is fixed through cash flow hedges using interest rate swaps. Cross currency interest rate swaps are also used to hedge foreign 
2.	PRINCIPAL ACCOUNTING POLICIES (CONTINUED)
(n)	Financial instruments (continued)
currency risk within the Company’s financial instruments. The Company has made amendments to the contractual terms of LIBOR-referenced floating-rate debt, swaps and foreign exchange contracts, and updated 
the relevant hedge designations. During 2021/22 the Company completed the conversation of all its LIBOR based debt instruments to the Sterling Overnight Index Average (SONIA).</value>
      <format xmlns:d4p1="http://schemas.datacontract.org/2004/07/System.Xml.Linq" i:nil="true"/>
    </fact>
    <fact i:type="item">
      <id>XMETag_040fd74af2cb473eb22c3a5234752f24</id>
      <concept>{http://xbrl.frc.org.uk/fr/2021-01-01/core}TaxPolicy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tax charge for the year comprises current and deferred tax. Tax is recognised in the income statement, except to the extent that it relates to items recognised in the statement of comprehensive income or directly in equity. In this case the tax is also recognised in the statement of comprehensive income or directly in equity as appropriate.</value>
      <format xmlns:d4p1="http://schemas.datacontract.org/2004/07/System.Xml.Linq" i:nil="true"/>
    </fact>
    <fact i:type="item">
      <id>XMETag_d9219d7918564654b99ea17e1f775a5c</id>
      <concept>{http://xbrl.frc.org.uk/fr/2021-01-01/core}CurrentIncomeTaxPolicy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Current tax is calculated on the basis of tax laws enacted or substantively enacted at the balance sheet date. Management periodically evaluates tax items subject to interpretation and establishes provisions on individual tax items, where in the judgement of management, the position is uncertain.
The Company is part of the Pennon Group for tax purposes and accordingly may use the tax group relief provisions whereby current tax liabilities can be offset by current tax losses arising in other Group companies. Payments for group relief are included within the current tax disclosures.</value>
      <format xmlns:d4p1="http://schemas.datacontract.org/2004/07/System.Xml.Linq" i:nil="true"/>
    </fact>
    <fact i:type="item">
      <id>XMETag_413ec6b8124a416fbf623b1a2e50c6ad</id>
      <concept>{http://xbrl.frc.org.uk/fr/2021-01-01/core}DeferredTaxPolicy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Deferred tax is provided in full on temporary differences between the carrying amount of assets and liabilities in the financial statements and the tax base, except where they arise from initial recognition of an asset or liability in a transaction, other than a business combination, that at the time of the transaction affects neither accounting nor taxable profit or loss. Deferred tax assets are recognised only to the extent that it is probable that future taxable profits will be available against which the assets can be realised. Deferred tax is determined using the tax rates enacted or substantively enacted at the balance sheet date, and expected to apply when the deferred tax liability is settled or the deferred tax asset is realised.</value>
      <format xmlns:d4p1="http://schemas.datacontract.org/2004/07/System.Xml.Linq" i:nil="true"/>
    </fact>
    <fact i:type="item">
      <id>XMETag_345c5f57fb064685b574696f7d1c7661</id>
      <concept>{http://xbrl.frc.org.uk/fr/2021-01-01/core}ProvisionsPolicy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Provisions are made where there is a present legal or constructive obligation as a result of a past event and it is probable that there will be an outflow of economic benefits to settle this obligation and a reliable estimate of this amount can be made. Where the effect of the time value of money is material, the current amount of a provision is the present value of the expenditures expected to be required to settle obligations. The unwinding of the discount to present value is included as notional interest within finance costs.
Provisions for restructuring costs are recognised when a detailed formal plan for the restructuring has been communicated to affected parties.</value>
      <format xmlns:d4p1="http://schemas.datacontract.org/2004/07/System.Xml.Linq" i:nil="true"/>
    </fact>
    <fact i:type="item">
      <id>XMETag_75b03dc6e1144291b33db496c0aec96a</id>
      <concept>{http://xbrl.frc.org.uk/fr/2021-01-01/core}ContentOtherSpecificAccountingPolicy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{http://xbrl.frc.org.uk/fr/2021-01-01/core}X-OtherSpecificAccountingPolicyGroupingDimension</dimension>
          <member i:nil="true"/>
          <typedValue>2</typedValue>
          <contextContainer>Segment</contextContainer>
        </dimension>
      </dimensions>
      <transformGroup>United Kingdom</transformGroup>
      <hidden>false</hidden>
      <value>The Company is subject to litigation from time to time as a result of its activities. The Company establishes provisions in connection with litigation where it has a present legal or constructive obligation as a result of past events and where it is more likely than not an outflow of resources will be required to settle the obligation and the amount can be reliably estimated.
There are contingent liabilities that arise in the normal course of business which, if realised, are not expected to result in a material 
liability to the Company.</value>
      <format xmlns:d4p1="http://schemas.datacontract.org/2004/07/System.Xml.Linq" i:nil="true"/>
    </fact>
    <fact i:type="item">
      <id>XMETag_f8b042ff5f3f43a4947bab81e47f2575</id>
      <concept>{http://xbrl.frc.org.uk/fr/2021-01-01/core}TitleOtherSpecificAccountingPolicy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{http://xbrl.frc.org.uk/fr/2021-01-01/core}X-OtherSpecificAccountingPolicyGroupingDimension</dimension>
          <member i:nil="true"/>
          <typedValue>2</typedValue>
          <contextContainer>Segment</contextContainer>
        </dimension>
      </dimensions>
      <transformGroup>United Kingdom</transformGroup>
      <hidden>false</hidden>
      <value>Contingent liabilities</value>
      <format xmlns:d4p1="http://schemas.datacontract.org/2004/07/System.Xml.Linq" i:nil="true"/>
    </fact>
    <fact i:type="item">
      <id>XMETag_46a8a5e4555e43e3b56496026acc0d2c</id>
      <concept>{http://xbrl.frc.org.uk/fr/2021-01-01/core}DividendPolicy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Dividend distributions are recognised as a liability in the financial statements in the period in which the dividends are approved by the Company’s shareholder. Interim dividends are recognised when paid; final dividends when approved by the shareholder at the Annual General Meeting.</value>
      <format xmlns:d4p1="http://schemas.datacontract.org/2004/07/System.Xml.Linq" i:nil="true"/>
    </fact>
    <fact i:type="item">
      <id>XMETag_0a4b82f1a2d24190b4b9c62d20a9113d</id>
      <concept>{http://xbrl.frc.org.uk/fr/2021-01-01/core}EmployeeBenefitsPolicy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operates defined benefit and defined contribution pension schemes through its parent company.</value>
      <format xmlns:d4p1="http://schemas.datacontract.org/2004/07/System.Xml.Linq" i:nil="true"/>
    </fact>
    <fact i:type="item">
      <id>XMETag_5264f0ae7ff546ab9dd31239b43fea63</id>
      <concept>{http://xbrl.frc.org.uk/fr/2021-01-01/core}DefinedBenefitPensionsPolicy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liability recognised in the balance sheet in respect of defined benefit pension plans is the present value of the defined benefit obligation at the end of the year less the fair value of plan assets. If the value of the plans assets exceeds the present value of its obligations, the resulting surplus is only realised if the Company has an 
unconditional right to that surplus. 
PRINCIPAL ACCOUNTING POLICIES (CONTINUED)
(s)	Employee benefits (continued)
The defined benefit obligation is calculated by independent actuaries who advise on the selection of Directors’ best estimates, using the projected unit credit method. The present value of the defined benefit obligation is determined by discounting the estimated future cash outflows using interest rates of high quality corporate bonds, and that have terms to maturity approximating to the terms of the related pension obligation. The increase in liabilities of the Company’s defined benefit pension schemes, expected to arise from employee service in the year, is charged against operating profit.
Changes in benefits granted by the employer are recognised immediately as past service cost in the income statement.
Actuarial gains and losses arising from experience adjustments and changes in actuarial assumptions are charged or credited to equity in the statement of comprehensive income in the period to which they arise.</value>
      <format xmlns:d4p1="http://schemas.datacontract.org/2004/07/System.Xml.Linq" i:nil="true"/>
    </fact>
    <fact i:type="item">
      <id>XMETag_80f4196bf99b4c45b305bec3f428ae3b</id>
      <concept>{http://xbrl.frc.org.uk/fr/2021-01-01/core}DefinedContributionPensionsPolicy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Costs of the defined contribution pension scheme are charged to the income statement in the period in which they arise. The Company has no further payment obligations once the contributions have been paid.</value>
      <format xmlns:d4p1="http://schemas.datacontract.org/2004/07/System.Xml.Linq" i:nil="true"/>
    </fact>
    <fact i:type="item">
      <id>XMETag_420bbef0253b45dc93ec157d7d256d91</id>
      <concept>{http://xbrl.frc.org.uk/fr/2021-01-01/core}Share-basedPaymentsPolicy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participates in a number of equity-settled share-based payment plans for employees operated by its parent company Pennon Group plc. The fair value of the employee services acquired in exchange for the grant is recognised as an expense over the vesting period of the grant.
Fair values are calculated using an appropriate pricing model. Non market-based vesting conditions are adjusted for in assumptions as to the number of shares which are expected to vest.</value>
      <format xmlns:d4p1="http://schemas.datacontract.org/2004/07/System.Xml.Linq" i:nil="true"/>
    </fact>
    <fact i:type="item">
      <id>XMETag_7518d22902504397a441b5f193c4f75d</id>
      <concept>{http://xbrl.frc.org.uk/fr/2021-01-01/core}FinancialInstrumentsRecognitionMeasurementPolicy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{http://xbrl.frc.org.uk/fr/2021-01-01/core}FinancialInstrumentsClassesCategoriesDimension</dimension>
          <member>{http://xbrl.frc.org.uk/fr/2021-01-01/core}FinancialInstrumentsFairValue</member>
          <typedValue i:nil="true"/>
          <contextContainer>Segment</contextContainer>
        </dimension>
      </dimensions>
      <transformGroup>United Kingdom</transformGroup>
      <hidden>false</hidden>
      <value>The fair value of the interest rate swaps is based on the market price to transfer the asset or liability at the balance sheet date in an ordinary transaction between market participants.
The fair values of short-term deposits, loans and overdrafts with a maturity of less than one year are assumed to approximate to their book values. In the case of non-current bank loans and other loans, the fair value of financial liabilities for disclosure purposes is estimated by discounting the future contractual cash flows at the current market interest rate available to the Company for similar financial instruments.</value>
      <format xmlns:d4p1="http://schemas.datacontract.org/2004/07/System.Xml.Linq" i:nil="true"/>
    </fact>
    <fact i:type="item">
      <id>XMETag_c64bf130064b45338dfe852ae91f4526</id>
      <concept>{http://xbrl.frc.org.uk/fr/2021-01-01/core}TitleOtherSpecificAccountingPolicy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{http://xbrl.frc.org.uk/fr/2021-01-01/core}X-OtherSpecificAccountingPolicyGroupingDimension</dimension>
          <member i:nil="true"/>
          <typedValue>3</typedValue>
          <contextContainer>Segment</contextContainer>
        </dimension>
      </dimensions>
      <transformGroup>United Kingdom</transformGroup>
      <hidden>false</hidden>
      <value>Transfers of assets from customers</value>
      <format xmlns:d4p1="http://schemas.datacontract.org/2004/07/System.Xml.Linq" i:nil="true"/>
    </fact>
    <fact i:type="item">
      <id>XMETag_e9f72101af9647b4b46f3519ee68205f</id>
      <concept>{http://xbrl.frc.org.uk/fr/2021-01-01/core}TitleOtherSpecificAccountingPolicy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{http://xbrl.frc.org.uk/fr/2021-01-01/core}X-OtherSpecificAccountingPolicyGroupingDimension</dimension>
          <member i:nil="true"/>
          <typedValue>4</typedValue>
          <contextContainer>Segment</contextContainer>
        </dimension>
      </dimensions>
      <transformGroup>United Kingdom</transformGroup>
      <hidden>false</hidden>
      <value>Non-underlying items</value>
      <format xmlns:d4p1="http://schemas.datacontract.org/2004/07/System.Xml.Linq" i:nil="true"/>
    </fact>
    <fact i:type="item">
      <id>XMETag_2040faea41db4ffca19e9ad3dc04ce6c</id>
      <concept>{http://xbrl.frc.org.uk/fr/2021-01-01/core}ContentOtherSpecificAccountingPolicy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{http://xbrl.frc.org.uk/fr/2021-01-01/core}X-OtherSpecificAccountingPolicyGroupingDimension</dimension>
          <member i:nil="true"/>
          <typedValue>3</typedValue>
          <contextContainer>Segment</contextContainer>
        </dimension>
      </dimensions>
      <transformGroup>United Kingdom</transformGroup>
      <hidden>false</hidden>
      <value>Where an item of property, plant and equipment that must be used to connect customers to the network is received from a customer, or where cash is received from a customer for the acquisition or construction of such an item, that asset is recorded and measured on initial recognition at its fair value. The credit created by the recognition of the asset is recognised as a contract liability on the balance sheet. The contract liability reduces and revenue is recognised in the income statement as the performance obligations are satisfied. The period over which the credit is recognised depends upon the nature of the service provided, as determined by the agreement with the customer. Where the service provided is solely a connection to the network, the credit is recognised at the point of connection. If the agreement does not specify a period, revenue is recognised over a period no longer than the economic life of the transferred asset used to provide the ongoing service.
The fair value of assets on transfer from customers is determined using a cost valuation approach allowing for depreciation.</value>
      <format xmlns:d4p1="http://schemas.datacontract.org/2004/07/System.Xml.Linq" i:nil="true"/>
    </fact>
    <fact i:type="item">
      <id>XMETag_91e6860246c24a29b9dcb76f5fe74bf2</id>
      <concept>{http://xbrl.frc.org.uk/fr/2021-01-01/core}ContentOtherSpecificAccountingPolicy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{http://xbrl.frc.org.uk/fr/2021-01-01/core}X-OtherSpecificAccountingPolicyGroupingDimension</dimension>
          <member i:nil="true"/>
          <typedValue>4</typedValue>
          <contextContainer>Segment</contextContainer>
        </dimension>
      </dimensions>
      <transformGroup>United Kingdom</transformGroup>
      <hidden>false</hidden>
      <value>Non-underlying items are those that in the Directors’ view should be separately disclosed by virtue of their size, nature or incidence to enable a full understanding of the Company’s financial performance.</value>
      <format xmlns:d4p1="http://schemas.datacontract.org/2004/07/System.Xml.Linq" i:nil="true"/>
    </fact>
    <fact i:type="item">
      <id>XMETag_969ec3bbcf624c04a6908d488ca51bba</id>
      <concept>{http://xbrl.frc.org.uk/fr/2021-01-01/core}ForeignCurrencyTranslationOperationsPolicy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Transactions denominated in foreign currencies are translated at the exchange rate at the date of the transaction. Monetary assets and liabilities denominated in a foreign currency are translated at the closing balance sheet rate. 
The resulting gain or loss is recognised in the income statement.</value>
      <format xmlns:d4p1="http://schemas.datacontract.org/2004/07/System.Xml.Linq" i:nil="true"/>
    </fact>
    <fact i:type="item">
      <id>XMETag_2430b17bd53a484a974bb25ef79c62d1</id>
      <concept>{http://xbrl.frc.org.uk/fr/2021-01-01/core}GeneralDescriptionFinancialInstrumentRiskExposureManagementIncludingAnyConcentrationsRisk</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Company’s activities expose it to a variety of financial risks; market risk (interest rate risk), liquidity risk and credit risk. 
The Company receives treasury services from the treasury function of Pennon Group plc, the parent company, which seeks to ensure that sufficient funding is available to meet foreseeable needs and to maintain reasonable headroom for contingencies and manages inflation and interest rate risk.
The principal financial risks faced by the Company relate to interest rate and credit counterparty risk.
These risks and treasury operations are managed in accordance with policies established by the Board. Major transactions are individually approved by the Board. Treasury activities are reported to the Board and are subject to review by internal audit.
Financial instruments are used to raise finance, manage risk, optimise the use of surplus funds and manage overall interest rate performance. The Company does not engage in speculative activity.</value>
      <format xmlns:d4p1="http://schemas.datacontract.org/2004/07/System.Xml.Linq" i:nil="true"/>
    </fact>
    <fact i:type="item">
      <id>XMETag_48faf50bb8bc48a3a016957a0acaab79</id>
      <concept>{http://xbrl.frc.org.uk/fr/2021-01-01/core}GeneralDescriptionLiquidityRiskExposureManagementIncludingAnyConcentrationsRisk</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actively maintains a mixture of long-term and short-term committed facilities which are designed to ensure the Company has sufficient available funds for operations and planned expansions equivalent to at least one year’s forecast requirements at all times. Details of undrawn committed facilities and short-term uncommitted facilities are provided in note 22. 
The Company has entered into covenants with lenders. While terms vary, these typically provide for limits on gearing (primarily based on the business’s regulatory capital value and unregulated EBITDA) and interest cover. Existing covenants are not impacted by subsequent changes to accounting standards.</value>
      <format xmlns:d4p1="http://schemas.datacontract.org/2004/07/System.Xml.Linq" i:nil="true"/>
    </fact>
    <fact i:type="item">
      <id>XMETag_5a30147d755d4e64b8b36908b65865b1</id>
      <concept>{http://xbrl.frc.org.uk/fr/2021-01-01/core}FurtherFinancialLiabilityItemComponentTotalFinancialLiabilities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43.1</value>
      <format xmlns:d4p1="http://schemas.datacontract.org/2004/07/System.Xml.Linq" i:nil="true"/>
    </fact>
    <fact i:type="item">
      <id>XMETag_5d1cd467cc554ede98fe9f9111eabb6b</id>
      <concept>{http://xbrl.frc.org.uk/fr/2021-01-01/core}FurtherFinancialLiabilityItemComponentTotalFinancialLiabilities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46.5</value>
      <format xmlns:d4p1="http://schemas.datacontract.org/2004/07/System.Xml.Linq" i:nil="true"/>
    </fact>
    <fact i:type="item">
      <id>XMETag_8f91065d5c7a42228221586b125efabc</id>
      <concept>{http://xbrl.frc.org.uk/fr/2021-01-01/core}FurtherFinancialLiabilityItemComponentTotalFinancialLiabilities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172.6</value>
      <format xmlns:d4p1="http://schemas.datacontract.org/2004/07/System.Xml.Linq" i:nil="true"/>
    </fact>
    <fact i:type="item">
      <id>XMETag_d20cf5ea8c5d49159f800bceba446089</id>
      <concept>{http://xbrl.frc.org.uk/fr/2021-01-01/core}FurtherFinancialLiabilityItemComponentTotalFinancialLiabilities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1,021.9</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XMETag_ec116e3668aa4b0b98e96f7f99a0a948</id>
      <concept>{http://xbrl.frc.org.uk/fr/2021-01-01/core}FurtherFinancialLiabilityItemComponentTotalFinancialLiabilities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1,284.1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XMETag_3ef84fbe19fc4ec48a202f11e0b66b2b</id>
      <concept>{http://xbrl.frc.org.uk/fr/2021-01-01/core}InterestSimilarExpensePayable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35.3</value>
      <format xmlns:d4p1="http://schemas.datacontract.org/2004/07/System.Xml.Linq" i:nil="true"/>
    </fact>
    <fact i:type="item">
      <id>XMETag_c463be4ee6ec4659beef8536f0d6867f</id>
      <concept>{http://xbrl.frc.org.uk/fr/2021-01-01/core}InterestSimilarExpensePayable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36.0</value>
      <format xmlns:d4p1="http://schemas.datacontract.org/2004/07/System.Xml.Linq" i:nil="true"/>
    </fact>
    <fact i:type="item">
      <id>XMETag_801b9782946342ad84f3b18f68689dc7</id>
      <concept>{http://xbrl.frc.org.uk/fr/2021-01-01/core}InterestSimilarExpensePayable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32.1</value>
      <format xmlns:d4p1="http://schemas.datacontract.org/2004/07/System.Xml.Linq" i:nil="true"/>
    </fact>
    <fact i:type="item">
      <id>XMETag_96fd8bb18e024763984dc31b21cada00</id>
      <concept>{http://xbrl.frc.org.uk/fr/2021-01-01/core}InterestSimilarExpensePayable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390.7</value>
      <format xmlns:d4p1="http://schemas.datacontract.org/2004/07/System.Xml.Linq" i:nil="true"/>
    </fact>
    <fact i:type="item">
      <id>XMETag_490896535343447b9dffb4e792ed4091</id>
      <concept>{http://xbrl.frc.org.uk/fr/2021-01-01/core}InterestSimilarExpensePayable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494.1</value>
      <format xmlns:d4p1="http://schemas.datacontract.org/2004/07/System.Xml.Linq" i:nil="true"/>
    </fact>
    <fact i:type="item">
      <id>XMETag_1e2ae4bf6b7940719f7861f62baab7f2</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191.4</value>
      <format xmlns:d4p1="http://schemas.datacontract.org/2004/07/System.Xml.Linq" i:nil="true"/>
    </fact>
    <fact i:type="item">
      <id>XMETag_539510bd122e4301a290916fe304a8c7</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48.5</value>
      <format xmlns:d4p1="http://schemas.datacontract.org/2004/07/System.Xml.Linq" i:nil="true"/>
    </fact>
    <fact i:type="item">
      <id>XMETag_9f5e1168c49349bebb600c465cafae5c</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233.9</value>
      <format xmlns:d4p1="http://schemas.datacontract.org/2004/07/System.Xml.Linq" i:nil="true"/>
    </fact>
    <fact i:type="item">
      <id>XMETag_9d096a123d9249b8897fe4945504a4a3</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1,173.9</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XMETag_d5216e5a3fe24ca1a96b92f23e925809</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1,647.7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XMETag_c9b99bb2491a401bbc6be4a786fb10cc</id>
      <concept>{http://xbrl.frc.org.uk/fr/2021-01-01/core}TradeOtherPayablesFinancialLiability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156.3</value>
      <format xmlns:d4p1="http://schemas.datacontract.org/2004/07/System.Xml.Linq" i:nil="true"/>
    </fact>
    <fact i:type="item">
      <id>XMETag_64dbaa7ea21d4185b81779fa4bd2db00</id>
      <concept>{http://xbrl.frc.org.uk/fr/2021-01-01/core}TradeOtherPayablesFinancialLiability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XMETag_8ea45234e1d947b196234e5f6a8104a5</id>
      <concept>{http://xbrl.frc.org.uk/fr/2021-01-01/core}TradeOtherPayablesFinancialLiability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XMETag_468021cfe8d74cca8603e797aeeab91f</id>
      <concept>{http://xbrl.frc.org.uk/fr/2021-01-01/core}TradeOtherPayablesFinancialLiability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XMETag_0be18f78e8c94c9da9059cf6ede115ee</id>
      <concept>{http://xbrl.frc.org.uk/fr/2021-01-01/core}TradeOtherPayablesFinancialLiability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156.3</value>
      <format xmlns:d4p1="http://schemas.datacontract.org/2004/07/System.Xml.Linq" i:nil="true"/>
    </fact>
    <fact i:type="item">
      <id>XMETag_3441e33bdc884972bef0554cb6106d72</id>
      <concept>{http://xbrl.frc.org.uk/fr/2021-01-01/core}FurtherFinancialLiabilityItemComponentTotalFinancialLiabilities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40.1</value>
      <format xmlns:d4p1="http://schemas.datacontract.org/2004/07/System.Xml.Linq" i:nil="true"/>
    </fact>
    <fact i:type="item">
      <id>XMETag_cddeef5e9c2447709e6935c1062eb64b</id>
      <concept>{http://xbrl.frc.org.uk/fr/2021-01-01/core}FurtherFinancialLiabilityItemComponentTotalFinancialLiabilities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40.2</value>
      <format xmlns:d4p1="http://schemas.datacontract.org/2004/07/System.Xml.Linq" i:nil="true"/>
    </fact>
    <fact i:type="item">
      <id>XMETag_1c8fcbc11b0a4083aa2dd9373ace8d38</id>
      <concept>{http://xbrl.frc.org.uk/fr/2021-01-01/core}FurtherFinancialLiabilityItemComponentTotalFinancialLiabilities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135.8</value>
      <format xmlns:d4p1="http://schemas.datacontract.org/2004/07/System.Xml.Linq" i:nil="true"/>
    </fact>
    <fact i:type="item">
      <id>XMETag_9299298337cf4870a1497a72ec6a1082</id>
      <concept>{http://xbrl.frc.org.uk/fr/2021-01-01/core}FurtherFinancialLiabilityItemComponentTotalFinancialLiabilities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965.2</value>
      <format xmlns:d4p1="http://schemas.datacontract.org/2004/07/System.Xml.Linq" i:nil="true"/>
    </fact>
    <fact i:type="item">
      <id>XMETag_4ebf8041865049649e6e002d3c567f15</id>
      <concept>{http://xbrl.frc.org.uk/fr/2021-01-01/core}FurtherFinancialLiabilityItemComponentTotalFinancialLiabilities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1,181.3</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XMETag_688f435168134274b01fb46d0df7dc84</id>
      <concept>{http://xbrl.frc.org.uk/fr/2021-01-01/core}InterestSimilarExpensePayable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26.7</value>
      <format xmlns:d4p1="http://schemas.datacontract.org/2004/07/System.Xml.Linq" i:nil="true"/>
    </fact>
    <fact i:type="item">
      <id>XMETag_207ed436e9f14e68a7a173386699ff72</id>
      <concept>{http://xbrl.frc.org.uk/fr/2021-01-01/core}InterestSimilarExpensePayable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28.3</value>
      <format xmlns:d4p1="http://schemas.datacontract.org/2004/07/System.Xml.Linq" i:nil="true"/>
    </fact>
    <fact i:type="item">
      <id>XMETag_8978da92e0dd426dbc8d0ea2790b74f0</id>
      <concept>{http://xbrl.frc.org.uk/fr/2021-01-01/core}InterestSimilarExpensePayable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89.4</value>
      <format xmlns:d4p1="http://schemas.datacontract.org/2004/07/System.Xml.Linq" i:nil="true"/>
    </fact>
    <fact i:type="item">
      <id>XMETag_8d6152d30c364461894d0dbcb9e6afa9</id>
      <concept>{http://xbrl.frc.org.uk/fr/2021-01-01/core}InterestSimilarExpensePayable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595.7</value>
      <format xmlns:d4p1="http://schemas.datacontract.org/2004/07/System.Xml.Linq" i:nil="true"/>
    </fact>
    <fact i:type="item">
      <id>XMETag_3fb2fe021b7c464fb3408aa9de5db849</id>
      <concept>{http://xbrl.frc.org.uk/fr/2021-01-01/core}InterestSimilarExpensePayable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740.1</value>
      <format xmlns:d4p1="http://schemas.datacontract.org/2004/07/System.Xml.Linq" i:nil="true"/>
    </fact>
    <fact i:type="item">
      <id>XMETag_62fd15cbc1df4bda868ade4b2f813d9c</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55.3</value>
      <format xmlns:d4p1="http://schemas.datacontract.org/2004/07/System.Xml.Linq" i:nil="true"/>
    </fact>
    <fact i:type="item">
      <id>XMETag_85c52b60c6994506befa1d04968942e5</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37.8</value>
      <format xmlns:d4p1="http://schemas.datacontract.org/2004/07/System.Xml.Linq" i:nil="true"/>
    </fact>
    <fact i:type="item">
      <id>XMETag_30470b1452cb41f6844bd8fd977b5ccd</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267.3</value>
      <format xmlns:d4p1="http://schemas.datacontract.org/2004/07/System.Xml.Linq" i:nil="true"/>
    </fact>
    <fact i:type="item">
      <id>XMETag_a9d30174b3be459c941d5c87ac484e43</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1,543.1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XMETag_f78c8c9af08c4d26a7312fb3e40ce3ed</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1,903.5</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XMETag_bd78b95b57704e1eb7e92173c6104eb1</id>
      <concept>{http://xbrl.frc.org.uk/fr/2021-01-01/core}TradeOtherPayablesFinancialLiability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159.1</value>
      <format xmlns:d4p1="http://schemas.datacontract.org/2004/07/System.Xml.Linq" i:nil="true"/>
    </fact>
    <fact i:type="item">
      <id>XMETag_8a6cdb3a63a14f028338b10c90ac6ecb</id>
      <concept>{http://xbrl.frc.org.uk/fr/2021-01-01/core}TradeOtherPayablesFinancialLiability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XMETag_cdc609d64ce44fdfa6e67549913f9e86</id>
      <concept>{http://xbrl.frc.org.uk/fr/2021-01-01/core}TradeOtherPayablesFinancialLiability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XMETag_dc4028d127b34d9e86c75700ad8b48c1</id>
      <concept>{http://xbrl.frc.org.uk/fr/2021-01-01/core}TradeOtherPayablesFinancialLiability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XMETag_a0667206d4d44bff814c5bdf494ea2bf</id>
      <concept>{http://xbrl.frc.org.uk/fr/2021-01-01/core}TradeOtherPayablesFinancialLiability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159.1</value>
      <format xmlns:d4p1="http://schemas.datacontract.org/2004/07/System.Xml.Linq" i:nil="true"/>
    </fact>
    <fact i:type="item">
      <id>XMETag_8bacc57c20ef4388ba159146d7d7b829</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9.3</value>
      <format xmlns:d4p1="http://schemas.datacontract.org/2004/07/System.Xml.Linq" i:nil="true"/>
    </fact>
    <fact i:type="item">
      <id>XMETag_364232f1f69148879589dfb68974fb7e</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6.7</value>
      <format xmlns:d4p1="http://schemas.datacontract.org/2004/07/System.Xml.Linq" i:nil="true"/>
    </fact>
    <fact i:type="item">
      <id>XMETag_694d1f0e7ff4483d9ead9e1f7d36356c</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3.9</value>
      <format xmlns:d4p1="http://schemas.datacontract.org/2004/07/System.Xml.Linq" i:nil="true"/>
    </fact>
    <fact i:type="item">
      <id>XMETag_666d9e7b9eab420491ffc2ad1d521dcf</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{http://xbrl.frc.org.uk/fr/2021-01-01/core}FinancialInstrumentValueTypeDimension</dimension>
          <member>{http://xbrl.frc.org.uk/fr/2021-01-01/core}ContractualUndiscountedValue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17.5</value>
      <format xmlns:d4p1="http://schemas.datacontract.org/2004/07/System.Xml.Linq" i:nil="true"/>
    </fact>
    <fact i:type="item">
      <id>XMETag_629c96c268a04135ba4606436e150ce6</id>
      <concept>{http://xbrl.frc.org.uk/fr/2021-01-01/core}GeneralDescriptionMarketRiskExposureManagementIncludingAnyConcentrationsRisk</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{http://xbrl.frc.org.uk/fr/2021-01-01/core}MarketRiskTypeDimension</dimension>
          <member>{http://xbrl.frc.org.uk/fr/2021-01-01/core}MarketRisk</member>
          <typedValue i:nil="true"/>
          <contextContainer>Segment</contextContainer>
        </dimension>
      </dimensions>
      <transformGroup>United Kingdom</transformGroup>
      <hidden>false</hidden>
      <value>The Company has both interest bearing assets and interest bearing liabilities. The Company has a policy of maintaining, after the effect of interest rate swaps, at least 60% of interest bearing liabilities at fixed rates. At the year end, 59% (31 March 2021: 63%) of net borrowings were at fixed rates and 26% (31 March 2021: 25%) were index-linked. The Company uses a combination of fixed rate and index-linked borrowings and fixed rate interest swaps as cash flow hedges of future variable interest payments to achieve this policy. The notional principal amounts of the interest rate swaps are used to determine settlement under those swaps and are not, therefore, an exposure for the Company. These instruments are analysed in more detail in note 19.
The interest rate for index-linked debt is based upon a CPI or an RPI measure provides an approximation to the index used in determining the amount of income from customers.
During 2021/22 the Company completed the conversion of all its LIBOR based debt instruments to SONIA. Below are the details of the hedging instruments and hedged items which are now based on SONIA rather than LIBOR rates, by hedge type. The terms of the hedged items listed match those of the corresponding hedging instruments.</value>
      <format xmlns:d4p1="http://schemas.datacontract.org/2004/07/System.Xml.Linq" i:nil="true"/>
    </fact>
    <fact i:type="item">
      <id>XMETag_6b15b6b134f44eb3a1b044d88ba04c3a</id>
      <concept>{http://xbrl.frc.org.uk/fr/2021-01-01/core}GeneralDescriptionCreditRiskExposureManagementIncludingAnyConcentrationsRisk</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Credit counterparty risk arises from cash and cash deposits, derivative financial instruments and exposure to customers, including outstanding receivables. Further information on the credit risk relating to trade and other receivables is given in note 18.
Counterparty risk arises from the investment of surplus funds and from the use of derivative financial instruments. The Board has agreed a policy for managing such risk, which is controlled through credit limits, counterparty approvals, and rigorous monitoring procedures. 
The Company has no other significant concentration of credit risk. Surplus funds of the Company are usually placed in short-term fixed interest deposits or the overnight money markets. Deposit counterparties must meet a board approved minimum criteria based on their short-term credit rating and therefore be of good credit quality,
The Company’s objectives when managing capital are to safeguard the Company’s ability to continue as a going concern in order to provide returns for shareholders and benefits for other stakeholders and to maintain an optimal capital structure to minimise the cost of capital.
The Company’s policy is to have a minimum of 12 months pre-funding of projected capital expenditure. At 31 March 2022 the Company had cash and committed facilities excluding restricted funds of £193 million (31 March 2021: £389 million), meeting this objective.
The Company monitors capital on the basis of the gearing ratio, which is calculated as net borrowings divided by total capital. Net borrowings is analysed in note 32 and is calculated as total borrowings less cash and cash deposits. Total capital is calculated as equity plus net borrowings.</value>
      <format xmlns:d4p1="http://schemas.datacontract.org/2004/07/System.Xml.Linq" i:nil="true"/>
    </fact>
    <fact i:type="item">
      <id>XMETag_d4c9c658a81f4950ad052dab5a80664c</id>
      <concept>{http://xbrl.frc.org.uk/fr/2021-01-01/core}NetDebtFunds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2,305.2</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XMETag_dff2e25881b84a26ad70761f1a918d22</id>
      <concept>{http://xbrl.frc.org.uk/fr/2021-01-01/core}NetDebtFunds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2,273.6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XMETag_670488a473d549b3822c48beee3dd2e6</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574.5</value>
      <format xmlns:d4p1="http://schemas.datacontract.org/2004/07/System.Xml.Linq" i:nil="true"/>
    </fact>
    <fact i:type="item">
      <id>XMETag_3123a91a0e944e45b893380dc7d195d9</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527.1</value>
      <format xmlns:d4p1="http://schemas.datacontract.org/2004/07/System.Xml.Linq" i:nil="true"/>
    </fact>
    <fact i:type="item">
      <id>XMETag_6c07df544fba43a8aebd3470fc84a050</id>
      <concept>{http://xbrl.frc.org.uk/fr/2021-01-01/core}TotalCapital</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2,879.7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XMETag_0456657dcbe0483dad4391ded9f8ac8f</id>
      <concept>{http://xbrl.frc.org.uk/fr/2021-01-01/core}TotalCapital</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2,800.7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XMETag_ba55af903c3949d7b483c1003a4f9613</id>
      <concept>{http://xbrl.frc.org.uk/fr/2021-01-01/core}NetDebtFunds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2,305.2</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XMETag_49b436424ce645c3b200cf3a1ffc57f3</id>
      <concept>{http://xbrl.frc.org.uk/fr/2021-01-01/core}NetDebtFunds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2,273.6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XMETag_3949366c99e542339225ca2173a292bb</id>
      <concept>{http://xbrl.frc.org.uk/fr/2021-01-01/core}GeneralDescriptionFairValueHierarchy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uses the following hierarchy for determining the fair value of financial instruments by valuation technique:
quoted prices (unadjusted) in active markets for identical assets or liabilities (level 1)
inputs other than quoted prices included within level 1 that are observable for the asset or liability, either directly (that is, as prices) or indirectly (that is, derived from prices) (level 2)
inputs for the asset or liability that are not based on observable market data (that is, unobservable inputs) (level 3).
The Company’s financial instruments are valued principally using level 2 measures as analysed in note 19. 
The fair value of financial instruments traded in active markets (such as trading and available-for-sale securities) is based on quoted market prices at the balance sheet date. The quoted market price used for financial assets held by the Company is the current bid price. 
The fair value of financial instruments that are not traded in an active market (for example, over-the-counter derivatives) is determined by using valuation techniques. A variety of methods and assumptions are used based on market conditions existing at each balance sheet date. Quoted market prices or dealer quotes for similar instruments are used for long-term debt. Other techniques, such as estimated discounted cash flows, are used to determine fair value for the remaining financial instruments. The fair value of interest rate swaps is calculated as the present value of the estimated future cash flows. 
The carrying value less impairment provision of trade receivables and payables are assumed to approximate their fair values.</value>
      <format xmlns:d4p1="http://schemas.datacontract.org/2004/07/System.Xml.Linq" i:nil="true"/>
    </fact>
    <fact i:type="item">
      <id>XMETag_b31001948f2e42d583d76db5720e5e44</id>
      <concept>{http://xbrl.frc.org.uk/fr/2021-01-01/core}GeneralDescriptionCriticalEstimatesJudgements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Company’s principal accounting policies are set out in note 2. Management is required to exercise significant judgement and make use of estimates and assumptions in the application of these policies. Estimates are based on factors including historical experience and expectations of future events that management believe to be reasonable.</value>
      <format xmlns:d4p1="http://schemas.datacontract.org/2004/07/System.Xml.Linq" i:nil="true"/>
    </fact>
    <fact i:type="item">
      <id>XMETag_5f28783b5c7743bcb2cfab4c5bcdc1ba</id>
      <concept>{http://xbrl.frc.org.uk/fr/2021-01-01/core}ProvisionsCriticalEstimatesJudgements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has a material level of exposure to collection of trade receivables. Provisions in respect of these balances are calculated based on assumptions of historical credit loss experience, adjusted for forward-looking factors which by their nature are subject to uncertainty. Analysis of actual recovery compared with provisioning levels have not, to date, resulted in material variances. 
Under its regular review procedures, at the balance sheet date, the Company applies a simplified approach in calculating expected credit losses (ECLs) for trade receivables and contract assets. Therefore, the Company does not track changes in credit risk but instead recognises a loss allowance based on lifetime ECLs at each reporting date. South West Water has established a provision matrix that is based on its historical credit loss experience, adjusted for forward-looking factors specific to the receivables and the economic environment.
In the year ended 31 March 2020 an additional assessment of ECLs was focused on the potential impact from the COVID-19 pandemic. The COVID-19 pandemic continues to impact on society and the economy around the world. Pressure on the UK economy continues from the COVID-19 pandemic with global commodity shortages pushing up prices leading to higher inflation which in turn impacts on the ability of households to pay their bills in what is being termed the ‘cost of living crisis’. This additional pressure on households in the UK alongside the continued impacts of the pandemic are still being felt and as such the specific COVID-19 provision has now been included as part of the provision matrix calculation.
The actual level of debt collected may differ from the estimated levels of recovery. As at 31 March 2022 the Company’s current trade receivables were £227.5 million (2021: £216.2 million), against which £84.5 million (2021: £88.4 million) had been provided for ECLs (note 18).</value>
      <format xmlns:d4p1="http://schemas.datacontract.org/2004/07/System.Xml.Linq" i:nil="true"/>
    </fact>
    <fact i:type="item">
      <id>XMETag_a14d6ac5f4d845c1ad997657d39d81e9</id>
      <concept>{http://xbrl.frc.org.uk/fr/2021-01-01/core}Post-employmentBenefitsCriticalEstimatesJudgements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operates defined benefit pension schemes, through its parent company, for which actuarial valuations are carried out as determined by the trustees at intervals of not more than three years. The most recent triennial valuation of the main scheme was as at 31 March 2019, the outcome of which is summarised in note 24.
The pension cost and liabilities under IAS 19 are assessed in accordance with Directors’ best estimates using the advice of an independent qualified actuary and assumptions in the latest actuarial valuation. The assumptions are based on member data supplied to the actuary and market observations for interest rates and inflation, supplemented by discussions between the actuary and management. The mortality assumption uses a scheme-specific calculation based on CMI 2019 actuarial tables with an allowance for future longevity improvement. The principal assumptions used to measure schemes’ liabilities, sensitivities to changes in those assumptions and future funding obligations are set out in note 24.</value>
      <format xmlns:d4p1="http://schemas.datacontract.org/2004/07/System.Xml.Linq" i:nil="true"/>
    </fact>
    <fact i:type="item">
      <id>XMETag_cf954002432743dbbbc0478fa70ec73f</id>
      <concept>{http://xbrl.frc.org.uk/fr/2021-01-01/core}TitleOtherSpecificCriticalEstimateJudgement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{http://xbrl.frc.org.uk/fr/2021-01-01/core}X-OtherSpecificCriticalEstimateJudgementGroupingDimension</dimension>
          <member i:nil="true"/>
          <typedValue>1</typedValue>
          <contextContainer>Segment</contextContainer>
        </dimension>
      </dimensions>
      <transformGroup>United Kingdom</transformGroup>
      <hidden>false</hidden>
      <value>Non-underlying items</value>
      <format xmlns:d4p1="http://schemas.datacontract.org/2004/07/System.Xml.Linq" i:nil="true"/>
    </fact>
    <fact i:type="item">
      <id>XMETag_bd154dddb5bc4ae9a78fc05cd5b4a3a4</id>
      <concept>{http://xbrl.frc.org.uk/fr/2021-01-01/core}ContentOtherSpecificCriticalEstimateJudgement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{http://xbrl.frc.org.uk/fr/2021-01-01/core}X-OtherSpecificCriticalEstimateJudgementGroupingDimension</dimension>
          <member i:nil="true"/>
          <typedValue>1</typedValue>
          <contextContainer>Segment</contextContainer>
        </dimension>
      </dimensions>
      <transformGroup>United Kingdom</transformGroup>
      <hidden>false</hidden>
      <value>In establishing which items are disclosed separately as non-underlying, to enable a full understanding of the Company’s financial performance, the Directors exercise their judgement in assessing the size, nature or incidence of specific items. See note 6 for further details.</value>
      <format xmlns:d4p1="http://schemas.datacontract.org/2004/07/System.Xml.Linq" i:nil="true"/>
    </fact>
    <fact i:type="item">
      <id>XMETag_2850b020f3dc4384bb3836867128a716</id>
      <concept>{http://xbrl.frc.org.uk/fr/2021-01-01/core}TitleOtherSpecificCriticalEstimateJudgement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{http://xbrl.frc.org.uk/fr/2021-01-01/core}X-OtherSpecificCriticalEstimateJudgementGroupingDimension</dimension>
          <member i:nil="true"/>
          <typedValue>2</typedValue>
          <contextContainer>Segment</contextContainer>
        </dimension>
      </dimensions>
      <transformGroup>United Kingdom</transformGroup>
      <hidden>false</hidden>
      <value>Other estimates</value>
      <format xmlns:d4p1="http://schemas.datacontract.org/2004/07/System.Xml.Linq" i:nil="true"/>
    </fact>
    <fact i:type="item">
      <id>XMETag_55874f481ceb4f4c9cd4a1501cc783e2</id>
      <concept>{http://xbrl.frc.org.uk/fr/2021-01-01/core}ContentOtherSpecificCriticalEstimateJudgement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{http://xbrl.frc.org.uk/fr/2021-01-01/core}X-OtherSpecificCriticalEstimateJudgementGroupingDimension</dimension>
          <member i:nil="true"/>
          <typedValue>2</typedValue>
          <contextContainer>Segment</contextContainer>
        </dimension>
      </dimensions>
      <transformGroup>United Kingdom</transformGroup>
      <hidden>false</hidden>
      <value>During the year, management reassessed the critical estimates and resolved that the level of estimation for revenue recognition of accrued revenue is still not considered critical as the estimates are largely calculated on a systematic basis and have not, to date, resulted in a material adjustment within the following 12-month period. However, management consider the total level of estimation of accrued revenue relating to water, waste and sale of electricity to be material and highlight this as a material other estimate.
The property, plant and equipment of the Company relates primarily to infrastructure assets (being water mains and sewers, impounding and pumped raw water storage reservoirs, dams, pipelines and sea outfalls) as well as other assets which include fixed plant and operational properties. The useful economic lives of these types of asset vary from 20 to 200 years. Asset lives are reviewed annually and amended where changes are made to assumptions relating to the expected life of the asset from judgement around usage and performance experience, technological advancement and other relevant factors. Overall assessments on the impact of climate change on long life assets have been completed and will be continuously updated for the latest available information. The most recent assessment of the impact on climate change, which includes the potential to mitigate adverse impacts, has not identified any specific impact on the useful economic lives of long life assets. Environmental factors and climate change form part of the planning process for new capital expenditure. The depreciation charge is sensitive to amendments of the useful economic lives of these assets, a significant change in the estimated life of these assets could have a material impact on depreciation, this is therefore noted as a material other estimate.</value>
      <format xmlns:d4p1="http://schemas.datacontract.org/2004/07/System.Xml.Linq" i:nil="true"/>
    </fact>
    <fact i:type="item">
      <id>XMETag_edacf6a463e04f32869709954d8c3396</id>
      <concept>{http://xbrl.frc.org.uk/fr/2021-01-01/core}FurtherRevenueItemComponentTotalRevenue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267.0</value>
      <format xmlns:d4p1="http://schemas.datacontract.org/2004/07/System.Xml.Linq" i:nil="true"/>
    </fact>
    <fact i:type="item">
      <id>XMETag_7fb9568dcf6e488daf89f025537105d7</id>
      <concept>{http://xbrl.frc.org.uk/fr/2021-01-01/core}FurtherRevenueItemComponentTotalRevenue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257.0</value>
      <format xmlns:d4p1="http://schemas.datacontract.org/2004/07/System.Xml.Linq" i:nil="true"/>
    </fact>
    <fact i:type="item">
      <id>XMETag_3bcd6e9fc54d4be1974d839281cadfa3</id>
      <concept>{http://xbrl.frc.org.uk/fr/2021-01-01/core}FurtherRevenueItemComponentTotalRevenue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281.0</value>
      <format xmlns:d4p1="http://schemas.datacontract.org/2004/07/System.Xml.Linq" i:nil="true"/>
    </fact>
    <fact i:type="item">
      <id>XMETag_1ce1984773eb415b9c55e7e68a8a5242</id>
      <concept>{http://xbrl.frc.org.uk/fr/2021-01-01/core}FurtherRevenueItemComponentTotalRevenue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261.4</value>
      <format xmlns:d4p1="http://schemas.datacontract.org/2004/07/System.Xml.Linq" i:nil="true"/>
    </fact>
    <fact i:type="item">
      <id>XMETag_90e3d2662b8d4bfb816f62897ff9a241</id>
      <concept>{http://xbrl.frc.org.uk/fr/2021-01-01/core}OtherRevenue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36.6</value>
      <format xmlns:d4p1="http://schemas.datacontract.org/2004/07/System.Xml.Linq" i:nil="true"/>
    </fact>
    <fact i:type="item">
      <id>XMETag_8204bb9d840b4ce6b3f611fa5b631ef2</id>
      <concept>{http://xbrl.frc.org.uk/fr/2021-01-01/core}OtherRevenue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25.4</value>
      <format xmlns:d4p1="http://schemas.datacontract.org/2004/07/System.Xml.Linq" i:nil="true"/>
    </fact>
    <fact i:type="item">
      <id>XMETag_3e023a9e2a15477ba579f4e7674baa69</id>
      <concept>{http://xbrl.frc.org.uk/fr/2021-01-01/core}TurnoverRevenue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584.6</value>
      <format xmlns:d4p1="http://schemas.datacontract.org/2004/07/System.Xml.Linq" i:nil="true"/>
    </fact>
    <fact i:type="item">
      <id>XMETag_ac77d1054d4e4207b272565632844dc0</id>
      <concept>{http://xbrl.frc.org.uk/fr/2021-01-01/core}TurnoverRevenue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543.8</value>
      <format xmlns:d4p1="http://schemas.datacontract.org/2004/07/System.Xml.Linq" i:nil="true"/>
    </fact>
    <fact i:type="item">
      <id>XMETag_b09cfa393f0d46c09cb6c16c40ee9b50</id>
      <concept>{http://xbrl.frc.org.uk/fr/2021-01-01/core}TurnoverRevenue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20.5</value>
      <format xmlns:d4p1="http://schemas.datacontract.org/2004/07/System.Xml.Linq" i:nil="true"/>
    </fact>
    <fact i:type="item">
      <id>XMETag_cd4259852a31484ba5106320fc89e886</id>
      <concept>{http://xbrl.frc.org.uk/fr/2021-01-01/core}FurtherOperatingExpenseItemComponentTotalOperatingExpenses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XMETag_61ffee07d0a34db9b3561fdb3f486d33</id>
      <concept>{http://xbrl.frc.org.uk/fr/2021-01-01/core}FurtherOperatingExpenseItemComponentTotalOperatingExpenses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3.5</value>
      <format xmlns:d4p1="http://schemas.datacontract.org/2004/07/System.Xml.Linq" i:nil="true"/>
    </fact>
    <fact i:type="item">
      <id>XMETag_8d913bc7931a49e6a175c1f602a36aa0</id>
      <concept>{http://xbrl.frc.org.uk/fr/2021-01-01/core}ProfitLossBeforeTax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2.0</value>
      <format xmlns:d4p1="http://schemas.datacontract.org/2004/07/System.Xml.Linq" i:nil="true"/>
    </fact>
    <fact i:type="item">
      <id>XMETag_533d41322f76409fae958f211b3261df</id>
      <concept>{http://xbrl.frc.org.uk/fr/2021-01-01/core}ProfitLossBeforeTax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24.0</value>
      <format xmlns:d4p1="http://schemas.datacontract.org/2004/07/System.Xml.Linq" i:nil="true"/>
    </fact>
    <fact i:type="item">
      <id>XMETag_c1d3bea8e55644d39685b000dee475f5</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100.3</value>
      <format xmlns:d4p1="http://schemas.datacontract.org/2004/07/System.Xml.Linq" i:nil="true"/>
    </fact>
    <fact i:type="item">
      <id>XMETag_d423f853fc094d86af240c2c3ada78f6</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19.4</value>
      <format xmlns:d4p1="http://schemas.datacontract.org/2004/07/System.Xml.Linq" i:nil="true"/>
    </fact>
    <fact i:type="item">
      <id>XMETag_afd2bc54c11e4482b8f60540061fe44d</id>
      <concept>{http://xbrl.frc.org.uk/fr/2021-01-01/core}TurnoverRevenue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XMETag_9447efbe91f94debb0d8264c705d6392</id>
      <concept>{http://xbrl.frc.org.uk/fr/2021-01-01/core}RestructuringCosts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2.0</value>
      <format xmlns:d4p1="http://schemas.datacontract.org/2004/07/System.Xml.Linq" i:nil="true"/>
    </fact>
    <fact i:type="item">
      <id>XMETag_4ffdfabd1a3a40ad81e97a2cc7e0e6ff</id>
      <concept>{http://xbrl.frc.org.uk/fr/2021-01-01/core}RestructuringCosts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XMETag_72d7a0666d5945a9a1f89247523f3f7b</id>
      <concept>{http://xbrl.frc.org.uk/fr/2021-01-01/core}TotalCurrentTaxExpenseCredit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(0.4)</value>
      <format xmlns:d4p1="http://schemas.datacontract.org/2004/07/System.Xml.Linq" i:nil="true"/>
    </fact>
    <fact i:type="item">
      <id>XMETag_ee1e73c674a44ba9bbe1a66d0973a873</id>
      <concept>{http://xbrl.frc.org.uk/fr/2021-01-01/core}TotalCurrentTaxExpenseCredit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(4.6)</value>
      <format xmlns:d4p1="http://schemas.datacontract.org/2004/07/System.Xml.Linq" i:nil="true"/>
    </fact>
    <fact i:type="item">
      <id>XMETag_29e526d5117a43989914f30cf51a3ccd</id>
      <concept>{http://xbrl.frc.org.uk/fr/2021-01-01/core}DeferredTaxExpenseCreditRelatingToChangesInTaxRatesOrLaws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98.7</value>
      <format xmlns:d4p1="http://schemas.datacontract.org/2004/07/System.Xml.Linq" i:nil="true"/>
    </fact>
    <fact i:type="item">
      <id>XMETag_ba72a3fb25ae4acfb3556984826f70b4</id>
      <concept>{http://xbrl.frc.org.uk/fr/2021-01-01/core}DeferredTaxExpenseCreditRelatingToChangesInTaxRatesOrLaws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XMETag_e80551887a094d4b9c55c82b24e9562e</id>
      <concept>{http://xbrl.frc.org.uk/fr/2021-01-01/core}ExceptionalItemsFree-textComment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In September 2020, the Company offered its WaterShare+ scheme to its customers whereby customers could choose to accept a credit on their bill or take shares in Pennon Group plc. The value of the rebate equates to £20 per customer and the total value of £20.5 million was been recognised in full as a non-underlying reduction to revenue in the prior financial year. £19.3 million of the WaterShare+ credits were taken as credits on customers’ bills, with the balance of £1.2 million being taken as shares in Pennon Group Plc. This item is non-underlying in nature given its individual size and its non-recurring nature.
NON-UNDERLYING ITEMS (CONTINUED)
Pennon Group completed its employee consultation to modernise its ongoing pension arrangements.  The outcome of the consultation resulted in a decision to close Pennon’s principal defined benefit pension scheme to future accrual with effect from 30 June 2021.  This resulted in a curtailment charge for South West Water of £3.5 million in the prior financial year.
During the year a one-off charge of £2.0m was made to the restructuring provision reflecting announced reorganisation across the Company.
Following the Chancellor’s budget on in March 20212, the UK headline corporation tax rate will remain at 19% until April 2023 and thereafter is will increase to 25%. These changes were substantively enacted on 24 May 2021, as a result any deferred tax assets and liabilities have been remeasured to the rate at which they are expected to crystallise. These changes are considered non-underlying due to it arising from a material legislative change, and its treatment is consistent with that applied in relation to previous corporation tax rate changes.</value>
      <format xmlns:d4p1="http://schemas.datacontract.org/2004/07/System.Xml.Linq" i:nil="true"/>
    </fact>
    <fact i:type="item">
      <id>XMETag_fdc77e5e2bdb4aa1b50a14fc9120e36d</id>
      <concept>{http://xbrl.frc.org.uk/fr/2021-01-01/core}StaffCostsEmployeeBenefitsExpense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56.9</value>
      <format xmlns:d4p1="http://schemas.datacontract.org/2004/07/System.Xml.Linq" i:nil="true"/>
    </fact>
    <fact i:type="item">
      <id>XMETag_701ce0da7bc547b798443168b2f86d8e</id>
      <concept>{http://xbrl.frc.org.uk/fr/2021-01-01/core}StaffCostsEmployeeBenefitsExpense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53.9</value>
      <format xmlns:d4p1="http://schemas.datacontract.org/2004/07/System.Xml.Linq" i:nil="true"/>
    </fact>
    <fact i:type="item">
      <id>XMETag_eea37573d9054234b860cef3dc1ad7a2</id>
      <concept>{http://xbrl.frc.org.uk/fr/2021-01-01/core}RawMaterialsConsumablesUsed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20.5</value>
      <format xmlns:d4p1="http://schemas.datacontract.org/2004/07/System.Xml.Linq" i:nil="true"/>
    </fact>
    <fact i:type="item">
      <id>XMETag_38e29b7a89da47e2ab8cce05183ee237</id>
      <concept>{http://xbrl.frc.org.uk/fr/2021-01-01/core}RawMaterialsConsumablesUsed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18.1</value>
      <format xmlns:d4p1="http://schemas.datacontract.org/2004/07/System.Xml.Linq" i:nil="true"/>
    </fact>
    <fact i:type="item">
      <id>XMETag_ca76b12a183f4f2092179164a5beadee</id>
      <concept>{http://xbrl.frc.org.uk/fr/2021-01-01/core}GainLossOnDisposalsPropertyPlantEquipment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value>
      <format xmlns:d4p1="http://schemas.datacontract.org/2004/07/System.Xml.Linq" i:nil="true"/>
    </fact>
    <fact i:type="item">
      <id>XMETag_c37b32074e12426cafe8e9003e6bffdd</id>
      <concept>{http://xbrl.frc.org.uk/fr/2021-01-01/core}GainLossOnDisposalsPropertyPlantEquipment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(0.2)</value>
      <format xmlns:d4p1="http://schemas.datacontract.org/2004/07/System.Xml.Linq" i:nil="true"/>
    </fact>
    <fact i:type="item">
      <id>XMETag_9056fc16a9aa46c4a871301feb449df0</id>
      <concept>{http://xbrl.frc.org.uk/fr/2021-01-01/core}LeaseExpenseLessee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1.6</value>
      <format xmlns:d4p1="http://schemas.datacontract.org/2004/07/System.Xml.Linq" i:nil="true"/>
    </fact>
    <fact i:type="item">
      <id>XMETag_c40b2308e210483084735b29f3f07f3e</id>
      <concept>{http://xbrl.frc.org.uk/fr/2021-01-01/core}LeaseExpenseLessee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1.4</value>
      <format xmlns:d4p1="http://schemas.datacontract.org/2004/07/System.Xml.Linq" i:nil="true"/>
    </fact>
    <fact i:type="item">
      <id>XMETag_56d377b1384b4605a34045418ac8fb1c</id>
      <concept>{http://xbrl.frc.org.uk/fr/2021-01-01/core}ResearchDevelopmentExpenseRecognisedInProfitOrLoss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XMETag_73b4c76a030b4fa68c37e44650ccbca7</id>
      <concept>{http://xbrl.frc.org.uk/fr/2021-01-01/core}ResearchDevelopmentExpenseRecognisedInProfitOrLoss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0.1</value>
      <format xmlns:d4p1="http://schemas.datacontract.org/2004/07/System.Xml.Linq" i:nil="true"/>
    </fact>
    <fact i:type="item">
      <id>XMETag_129c90bad5b84590aa66cfd1abf12d0c</id>
      <concept>{http://xbrl.frc.org.uk/fr/2021-01-01/core}FurtherOperatingExpenseItemComponentTotalOperatingExpenses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3.1</value>
      <format xmlns:d4p1="http://schemas.datacontract.org/2004/07/System.Xml.Linq" i:nil="true"/>
    </fact>
    <fact i:type="item">
      <id>XMETag_9554e9fc7e384153908b2f51f369c01f</id>
      <concept>{http://xbrl.frc.org.uk/fr/2021-01-01/core}FurtherOperatingExpenseItemComponentTotalOperatingExpenses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2.8</value>
      <format xmlns:d4p1="http://schemas.datacontract.org/2004/07/System.Xml.Linq" i:nil="true"/>
    </fact>
    <fact i:type="item">
      <id>XMETag_9ceac4023786417580c20fa02f5cfc51</id>
      <concept>{http://xbrl.frc.org.uk/fr/2021-01-01/core}DepreciationExpensePropertyPlantEquipment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{http://xbrl.frc.org.uk/fr/2021-01-01/core}OwnershipAssetsDimension</dimension>
          <member>{http://xbrl.frc.org.uk/fr/2021-01-01/core}OwnedAssets</member>
          <typedValue i:nil="true"/>
          <contextContainer>Segment</contextContainer>
        </dimension>
      </dimensions>
      <transformGroup>United Kingdom</transformGroup>
      <hidden>false</hidden>
      <value>79.7</value>
      <format xmlns:d4p1="http://schemas.datacontract.org/2004/07/System.Xml.Linq" i:nil="true"/>
    </fact>
    <fact i:type="item">
      <id>XMETag_88ebc38506aa4d0fac73932ff3adfb82</id>
      <concept>{http://xbrl.frc.org.uk/fr/2021-01-01/core}DepreciationExpensePropertyPlantEquipment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{http://xbrl.frc.org.uk/fr/2021-01-01/core}OwnershipAssetsDimension</dimension>
          <member>{http://xbrl.frc.org.uk/fr/2021-01-01/core}OwnedAssets</member>
          <typedValue i:nil="true"/>
          <contextContainer>Segment</contextContainer>
        </dimension>
      </dimensions>
      <transformGroup>United Kingdom</transformGroup>
      <hidden>false</hidden>
      <value>86.6</value>
      <format xmlns:d4p1="http://schemas.datacontract.org/2004/07/System.Xml.Linq" i:nil="true"/>
    </fact>
    <fact i:type="item">
      <id>XMETag_597f05a535f14f28846e1e42f90d507b</id>
      <concept>{http://xbrl.frc.org.uk/fr/2021-01-01/core}DepreciationExpensePropertyPlantEquipment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{http://xbrl.frc.org.uk/fr/2021-01-01/core}OwnershipAssetsDimension</dimension>
          <member>{http://xbrl.frc.org.uk/fr/2021-01-01/core}LeasedAssets</member>
          <typedValue i:nil="true"/>
          <contextContainer>Segment</contextContainer>
        </dimension>
      </dimensions>
      <transformGroup>United Kingdom</transformGroup>
      <hidden>false</hidden>
      <value>37.3</value>
      <format xmlns:d4p1="http://schemas.datacontract.org/2004/07/System.Xml.Linq" i:nil="true"/>
    </fact>
    <fact i:type="item">
      <id>XMETag_4adf7b44f0a141c59a7b7d4d676bfce6</id>
      <concept>{http://xbrl.frc.org.uk/fr/2021-01-01/core}DepreciationExpensePropertyPlantEquipment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{http://xbrl.frc.org.uk/fr/2021-01-01/core}OwnershipAssetsDimension</dimension>
          <member>{http://xbrl.frc.org.uk/fr/2021-01-01/core}LeasedAssets</member>
          <typedValue i:nil="true"/>
          <contextContainer>Segment</contextContainer>
        </dimension>
      </dimensions>
      <transformGroup>United Kingdom</transformGroup>
      <hidden>false</hidden>
      <value>31.7</value>
      <format xmlns:d4p1="http://schemas.datacontract.org/2004/07/System.Xml.Linq" i:nil="true"/>
    </fact>
    <fact i:type="item">
      <id>XMETag_6ff9b6a13cc547619e25f885de0e0957</id>
      <concept>{http://xbrl.frc.org.uk/fr/2021-01-01/core}DepreciationAmortisationExpense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117.0</value>
      <format xmlns:d4p1="http://schemas.datacontract.org/2004/07/System.Xml.Linq" i:nil="true"/>
    </fact>
    <fact i:type="item">
      <id>XMETag_5499622114cd4a2f8b42e5da7417afad</id>
      <concept>{http://xbrl.frc.org.uk/fr/2021-01-01/core}DepreciationAmortisationExpense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118.3</value>
      <format xmlns:d4p1="http://schemas.datacontract.org/2004/07/System.Xml.Linq" i:nil="true"/>
    </fact>
    <fact i:type="item">
      <id>XMETag_6c6d9c76905d4874bd54baa6af357909</id>
      <concept>{http://xbrl.frc.org.uk/reports/2021-01-01/aurep}AuditFeesExpenses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transformGroup>United Kingdom</transformGroup>
      <hidden>false</hidden>
      <value>335</value>
      <format xmlns:d4p1="http://schemas.datacontract.org/2004/07/System.Xml.Linq" i:nil="true"/>
    </fact>
    <fact i:type="item">
      <id>XMETag_182f978473804d15b8309be661042b6e</id>
      <concept>{http://xbrl.frc.org.uk/reports/2021-01-01/aurep}AuditFeesExpenses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transformGroup>United Kingdom</transformGroup>
      <hidden>false</hidden>
      <value>307</value>
      <format xmlns:d4p1="http://schemas.datacontract.org/2004/07/System.Xml.Linq" i:nil="true"/>
    </fact>
    <fact i:type="item">
      <id>XMETag_4e70c3f42fed4bd0a22960a09428aa5a</id>
      <concept>{http://xbrl.frc.org.uk/reports/2021-01-01/aurep}Audit-relatedAssuranceServicesFees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transformGroup>United Kingdom</transformGroup>
      <hidden>false</hidden>
      <value>40</value>
      <format xmlns:d4p1="http://schemas.datacontract.org/2004/07/System.Xml.Linq" i:nil="true"/>
    </fact>
    <fact i:type="item">
      <id>XMETag_bc4ce4d5851443ef9c35e8ceda969197</id>
      <concept>{http://xbrl.frc.org.uk/reports/2021-01-01/aurep}Audit-relatedAssuranceServicesFees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transformGroup>United Kingdom</transformGroup>
      <hidden>false</hidden>
      <value>39</value>
      <format xmlns:d4p1="http://schemas.datacontract.org/2004/07/System.Xml.Linq" i:nil="true"/>
    </fact>
    <fact i:type="item">
      <id>XMETag_f0269a30d6284140bc68cf84987d67a2</id>
      <concept>{http://xbrl.frc.org.uk/reports/2021-01-01/aurep}OtherNon-auditServicesFees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transformGroup>United Kingdom</transformGroup>
      <hidden>false</hidden>
      <value>33</value>
      <format xmlns:d4p1="http://schemas.datacontract.org/2004/07/System.Xml.Linq" i:nil="true"/>
    </fact>
    <fact i:type="item">
      <id>XMETag_22b1c4955df843b0a46851dbc967f4d6</id>
      <concept>{http://xbrl.frc.org.uk/reports/2021-01-01/aurep}OtherNon-auditServicesFees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transformGroup>United Kingdom</transformGroup>
      <hidden>false</hidden>
      <value>32</value>
      <format xmlns:d4p1="http://schemas.datacontract.org/2004/07/System.Xml.Linq" i:nil="true"/>
    </fact>
    <fact i:type="item">
      <id>XMETag_58660aaad1bb4a0d811786980b4e8857</id>
      <concept>{http://xbrl.frc.org.uk/reports/2021-01-01/aurep}TotalFeesToAuditors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transformGroup>United Kingdom</transformGroup>
      <hidden>false</hidden>
      <value>408</value>
      <format xmlns:d4p1="http://schemas.datacontract.org/2004/07/System.Xml.Linq" i:nil="true"/>
    </fact>
    <fact i:type="item">
      <id>XMETag_dabdc0a893894746aa788e6a32119547</id>
      <concept>{http://xbrl.frc.org.uk/reports/2021-01-01/aurep}TotalFeesToAuditors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transformGroup>United Kingdom</transformGroup>
      <hidden>false</hidden>
      <value>378</value>
      <format xmlns:d4p1="http://schemas.datacontract.org/2004/07/System.Xml.Linq" i:nil="true"/>
    </fact>
    <fact i:type="item">
      <id>XMETag_45662917fb0c47e1b154b349ddad2144</id>
      <concept>{http://xbrl.frc.org.uk/reports/2021-01-01/aurep}FeesToAuditorsFree-textComment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Expenses reimbursed to the auditors in relation to the audit of the Company were £nil (2020/21: £nil).
A description of the work of the Audit Committee is set out in its report on page 117 to 124 which includes an explanation of how the auditor’s objectivity and independence are safeguarded when non-audit services are provided by the auditor’s firm.</value>
      <format xmlns:d4p1="http://schemas.datacontract.org/2004/07/System.Xml.Linq" i:nil="true"/>
    </fact>
    <fact i:type="item">
      <id>XMETag_78927fa6d32f40348bfd2b281440c69d</id>
      <concept>{http://xbrl.frc.org.uk/fr/2021-01-01/core}InterestExpenseOnBankOverdraftsBankLoansSimilarBorrowings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(22.4)</value>
      <format xmlns:d4p1="http://schemas.datacontract.org/2004/07/System.Xml.Linq" i:nil="true"/>
    </fact>
    <fact i:type="item">
      <id>XMETag_b7fad7100a3e4c608d65dca832585327</id>
      <concept>{http://xbrl.frc.org.uk/fr/2021-01-01/core}InterestExpenseOnBankOverdraftsBankLoansSimilarBorrowings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(22.4)</value>
      <format xmlns:d4p1="http://schemas.datacontract.org/2004/07/System.Xml.Linq" i:nil="true"/>
    </fact>
    <fact i:type="item">
      <id>XMETag_759c12769ac14173b4aaea35fb87519f</id>
      <concept>{http://xbrl.frc.org.uk/fr/2021-01-01/core}InterestExpenseOnBankOverdraftsBankLoansSimilarBorrowings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(13.9)</value>
      <format xmlns:d4p1="http://schemas.datacontract.org/2004/07/System.Xml.Linq" i:nil="true"/>
    </fact>
    <fact i:type="item">
      <id>XMETag_4aecab42339a4a928b8b7120d592d804</id>
      <concept>{http://xbrl.frc.org.uk/fr/2021-01-01/core}InterestExpenseOnBankOverdraftsBankLoansSimilarBorrowings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(13.9)</value>
      <format xmlns:d4p1="http://schemas.datacontract.org/2004/07/System.Xml.Linq" i:nil="true"/>
    </fact>
    <fact i:type="item">
      <id>XMETag_b0629d96846540d9b26adfb2331b7f93</id>
      <concept>{http://xbrl.frc.org.uk/fr/2021-01-01/core}InterestExpenseOnLeaseLiabilities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{http://xbrl.frc.org.uk/fr/2021-01-01/core}FinanceLeases</member>
          <typedValue i:nil="true"/>
          <contextContainer>Segment</contextContainer>
        </dimension>
      </dimensions>
      <transformGroup>United Kingdom</transformGroup>
      <hidden>false</hidden>
      <value>(19.1)</value>
      <format xmlns:d4p1="http://schemas.datacontract.org/2004/07/System.Xml.Linq" i:nil="true"/>
    </fact>
    <fact i:type="item">
      <id>XMETag_77cc710971cc44dd86a132906a53c4c8</id>
      <concept>{http://xbrl.frc.org.uk/fr/2021-01-01/core}InterestExpenseOnLeaseLiabilities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{http://xbrl.frc.org.uk/fr/2021-01-01/core}FinanceLeases</member>
          <typedValue i:nil="true"/>
          <contextContainer>Segment</contextContainer>
        </dimension>
      </dimensions>
      <transformGroup>United Kingdom</transformGroup>
      <hidden>false</hidden>
      <value>(19.1)</value>
      <format xmlns:d4p1="http://schemas.datacontract.org/2004/07/System.Xml.Linq" i:nil="true"/>
    </fact>
    <fact i:type="item">
      <id>XMETag_6497e76dfcac44818b2c1e53b30413fe</id>
      <concept>{http://xbrl.frc.org.uk/fr/2021-01-01/core}InterestExpenseOnLeaseLiabilities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{http://xbrl.frc.org.uk/fr/2021-01-01/core}FinanceLeases</member>
          <typedValue i:nil="true"/>
          <contextContainer>Segment</contextContainer>
        </dimension>
      </dimensions>
      <transformGroup>United Kingdom</transformGroup>
      <hidden>false</hidden>
      <value>(24.5)</value>
      <format xmlns:d4p1="http://schemas.datacontract.org/2004/07/System.Xml.Linq" i:nil="true"/>
    </fact>
    <fact i:type="item">
      <id>XMETag_f8b2e14604c048689ae27c8780a5428f</id>
      <concept>{http://xbrl.frc.org.uk/fr/2021-01-01/core}InterestExpenseOnLeaseLiabilities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{http://xbrl.frc.org.uk/fr/2021-01-01/core}FinanceLeases</member>
          <typedValue i:nil="true"/>
          <contextContainer>Segment</contextContainer>
        </dimension>
      </dimensions>
      <transformGroup>United Kingdom</transformGroup>
      <hidden>false</hidden>
      <value>(24.5)</value>
      <format xmlns:d4p1="http://schemas.datacontract.org/2004/07/System.Xml.Linq" i:nil="true"/>
    </fact>
    <fact i:type="item">
      <id>XMETag_13a18c794e414039929522cc1cb9f260</id>
      <concept>{http://xbrl.frc.org.uk/fr/2021-01-01/core}InterestExpenseOnLeaseLiabilities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{http://xbrl.frc.org.uk/fr/2021-01-01/core}FurtherContractType1ComponentTotalContractTypes</member>
          <typedValue i:nil="true"/>
          <contextContainer>Segment</contextContainer>
        </dimension>
      </dimensions>
      <transformGroup>United Kingdom</transformGroup>
      <hidden>false</hidden>
      <value>(1.1)</value>
      <format xmlns:d4p1="http://schemas.datacontract.org/2004/07/System.Xml.Linq" i:nil="true"/>
    </fact>
    <fact i:type="item">
      <id>XMETag_3228f7eec4414bbd9e929d64bbeeff4f</id>
      <concept>{http://xbrl.frc.org.uk/fr/2021-01-01/core}InterestExpenseOnLeaseLiabilities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{http://xbrl.frc.org.uk/fr/2021-01-01/core}FurtherContractType1ComponentTotalContractTypes</member>
          <typedValue i:nil="true"/>
          <contextContainer>Segment</contextContainer>
        </dimension>
      </dimensions>
      <transformGroup>United Kingdom</transformGroup>
      <hidden>false</hidden>
      <value>(1.1)</value>
      <format xmlns:d4p1="http://schemas.datacontract.org/2004/07/System.Xml.Linq" i:nil="true"/>
    </fact>
    <fact i:type="item">
      <id>XMETag_552b43a0b23b40abb2236a8f67979420</id>
      <concept>{http://xbrl.frc.org.uk/fr/2021-01-01/core}InterestExpenseOnLeaseLiabilities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{http://xbrl.frc.org.uk/fr/2021-01-01/core}FurtherContractType1ComponentTotalContractTypes</member>
          <typedValue i:nil="true"/>
          <contextContainer>Segment</contextContainer>
        </dimension>
      </dimensions>
      <transformGroup>United Kingdom</transformGroup>
      <hidden>false</hidden>
      <value>(1.2)</value>
      <format xmlns:d4p1="http://schemas.datacontract.org/2004/07/System.Xml.Linq" i:nil="true"/>
    </fact>
    <fact i:type="item">
      <id>XMETag_eaf032f7cfe347eea46981c4dc513236</id>
      <concept>{http://xbrl.frc.org.uk/fr/2021-01-01/core}InterestExpenseOnLeaseLiabilities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{http://xbrl.frc.org.uk/fr/2021-01-01/core}FinanceLeaseContractTypeDimension</dimension>
          <member>{http://xbrl.frc.org.uk/fr/2021-01-01/core}FurtherContractType1ComponentTotalContractTypes</member>
          <typedValue i:nil="true"/>
          <contextContainer>Segment</contextContainer>
        </dimension>
      </dimensions>
      <transformGroup>United Kingdom</transformGroup>
      <hidden>false</hidden>
      <value>(1.2)</value>
      <format xmlns:d4p1="http://schemas.datacontract.org/2004/07/System.Xml.Linq" i:nil="true"/>
    </fact>
    <fact i:type="item">
      <id>XMETag_ad9a300cc01f40b28d0c1fae75fa6c91</id>
      <concept>{http://xbrl.frc.org.uk/fr/2021-01-01/core}OtherFinanceCosts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(0.8)</value>
      <format xmlns:d4p1="http://schemas.datacontract.org/2004/07/System.Xml.Linq" i:nil="true"/>
    </fact>
    <fact i:type="item">
      <id>XMETag_bffc4401ea2e454f8f3cb29b2d0641fb</id>
      <concept>{http://xbrl.frc.org.uk/fr/2021-01-01/core}OtherFinanceCosts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(0.8)</value>
      <format xmlns:d4p1="http://schemas.datacontract.org/2004/07/System.Xml.Linq" i:nil="true"/>
    </fact>
    <fact i:type="item">
      <id>XMETag_365cf561619b4ef1913447a30316e4d0</id>
      <concept>{http://xbrl.frc.org.uk/fr/2021-01-01/core}OtherFinanceCosts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(3.4)</value>
      <format xmlns:d4p1="http://schemas.datacontract.org/2004/07/System.Xml.Linq" i:nil="true"/>
    </fact>
    <fact i:type="item">
      <id>XMETag_b3d0604e68424073a3cfd1bf53b15ca6</id>
      <concept>{http://xbrl.frc.org.uk/fr/2021-01-01/core}OtherFinanceCosts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(3.4)</value>
      <format xmlns:d4p1="http://schemas.datacontract.org/2004/07/System.Xml.Linq" i:nil="true"/>
    </fact>
    <fact i:type="item">
      <id>XMETag_ac4e3cffea1f47e196594e258aeb4d74</id>
      <concept>{http://xbrl.frc.org.uk/fr/2021-01-01/core}InterestIncome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0.8</value>
      <format xmlns:d4p1="http://schemas.datacontract.org/2004/07/System.Xml.Linq" i:nil="true"/>
    </fact>
    <fact i:type="item">
      <id>XMETag_c81de7f733c940209403314c28e83068</id>
      <concept>{http://xbrl.frc.org.uk/fr/2021-01-01/core}InterestIncome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0.8</value>
      <format xmlns:d4p1="http://schemas.datacontract.org/2004/07/System.Xml.Linq" i:nil="true"/>
    </fact>
    <fact i:type="item">
      <id>XMETag_1ebe6de402b14e898d43ddfdad6d28d4</id>
      <concept>{http://xbrl.frc.org.uk/fr/2021-01-01/core}InterestIncome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XMETag_043da77d6d51444683dc2980c5e9d156</id>
      <concept>{http://xbrl.frc.org.uk/fr/2021-01-01/core}InterestIncome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XMETag_56af33177bb34515882024101cbafc4d</id>
      <concept>{http://xbrl.frc.org.uk/fr/2021-01-01/core}InterestPaidToSubsidiaries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(34.6)</value>
      <format xmlns:d4p1="http://schemas.datacontract.org/2004/07/System.Xml.Linq" i:nil="true"/>
    </fact>
    <fact i:type="item">
      <id>XMETag_00a33006a8044b049b13776695f974e0</id>
      <concept>{http://xbrl.frc.org.uk/fr/2021-01-01/core}InterestPaidToSubsidiaries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(34.6)</value>
      <format xmlns:d4p1="http://schemas.datacontract.org/2004/07/System.Xml.Linq" i:nil="true"/>
    </fact>
    <fact i:type="item">
      <id>XMETag_e4df55c373e74cfc99be19bb2a67ba72</id>
      <concept>{http://xbrl.frc.org.uk/fr/2021-01-01/core}InterestPaidToSubsidiaries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(13.8)</value>
      <format xmlns:d4p1="http://schemas.datacontract.org/2004/07/System.Xml.Linq" i:nil="true"/>
    </fact>
    <fact i:type="item">
      <id>XMETag_b18fd7b1971344e784a9b6d15650c6d0</id>
      <concept>{http://xbrl.frc.org.uk/fr/2021-01-01/core}InterestPaidToSubsidiaries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(13.8)</value>
      <format xmlns:d4p1="http://schemas.datacontract.org/2004/07/System.Xml.Linq" i:nil="true"/>
    </fact>
    <fact i:type="item">
      <id>XMETag_276717c4bab7469e943cb2a07c5c3a89</id>
      <concept>{http://xbrl.frc.org.uk/fr/2021-01-01/core}InterestExpenseOnDeferredConsideration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(0.4)</value>
      <format xmlns:d4p1="http://schemas.datacontract.org/2004/07/System.Xml.Linq" i:nil="true"/>
    </fact>
    <fact i:type="item">
      <id>XMETag_734ddad42f8e4cf994a44f5219305e87</id>
      <concept>{http://xbrl.frc.org.uk/fr/2021-01-01/core}InterestExpenseOnDeferredConsideration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(0.4)</value>
      <format xmlns:d4p1="http://schemas.datacontract.org/2004/07/System.Xml.Linq" i:nil="true"/>
    </fact>
    <fact i:type="item">
      <id>XMETag_bab46f8e4cd04c7ca37c779cfe482d2e</id>
      <concept>{http://xbrl.frc.org.uk/fr/2021-01-01/core}InterestPayableSimilarChargesFinanceCosts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(78.0)</value>
      <format xmlns:d4p1="http://schemas.datacontract.org/2004/07/System.Xml.Linq" i:nil="true"/>
    </fact>
    <fact i:type="item">
      <id>XMETag_3b4363b3cc724c9cbc9f4ee7ec1b6a89</id>
      <concept>{http://xbrl.frc.org.uk/fr/2021-01-01/core}OtherInterestReceivableSimilarIncomeFinanceIncome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1.2</value>
      <format xmlns:d4p1="http://schemas.datacontract.org/2004/07/System.Xml.Linq" i:nil="true"/>
    </fact>
    <fact i:type="item">
      <id>XMETag_b2316337d0fa4778b5988d7a4d88af31</id>
      <concept>{http://xbrl.frc.org.uk/fr/2021-01-01/core}NetFinanceIncomeCosts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(76.8)</value>
      <format xmlns:d4p1="http://schemas.datacontract.org/2004/07/System.Xml.Linq" i:nil="true"/>
    </fact>
    <fact i:type="item">
      <id>XMETag_e950f22b0408470b91fa59da02d3201c</id>
      <concept>{http://xbrl.frc.org.uk/fr/2021-01-01/core}InterestPayableSimilarChargesFinanceCosts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(57.2)</value>
      <format xmlns:d4p1="http://schemas.datacontract.org/2004/07/System.Xml.Linq" i:nil="true"/>
    </fact>
    <fact i:type="item">
      <id>XMETag_f27248389be24ddaaf394ad0c8f1e291</id>
      <concept>{http://xbrl.frc.org.uk/fr/2021-01-01/core}OtherInterestReceivableSimilarIncomeFinanceIncome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XMETag_95fccba518ed41acbb846de7ad227e90</id>
      <concept>{http://xbrl.frc.org.uk/fr/2021-01-01/core}NetFinanceIncomeCosts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(56.5)</value>
      <format xmlns:d4p1="http://schemas.datacontract.org/2004/07/System.Xml.Linq" i:nil="true"/>
    </fact>
    <fact i:type="item">
      <id>XMETag_189d9ede86f44fb888cd28624f5cdaef</id>
      <concept>{http://xbrl.frc.org.uk/fr/2021-01-01/core}InterestIncomeOnAssetsDefinedBenefitPlan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0.4</value>
      <format xmlns:d4p1="http://schemas.datacontract.org/2004/07/System.Xml.Linq" i:nil="true"/>
    </fact>
    <fact i:type="item">
      <id>XMETag_49ad6c9bf56a4547a9d7168a62dc2c46</id>
      <concept>{http://xbrl.frc.org.uk/fr/2021-01-01/core}InterestIncomeOnAssetsDefinedBenefitPlan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0.4</value>
      <format xmlns:d4p1="http://schemas.datacontract.org/2004/07/System.Xml.Linq" i:nil="true"/>
    </fact>
    <fact i:type="item">
      <id>XMETag_fa069f3030ab44f88c551183e882d3ce</id>
      <concept>{http://xbrl.frc.org.uk/fr/2021-01-01/core}BorrowingCostsIncludedInCostQualifyingAssets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1.0</value>
      <format xmlns:d4p1="http://schemas.datacontract.org/2004/07/System.Xml.Linq" i:nil="true"/>
    </fact>
    <fact i:type="item">
      <id>XMETag_fe45ae1eec7d4f94bb0ab9a039760b52</id>
      <concept>{http://xbrl.frc.org.uk/fr/2021-01-01/core}BorrowingCostsIncludedInCostQualifyingAssets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0.9</value>
      <format xmlns:d4p1="http://schemas.datacontract.org/2004/07/System.Xml.Linq" i:nil="true"/>
    </fact>
    <fact i:type="item">
      <id>XMETag_b154fd05b42148a49da7254124226d2f</id>
      <concept>{http://xbrl.frc.org.uk/fr/2021-01-01/core}CurrentTaxForPeriod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9.6</value>
      <format xmlns:d4p1="http://schemas.datacontract.org/2004/07/System.Xml.Linq" i:nil="true"/>
    </fact>
    <fact i:type="item">
      <id>XMETag_144a098408f043339652e82ca072279b</id>
      <concept>{http://xbrl.frc.org.uk/fr/2021-01-01/core}CurrentTaxForPeriod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(0.4)</value>
      <format xmlns:d4p1="http://schemas.datacontract.org/2004/07/System.Xml.Linq" i:nil="true"/>
    </fact>
    <fact i:type="item">
      <id>XMETag_09da85f5a03c4021af56162cafcf0ffa</id>
      <concept>{http://xbrl.frc.org.uk/fr/2021-01-01/core}CurrentTaxForPeriod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9.2</value>
      <format xmlns:d4p1="http://schemas.datacontract.org/2004/07/System.Xml.Linq" i:nil="true"/>
    </fact>
    <fact i:type="item">
      <id>XMETag_9278186ecef04f66a4100a3070d2a55e</id>
      <concept>{http://xbrl.frc.org.uk/fr/2021-01-01/core}CurrentTaxForPeriod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28.2</value>
      <format xmlns:d4p1="http://schemas.datacontract.org/2004/07/System.Xml.Linq" i:nil="true"/>
    </fact>
    <fact i:type="item">
      <id>XMETag_b461f50465994237b68ec0c262592a49</id>
      <concept>{http://xbrl.frc.org.uk/fr/2021-01-01/core}CurrentTaxForPeriod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(3.9)</value>
      <format xmlns:d4p1="http://schemas.datacontract.org/2004/07/System.Xml.Linq" i:nil="true"/>
    </fact>
    <fact i:type="item">
      <id>XMETag_9a6e49ab424a474399152dd098acbd39</id>
      <concept>{http://xbrl.frc.org.uk/fr/2021-01-01/core}CurrentTaxForPeriod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24.3</value>
      <format xmlns:d4p1="http://schemas.datacontract.org/2004/07/System.Xml.Linq" i:nil="true"/>
    </fact>
    <fact i:type="item">
      <id>XMETag_12066924bb8f482295b2a823390bc53f</id>
      <concept>{http://xbrl.frc.org.uk/fr/2021-01-01/core}DeferredTaxExpenseCreditRelatingToOriginationReversalTemporaryDifferences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3.1</value>
      <format xmlns:d4p1="http://schemas.datacontract.org/2004/07/System.Xml.Linq" i:nil="true"/>
    </fact>
    <fact i:type="item">
      <id>XMETag_149abe0ac26a4f7e927021a51b678300</id>
      <concept>{http://xbrl.frc.org.uk/fr/2021-01-01/core}DeferredTaxExpenseCreditRelatingToOriginationReversalTemporaryDifferences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XMETag_ffc9d449154c4b4a9faefd1a6398da84</id>
      <concept>{http://xbrl.frc.org.uk/fr/2021-01-01/core}DeferredTaxExpenseCreditRelatingToOriginationReversalTemporaryDifferences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3.1</value>
      <format xmlns:d4p1="http://schemas.datacontract.org/2004/07/System.Xml.Linq" i:nil="true"/>
    </fact>
    <fact i:type="item">
      <id>XMETag_24bde39e9496483ba8c11c936b161182</id>
      <concept>{http://xbrl.frc.org.uk/fr/2021-01-01/core}DeferredTaxExpenseCreditRelatingToOriginationReversalTemporaryDifferences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3.4</value>
      <format xmlns:d4p1="http://schemas.datacontract.org/2004/07/System.Xml.Linq" i:nil="true"/>
    </fact>
    <fact i:type="item">
      <id>XMETag_1d8111ca31ba480caa89597f895cbc66</id>
      <concept>{http://xbrl.frc.org.uk/fr/2021-01-01/core}DeferredTaxExpenseCreditRelatingToOriginationReversalTemporaryDifferences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(0.7)</value>
      <format xmlns:d4p1="http://schemas.datacontract.org/2004/07/System.Xml.Linq" i:nil="true"/>
    </fact>
    <fact i:type="item">
      <id>XMETag_bd74b633fb4f4323a0c694966012a679</id>
      <concept>{http://xbrl.frc.org.uk/fr/2021-01-01/core}DeferredTaxExpenseCreditRelatingToOriginationReversalTemporaryDifferences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value>
      <format xmlns:d4p1="http://schemas.datacontract.org/2004/07/System.Xml.Linq" i:nil="true"/>
    </fact>
    <fact i:type="item">
      <id>XMETag_193c49c4f21346d69cc29321616bb6bf</id>
      <concept>{http://xbrl.frc.org.uk/fr/2021-01-01/core}DeferredTaxExpenseCreditRelatingToChangesInTaxRatesOrLaws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XMETag_91473b71b23d463b9ec7d57f57c14a59</id>
      <concept>{http://xbrl.frc.org.uk/fr/2021-01-01/core}DeferredTaxExpenseCreditRelatingToChangesInTaxRatesOrLaws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98.7</value>
      <format xmlns:d4p1="http://schemas.datacontract.org/2004/07/System.Xml.Linq" i:nil="true"/>
    </fact>
    <fact i:type="item">
      <id>XMETag_ff013693d9774e6daec67e48e346f41b</id>
      <concept>{http://xbrl.frc.org.uk/fr/2021-01-01/core}DeferredTaxExpenseCreditRelatingToChangesInTaxRatesOrLaws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98.7</value>
      <format xmlns:d4p1="http://schemas.datacontract.org/2004/07/System.Xml.Linq" i:nil="true"/>
    </fact>
    <fact i:type="item">
      <id>XMETag_e2717373ccef498f905b98e821aa2f32</id>
      <concept>{http://xbrl.frc.org.uk/fr/2021-01-01/core}DeferredTaxExpenseCreditRelatingToChangesInTaxRatesOrLaws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XMETag_ec28ab3dc1b54603ac66aac57b99d328</id>
      <concept>{http://xbrl.frc.org.uk/fr/2021-01-01/core}DeferredTaxExpenseCreditRelatingToChangesInTaxRatesOrLaws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XMETag_9628312cfcec4d54a92b62cab1b2fe92</id>
      <concept>{http://xbrl.frc.org.uk/fr/2021-01-01/core}DeferredTaxExpenseCreditRelatingToChangesInTaxRatesOrLaws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XMETag_ce81e5a63d684e25821d1161e90a3732</id>
      <concept>{http://xbrl.frc.org.uk/fr/2021-01-01/core}TotalDeferredTaxExpenseCredit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3.1</value>
      <format xmlns:d4p1="http://schemas.datacontract.org/2004/07/System.Xml.Linq" i:nil="true"/>
    </fact>
    <fact i:type="item">
      <id>XMETag_dad5bad0bf9f42bc81df520b328bf156</id>
      <concept>{http://xbrl.frc.org.uk/fr/2021-01-01/core}TotalDeferredTaxExpenseCredit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98.7</value>
      <format xmlns:d4p1="http://schemas.datacontract.org/2004/07/System.Xml.Linq" i:nil="true"/>
    </fact>
    <fact i:type="item">
      <id>XMETag_8a93fd1d822c41389ea39179a2020b36</id>
      <concept>{http://xbrl.frc.org.uk/fr/2021-01-01/core}TotalDeferredTaxExpenseCredit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101.8</value>
      <format xmlns:d4p1="http://schemas.datacontract.org/2004/07/System.Xml.Linq" i:nil="true"/>
    </fact>
    <fact i:type="item">
      <id>XMETag_43fcd5d27326472e862dff47d1b70cb4</id>
      <concept>{http://xbrl.frc.org.uk/fr/2021-01-01/core}TotalDeferredTaxExpenseCredit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3.4</value>
      <format xmlns:d4p1="http://schemas.datacontract.org/2004/07/System.Xml.Linq" i:nil="true"/>
    </fact>
    <fact i:type="item">
      <id>XMETag_b4ca11b42c3f4935a906ed5ccb6bb316</id>
      <concept>{http://xbrl.frc.org.uk/fr/2021-01-01/core}TotalDeferredTaxExpenseCredit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(0.7)</value>
      <format xmlns:d4p1="http://schemas.datacontract.org/2004/07/System.Xml.Linq" i:nil="true"/>
    </fact>
    <fact i:type="item">
      <id>XMETag_8d472867e5a3481fac196a85666f3b99</id>
      <concept>{http://xbrl.frc.org.uk/fr/2021-01-01/core}TotalDeferredTaxExpenseCredit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value>
      <format xmlns:d4p1="http://schemas.datacontract.org/2004/07/System.Xml.Linq" i:nil="true"/>
    </fact>
    <fact i:type="item">
      <id>XMETag_ea7739a5958c4b94b99e229c3d20e1a3</id>
      <concept>{http://xbrl.frc.org.uk/fr/2021-01-01/core}IncomeTaxExpenseCredit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12.7</value>
      <format xmlns:d4p1="http://schemas.datacontract.org/2004/07/System.Xml.Linq" i:nil="true"/>
    </fact>
    <fact i:type="item">
      <id>XMETag_744de665a3ca430db341676a8d8cd7e8</id>
      <concept>{http://xbrl.frc.org.uk/fr/2021-01-01/core}IncomeTaxExpenseCredit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98.3</value>
      <format xmlns:d4p1="http://schemas.datacontract.org/2004/07/System.Xml.Linq" i:nil="true"/>
    </fact>
    <fact i:type="item">
      <id>XMETag_a49726082add4a44b12461c123446ff2</id>
      <concept>{http://xbrl.frc.org.uk/fr/2021-01-01/core}IncomeTaxExpenseCredit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111.0</value>
      <format xmlns:d4p1="http://schemas.datacontract.org/2004/07/System.Xml.Linq" i:nil="true"/>
    </fact>
    <fact i:type="item">
      <id>XMETag_fd35d249c3ed4fbd8d01d39f65759e73</id>
      <concept>{http://xbrl.frc.org.uk/fr/2021-01-01/core}IncomeTaxExpenseCredit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{http://xbrl.frc.org.uk/fr/2021-01-01/core}ExceptionalsDimension</dimension>
          <member>{http://xbrl.frc.org.uk/fr/2021-01-01/core}ExplicitlyIdentifiedAsNon-exceptional</member>
          <typedValue i:nil="true"/>
          <contextContainer>Segment</contextContainer>
        </dimension>
      </dimensions>
      <transformGroup>United Kingdom</transformGroup>
      <hidden>false</hidden>
      <value>31.6</value>
      <format xmlns:d4p1="http://schemas.datacontract.org/2004/07/System.Xml.Linq" i:nil="true"/>
    </fact>
    <fact i:type="item">
      <id>XMETag_9a93c4ceda1b48f1a754d0ffe2a9c74d</id>
      <concept>{http://xbrl.frc.org.uk/fr/2021-01-01/core}IncomeTaxExpenseCredit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{http://xbrl.frc.org.uk/fr/2021-01-01/core}ExceptionalsDimension</dimension>
          <member>{http://xbrl.frc.org.uk/fr/2021-01-01/core}Exceptional</member>
          <typedValue i:nil="true"/>
          <contextContainer>Segment</contextContainer>
        </dimension>
      </dimensions>
      <transformGroup>United Kingdom</transformGroup>
      <hidden>false</hidden>
      <value>(4.6)</value>
      <format xmlns:d4p1="http://schemas.datacontract.org/2004/07/System.Xml.Linq" i:nil="true"/>
    </fact>
    <fact i:type="item">
      <id>XMETag_34d2223fc408404783c6149041ec3ca2</id>
      <concept>{http://xbrl.frc.org.uk/fr/2021-01-01/core}IncomeTaxExpenseCredit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27.0</value>
      <format xmlns:d4p1="http://schemas.datacontract.org/2004/07/System.Xml.Linq" i:nil="true"/>
    </fact>
    <fact i:type="item">
      <id>XMETag_3f47598bd0984e8da1ec39d0e0c32314</id>
      <concept>{http://xbrl.frc.org.uk/fr/2021-01-01/core}CurrentTaxFree-textComment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UK Corporation tax is calculated at 19% (2020/21 19%) of the estimated assessable profit for the year.</value>
      <format xmlns:d4p1="http://schemas.datacontract.org/2004/07/System.Xml.Linq" i:nil="true"/>
    </fact>
    <fact i:type="item">
      <id>XMETag_ee031e06303041e095b39b9e29280c45</id>
      <concept>{http://xbrl.frc.org.uk/fr/2021-01-01/core}ProfitLossBeforeTax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135.5</value>
      <format xmlns:d4p1="http://schemas.datacontract.org/2004/07/System.Xml.Linq" i:nil="true"/>
    </fact>
    <fact i:type="item">
      <id>XMETag_d10b718a471c49f2aea1901f25868db5</id>
      <concept>{http://xbrl.frc.org.uk/fr/2021-01-01/core}ProfitLossBeforeTax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141.8</value>
      <format xmlns:d4p1="http://schemas.datacontract.org/2004/07/System.Xml.Linq" i:nil="true"/>
    </fact>
    <fact i:type="item">
      <id>XMETag_2a67f96dc5834420a695cba51ed073d8</id>
      <concept>{http://xbrl.frc.org.uk/fr/2021-01-01/core}TaxExpenseCreditApplicableTaxRate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25.7</value>
      <format xmlns:d4p1="http://schemas.datacontract.org/2004/07/System.Xml.Linq" i:nil="true"/>
    </fact>
    <fact i:type="item">
      <id>XMETag_ca1a0ad767cb4ef5841388d9d7e93a36</id>
      <concept>{http://xbrl.frc.org.uk/fr/2021-01-01/core}TaxExpenseCreditApplicableTaxRate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26.9</value>
      <format xmlns:d4p1="http://schemas.datacontract.org/2004/07/System.Xml.Linq" i:nil="true"/>
    </fact>
    <fact i:type="item">
      <id>XMETag_6d8db7e2a4604d36b3290b5f60d8f2c1</id>
      <concept>{http://xbrl.frc.org.uk/fr/2021-01-01/core}TaxIncreaseDecreaseFromEffectExpensesNotDeductibleInDeterminingTaxableProfitOrLoss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0.2</value>
      <format xmlns:d4p1="http://schemas.datacontract.org/2004/07/System.Xml.Linq" i:nil="true"/>
    </fact>
    <fact i:type="item">
      <id>XMETag_7afda153626a4aedbc1ce98655860b39</id>
      <concept>{http://xbrl.frc.org.uk/fr/2021-01-01/core}TaxIncreaseDecreaseFromEffectExpensesNotDeductibleInDeterminingTaxableProfitOrLoss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XMETag_bae77d85a2b84b94b7013a2a37e50dab</id>
      <concept>{http://xbrl.frc.org.uk/fr/2021-01-01/core}DeferredTaxExpenseCreditRelatingToChangesInTaxRatesOrLaws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98.7</value>
      <format xmlns:d4p1="http://schemas.datacontract.org/2004/07/System.Xml.Linq" i:nil="true"/>
    </fact>
    <fact i:type="item">
      <id>XMETag_a636b42f09fc4d61b7d9349b9ecbfa82</id>
      <concept>{http://xbrl.frc.org.uk/fr/2021-01-01/core}DeferredTaxExpenseCreditRelatingToChangesInTaxRatesOrLaws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XMETag_cc1c2e0837334fbbb9e221ed5c2d0e8b</id>
      <concept>{http://xbrl.frc.org.uk/fr/2021-01-01/core}IncreaseDecreaseInCurrentTaxFromAdjustmentForPriorPeriods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(11.9)</value>
      <format xmlns:d4p1="http://schemas.datacontract.org/2004/07/System.Xml.Linq" i:nil="true"/>
    </fact>
    <fact i:type="item">
      <id>XMETag_c7c27c4d30274e478032db39f2f9a528</id>
      <concept>{http://xbrl.frc.org.uk/fr/2021-01-01/core}IncreaseDecreaseInCurrentTaxFromAdjustmentForPriorPeriods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0.1</value>
      <format xmlns:d4p1="http://schemas.datacontract.org/2004/07/System.Xml.Linq" i:nil="true"/>
    </fact>
    <fact i:type="item">
      <id>XMETag_49708f7265684c36b84ed8afc5f7c1f8</id>
      <concept>{http://xbrl.frc.org.uk/fr/2021-01-01/core}TaxIncreaseDecreaseFromEffectCapitalAllowancesDepreciation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0.4</value>
      <format xmlns:d4p1="http://schemas.datacontract.org/2004/07/System.Xml.Linq" i:nil="true"/>
    </fact>
    <fact i:type="item">
      <id>XMETag_d281d2007a6744e7a5c06ced690d8224</id>
      <concept>{http://xbrl.frc.org.uk/fr/2021-01-01/core}TaxIncreaseDecreaseFromEffectCapitalAllowancesDepreciation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0.4</value>
      <format xmlns:d4p1="http://schemas.datacontract.org/2004/07/System.Xml.Linq" i:nil="true"/>
    </fact>
    <fact i:type="item">
      <id>XMETag_28b0ffb00f084ec5a981071328fe9ab9</id>
      <concept>{http://xbrl.frc.org.uk/fr/2021-01-01/core}TaxIncreaseDecreaseFromOtherTaxEffectsTaxReconciliation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(2.1)</value>
      <format xmlns:d4p1="http://schemas.datacontract.org/2004/07/System.Xml.Linq" i:nil="true"/>
    </fact>
    <fact i:type="item">
      <id>XMETag_c0b2010534e94b43affb34d54c903611</id>
      <concept>{http://xbrl.frc.org.uk/fr/2021-01-01/core}TaxIncreaseDecreaseFromOtherTaxEffectsTaxReconciliation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(0.4)</value>
      <format xmlns:d4p1="http://schemas.datacontract.org/2004/07/System.Xml.Linq" i:nil="true"/>
    </fact>
    <fact i:type="item">
      <id>XMETag_521232b1d7284610b5a4433eec38c456</id>
      <concept>{http://xbrl.frc.org.uk/fr/2021-01-01/core}IncomeTaxExpenseCredit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111.0</value>
      <format xmlns:d4p1="http://schemas.datacontract.org/2004/07/System.Xml.Linq" i:nil="true"/>
    </fact>
    <fact i:type="item">
      <id>XMETag_d102c50850144f74919cccd12495a122</id>
      <concept>{http://xbrl.frc.org.uk/fr/2021-01-01/core}IncomeTaxExpenseCredit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27.0</value>
      <format xmlns:d4p1="http://schemas.datacontract.org/2004/07/System.Xml.Linq" i:nil="true"/>
    </fact>
    <fact i:type="item">
      <id>XMETag_8bfc4da290b047c0866072ee18d89f2e</id>
      <concept>{http://xbrl.frc.org.uk/fr/2021-01-01/core}ApplicableTaxRate</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-2</scale>
      </numericProperties>
      <dimensions/>
      <transformGroup>United Kingdom</transformGroup>
      <hidden>false</hidden>
      <value>19</value>
      <format xmlns:d4p1="http://schemas.datacontract.org/2004/07/System.Xml.Linq" i:nil="true"/>
    </fact>
    <fact i:type="item">
      <id>XMETag_f61075f9a03a4c59beaaad89f9519d47</id>
      <concept>{http://xbrl.frc.org.uk/fr/2021-01-01/core}ApplicableTaxRate</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-2</scale>
      </numericProperties>
      <dimensions/>
      <transformGroup>United Kingdom</transformGroup>
      <hidden>false</hidden>
      <value>19</value>
      <format xmlns:d4p1="http://schemas.datacontract.org/2004/07/System.Xml.Linq" i:nil="true"/>
    </fact>
    <fact i:type="item">
      <id>XMETag_efb0011a54e7423a96d73aeaf0e93e7f</id>
      <concept>{http://xbrl.frc.org.uk/fr/2021-01-01/core}ProfitLossBeforeTax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135.5</value>
      <format xmlns:d4p1="http://schemas.datacontract.org/2004/07/System.Xml.Linq" i:nil="true"/>
    </fact>
    <fact i:type="item">
      <id>XMETag_61ef7714854141368c5c55219ac52a47</id>
      <concept>{http://xbrl.frc.org.uk/fr/2021-01-01/core}ProfitLossBeforeTax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141.8</value>
      <format xmlns:d4p1="http://schemas.datacontract.org/2004/07/System.Xml.Linq" i:nil="true"/>
    </fact>
    <fact i:type="item">
      <id>XMETag_b9b7f9bf4614491083d1430d88758a6e</id>
      <concept>{http://xbrl.frc.org.uk/fr/2021-01-01/core}TaxExpenseCreditApplicableTaxRate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25.7</value>
      <format xmlns:d4p1="http://schemas.datacontract.org/2004/07/System.Xml.Linq" i:nil="true"/>
    </fact>
    <fact i:type="item">
      <id>XMETag_3b451bb5c4dc4e7fb7f19176e3b4ca39</id>
      <concept>{http://xbrl.frc.org.uk/fr/2021-01-01/core}TaxExpenseCreditApplicableTaxRate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26.9</value>
      <format xmlns:d4p1="http://schemas.datacontract.org/2004/07/System.Xml.Linq" i:nil="true"/>
    </fact>
    <fact i:type="item">
      <id>XMETag_e2c0c992810c4bf2ab4e5df3f8f74f7e</id>
      <concept>{http://xbrl.frc.org.uk/fr/2021-01-01/core}CurrentTaxForPeriod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9.2</value>
      <format xmlns:d4p1="http://schemas.datacontract.org/2004/07/System.Xml.Linq" i:nil="true"/>
    </fact>
    <fact i:type="item">
      <id>XMETag_0158def215264b229836d8d40efed76f</id>
      <concept>{http://xbrl.frc.org.uk/fr/2021-01-01/core}CurrentTaxForPeriod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24.3</value>
      <format xmlns:d4p1="http://schemas.datacontract.org/2004/07/System.Xml.Linq" i:nil="true"/>
    </fact>
    <fact i:type="item">
      <id>XMETag_9c42e88ee1254efeb1ad3cf94987b0e2</id>
      <concept>{http://xbrl.frc.org.uk/fr/2021-01-01/core}DescriptionChangesInApplicableTaxRates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Following the Chancellor's budget in March 2021 the rate of UK corporation tax will remain at 19% until April 2023 and thereafter will increase to 25%.
9.	TAXATION (CONTINUED)
These changes were substantively enacted on 24 May 2021, as a result any deferred tax assets and liabilities have been remeasured to the rate at which they are expected to crystallise.
These changes are considered non-underlying due to it arising from a material legislative change, and its treatment is consistent with that applied in relation to previous corporation tax rate changes.</value>
      <format xmlns:d4p1="http://schemas.datacontract.org/2004/07/System.Xml.Linq" i:nil="true"/>
    </fact>
    <fact i:type="item">
      <id>XMETag_076cd8a71b8943138390af70bc4a2c30</id>
      <concept>{http://xbrl.frc.org.uk/fr/2021-01-01/core}TaxExpenseCreditOnRemeasurementDefinedBenefitPlansInOtherComprehensiveIncome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XMETag_8ec00e06806343058e63aa58deed9536</id>
      <concept>{http://xbrl.frc.org.uk/fr/2021-01-01/core}TaxExpenseCreditOnRemeasurementDefinedBenefitPlansInOtherComprehensiveIncome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2.6</value>
      <format xmlns:d4p1="http://schemas.datacontract.org/2004/07/System.Xml.Linq" i:nil="true"/>
    </fact>
    <fact i:type="item">
      <id>XMETag_94fcd600cc404d9c9eb41804d0f2cebb</id>
      <concept>{http://xbrl.frc.org.uk/fr/2021-01-01/core}TotalTaxExpenseCreditOnCashFlowHedgesInOtherComprehensiveIncome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6.4</value>
      <format xmlns:d4p1="http://schemas.datacontract.org/2004/07/System.Xml.Linq" i:nil="true"/>
    </fact>
    <fact i:type="item">
      <id>XMETag_94de0724961345618ca003a260b04ccf</id>
      <concept>{http://xbrl.frc.org.uk/fr/2021-01-01/core}TotalTaxExpenseCreditOnCashFlowHedgesInOtherComprehensiveIncome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1.6</value>
      <format xmlns:d4p1="http://schemas.datacontract.org/2004/07/System.Xml.Linq" i:nil="true"/>
    </fact>
    <fact i:type="item">
      <id>XMETag_e78abb1868ea4d368fef6248b481045b</id>
      <concept>{http://xbrl.frc.org.uk/fr/2021-01-01/core}DeferredTaxExpenseCreditOnShare-basedPaymentArrangementRecognisedInEquity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XMETag_ea48124f28a24ca1a4d30d86d5431ef5</id>
      <concept>{http://xbrl.frc.org.uk/fr/2021-01-01/core}DeferredTaxExpenseCreditOnShare-basedPaymentArrangementRecognisedInEquity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0.4</value>
      <format xmlns:d4p1="http://schemas.datacontract.org/2004/07/System.Xml.Linq" i:nil="true"/>
    </fact>
    <fact i:type="item">
      <id>XMETag_0aff0c8a086b40bb9ae5c75a85e9ed52</id>
      <concept>{http://xbrl.frc.org.uk/fr/2021-01-01/core}DividendsPaidOnShares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{http://xbrl.frc.org.uk/cd/2021-01-01/business}EntityShareClassesDimension</dimension>
          <member>{http://xbrl.frc.org.uk/cd/2021-01-01/business}AllOrdinaryShares</member>
          <typedValue i:nil="true"/>
          <contextContainer>Segment</contextContainer>
        </dimension>
      </dimensions>
      <transformGroup>United Kingdom</transformGroup>
      <hidden>false</hidden>
      <value>88.0</value>
      <format xmlns:d4p1="http://schemas.datacontract.org/2004/07/System.Xml.Linq" i:nil="true"/>
    </fact>
    <fact i:type="item">
      <id>XMETag_01b908e1e38d48d6a94eb895bd4b6907</id>
      <concept>{http://xbrl.frc.org.uk/fr/2021-01-01/core}DividendsPaidOnShares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{http://xbrl.frc.org.uk/cd/2021-01-01/business}EntityShareClassesDimension</dimension>
          <member>{http://xbrl.frc.org.uk/cd/2021-01-01/business}AllOrdinaryShares</member>
          <typedValue i:nil="true"/>
          <contextContainer>Segment</contextContainer>
        </dimension>
      </dimensions>
      <transformGroup>United Kingdom</transformGroup>
      <hidden>false</hidden>
      <value>101.6</value>
      <format xmlns:d4p1="http://schemas.datacontract.org/2004/07/System.Xml.Linq" i:nil="true"/>
    </fact>
    <fact i:type="item">
      <id>XMETag_9c9338b078ab451d8451bc6275f35107</id>
      <concept>{http://xbrl.frc.org.uk/fr/2021-01-01/core}DividendsFree-textComment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{http://xbrl.frc.org.uk/cd/2021-01-01/business}EntityShareClassesDimension</dimension>
          <member>{http://xbrl.frc.org.uk/cd/2021-01-01/business}AllOrdinaryShares</member>
          <typedValue i:nil="true"/>
          <contextContainer>Segment</contextContainer>
        </dimension>
      </dimensions>
      <transformGroup>United Kingdom</transformGroup>
      <hidden>false</hidden>
      <value>Payment of the outperformance dividend based on cumulative outperformance for 2020/21 of £43.0m has been deferred to August 2022. The Company is obligated to pay the dividend therefore £43.0m has been recognised as a transaction with owners during the year ended 31 March 2022.</value>
      <format xmlns:d4p1="http://schemas.datacontract.org/2004/07/System.Xml.Linq" i:nil="true"/>
    </fact>
    <fact i:type="item">
      <id>XMETag_ee7510c9c46341ecb9c532c7eb49d176</id>
      <concept>{http://xbrl.frc.org.uk/fr/2021-01-01/core}WagesSalaries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62.8</value>
      <format xmlns:d4p1="http://schemas.datacontract.org/2004/07/System.Xml.Linq" i:nil="true"/>
    </fact>
    <fact i:type="item">
      <id>XMETag_ef759f8d18f847ce8aa1fe6da4dbebc8</id>
      <concept>{http://xbrl.frc.org.uk/fr/2021-01-01/core}WagesSalaries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56.2</value>
      <format xmlns:d4p1="http://schemas.datacontract.org/2004/07/System.Xml.Linq" i:nil="true"/>
    </fact>
    <fact i:type="item">
      <id>XMETag_1964f40911f6496f9367e8e2af00f138</id>
      <concept>{http://xbrl.frc.org.uk/fr/2021-01-01/core}SocialSecurityCosts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6.0</value>
      <format xmlns:d4p1="http://schemas.datacontract.org/2004/07/System.Xml.Linq" i:nil="true"/>
    </fact>
    <fact i:type="item">
      <id>XMETag_c779ca0862db4b3d8dfa36094c1422f9</id>
      <concept>{http://xbrl.frc.org.uk/fr/2021-01-01/core}SocialSecurityCosts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5.6</value>
      <format xmlns:d4p1="http://schemas.datacontract.org/2004/07/System.Xml.Linq" i:nil="true"/>
    </fact>
    <fact i:type="item">
      <id>XMETag_ce5f630b9cc1411f9261ac500ab627d4</id>
      <concept>{http://xbrl.frc.org.uk/fr/2021-01-01/core}PensionOtherPost-employmentBenefitCostsOtherPensionCosts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6.9</value>
      <format xmlns:d4p1="http://schemas.datacontract.org/2004/07/System.Xml.Linq" i:nil="true"/>
    </fact>
    <fact i:type="item">
      <id>XMETag_6e7d092b479c45f981bfa17c44fd9a8e</id>
      <concept>{http://xbrl.frc.org.uk/fr/2021-01-01/core}PensionOtherPost-employmentBenefitCostsOtherPensionCosts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12.6</value>
      <format xmlns:d4p1="http://schemas.datacontract.org/2004/07/System.Xml.Linq" i:nil="true"/>
    </fact>
    <fact i:type="item">
      <id>XMETag_1745115cd96443b7a7750d90b310bfc3</id>
      <concept>{http://xbrl.frc.org.uk/fr/2021-01-01/core}Share-basedPaymentExpenseEquitySettled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1.0</value>
      <format xmlns:d4p1="http://schemas.datacontract.org/2004/07/System.Xml.Linq" i:nil="true"/>
    </fact>
    <fact i:type="item">
      <id>XMETag_962785fcdbf44d9296c17d8faab31603</id>
      <concept>{http://xbrl.frc.org.uk/fr/2021-01-01/core}Share-basedPaymentExpenseEquitySettled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1.0</value>
      <format xmlns:d4p1="http://schemas.datacontract.org/2004/07/System.Xml.Linq" i:nil="true"/>
    </fact>
    <fact i:type="item">
      <id>XMETag_0a70c382b7814afd80e250fa79f11551</id>
      <concept>{http://xbrl.frc.org.uk/fr/2021-01-01/core}FurtherEmployeeExpenseItemComponentTotalEmployeeBenefitsExpense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56.9</value>
      <format xmlns:d4p1="http://schemas.datacontract.org/2004/07/System.Xml.Linq" i:nil="true"/>
    </fact>
    <fact i:type="item">
      <id>XMETag_3069c534e9e340f4bf1e4cb81344c9a7</id>
      <concept>{http://xbrl.frc.org.uk/fr/2021-01-01/core}FurtherEmployeeExpenseItemComponentTotalEmployeeBenefitsExpense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53.9</value>
      <format xmlns:d4p1="http://schemas.datacontract.org/2004/07/System.Xml.Linq" i:nil="true"/>
    </fact>
    <fact i:type="item">
      <id>XMETag_c2913920b8844c4bb700d3da2577adfc</id>
      <concept>{http://xbrl.frc.org.uk/fr/2021-01-01/core}FurtherEmployeeExpenseItemComponentTotalEmployeeBenefitsExpense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18.1</value>
      <format xmlns:d4p1="http://schemas.datacontract.org/2004/07/System.Xml.Linq" i:nil="true"/>
    </fact>
    <fact i:type="item">
      <id>XMETag_155591c69d8c477b8f6a41cd033fced6</id>
      <concept>{http://xbrl.frc.org.uk/fr/2021-01-01/core}FurtherEmployeeExpenseItemComponentTotalEmployeeBenefitsExpense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18.0</value>
      <format xmlns:d4p1="http://schemas.datacontract.org/2004/07/System.Xml.Linq" i:nil="true"/>
    </fact>
    <fact i:type="item">
      <id>XMETag_ddac4387ff4247cb97a3b069dfaac48b</id>
      <concept>{http://xbrl.frc.org.uk/fr/2021-01-01/core}FurtherEmployeeExpenseItemComponentTotalEmployeeBenefitsExpense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3</typedValue>
          <contextContainer>Segment</contextContainer>
        </dimension>
      </dimensions>
      <transformGroup>United Kingdom</transformGroup>
      <hidden>false</hidden>
      <value>1.7</value>
      <format xmlns:d4p1="http://schemas.datacontract.org/2004/07/System.Xml.Linq" i:nil="true"/>
    </fact>
    <fact i:type="item">
      <id>XMETag_fa571ce06236463e928d6020be15c69b</id>
      <concept>{http://xbrl.frc.org.uk/fr/2021-01-01/core}FurtherEmployeeExpenseItemComponentTotalEmployeeBenefitsExpense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3</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XMETag_1d86daabcf8648bbb78d89a065d85dad</id>
      <concept>{http://xbrl.frc.org.uk/fr/2021-01-01/core}FurtherEmployeeExpenseItemComponentTotalEmployeeBenefitsExpense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4</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XMETag_7a5af842ead9420e8025ae24850c2a77</id>
      <concept>{http://xbrl.frc.org.uk/fr/2021-01-01/core}FurtherEmployeeExpenseItemComponentTotalEmployeeBenefitsExpense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4</typedValue>
          <contextContainer>Segment</contextContainer>
        </dimension>
      </dimensions>
      <transformGroup>United Kingdom</transformGroup>
      <hidden>false</hidden>
      <value>3.5</value>
      <format xmlns:d4p1="http://schemas.datacontract.org/2004/07/System.Xml.Linq" i:nil="true"/>
    </fact>
    <fact i:type="item">
      <id>XMETag_6761b83e090040ac951ccfff23eb4a84</id>
      <concept>{http://xbrl.frc.org.uk/reports/2021-01-01/direp}SalariesDirectors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{http://xbrl.frc.org.uk/cd/2021-01-01/business}ExecutiveOfficer</member>
          <typedValue i:nil="true"/>
          <contextContainer>Segment</contextContainer>
        </dimension>
      </dimensions>
      <transformGroup>United Kingdom</transformGroup>
      <hidden>false</hidden>
      <value>408</value>
      <format xmlns:d4p1="http://schemas.datacontract.org/2004/07/System.Xml.Linq" i:nil="true"/>
    </fact>
    <fact i:type="item">
      <id>XMETag_8aaef2945c5d41b4b303348063de8f99</id>
      <concept>{http://xbrl.frc.org.uk/reports/2021-01-01/direp}SalariesDirectors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{http://xbrl.frc.org.uk/cd/2021-01-01/business}ExecutiveOfficer</member>
          <typedValue i:nil="true"/>
          <contextContainer>Segment</contextContainer>
        </dimension>
      </dimensions>
      <transformGroup>United Kingdom</transformGroup>
      <hidden>false</hidden>
      <value>488</value>
      <format xmlns:d4p1="http://schemas.datacontract.org/2004/07/System.Xml.Linq" i:nil="true"/>
    </fact>
    <fact i:type="item">
      <id>XMETag_0f78ddc2e13241db9bf5c69a19c5f161</id>
      <concept>{http://xbrl.frc.org.uk/reports/2021-01-01/direp}BonusesDirectors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{http://xbrl.frc.org.uk/cd/2021-01-01/business}ExecutiveOfficer</member>
          <typedValue i:nil="true"/>
          <contextContainer>Segment</contextContainer>
        </dimension>
      </dimensions>
      <transformGroup>United Kingdom</transformGroup>
      <hidden>false</hidden>
      <value>121</value>
      <format xmlns:d4p1="http://schemas.datacontract.org/2004/07/System.Xml.Linq" i:nil="true"/>
    </fact>
    <fact i:type="item">
      <id>XMETag_ecacee038979419d9f27f5e2d2b94b39</id>
      <concept>{http://xbrl.frc.org.uk/reports/2021-01-01/direp}BonusesDirectors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{http://xbrl.frc.org.uk/cd/2021-01-01/business}ExecutiveOfficer</member>
          <typedValue i:nil="true"/>
          <contextContainer>Segment</contextContainer>
        </dimension>
      </dimensions>
      <transformGroup>United Kingdom</transformGroup>
      <hidden>false</hidden>
      <value>208</value>
      <format xmlns:d4p1="http://schemas.datacontract.org/2004/07/System.Xml.Linq" i:nil="true"/>
    </fact>
    <fact i:type="item">
      <id>XMETag_916830d284bf44d8879e4c49d0a9d973</id>
      <concept>{http://xbrl.frc.org.uk/reports/2021-01-01/direp}FurtherItemDirectorRemunerationBenefitsComponentTotalDirectorRemunerationBenefitsExcludingPaymentsToThirdParties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{http://xbrl.frc.org.uk/cd/2021-01-01/business}ExecutiveOfficer</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386</value>
      <format xmlns:d4p1="http://schemas.datacontract.org/2004/07/System.Xml.Linq" i:nil="true"/>
    </fact>
    <fact i:type="item">
      <id>XMETag_47e38d34d31e4066bbd15f6454356dd6</id>
      <concept>{http://xbrl.frc.org.uk/reports/2021-01-01/direp}FurtherItemDirectorRemunerationBenefitsComponentTotalDirectorRemunerationBenefitsExcludingPaymentsToThirdParties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{http://xbrl.frc.org.uk/cd/2021-01-01/business}ExecutiveOfficer</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541</value>
      <format xmlns:d4p1="http://schemas.datacontract.org/2004/07/System.Xml.Linq" i:nil="true"/>
    </fact>
    <fact i:type="item">
      <id>XMETag_e022ce7eb98c49bcad999ef5a5b58096</id>
      <concept>{http://xbrl.frc.org.uk/reports/2021-01-01/direp}FurtherItemDirectorRemunerationBenefitsComponentTotalDirectorRemunerationBenefitsExcludingPaymentsToThirdParties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{http://xbrl.frc.org.uk/cd/2021-01-01/business}ExecutiveOfficer</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77</value>
      <format xmlns:d4p1="http://schemas.datacontract.org/2004/07/System.Xml.Linq" i:nil="true"/>
    </fact>
    <fact i:type="item">
      <id>XMETag_15960c0b19e14fe99f6584f7d7730c93</id>
      <concept>{http://xbrl.frc.org.uk/reports/2021-01-01/direp}FurtherItemDirectorRemunerationBenefitsComponentTotalDirectorRemunerationBenefitsExcludingPaymentsToThirdParties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{http://xbrl.frc.org.uk/cd/2021-01-01/business}ExecutiveOfficer</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113</value>
      <format xmlns:d4p1="http://schemas.datacontract.org/2004/07/System.Xml.Linq" i:nil="true"/>
    </fact>
    <fact i:type="item">
      <id>XMETag_95d1a97bb2e64a36bc433f3c13ba2bb5</id>
      <concept>{http://xbrl.frc.org.uk/reports/2021-01-01/direp}DirectorRemuneration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262</value>
      <format xmlns:d4p1="http://schemas.datacontract.org/2004/07/System.Xml.Linq" i:nil="true"/>
    </fact>
    <fact i:type="item">
      <id>XMETag_f271d5b19fa5468983c2bf605f1fcb92</id>
      <concept>{http://xbrl.frc.org.uk/reports/2021-01-01/direp}DirectorRemuneration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dimension>
          <dimension>{http://xbrl.frc.org.uk/cd/2021-01-01/business}EntityOfficerStatusDimension</dimension>
          <member>{http://xbrl.frc.org.uk/cd/2021-01-01/business}Non-executiveOfficer</member>
          <typedValue i:nil="true"/>
          <contextContainer>Segment</contextContainer>
        </dimension>
      </dimensions>
      <transformGroup>United Kingdom</transformGroup>
      <hidden>false</hidden>
      <value>325</value>
      <format xmlns:d4p1="http://schemas.datacontract.org/2004/07/System.Xml.Linq" i:nil="true"/>
    </fact>
    <fact i:type="item">
      <id>XMETag_d803323ad57443d29a48a1f659b60592</id>
      <concept>{http://xbrl.frc.org.uk/reports/2021-01-01/direp}DirectorRemunerationBenefitsIncludingPaymentsToThirdParties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3</scale>
      </numericProperties>
      <dimensions/>
      <transformGroup>United Kingdom</transformGroup>
      <hidden>false</hidden>
      <value>1,254</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XMETag_c7a86747e32744f3ae10ae6b12434abb</id>
      <concept>{http://xbrl.frc.org.uk/reports/2021-01-01/direp}DirectorRemunerationBenefitsIncludingPaymentsToThirdParties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3</scale>
      </numericProperties>
      <dimensions/>
      <transformGroup>United Kingdom</transformGroup>
      <hidden>false</hidden>
      <value>1,675</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XMETag_f1bb679ac5204801a9468d30293476e8</id>
      <concept>{http://xbrl.frc.org.uk/reports/2021-01-01/direp}DirectorsRemunerationFree-textComment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More detailed information concerning Directors’ emoluments (including pensions and the highest paid Director) and share interests is shown in the Annual Report on Remuneration on pages 139 to 157. This report also details arrangements with Pennon Group plc for the payment and recharging of emoluments relating to Directors who serve as Directors of both Pennon Group and South West Water. In the prior year one of the directors received compensation for loss of office which has been borne in full by Pennon Group plc.The cost of share-based payments represents the amount charged to the income statement, as described in note 29.
The aggregate gains on vesting of Directors’ share-based awards amounted to a total of £112,000 (2021: £87,000).</value>
      <format xmlns:d4p1="http://schemas.datacontract.org/2004/07/System.Xml.Linq" i:nil="true"/>
    </fact>
    <fact i:type="item">
      <id>XMETag_1285052909d24d2c9b5c041ba7cd6ea9</id>
      <concept>{http://xbrl.frc.org.uk/reports/2021-01-01/direp}CompanyContributionsToMoneyPurchasePlansDirectors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0</scale>
      </numericProperties>
      <dimensions/>
      <transformGroup>United Kingdom</transformGroup>
      <hidden>false</hidden>
      <value>2,000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XMETag_f7bd3d3bfc074e59a0fc91acf66d964c</id>
      <concept>{http://xbrl.frc.org.uk/reports/2021-01-01/direp}CompanyContributionsToMoneyPurchasePlansDirectors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0</scale>
      </numericProperties>
      <dimensions/>
      <transformGroup>United Kingdom</transformGroup>
      <hidden>false</hidden>
      <value>3,000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XMETag_f685653e3d1e45f98ab69bfb575e134b</id>
      <concept>{http://xbrl.frc.org.uk/reports/2021-01-01/direp}NumberDirectorsAccruingBenefitsUnderMoneyPurchaseScheme</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transformGroup>United Kingdom</transformGroup>
      <hidden>true</hidden>
      <value>1</value>
      <format xmlns:d4p1="http://schemas.datacontract.org/2004/07/System.Xml.Linq" i:nil="true"/>
    </fact>
    <fact i:type="item">
      <id>XMETag_ba6832e1c86a4a9fa39fb31292fd9cee</id>
      <concept>{http://xbrl.frc.org.uk/reports/2021-01-01/direp}NumberDirectorsAccruingBenefitsUnderMoneyPurchaseScheme</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0</scale>
      </numericProperties>
      <dimensions/>
      <transformGroup>United Kingdom</transformGroup>
      <hidden>true</hidden>
      <value>1</value>
      <format xmlns:d4p1="http://schemas.datacontract.org/2004/07/System.Xml.Linq" i:nil="true"/>
    </fact>
    <fact i:type="item">
      <id>XMETag_ee387abc3b8a43cba28806e98ce0c0dc</id>
      <concept>{http://xbrl.frc.org.uk/fr/2021-01-01/core}TotalAdditionsIncludingFromBusinessCombinationsPropertyPlantEquipment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0.1</value>
      <format xmlns:d4p1="http://schemas.datacontract.org/2004/07/System.Xml.Linq" i:nil="true"/>
    </fact>
    <fact i:type="item">
      <id>XMETag_39ebc51e0a6e40808f8201b1bd86e9fa</id>
      <concept>{http://xbrl.frc.org.uk/fr/2021-01-01/core}TotalAdditionsIncludingFromBusinessCombinationsPropertyPlantEquipment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17.0</value>
      <format xmlns:d4p1="http://schemas.datacontract.org/2004/07/System.Xml.Linq" i:nil="true"/>
    </fact>
    <fact i:type="item">
      <id>XMETag_8d9f605405ab4b689fe36b8b5c6561a2</id>
      <concept>{http://xbrl.frc.org.uk/fr/2021-01-01/core}TotalAdditionsIncludingFromBusinessCombinationsPropertyPlantEquipment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2.7</value>
      <format xmlns:d4p1="http://schemas.datacontract.org/2004/07/System.Xml.Linq" i:nil="true"/>
    </fact>
    <fact i:type="item">
      <id>XMETag_1b86abded5e14bbd8631d00706e91f42</id>
      <concept>{http://xbrl.frc.org.uk/fr/2021-01-01/core}TotalAdditionsIncludingFromBusinessCombinationsPropertyPlantEquipment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49.1</value>
      <format xmlns:d4p1="http://schemas.datacontract.org/2004/07/System.Xml.Linq" i:nil="true"/>
    </fact>
    <fact i:type="item">
      <id>XMETag_ae1edf0c7f65428e94d6168de2547f15</id>
      <concept>{http://xbrl.frc.org.uk/fr/2021-01-01/core}TotalAdditionsIncludingFromBusinessCombinationsPropertyPlantEquipment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99.2</value>
      <format xmlns:d4p1="http://schemas.datacontract.org/2004/07/System.Xml.Linq" i:nil="true"/>
    </fact>
    <fact i:type="item">
      <id>XMETag_54a02124bd1d4781ac0e8b326e53c16a</id>
      <concept>{http://xbrl.frc.org.uk/fr/2021-01-01/core}TotalAdditionsIncludingFromBusinessCombinationsPropertyPlantEquipment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168.1</value>
      <format xmlns:d4p1="http://schemas.datacontract.org/2004/07/System.Xml.Linq" i:nil="true"/>
    </fact>
    <fact i:type="item">
      <id>XMETag_4e3cf43732674c1ab276afcc85a2b037</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XMETag_67dedc2cf81f42ff82b6d9603ca825ea</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7.5</value>
      <format xmlns:d4p1="http://schemas.datacontract.org/2004/07/System.Xml.Linq" i:nil="true"/>
    </fact>
    <fact i:type="item">
      <id>XMETag_64646df0fd3849f39ea5fbfed10d62b7</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XMETag_a5ac479186b54a409ec01d0516d08dc7</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XMETag_58601c6a9ca540a9bff0c3dd17003bcc</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XMETag_e842384181ff4040aab5532c804a8c8f</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7.5</value>
      <format xmlns:d4p1="http://schemas.datacontract.org/2004/07/System.Xml.Linq" i:nil="true"/>
    </fact>
    <fact i:type="item">
      <id>XMETag_50582d092ce346d0859c2b5bb2886e14</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XMETag_8c0af08d61044de799d3c54d165413d5</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XMETag_39390bc42bfa40789d926124fc84c998</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XMETag_1f485f11f6b04752bb3a4c538ed5706a</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XMETag_79ae1f4a761f4d01b9d0535fb8833b9a</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(3.7)</value>
      <format xmlns:d4p1="http://schemas.datacontract.org/2004/07/System.Xml.Linq" i:nil="true"/>
    </fact>
    <fact i:type="item">
      <id>XMETag_924950f802d6408989f89a5a68090b78</id>
      <concept>{http://xbrl.frc.org.uk/fr/2021-01-01/core}FurtherItemIncreaseDecreaseInPPEComponentTotalChangeInPPE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(3.7)</value>
      <format xmlns:d4p1="http://schemas.datacontract.org/2004/07/System.Xml.Linq" i:nil="true"/>
    </fact>
    <fact i:type="item">
      <id>XMETag_5356826ea7a142468642cdd3fc81c14b</id>
      <concept>{http://xbrl.frc.org.uk/fr/2021-01-01/core}DisposalsPropertyPlantEquipment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XMETag_3ce4fe255fc2473babb374b17f18e0fd</id>
      <concept>{http://xbrl.frc.org.uk/fr/2021-01-01/core}DisposalsPropertyPlantEquipment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XMETag_13496afb1d154b49bf8d6a03abb8048e</id>
      <concept>{http://xbrl.frc.org.uk/fr/2021-01-01/core}DisposalsPropertyPlantEquipment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XMETag_31b3f72bcf66450188bd6c439602a961</id>
      <concept>{http://xbrl.frc.org.uk/fr/2021-01-01/core}DisposalsPropertyPlantEquipment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(0.7)</value>
      <format xmlns:d4p1="http://schemas.datacontract.org/2004/07/System.Xml.Linq" i:nil="true"/>
    </fact>
    <fact i:type="item">
      <id>XMETag_bb9cb73273034343b59cfb25f31101dc</id>
      <concept>{http://xbrl.frc.org.uk/fr/2021-01-01/core}DisposalsPropertyPlantEquipment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XMETag_3b82a13c4efa4edc8bea9b5f902a0c7b</id>
      <concept>{http://xbrl.frc.org.uk/fr/2021-01-01/core}DisposalsPropertyPlantEquipment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XMETag_9b7e256016a944198e601ec87065a834</id>
      <concept>{http://xbrl.frc.org.uk/fr/2021-01-01/core}IncreaseDecreaseDueToTransfersBetweenClassesPropertyPlantEquipment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0.4</value>
      <format xmlns:d4p1="http://schemas.datacontract.org/2004/07/System.Xml.Linq" i:nil="true"/>
    </fact>
    <fact i:type="item">
      <id>XMETag_adc370f0557041d1bb44ce352b7a80c5</id>
      <concept>{http://xbrl.frc.org.uk/fr/2021-01-01/core}IncreaseDecreaseDueToTransfersBetweenClassesPropertyPlantEquipment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13.5</value>
      <format xmlns:d4p1="http://schemas.datacontract.org/2004/07/System.Xml.Linq" i:nil="true"/>
    </fact>
    <fact i:type="item">
      <id>XMETag_c9bd0b6017954bdca26b301a42ae5f67</id>
      <concept>{http://xbrl.frc.org.uk/fr/2021-01-01/core}IncreaseDecreaseDueToTransfersBetweenClassesPropertyPlantEquipment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12.6</value>
      <format xmlns:d4p1="http://schemas.datacontract.org/2004/07/System.Xml.Linq" i:nil="true"/>
    </fact>
    <fact i:type="item">
      <id>XMETag_a8b5deef67914df6ae6bc96c88745f22</id>
      <concept>{http://xbrl.frc.org.uk/fr/2021-01-01/core}IncreaseDecreaseDueToTransfersBetweenClassesPropertyPlantEquipment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70.2</value>
      <format xmlns:d4p1="http://schemas.datacontract.org/2004/07/System.Xml.Linq" i:nil="true"/>
    </fact>
    <fact i:type="item">
      <id>XMETag_ee93eff9fcaa4016a86b10b0d83ff1ae</id>
      <concept>{http://xbrl.frc.org.uk/fr/2021-01-01/core}IncreaseDecreaseDueToTransfersBetweenClassesPropertyPlantEquipment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(96.7)</value>
      <format xmlns:d4p1="http://schemas.datacontract.org/2004/07/System.Xml.Linq" i:nil="true"/>
    </fact>
    <fact i:type="item">
      <id>XMETag_79834ccc919f45c699068ce459545525</id>
      <concept>{http://xbrl.frc.org.uk/fr/2021-01-01/core}IncreaseDecreaseDueToTransfersBetweenClassesPropertyPlantEquipment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XMETag_4f70cff2821e4b7fb59c1456f6558f94</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85.9</value>
      <format xmlns:d4p1="http://schemas.datacontract.org/2004/07/System.Xml.Linq" i:nil="true"/>
    </fact>
    <fact i:type="item">
      <id>XMETag_627a6538b9fd446eaa327c6da513de36</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1,983.0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XMETag_b54a8767275e4387bdcfaaeaac9f078f</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784.9</value>
      <format xmlns:d4p1="http://schemas.datacontract.org/2004/07/System.Xml.Linq" i:nil="true"/>
    </fact>
    <fact i:type="item">
      <id>XMETag_81994bac43574c2bb57f99c8b03fe5a6</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2,072.2</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XMETag_0197c69beb414fd592f79656c86566b5</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117.8</value>
      <format xmlns:d4p1="http://schemas.datacontract.org/2004/07/System.Xml.Linq" i:nil="true"/>
    </fact>
    <fact i:type="item">
      <id>XMETag_fcb49817d8c04cf2bcf16ef22f6434cc</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5,043.8</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XMETag_948e616e528e48ac896c96f1241c0acd</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XMETag_cb1151e1c08a4deeaad990a0441aa624</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25.9</value>
      <format xmlns:d4p1="http://schemas.datacontract.org/2004/07/System.Xml.Linq" i:nil="true"/>
    </fact>
    <fact i:type="item">
      <id>XMETag_fa0bd8e3b0de4e9a807af457f490b7a2</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1.8</value>
      <format xmlns:d4p1="http://schemas.datacontract.org/2004/07/System.Xml.Linq" i:nil="true"/>
    </fact>
    <fact i:type="item">
      <id>XMETag_85ad0cb935e64ae3965bad4c23371026</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65.1</value>
      <format xmlns:d4p1="http://schemas.datacontract.org/2004/07/System.Xml.Linq" i:nil="true"/>
    </fact>
    <fact i:type="item">
      <id>XMETag_0fe69e24c8524823afd5fa519001b0cf</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109.7</value>
      <format xmlns:d4p1="http://schemas.datacontract.org/2004/07/System.Xml.Linq" i:nil="true"/>
    </fact>
    <fact i:type="item">
      <id>XMETag_a2fba3a5337e4e29ab6c1e4245469400</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202.5</value>
      <format xmlns:d4p1="http://schemas.datacontract.org/2004/07/System.Xml.Linq" i:nil="true"/>
    </fact>
    <fact i:type="item">
      <id>XMETag_75da22a9bca24861b661fb96a8591748</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XMETag_2bb9307123824a3e8dd68900bd448c7b</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11.0</value>
      <format xmlns:d4p1="http://schemas.datacontract.org/2004/07/System.Xml.Linq" i:nil="true"/>
    </fact>
    <fact i:type="item">
      <id>XMETag_d55682d3c8af488aaaf3f23ed62627e2</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XMETag_352126cd5f344ed69138ec86ea15d6b4</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XMETag_a7f32fa794f145c78c95dd6b8f641b7f</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XMETag_31023a18e5fa410d8c005ea74ccf0b17</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11.0</value>
      <format xmlns:d4p1="http://schemas.datacontract.org/2004/07/System.Xml.Linq" i:nil="true"/>
    </fact>
    <fact i:type="item">
      <id>XMETag_0b42baf0a7694d2d89e4c17ac60bcaf9</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XMETag_1d9a738bb3e84352bc039251dce6ad3a</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XMETag_35838a5fe80e417a86d8484b3366e922</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XMETag_19291a44148e498da6fa38a0151cb6a1</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XMETag_99585a5939874738a3a28b05080f0da4</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(3.2)</value>
      <format xmlns:d4p1="http://schemas.datacontract.org/2004/07/System.Xml.Linq" i:nil="true"/>
    </fact>
    <fact i:type="item">
      <id>XMETag_1fd92a52cdf14bfa845c9c163fdf883e</id>
      <concept>{http://xbrl.frc.org.uk/fr/2021-01-01/core}FurtherItemIncreaseDecreaseInPPEComponentTotalChangeInPPE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(3.2)</value>
      <format xmlns:d4p1="http://schemas.datacontract.org/2004/07/System.Xml.Linq" i:nil="true"/>
    </fact>
    <fact i:type="item">
      <id>XMETag_e2aa3025df0d43f2b718e8f569eac305</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(0.3)</value>
      <format xmlns:d4p1="http://schemas.datacontract.org/2004/07/System.Xml.Linq" i:nil="true"/>
    </fact>
    <fact i:type="item">
      <id>XMETag_44b42d87fada42f2b6e3240f4ae888de</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(1.2)</value>
      <format xmlns:d4p1="http://schemas.datacontract.org/2004/07/System.Xml.Linq" i:nil="true"/>
    </fact>
    <fact i:type="item">
      <id>XMETag_2d6b2c09c60a48f29199e5bd79dbb111</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XMETag_8057ccbf8b124d4ab38cb1fe96e638bb</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(0.9)</value>
      <format xmlns:d4p1="http://schemas.datacontract.org/2004/07/System.Xml.Linq" i:nil="true"/>
    </fact>
    <fact i:type="item">
      <id>XMETag_cda690676b244097888390d99957730a</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XMETag_43197454ea6149bd8b372cf407ed8ef8</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(2.4)</value>
      <format xmlns:d4p1="http://schemas.datacontract.org/2004/07/System.Xml.Linq" i:nil="true"/>
    </fact>
    <fact i:type="item">
      <id>XMETag_7c56d66dcc2d457b895ab9a75981b423</id>
      <concept>{http://xbrl.frc.org.uk/fr/2021-01-01/core}IncreaseDecreaseDueToTransfersBetweenClassesPropertyPlantEquipment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0.6</value>
      <format xmlns:d4p1="http://schemas.datacontract.org/2004/07/System.Xml.Linq" i:nil="true"/>
    </fact>
    <fact i:type="item">
      <id>XMETag_3df248386e714e578e45f5d4b753ab09</id>
      <concept>{http://xbrl.frc.org.uk/fr/2021-01-01/core}IncreaseDecreaseDueToTransfersBetweenClassesPropertyPlantEquipment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17.1</value>
      <format xmlns:d4p1="http://schemas.datacontract.org/2004/07/System.Xml.Linq" i:nil="true"/>
    </fact>
    <fact i:type="item">
      <id>XMETag_974cd56e85c14e07a897cc5b9c155e9d</id>
      <concept>{http://xbrl.frc.org.uk/fr/2021-01-01/core}IncreaseDecreaseDueToTransfersBetweenClassesPropertyPlantEquipment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3.7</value>
      <format xmlns:d4p1="http://schemas.datacontract.org/2004/07/System.Xml.Linq" i:nil="true"/>
    </fact>
    <fact i:type="item">
      <id>XMETag_002c51549e8546a581eadd6f6e123e15</id>
      <concept>{http://xbrl.frc.org.uk/fr/2021-01-01/core}IncreaseDecreaseDueToTransfersBetweenClassesPropertyPlantEquipment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43.9</value>
      <format xmlns:d4p1="http://schemas.datacontract.org/2004/07/System.Xml.Linq" i:nil="true"/>
    </fact>
    <fact i:type="item">
      <id>XMETag_41b28caa96714bc7bff85ae4a4127d9a</id>
      <concept>{http://xbrl.frc.org.uk/fr/2021-01-01/core}IncreaseDecreaseDueToTransfersBetweenClassesPropertyPlantEquipment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(65.3)</value>
      <format xmlns:d4p1="http://schemas.datacontract.org/2004/07/System.Xml.Linq" i:nil="true"/>
    </fact>
    <fact i:type="item">
      <id>XMETag_989ce61adedb455aa79008dbae8eed81</id>
      <concept>{http://xbrl.frc.org.uk/fr/2021-01-01/core}IncreaseDecreaseDueToTransfersBetweenClassesPropertyPlantEquipment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XMETag_23c27ab5cf794a509a3c70bd41bf6cd4</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86.2</value>
      <format xmlns:d4p1="http://schemas.datacontract.org/2004/07/System.Xml.Linq" i:nil="true"/>
    </fact>
    <fact i:type="item">
      <id>XMETag_139768aaa9624a4c9ee54f4f44fa222d</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2,035.8</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XMETag_01f912830eca4c8086c9b85817774ef1</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790.4</value>
      <format xmlns:d4p1="http://schemas.datacontract.org/2004/07/System.Xml.Linq" i:nil="true"/>
    </fact>
    <fact i:type="item">
      <id>XMETag_44cc641eb02e46888e648f51d844632e</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2,180.3</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XMETag_0436af417f954b0ea795313c0bcd754e</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159.0</value>
      <format xmlns:d4p1="http://schemas.datacontract.org/2004/07/System.Xml.Linq" i:nil="true"/>
    </fact>
    <fact i:type="item">
      <id>XMETag_1f59565ce2e34569903a25ae3db9a097</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5,251.7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XMETag_aee2bd98ff814013849d9de804333b1c</id>
      <concept>{http://xbrl.frc.org.uk/fr/2021-01-01/core}AccumulatedDepreciationImpairmentPropertyPlantEquipment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15.9</value>
      <format xmlns:d4p1="http://schemas.datacontract.org/2004/07/System.Xml.Linq" i:nil="true"/>
    </fact>
    <fact i:type="item">
      <id>XMETag_8ff11868584448e7bf50a263ca0120af</id>
      <concept>{http://xbrl.frc.org.uk/fr/2021-01-01/core}AccumulatedDepreciationImpairmentPropertyPlantEquipment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296.0</value>
      <format xmlns:d4p1="http://schemas.datacontract.org/2004/07/System.Xml.Linq" i:nil="true"/>
    </fact>
    <fact i:type="item">
      <id>XMETag_da4e2c67e7e24cada3d79a75130f75a5</id>
      <concept>{http://xbrl.frc.org.uk/fr/2021-01-01/core}AccumulatedDepreciationImpairmentPropertyPlantEquipment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285.5</value>
      <format xmlns:d4p1="http://schemas.datacontract.org/2004/07/System.Xml.Linq" i:nil="true"/>
    </fact>
    <fact i:type="item">
      <id>XMETag_fbe80c2319b341f68a1828100c792c4f</id>
      <concept>{http://xbrl.frc.org.uk/fr/2021-01-01/core}AccumulatedDepreciationImpairmentPropertyPlantEquipment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1,186.2</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XMETag_52effb5d7e5046d2b232666465e08fde</id>
      <concept>{http://xbrl.frc.org.uk/fr/2021-01-01/core}AccumulatedDepreciationImpairmentPropertyPlantEquipment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XMETag_05be2116049948f58858bdae10ffdc17</id>
      <concept>{http://xbrl.frc.org.uk/fr/2021-01-01/core}AccumulatedDepreciationImpairmentPropertyPlantEquipment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1,783.6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XMETag_6402ec5f72194445bd483b21f2839959</id>
      <concept>{http://xbrl.frc.org.uk/fr/2021-01-01/core}IncreaseFromDepreciationChargeForYearPropertyPlantEquipment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2.9</value>
      <format xmlns:d4p1="http://schemas.datacontract.org/2004/07/System.Xml.Linq" i:nil="true"/>
    </fact>
    <fact i:type="item">
      <id>XMETag_edfa6e5f9a6c4705976e51d7f24f22ed</id>
      <concept>{http://xbrl.frc.org.uk/fr/2021-01-01/core}IncreaseFromDepreciationChargeForYearPropertyPlantEquipment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23.2</value>
      <format xmlns:d4p1="http://schemas.datacontract.org/2004/07/System.Xml.Linq" i:nil="true"/>
    </fact>
    <fact i:type="item">
      <id>XMETag_8269667279384ca6a3a885dd0b505d83</id>
      <concept>{http://xbrl.frc.org.uk/fr/2021-01-01/core}IncreaseFromDepreciationChargeForYearPropertyPlantEquipment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13.8</value>
      <format xmlns:d4p1="http://schemas.datacontract.org/2004/07/System.Xml.Linq" i:nil="true"/>
    </fact>
    <fact i:type="item">
      <id>XMETag_22d4d358eba74d04b958dde49b1c5569</id>
      <concept>{http://xbrl.frc.org.uk/fr/2021-01-01/core}IncreaseFromDepreciationChargeForYearPropertyPlantEquipment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82.2</value>
      <format xmlns:d4p1="http://schemas.datacontract.org/2004/07/System.Xml.Linq" i:nil="true"/>
    </fact>
    <fact i:type="item">
      <id>XMETag_ce559894a4ae4ca3b5f04ab7cda00dfe</id>
      <concept>{http://xbrl.frc.org.uk/fr/2021-01-01/core}IncreaseFromDepreciationChargeForYearPropertyPlantEquipment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XMETag_18517b4455634e85ac5ae21aaa8578c2</id>
      <concept>{http://xbrl.frc.org.uk/fr/2021-01-01/core}IncreaseFromDepreciationChargeForYearPropertyPlantEquipment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122.1</value>
      <format xmlns:d4p1="http://schemas.datacontract.org/2004/07/System.Xml.Linq" i:nil="true"/>
    </fact>
    <fact i:type="item">
      <id>XMETag_98c39c0f28864c0cb6e1ec98b699a7f2</id>
      <concept>{http://xbrl.frc.org.uk/fr/2021-01-01/core}DisposalsDecreaseInDepreciationImpairmentPropertyPlantEquipment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XMETag_4b3b63d349f9419cad64c82ab371a67b</id>
      <concept>{http://xbrl.frc.org.uk/fr/2021-01-01/core}DisposalsDecreaseInDepreciationImpairmentPropertyPlantEquipment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XMETag_3494d456296f45418820b8406bf12baa</id>
      <concept>{http://xbrl.frc.org.uk/fr/2021-01-01/core}DisposalsDecreaseInDepreciationImpairmentPropertyPlantEquipment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XMETag_9aa8d6c4e30447e3b531da9104f19a6e</id>
      <concept>{http://xbrl.frc.org.uk/fr/2021-01-01/core}DisposalsDecreaseInDepreciationImpairmentPropertyPlantEquipment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(0.7)</value>
      <format xmlns:d4p1="http://schemas.datacontract.org/2004/07/System.Xml.Linq" i:nil="true"/>
    </fact>
    <fact i:type="item">
      <id>XMETag_f98ffda493654c58a24934897d55e4d5</id>
      <concept>{http://xbrl.frc.org.uk/fr/2021-01-01/core}DisposalsDecreaseInDepreciationImpairmentPropertyPlantEquipment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XMETag_a3600a105d504e2f8a5707b512bf60a4</id>
      <concept>{http://xbrl.frc.org.uk/fr/2021-01-01/core}DisposalsDecreaseInDepreciationImpairmentPropertyPlantEquipment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XMETag_a53d0979a8af4af6878149e2ea0a3b59</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18.8</value>
      <format xmlns:d4p1="http://schemas.datacontract.org/2004/07/System.Xml.Linq" i:nil="true"/>
    </fact>
    <fact i:type="item">
      <id>XMETag_8bd4834b4217454eadf553ff406c3968</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319.2</value>
      <format xmlns:d4p1="http://schemas.datacontract.org/2004/07/System.Xml.Linq" i:nil="true"/>
    </fact>
    <fact i:type="item">
      <id>XMETag_19e89501f84346c0ad3a2564a47240fd</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299.3</value>
      <format xmlns:d4p1="http://schemas.datacontract.org/2004/07/System.Xml.Linq" i:nil="true"/>
    </fact>
    <fact i:type="item">
      <id>XMETag_4c4ab630a8bf4c43a1f48e204697af15</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1,267.7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XMETag_c348f5a1a7874505af434cf8fb434735</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XMETag_81cb1ccb72a441eab77d363a7e3308f6</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1,905.0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XMETag_8f6e817b318245bb905b4921d885aa68</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2.8</value>
      <format xmlns:d4p1="http://schemas.datacontract.org/2004/07/System.Xml.Linq" i:nil="true"/>
    </fact>
    <fact i:type="item">
      <id>XMETag_a193a61a76ca4946a89a9fb3acd10a6c</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25.2</value>
      <format xmlns:d4p1="http://schemas.datacontract.org/2004/07/System.Xml.Linq" i:nil="true"/>
    </fact>
    <fact i:type="item">
      <id>XMETag_7744040fc4d24197be1cc54ab7437c0b</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9.6</value>
      <format xmlns:d4p1="http://schemas.datacontract.org/2004/07/System.Xml.Linq" i:nil="true"/>
    </fact>
    <fact i:type="item">
      <id>XMETag_59e297d759f44905b080a2647f831d6c</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83.1</value>
      <format xmlns:d4p1="http://schemas.datacontract.org/2004/07/System.Xml.Linq" i:nil="true"/>
    </fact>
    <fact i:type="item">
      <id>XMETag_2b2ec03466ad41ce9016c5978a83618d</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XMETag_338a5a61de334be4adb833cc6ef53dd0</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120.7</value>
      <format xmlns:d4p1="http://schemas.datacontract.org/2004/07/System.Xml.Linq" i:nil="true"/>
    </fact>
    <fact i:type="item">
      <id>XMETag_a642f8868fd9437bb3c3cb83a96e4fa7</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XMETag_546301f78e5d4c2991d7a8d123f73474</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(1.2)</value>
      <format xmlns:d4p1="http://schemas.datacontract.org/2004/07/System.Xml.Linq" i:nil="true"/>
    </fact>
    <fact i:type="item">
      <id>XMETag_2acfd84ee22f4b2484cf72f4849a9b19</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XMETag_42398c44aa6a49b29eef5f189654489d</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(0.8)</value>
      <format xmlns:d4p1="http://schemas.datacontract.org/2004/07/System.Xml.Linq" i:nil="true"/>
    </fact>
    <fact i:type="item">
      <id>XMETag_ab34bb0718d14e31869ea1b961ac0757</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XMETag_08fdfbf15ed54be3851521ab24ea518a</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(2.0)</value>
      <format xmlns:d4p1="http://schemas.datacontract.org/2004/07/System.Xml.Linq" i:nil="true"/>
    </fact>
    <fact i:type="item">
      <id>XMETag_86c978e9ef144206bcbdff3aadfb61d8</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21.6</value>
      <format xmlns:d4p1="http://schemas.datacontract.org/2004/07/System.Xml.Linq" i:nil="true"/>
    </fact>
    <fact i:type="item">
      <id>XMETag_dc01b5139e4f41e59382b4cc6dffac47</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343.2</value>
      <format xmlns:d4p1="http://schemas.datacontract.org/2004/07/System.Xml.Linq" i:nil="true"/>
    </fact>
    <fact i:type="item">
      <id>XMETag_a98f49dbfbbf4da5ae0c21f9a99f1351</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308.9</value>
      <format xmlns:d4p1="http://schemas.datacontract.org/2004/07/System.Xml.Linq" i:nil="true"/>
    </fact>
    <fact i:type="item">
      <id>XMETag_521209116b7c4cb9bc86a0f85b5f61d4</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1,350.0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XMETag_eeec11c2ab51431b92e24ca67cb6e56d</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XMETag_372163855477404290a452b3468ba2a3</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2,023.7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XMETag_b387ebc1402f4d05bfdeb7e625770c85</id>
      <concept>{http://xbrl.frc.org.uk/fr/2021-01-01/core}PropertyPlantEquipmentIncludingRight-of-useAssets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69.5</value>
      <format xmlns:d4p1="http://schemas.datacontract.org/2004/07/System.Xml.Linq" i:nil="true"/>
    </fact>
    <fact i:type="item">
      <id>XMETag_7a9bab6ab9be4408bd18638677db4acd</id>
      <concept>{http://xbrl.frc.org.uk/fr/2021-01-01/core}PropertyPlantEquipmentIncludingRight-of-useAssets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1,649.0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XMETag_99d7d1779efe45bf8a3dc8b8bc4d4f5a</id>
      <concept>{http://xbrl.frc.org.uk/fr/2021-01-01/core}PropertyPlantEquipmentIncludingRight-of-useAssets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484.1</value>
      <format xmlns:d4p1="http://schemas.datacontract.org/2004/07/System.Xml.Linq" i:nil="true"/>
    </fact>
    <fact i:type="item">
      <id>XMETag_ac623e8ef13648a6933f3a1cf9f2edbf</id>
      <concept>{http://xbrl.frc.org.uk/fr/2021-01-01/core}PropertyPlantEquipmentIncludingRight-of-useAssets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767.4</value>
      <format xmlns:d4p1="http://schemas.datacontract.org/2004/07/System.Xml.Linq" i:nil="true"/>
    </fact>
    <fact i:type="item">
      <id>XMETag_c8ec30a00b134e1fb0020c3f616394f5</id>
      <concept>{http://xbrl.frc.org.uk/fr/2021-01-01/core}PropertyPlantEquipmentIncludingRight-of-useAssets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119.0</value>
      <format xmlns:d4p1="http://schemas.datacontract.org/2004/07/System.Xml.Linq" i:nil="true"/>
    </fact>
    <fact i:type="item">
      <id>XMETag_81a200a9bea04a03b858f7eb89fd2254</id>
      <concept>{http://xbrl.frc.org.uk/fr/2021-01-01/core}PropertyPlantEquipmentIncludingRight-of-useAssets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3,089.0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XMETag_9854f9af5dc94309b6fdeb52129fc8bb</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67.1</value>
      <format xmlns:d4p1="http://schemas.datacontract.org/2004/07/System.Xml.Linq" i:nil="true"/>
    </fact>
    <fact i:type="item">
      <id>XMETag_07f3ecff0cd648c9a7cf1727a8d6418f</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1,663.8</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XMETag_8c9c6b1430a244a7ae0f7913cb022cef</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485.6</value>
      <format xmlns:d4p1="http://schemas.datacontract.org/2004/07/System.Xml.Linq" i:nil="true"/>
    </fact>
    <fact i:type="item">
      <id>XMETag_1fb4ab6452e44f738c420fbb0a330a72</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804.5</value>
      <format xmlns:d4p1="http://schemas.datacontract.org/2004/07/System.Xml.Linq" i:nil="true"/>
    </fact>
    <fact i:type="item">
      <id>XMETag_a5d087f1d2e44fd68e7c847630e02f30</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117.8</value>
      <format xmlns:d4p1="http://schemas.datacontract.org/2004/07/System.Xml.Linq" i:nil="true"/>
    </fact>
    <fact i:type="item">
      <id>XMETag_0d87d3cc4ee24b4e904bd71ad20a619e</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3,138.8</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XMETag_dbfb693ba3b64b1492bf6c689cf7dfc4</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64.6</value>
      <format xmlns:d4p1="http://schemas.datacontract.org/2004/07/System.Xml.Linq" i:nil="true"/>
    </fact>
    <fact i:type="item">
      <id>XMETag_be15dfb0a7434b4e8df0bede1f0a0855</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1,692.6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XMETag_9212990cdc854c9484ebbaab0279d578</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481.5</value>
      <format xmlns:d4p1="http://schemas.datacontract.org/2004/07/System.Xml.Linq" i:nil="true"/>
    </fact>
    <fact i:type="item">
      <id>XMETag_81aba6dae1bd4afb8bf84f871d2197ce</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830.3</value>
      <format xmlns:d4p1="http://schemas.datacontract.org/2004/07/System.Xml.Linq" i:nil="true"/>
    </fact>
    <fact i:type="item">
      <id>XMETag_fe7f7960c3bd439e9018fd8d30f86434</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159.0</value>
      <format xmlns:d4p1="http://schemas.datacontract.org/2004/07/System.Xml.Linq" i:nil="true"/>
    </fact>
    <fact i:type="item">
      <id>XMETag_551967597e2d43a4afea8b7c9c186567</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3,228.0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XMETag_801178216dba484795c6f6684090a732</id>
      <concept>{http://xbrl.frc.org.uk/fr/2021-01-01/core}PropertyPlantEquipmentGrossCost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{http://xbrl.frc.org.uk/fr/2021-01-01/core}OwnedOrFreeholdAssets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85.4</value>
      <format xmlns:d4p1="http://schemas.datacontract.org/2004/07/System.Xml.Linq" i:nil="true"/>
    </fact>
    <fact i:type="item">
      <id>XMETag_5c7f0fb5b52a46f1835f586464d7cdcc</id>
      <concept>{http://xbrl.frc.org.uk/fr/2021-01-01/core}PropertyPlantEquipmentGrossCost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1,945.0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XMETag_4f4ece792d88410bbef6381a727c3280</id>
      <concept>{http://xbrl.frc.org.uk/fr/2021-01-01/core}PropertyPlantEquipmentGrossCost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769.6</value>
      <format xmlns:d4p1="http://schemas.datacontract.org/2004/07/System.Xml.Linq" i:nil="true"/>
    </fact>
    <fact i:type="item">
      <id>XMETag_2b10876a805740638f7a8ac32684c10a</id>
      <concept>{http://xbrl.frc.org.uk/fr/2021-01-01/core}PropertyPlantEquipmentGrossCost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1,953.6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XMETag_b1505317e2634afd99fc18403b0e222a</id>
      <concept>{http://xbrl.frc.org.uk/fr/2021-01-01/core}PropertyPlantEquipmentGrossCost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119.0</value>
      <format xmlns:d4p1="http://schemas.datacontract.org/2004/07/System.Xml.Linq" i:nil="true"/>
    </fact>
    <fact i:type="item">
      <id>XMETag_4f0f04c012d2434d8905931078234ce6</id>
      <concept>{http://xbrl.frc.org.uk/fr/2021-01-01/core}PropertyPlantEquipmentGrossCost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4,872.6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XMETag_ca5f63dd996c4f35875718a954882ee2</id>
      <concept>{http://xbrl.frc.org.uk/fr/2021-01-01/core}PropertyPlantEquipmentIncludingRight-of-useAssetsFree-textComment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Out of the total depreciation charge for the Company of £120.7 million (2020/21: £122.1 million), the sum of £1.7 million (2020/21: £1.7 million) has been charged to capital projects, £2.0 million (2020/21: £2.1 million) has been offset by deferred income and £117.0 million (2020/21: £118.3 million) against profits.
Asset lives and residual values are reviewed annually. 
During the year borrowing costs of £1.0 million (2020/21: £0.9 million) have been capitalised on qualifying assets, at an average borrowing rate of 3.8% (2020/21: 2.7%).
Groups of assets forming cash generating units are reviewed for indicators of impairment. No indicators of impairment were identified during the year.</value>
      <format xmlns:d4p1="http://schemas.datacontract.org/2004/07/System.Xml.Linq" i:nil="true"/>
    </fact>
    <fact i:type="item">
      <id>XMETag_859f1873a50c4ecdb3f48f584f751488</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35.3</value>
      <format xmlns:d4p1="http://schemas.datacontract.org/2004/07/System.Xml.Linq" i:nil="true"/>
    </fact>
    <fact i:type="item">
      <id>XMETag_4e67fe51541f46658af9bd15407b5dfd</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413.6</value>
      <format xmlns:d4p1="http://schemas.datacontract.org/2004/07/System.Xml.Linq" i:nil="true"/>
    </fact>
    <fact i:type="item">
      <id>XMETag_850a3477610b40a9a97900c402f9860b</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482.2</value>
      <format xmlns:d4p1="http://schemas.datacontract.org/2004/07/System.Xml.Linq" i:nil="true"/>
    </fact>
    <fact i:type="item">
      <id>XMETag_83099a7a17cf4d9198c75df89ceec023</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524.4</value>
      <format xmlns:d4p1="http://schemas.datacontract.org/2004/07/System.Xml.Linq" i:nil="true"/>
    </fact>
    <fact i:type="item">
      <id>XMETag_290c9b6535d7438fb134f1daf2d157d9</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XMETag_cb2baf5e227b4ac792b54cde76f14841</id>
      <concept>{http://xbrl.frc.org.uk/fr/2021-01-01/core}PropertyPlantEquipmentGrossCost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1,455.5</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XMETag_b63db95d471e4d71a9d4ce879d75fbf1</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XMETag_c6c6a9aea0d746cc986dbe6e4142046b</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XMETag_d55647010b3d442c846306f52c7099a0</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7.7</value>
      <format xmlns:d4p1="http://schemas.datacontract.org/2004/07/System.Xml.Linq" i:nil="true"/>
    </fact>
    <fact i:type="item">
      <id>XMETag_27d902a7eabf4bcbba13a3f93bf10979</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7.9</value>
      <format xmlns:d4p1="http://schemas.datacontract.org/2004/07/System.Xml.Linq" i:nil="true"/>
    </fact>
    <fact i:type="item">
      <id>XMETag_439320ba271641709012b068d6f2a9d1</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XMETag_4cb433fb08d440b78fdd8b5252fc3f21</id>
      <concept>{http://xbrl.frc.org.uk/fr/2021-01-01/core}TotalAdditionsIncludingFromBusinessCombinationsPropertyPlantEquipment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15.6</value>
      <format xmlns:d4p1="http://schemas.datacontract.org/2004/07/System.Xml.Linq" i:nil="true"/>
    </fact>
    <fact i:type="item">
      <id>XMETag_ca02ea779b584db29aa0216d4502029d</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XMETag_4624e928727d4598bb206fd0a7c4e2b3</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(14.2)</value>
      <format xmlns:d4p1="http://schemas.datacontract.org/2004/07/System.Xml.Linq" i:nil="true"/>
    </fact>
    <fact i:type="item">
      <id>XMETag_d3a0d54521c34b27be524938628456e0</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(114.3)</value>
      <format xmlns:d4p1="http://schemas.datacontract.org/2004/07/System.Xml.Linq" i:nil="true"/>
    </fact>
    <fact i:type="item">
      <id>XMETag_2b2a3ad0f9094e7984f71b60d9dc8bc3</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(152.6)</value>
      <format xmlns:d4p1="http://schemas.datacontract.org/2004/07/System.Xml.Linq" i:nil="true"/>
    </fact>
    <fact i:type="item">
      <id>XMETag_799f2440ea64440a8161b743c7d0da35</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XMETag_23899becce134d2d836aa70ff244081a</id>
      <concept>{http://xbrl.frc.org.uk/fr/2021-01-01/core}DisposalsPropertyPlantEquipment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(281.1)</value>
      <format xmlns:d4p1="http://schemas.datacontract.org/2004/07/System.Xml.Linq" i:nil="true"/>
    </fact>
    <fact i:type="item">
      <id>XMETag_25d2ad7549e5415ab55bf0ba92d4d449</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35.3</value>
      <format xmlns:d4p1="http://schemas.datacontract.org/2004/07/System.Xml.Linq" i:nil="true"/>
    </fact>
    <fact i:type="item">
      <id>XMETag_74253f9c44d64b42a2e8218e0ad699d1</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399.4</value>
      <format xmlns:d4p1="http://schemas.datacontract.org/2004/07/System.Xml.Linq" i:nil="true"/>
    </fact>
    <fact i:type="item">
      <id>XMETag_66a5c5121c604fa98ffe008fc87eca90</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375.6</value>
      <format xmlns:d4p1="http://schemas.datacontract.org/2004/07/System.Xml.Linq" i:nil="true"/>
    </fact>
    <fact i:type="item">
      <id>XMETag_d64fe9af14a047f280ed09da2a5c3975</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379.7</value>
      <format xmlns:d4p1="http://schemas.datacontract.org/2004/07/System.Xml.Linq" i:nil="true"/>
    </fact>
    <fact i:type="item">
      <id>XMETag_be970cd0ab3041858641a87706177e27</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XMETag_1286e5536c774777b58d0fbbd359c1ab</id>
      <concept>{http://xbrl.frc.org.uk/fr/2021-01-01/core}PropertyPlantEquipmentGrossCost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1,190.0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XMETag_7c3d5ed887944c77abef1f541a065b14</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2.7</value>
      <format xmlns:d4p1="http://schemas.datacontract.org/2004/07/System.Xml.Linq" i:nil="true"/>
    </fact>
    <fact i:type="item">
      <id>XMETag_7ee463e381d14244be7c787bd8bdca54</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77.9</value>
      <format xmlns:d4p1="http://schemas.datacontract.org/2004/07/System.Xml.Linq" i:nil="true"/>
    </fact>
    <fact i:type="item">
      <id>XMETag_fac9292e7232441bab01f988a52c3d62</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142.8</value>
      <format xmlns:d4p1="http://schemas.datacontract.org/2004/07/System.Xml.Linq" i:nil="true"/>
    </fact>
    <fact i:type="item">
      <id>XMETag_8319662a62d54fe0910d2bc4f3d029fe</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304.2</value>
      <format xmlns:d4p1="http://schemas.datacontract.org/2004/07/System.Xml.Linq" i:nil="true"/>
    </fact>
    <fact i:type="item">
      <id>XMETag_669ec42f48b543ec94daac6ac18d7d48</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XMETag_baffc7329d8e4434bf7bf7b8c77e65e7</id>
      <concept>{http://xbrl.frc.org.uk/fr/2021-01-01/core}AccumulatedDepreciationImpairmentPropertyPlantEquipment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527.6</value>
      <format xmlns:d4p1="http://schemas.datacontract.org/2004/07/System.Xml.Linq" i:nil="true"/>
    </fact>
    <fact i:type="item">
      <id>XMETag_88ab36e60bb14ab99c1ed5dd07672699</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1.2</value>
      <format xmlns:d4p1="http://schemas.datacontract.org/2004/07/System.Xml.Linq" i:nil="true"/>
    </fact>
    <fact i:type="item">
      <id>XMETag_7b3fca5e3d664fd0b17a9135d4e25c78</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8.0</value>
      <format xmlns:d4p1="http://schemas.datacontract.org/2004/07/System.Xml.Linq" i:nil="true"/>
    </fact>
    <fact i:type="item">
      <id>XMETag_7f08ccb8fe264068a99e20fb538393c7</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23.1</value>
      <format xmlns:d4p1="http://schemas.datacontract.org/2004/07/System.Xml.Linq" i:nil="true"/>
    </fact>
    <fact i:type="item">
      <id>XMETag_de23fcf4073c4880b1db365b1e1f7262</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XMETag_9e38dd4b32dd4f88a7f16ed22b776783</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37.4</value>
      <format xmlns:d4p1="http://schemas.datacontract.org/2004/07/System.Xml.Linq" i:nil="true"/>
    </fact>
    <fact i:type="item">
      <id>XMETag_2f3de8e5ef9a42b5ad533d2210e7f39e</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3.9</value>
      <format xmlns:d4p1="http://schemas.datacontract.org/2004/07/System.Xml.Linq" i:nil="true"/>
    </fact>
    <fact i:type="item">
      <id>XMETag_09f04c1a8d4f4e4d8683d93a1295bbbb</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79.5</value>
      <format xmlns:d4p1="http://schemas.datacontract.org/2004/07/System.Xml.Linq" i:nil="true"/>
    </fact>
    <fact i:type="item">
      <id>XMETag_6ddaa34b1173442cafcb14d383b9e080</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102.7</value>
      <format xmlns:d4p1="http://schemas.datacontract.org/2004/07/System.Xml.Linq" i:nil="true"/>
    </fact>
    <fact i:type="item">
      <id>XMETag_6d7c74dec42542c995fe7f8b6b4d23f8</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184.1</value>
      <format xmlns:d4p1="http://schemas.datacontract.org/2004/07/System.Xml.Linq" i:nil="true"/>
    </fact>
    <fact i:type="item">
      <id>XMETag_463cb7afc4cd41eba58d00d85b0178c4</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XMETag_31cdcc629d9144f3a39a35d8755d64bb</id>
      <concept>{http://xbrl.frc.org.uk/fr/2021-01-01/core}AccumulatedDepreciationImpairmentPropertyPlantEquipment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370.2</value>
      <format xmlns:d4p1="http://schemas.datacontract.org/2004/07/System.Xml.Linq" i:nil="true"/>
    </fact>
    <fact i:type="item">
      <id>XMETag_bd68b9bc7f294ea791cc2658cc948d49</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32.6</value>
      <format xmlns:d4p1="http://schemas.datacontract.org/2004/07/System.Xml.Linq" i:nil="true"/>
    </fact>
    <fact i:type="item">
      <id>XMETag_5d5000f3f57a40608f7e06bfd1f52d16</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335.7</value>
      <format xmlns:d4p1="http://schemas.datacontract.org/2004/07/System.Xml.Linq" i:nil="true"/>
    </fact>
    <fact i:type="item">
      <id>XMETag_dcf35c12e7d44ed0b69f6f0a18a913e0</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339.4</value>
      <format xmlns:d4p1="http://schemas.datacontract.org/2004/07/System.Xml.Linq" i:nil="true"/>
    </fact>
    <fact i:type="item">
      <id>XMETag_796e8a15612041a4bccd23a5615f34bb</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220.2</value>
      <format xmlns:d4p1="http://schemas.datacontract.org/2004/07/System.Xml.Linq" i:nil="true"/>
    </fact>
    <fact i:type="item">
      <id>XMETag_73c5dfbf2ecf4f11a7a4cbf242483e28</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XMETag_805296d733b14cce9096831e749e5f6b</id>
      <concept>{http://xbrl.frc.org.uk/fr/2021-01-01/core}PropertyPlantEquipmentIncludingRight-of-useAssets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927.9</value>
      <format xmlns:d4p1="http://schemas.datacontract.org/2004/07/System.Xml.Linq" i:nil="true"/>
    </fact>
    <fact i:type="item">
      <id>XMETag_ea257f843c554db69dd931ac0af54c2c</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31.4</value>
      <format xmlns:d4p1="http://schemas.datacontract.org/2004/07/System.Xml.Linq" i:nil="true"/>
    </fact>
    <fact i:type="item">
      <id>XMETag_edd4519a65704e3e87eb16984d2e2a6a</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319.9</value>
      <format xmlns:d4p1="http://schemas.datacontract.org/2004/07/System.Xml.Linq" i:nil="true"/>
    </fact>
    <fact i:type="item">
      <id>XMETag_cac6c2ec4fee455a991241aec45a8078</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272.9</value>
      <format xmlns:d4p1="http://schemas.datacontract.org/2004/07/System.Xml.Linq" i:nil="true"/>
    </fact>
    <fact i:type="item">
      <id>XMETag_a2b2241996bf4658b829b6690a0de403</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195.6</value>
      <format xmlns:d4p1="http://schemas.datacontract.org/2004/07/System.Xml.Linq" i:nil="true"/>
    </fact>
    <fact i:type="item">
      <id>XMETag_68ed79fabadb4269ab40fe5b86e00a29</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XMETag_cb367fb4353f4b9f9c82656e196632d8</id>
      <concept>{http://xbrl.frc.org.uk/fr/2021-01-01/core}PropertyPlantEquipmentIncludingRight-of-useAssets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819.8</value>
      <format xmlns:d4p1="http://schemas.datacontract.org/2004/07/System.Xml.Linq" i:nil="true"/>
    </fact>
    <fact i:type="item">
      <id>XMETag_e8783bbd3f1e49569af194c5644c1e76</id>
      <concept>{http://xbrl.frc.org.uk/fr/2021-01-01/core}IncreaseFromDepreciationChargeForYearPropertyPlantEquipment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5.1</value>
      <format xmlns:d4p1="http://schemas.datacontract.org/2004/07/System.Xml.Linq" i:nil="true"/>
    </fact>
    <fact i:type="item">
      <id>XMETag_3003c5534cd94a138a84ca2c3aba5ea4</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{http://xbrl.frc.org.uk/fr/2021-01-01/core}LandBuildings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XMETag_ebf9b0dd57204c58bc09facc744c57d5</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{http://xbrl.frc.org.uk/fr/2021-01-01/core}Non-standardPPEClass1ComponentTotalPropertyPlantEquipment</member>
          <typedValue i:nil="true"/>
          <contextContainer>Segment</contextContainer>
        </dimension>
      </dimensions>
      <transformGroup>United Kingdom</transformGroup>
      <hidden>false</hidden>
      <value>(3.5)</value>
      <format xmlns:d4p1="http://schemas.datacontract.org/2004/07/System.Xml.Linq" i:nil="true"/>
    </fact>
    <fact i:type="item">
      <id>XMETag_88b16e8cda4c47ff8408110eb5f8e3a4</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{http://xbrl.frc.org.uk/fr/2021-01-01/core}Non-standardPPEClass2ComponentTotalPropertyPlantEquipment</member>
          <typedValue i:nil="true"/>
          <contextContainer>Segment</contextContainer>
        </dimension>
      </dimensions>
      <transformGroup>United Kingdom</transformGroup>
      <hidden>false</hidden>
      <value>(48.1)</value>
      <format xmlns:d4p1="http://schemas.datacontract.org/2004/07/System.Xml.Linq" i:nil="true"/>
    </fact>
    <fact i:type="item">
      <id>XMETag_d6eec3d7feef42d196b525728904a193</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{http://xbrl.frc.org.uk/fr/2021-01-01/core}Non-standardPPEClass3ComponentTotalPropertyPlantEquipment</member>
          <typedValue i:nil="true"/>
          <contextContainer>Segment</contextContainer>
        </dimension>
      </dimensions>
      <transformGroup>United Kingdom</transformGroup>
      <hidden>false</hidden>
      <value>(143.2)</value>
      <format xmlns:d4p1="http://schemas.datacontract.org/2004/07/System.Xml.Linq" i:nil="true"/>
    </fact>
    <fact i:type="item">
      <id>XMETag_80af0b5910634e3a9b4727c6e2a4c4ec</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
          <dimension>{http://xbrl.frc.org.uk/fr/2021-01-01/core}PropertyPlantEquipmentClassesDimension</dimension>
          <member>{http://xbrl.frc.org.uk/fr/2021-01-01/core}ConstructionInProgressAssetsUnderConstruction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XMETag_f5fec7cd91cf40e6bdfe998a4de1a084</id>
      <concept>{http://xbrl.frc.org.uk/fr/2021-01-01/core}DisposalsDecreaseInDepreciationImpairmentPropertyPlantEquipment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(194.8)</value>
      <format xmlns:d4p1="http://schemas.datacontract.org/2004/07/System.Xml.Linq" i:nil="true"/>
    </fact>
    <fact i:type="item">
      <id>XMETag_f049f208546347dca84f1f189f6d3893</id>
      <concept>{http://xbrl.frc.org.uk/fr/2021-01-01/core}PropertyPlantEquipmentIncludingRight-of-useAssetsFree-textComment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{http://xbrl.frc.org.uk/fr/2021-01-01/core}PPEOwnershipDimension</dimension>
          <member>{http://xbrl.frc.org.uk/fr/2021-01-01/core}Right-of-useAssets</member>
          <typedValue i:nil="true"/>
          <contextContainer>Segment</contextContainer>
        </dimension>
      </dimensions>
      <transformGroup>United Kingdom</transformGroup>
      <hidden>false</hidden>
      <value>When the Company enters into sale and leaseback arrangements, the accounting for the arrangement depends on whether the transaction meets the criteria within IFRS 15 for a sale to have occurred. If the sale criteria are met, the associated property, plant and equipment asset is derecognised, and a right-of-use asset is recognised at the proportion of the carrying value relating to the right retained. If the criteria for a sale under IFRS 15 have not been met the asset is not derecognised, but is reclassified to right-of-use assets (within property, plant and equipment). Right of use assets includes assets held under sale and leaseback arrangements with a carrying value of £793.7 million.
During 2021 the depreciation on leased infrastructure assets included a credit of £5.1 million in respect of depreciation on owned assets which had been treated as relating to leased assets in the 2020 financial statements. There was a corresponding charge to depreciation on owned infrastructure assets in 2021.</value>
      <format xmlns:d4p1="http://schemas.datacontract.org/2004/07/System.Xml.Linq" i:nil="true"/>
    </fact>
    <fact i:type="item">
      <id>XMETag_b6cb2cd872ae45eda65e31a070d415cb</id>
      <concept>{http://xbrl.frc.org.uk/fr/2021-01-01/core}IntangibleAssetsIncludingRight-of-useAssets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{http://xbrl.frc.org.uk/fr/2021-01-01/core}IntangibleAssetClassesDimension</dimension>
          <member>{http://xbrl.frc.org.uk/fr/2021-01-01/core}NetGoodwill</member>
          <typedValue i:nil="true"/>
          <contextContainer>Segment</contextContainer>
        </dimension>
      </dimensions>
      <transformGroup>United Kingdom</transformGroup>
      <hidden>false</hidden>
      <value>51.3</value>
      <format xmlns:d4p1="http://schemas.datacontract.org/2004/07/System.Xml.Linq" i:nil="true"/>
    </fact>
    <fact i:type="item">
      <id>XMETag_b84634982acf447e9f9493d15f97a4a2</id>
      <concept>{http://xbrl.frc.org.uk/fr/2021-01-01/core}IntangibleAssetsIncludingRight-of-useAssets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{http://xbrl.frc.org.uk/fr/2021-01-01/core}IntangibleAssetClassesDimension</dimension>
          <member>{http://xbrl.frc.org.uk/fr/2021-01-01/core}NetGoodwill</member>
          <typedValue i:nil="true"/>
          <contextContainer>Segment</contextContainer>
        </dimension>
      </dimensions>
      <transformGroup>United Kingdom</transformGroup>
      <hidden>false</hidden>
      <value>51.3</value>
      <format xmlns:d4p1="http://schemas.datacontract.org/2004/07/System.Xml.Linq" i:nil="true"/>
    </fact>
    <fact i:type="item">
      <id>XMETag_7c00d9f3eb2949bebd42ab81b109f481</id>
      <concept>{http://xbrl.frc.org.uk/fr/2021-01-01/core}IntangibleAssetsIncludingRight-of-useAssets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{http://xbrl.frc.org.uk/fr/2021-01-01/core}IntangibleAssetClassesDimension</dimension>
          <member>{http://xbrl.frc.org.uk/fr/2021-01-01/core}NetGoodwill</member>
          <typedValue i:nil="true"/>
          <contextContainer>Segment</contextContainer>
        </dimension>
      </dimensions>
      <transformGroup>United Kingdom</transformGroup>
      <hidden>false</hidden>
      <value>51.3</value>
      <format xmlns:d4p1="http://schemas.datacontract.org/2004/07/System.Xml.Linq" i:nil="true"/>
    </fact>
    <fact i:type="item">
      <id>XMETag_67cb76b9dd1e41f7bfb2bbd655527761</id>
      <concept>{http://xbrl.frc.org.uk/fr/2021-01-01/core}IntangibleAssetsIncludingRight-of-useAssets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{http://xbrl.frc.org.uk/fr/2021-01-01/core}IntangibleAssetClassesDimension</dimension>
          <member>{http://xbrl.frc.org.uk/fr/2021-01-01/core}NetGoodwill</member>
          <typedValue i:nil="true"/>
          <contextContainer>Segment</contextContainer>
        </dimension>
      </dimensions>
      <transformGroup>United Kingdom</transformGroup>
      <hidden>false</hidden>
      <value>51.3</value>
      <format xmlns:d4p1="http://schemas.datacontract.org/2004/07/System.Xml.Linq" i:nil="true"/>
    </fact>
    <fact i:type="item">
      <id>XMETag_1f4f95a553fa4da69f4b5276c8032b38</id>
      <concept>{http://xbrl.frc.org.uk/fr/2021-01-01/core}IntangibleAssetsIncludingRight-of-useAssetsFree-textComment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{http://xbrl.frc.org.uk/fr/2021-01-01/core}IntangibleAssetClassesDimension</dimension>
          <member>{http://xbrl.frc.org.uk/fr/2021-01-01/core}NetGoodwill</member>
          <typedValue i:nil="true"/>
          <contextContainer>Segment</contextContainer>
        </dimension>
      </dimensions>
      <transformGroup>United Kingdom</transformGroup>
      <hidden>false</hidden>
      <value>The goodwill of £51.3 million was recognised on acquisition of Bournemouth Water in 2016/17. It is attributable to synergies and outperformance arising from the merger of operating activities.
Impairment testing of goodwill
The Company tests goodwill for impairment annually or more frequently if there are any indications that impairment may have arisen.
The recoverable amount, for which goodwill was recognised on the acquisition of Bournemouth Water in 2016, is assessed using level 2 fair value hierarchy techniques, with reference to the market value of the merged water business, using a market based observable premium to Regulated Capital Value.
The results of tests performed during the year demonstrate significant headroom in the recoverable amount of goodwill, and it is judged that no reasonable change in the key assumptions would cause the carrying amount of the goodwill to exceed the recoverable amount.</value>
      <format xmlns:d4p1="http://schemas.datacontract.org/2004/07/System.Xml.Linq" i:nil="true"/>
    </fact>
    <fact i:type="item">
      <id>XMETag_3fa69dff0d8f4f79b443ad079650f3e6</id>
      <concept>{http://xbrl.frc.org.uk/fr/2021-01-01/core}TradeOtherReceivablesFinancialAsset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{http://xbrl.frc.org.uk/fr/2021-01-01/core}FinancialInstrumentsFairValue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XMETag_b9e77d30cc884434b6c70816a9a14a79</id>
      <concept>{http://xbrl.frc.org.uk/fr/2021-01-01/core}TradeOtherReceivablesFinancialAsset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{http://xbrl.frc.org.uk/fr/2021-01-01/core}LoansReceivables</member>
          <typedValue i:nil="true"/>
          <contextContainer>Segment</contextContainer>
        </dimension>
      </dimensions>
      <transformGroup>United Kingdom</transformGroup>
      <hidden>false</hidden>
      <value>10.7</value>
      <format xmlns:d4p1="http://schemas.datacontract.org/2004/07/System.Xml.Linq" i:nil="true"/>
    </fact>
    <fact i:type="item">
      <id>XMETag_546357d36706410a9524c18fe6662ea4</id>
      <concept>{http://xbrl.frc.org.uk/fr/2021-01-01/core}TradeOtherReceivablesFinancialAsset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{http://xbrl.frc.org.uk/fr/2021-01-01/core}FinancialAssetsAmortisedCost</member>
          <typedValue i:nil="true"/>
          <contextContainer>Segment</contextContainer>
        </dimension>
      </dimensions>
      <transformGroup>United Kingdom</transformGroup>
      <hidden>false</hidden>
      <value>127.8</value>
      <format xmlns:d4p1="http://schemas.datacontract.org/2004/07/System.Xml.Linq" i:nil="true"/>
    </fact>
    <fact i:type="item">
      <id>XMETag_401bd2a1ad244f2eb48156c63fe35516</id>
      <concept>{http://xbrl.frc.org.uk/fr/2021-01-01/core}TradeOtherReceivablesFinancialAsset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138.5</value>
      <format xmlns:d4p1="http://schemas.datacontract.org/2004/07/System.Xml.Linq" i:nil="true"/>
    </fact>
    <fact i:type="item">
      <id>XMETag_5a5da69990b74b2f9c7fd99ca9879213</id>
      <concept>{http://xbrl.frc.org.uk/fr/2021-01-01/core}CashCashEquivalents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414.9</value>
      <format xmlns:d4p1="http://schemas.datacontract.org/2004/07/System.Xml.Linq" i:nil="true"/>
    </fact>
    <fact i:type="item">
      <id>XMETag_e7b10fa703a04d8298e4fd32bb87d635</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{http://xbrl.frc.org.uk/fr/2021-01-01/core}FinancialInstrumentsClassesCategoriesDimension</dimension>
          <member>{http://xbrl.frc.org.uk/fr/2021-01-01/core}FinancialInstrumentsFairValue</member>
          <typedValue i:nil="true"/>
          <contextContainer>Segment</contextContainer>
        </dimension>
      </dimensions>
      <transformGroup>United Kingdom</transformGroup>
      <hidden>false</hidden>
      <value>1.7</value>
      <format xmlns:d4p1="http://schemas.datacontract.org/2004/07/System.Xml.Linq" i:nil="true"/>
    </fact>
    <fact i:type="item">
      <id>XMETag_f56e261d052f474fbb645895ca56e286</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{http://xbrl.frc.org.uk/fr/2021-01-01/core}LoansReceivables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XMETag_5ed6b7671d7d43f78229e1cf02a7ca4a</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{http://xbrl.frc.org.uk/fr/2021-01-01/core}FinancialAssetsAmortisedCost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XMETag_d0af8be12a8d4253a9ce0cdb1601cb0d</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1.7</value>
      <format xmlns:d4p1="http://schemas.datacontract.org/2004/07/System.Xml.Linq" i:nil="true"/>
    </fact>
    <fact i:type="item">
      <id>XMETag_31e59bdf7f3041a6a00100ad2652194d</id>
      <concept>{http://xbrl.frc.org.uk/fr/2021-01-01/core}FinancialAssets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{http://xbrl.frc.org.uk/fr/2021-01-01/core}FinancialAssetsClassesCategoriesDimension</dimension>
          <member>{http://xbrl.frc.org.uk/fr/2021-01-01/core}FinancialAssetsFairValue</member>
          <typedValue i:nil="true"/>
          <contextContainer>Segment</contextContainer>
        </dimension>
      </dimensions>
      <transformGroup>United Kingdom</transformGroup>
      <hidden>false</hidden>
      <value>1.7</value>
      <format xmlns:d4p1="http://schemas.datacontract.org/2004/07/System.Xml.Linq" i:nil="true"/>
    </fact>
    <fact i:type="item">
      <id>XMETag_11f9913816314b0fa6c9e2861ea75cdc</id>
      <concept>{http://xbrl.frc.org.uk/fr/2021-01-01/core}FinancialAssets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{http://xbrl.frc.org.uk/fr/2021-01-01/core}FinancialAssetsClassesCategoriesDimension</dimension>
          <member>{http://xbrl.frc.org.uk/fr/2021-01-01/core}LoansReceivables</member>
          <typedValue i:nil="true"/>
          <contextContainer>Segment</contextContainer>
        </dimension>
      </dimensions>
      <transformGroup>United Kingdom</transformGroup>
      <hidden>false</hidden>
      <value>425.6</value>
      <format xmlns:d4p1="http://schemas.datacontract.org/2004/07/System.Xml.Linq" i:nil="true"/>
    </fact>
    <fact i:type="item">
      <id>XMETag_48f6376d9eac46f5ad0810132d15bf07</id>
      <concept>{http://xbrl.frc.org.uk/fr/2021-01-01/core}FinancialAssets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{http://xbrl.frc.org.uk/fr/2021-01-01/core}FinancialAssetsClassesCategoriesDimension</dimension>
          <member>{http://xbrl.frc.org.uk/fr/2021-01-01/core}FinancialAssetsAmortisedCost</member>
          <typedValue i:nil="true"/>
          <contextContainer>Segment</contextContainer>
        </dimension>
      </dimensions>
      <transformGroup>United Kingdom</transformGroup>
      <hidden>false</hidden>
      <value>127.8</value>
      <format xmlns:d4p1="http://schemas.datacontract.org/2004/07/System.Xml.Linq" i:nil="true"/>
    </fact>
    <fact i:type="item">
      <id>XMETag_87ad7ecef71b42268b928cdf5d3954e2</id>
      <concept>{http://xbrl.frc.org.uk/fr/2021-01-01/core}FinancialAssets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555.1</value>
      <format xmlns:d4p1="http://schemas.datacontract.org/2004/07/System.Xml.Linq" i:nil="true"/>
    </fact>
    <fact i:type="item">
      <id>XMETag_3322f749ef1444e4a7ea5456690f8ca3</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{http://xbrl.frc.org.uk/fr/2021-01-01/core}FinancialLiabilitiesClassesCategoriesDimension</dimension>
          <member>{http://xbrl.frc.org.uk/fr/2021-01-01/core}FinancialLiabilitiesFairValueThroughProfitOrLoss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XMETag_de4785223fea4264812e4de05d75f7d6</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{http://xbrl.frc.org.uk/fr/2021-01-01/core}FinancialLiabilitiesClassesCategoriesDimension</dimension>
          <member>{http://xbrl.frc.org.uk/fr/2021-01-01/core}FinancialLiabilitiesAmortisedCost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XMETag_d6f43474b60947e6aef00281f95e19f3</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(2,688.5)</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XMETag_61b45c5948d0439c8ba7d99c6aa5a63f</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{http://xbrl.frc.org.uk/fr/2021-01-01/core}FinancialInstrumentsClassesCategoriesDimension</dimension>
          <member>{http://xbrl.frc.org.uk/fr/2021-01-01/core}FinancialInstrumentsFairValue</member>
          <typedValue i:nil="true"/>
          <contextContainer>Segment</contextContainer>
        </dimension>
      </dimensions>
      <transformGroup>United Kingdom</transformGroup>
      <hidden>false</hidden>
      <value>(23.5)</value>
      <format xmlns:d4p1="http://schemas.datacontract.org/2004/07/System.Xml.Linq" i:nil="true"/>
    </fact>
    <fact i:type="item">
      <id>XMETag_34cbae77ba4d4d558ddce1aff0f77483</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{http://xbrl.frc.org.uk/fr/2021-01-01/core}LoansReceivables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XMETag_b717956556c248dc8969bdd0363bb3d4</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{http://xbrl.frc.org.uk/fr/2021-01-01/core}FinancialLiabilitiesAmortisedCost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XMETag_e674d701bdec4e86ab07f01c0290174a</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(23.5)</value>
      <format xmlns:d4p1="http://schemas.datacontract.org/2004/07/System.Xml.Linq" i:nil="true"/>
    </fact>
    <fact i:type="item">
      <id>XMETag_5a70673219804fe6bfb842df0f565bef</id>
      <concept>{http://xbrl.frc.org.uk/fr/2021-01-01/core}TradeOtherPayablesFinancialLiability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{http://xbrl.frc.org.uk/fr/2021-01-01/core}FinancialInstrumentsFairValue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XMETag_751242dd62384761b0baa4572938915d</id>
      <concept>{http://xbrl.frc.org.uk/fr/2021-01-01/core}TradeOtherPayablesFinancialLiability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{http://xbrl.frc.org.uk/fr/2021-01-01/core}LoansReceivables</member>
          <typedValue i:nil="true"/>
          <contextContainer>Segment</contextContainer>
        </dimension>
      </dimensions>
      <transformGroup>United Kingdom</transformGroup>
      <hidden>false</hidden>
      <value>(62.2)</value>
      <format xmlns:d4p1="http://schemas.datacontract.org/2004/07/System.Xml.Linq" i:nil="true"/>
    </fact>
    <fact i:type="item">
      <id>XMETag_7b286ef5889a4df7b0458cff7cf48199</id>
      <concept>{http://xbrl.frc.org.uk/fr/2021-01-01/core}TradeOtherPayablesFinancialLiability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{http://xbrl.frc.org.uk/fr/2021-01-01/core}FinancialAssetsAmortisedCost</member>
          <typedValue i:nil="true"/>
          <contextContainer>Segment</contextContainer>
        </dimension>
      </dimensions>
      <transformGroup>United Kingdom</transformGroup>
      <hidden>false</hidden>
      <value>(62.1)</value>
      <format xmlns:d4p1="http://schemas.datacontract.org/2004/07/System.Xml.Linq" i:nil="true"/>
    </fact>
    <fact i:type="item">
      <id>XMETag_c2ddb588f3324e3f926eba1b3918ce66</id>
      <concept>{http://xbrl.frc.org.uk/fr/2021-01-01/core}TradeOtherPayablesFinancialLiability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(124.3)</value>
      <format xmlns:d4p1="http://schemas.datacontract.org/2004/07/System.Xml.Linq" i:nil="true"/>
    </fact>
    <fact i:type="item">
      <id>XMETag_66a2ac176910492c9819418edb60a1c2</id>
      <concept>{http://xbrl.frc.org.uk/fr/2021-01-01/core}FinancialLiabilities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{http://xbrl.frc.org.uk/fr/2021-01-01/core}FinancialLiabilitiesClassesCategoriesDimension</dimension>
          <member>{http://xbrl.frc.org.uk/fr/2021-01-01/core}FinancialLiabilitiesFairValueThroughProfitOrLoss</member>
          <typedValue i:nil="true"/>
          <contextContainer>Segment</contextContainer>
        </dimension>
      </dimensions>
      <transformGroup>United Kingdom</transformGroup>
      <hidden>false</hidden>
      <value>(23.5)</value>
      <format xmlns:d4p1="http://schemas.datacontract.org/2004/07/System.Xml.Linq" i:nil="true"/>
    </fact>
    <fact i:type="item">
      <id>XMETag_4e5575203f934f7a8cfbe80d21a2cbfe</id>
      <concept>{http://xbrl.frc.org.uk/fr/2021-01-01/core}FinancialLiabilities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{http://xbrl.frc.org.uk/fr/2021-01-01/core}FinancialLiabilitiesClassesCategoriesDimension</dimension>
          <member>{http://xbrl.frc.org.uk/fr/2021-01-01/core}FinancialLiabilitiesAmortisedCost</member>
          <typedValue i:nil="true"/>
          <contextContainer>Segment</contextContainer>
        </dimension>
      </dimensions>
      <transformGroup>United Kingdom</transformGroup>
      <hidden>false</hidden>
      <value>(62.1)</value>
      <format xmlns:d4p1="http://schemas.datacontract.org/2004/07/System.Xml.Linq" i:nil="true"/>
    </fact>
    <fact i:type="item">
      <id>XMETag_977232b17bb549578ac17f9afe42e6db</id>
      <concept>{http://xbrl.frc.org.uk/fr/2021-01-01/core}FinancialLiabilities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(2,836.3)</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XMETag_e489335033d14cf6b634d86cc9e3e07c</id>
      <concept>{http://xbrl.frc.org.uk/fr/2021-01-01/core}TradeOtherReceivablesFinancialAsset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{http://xbrl.frc.org.uk/fr/2021-01-01/core}FinancialInstrumentsFairValue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XMETag_0eeaf57ec33946a5ab96e3bb7789c886</id>
      <concept>{http://xbrl.frc.org.uk/fr/2021-01-01/core}TradeOtherReceivablesFinancialAsset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{http://xbrl.frc.org.uk/fr/2021-01-01/core}LoansReceivables</member>
          <typedValue i:nil="true"/>
          <contextContainer>Segment</contextContainer>
        </dimension>
      </dimensions>
      <transformGroup>United Kingdom</transformGroup>
      <hidden>false</hidden>
      <value>13.1</value>
      <format xmlns:d4p1="http://schemas.datacontract.org/2004/07/System.Xml.Linq" i:nil="true"/>
    </fact>
    <fact i:type="item">
      <id>XMETag_bdf0f9c74665464a9c954029db341156</id>
      <concept>{http://xbrl.frc.org.uk/fr/2021-01-01/core}TradeOtherReceivablesFinancialAsset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{http://xbrl.frc.org.uk/fr/2021-01-01/core}FinancialAssetsAmortisedCost</member>
          <typedValue i:nil="true"/>
          <contextContainer>Segment</contextContainer>
        </dimension>
      </dimensions>
      <transformGroup>United Kingdom</transformGroup>
      <hidden>false</hidden>
      <value>143.0</value>
      <format xmlns:d4p1="http://schemas.datacontract.org/2004/07/System.Xml.Linq" i:nil="true"/>
    </fact>
    <fact i:type="item">
      <id>XMETag_aa56587b6d7249dc8fe2e0dbb1ff064d</id>
      <concept>{http://xbrl.frc.org.uk/fr/2021-01-01/core}TradeOtherReceivablesFinancialAsset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156.1</value>
      <format xmlns:d4p1="http://schemas.datacontract.org/2004/07/System.Xml.Linq" i:nil="true"/>
    </fact>
    <fact i:type="item">
      <id>XMETag_17480d78a7dd4bce9f6230f3f2ff88c1</id>
      <concept>{http://xbrl.frc.org.uk/fr/2021-01-01/core}CashCashEquivalents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189.3</value>
      <format xmlns:d4p1="http://schemas.datacontract.org/2004/07/System.Xml.Linq" i:nil="true"/>
    </fact>
    <fact i:type="item">
      <id>XMETag_ddd2b53c92154d749fedf900321b601f</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{http://xbrl.frc.org.uk/fr/2021-01-01/core}FinancialInstrumentsClassesCategoriesDimension</dimension>
          <member>{http://xbrl.frc.org.uk/fr/2021-01-01/core}FinancialInstrumentsFairValue</member>
          <typedValue i:nil="true"/>
          <contextContainer>Segment</contextContainer>
        </dimension>
      </dimensions>
      <transformGroup>United Kingdom</transformGroup>
      <hidden>false</hidden>
      <value>18.9</value>
      <format xmlns:d4p1="http://schemas.datacontract.org/2004/07/System.Xml.Linq" i:nil="true"/>
    </fact>
    <fact i:type="item">
      <id>XMETag_3cffffa886f64aa09b3d53357cc676bf</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{http://xbrl.frc.org.uk/fr/2021-01-01/core}LoansReceivables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XMETag_ce59a2a66fd24dc58d2bf600e9f74c6d</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{http://xbrl.frc.org.uk/fr/2021-01-01/core}FinancialAssetsAmortisedCost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XMETag_2e38caca6ae54b4da6fff567c19ddbae</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18.9</value>
      <format xmlns:d4p1="http://schemas.datacontract.org/2004/07/System.Xml.Linq" i:nil="true"/>
    </fact>
    <fact i:type="item">
      <id>XMETag_a119142d4a6b4f91a3bab42ed79f00d9</id>
      <concept>{http://xbrl.frc.org.uk/fr/2021-01-01/core}FinancialAssets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{http://xbrl.frc.org.uk/fr/2021-01-01/core}FinancialAssetsClassesCategoriesDimension</dimension>
          <member>{http://xbrl.frc.org.uk/fr/2021-01-01/core}FinancialAssetsFairValue</member>
          <typedValue i:nil="true"/>
          <contextContainer>Segment</contextContainer>
        </dimension>
      </dimensions>
      <transformGroup>United Kingdom</transformGroup>
      <hidden>false</hidden>
      <value>18.9</value>
      <format xmlns:d4p1="http://schemas.datacontract.org/2004/07/System.Xml.Linq" i:nil="true"/>
    </fact>
    <fact i:type="item">
      <id>XMETag_3b46e2f5d7b140749df32921013076d5</id>
      <concept>{http://xbrl.frc.org.uk/fr/2021-01-01/core}FinancialAssets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{http://xbrl.frc.org.uk/fr/2021-01-01/core}FinancialAssetsClassesCategoriesDimension</dimension>
          <member>{http://xbrl.frc.org.uk/fr/2021-01-01/core}LoansReceivables</member>
          <typedValue i:nil="true"/>
          <contextContainer>Segment</contextContainer>
        </dimension>
      </dimensions>
      <transformGroup>United Kingdom</transformGroup>
      <hidden>false</hidden>
      <value>202.4</value>
      <format xmlns:d4p1="http://schemas.datacontract.org/2004/07/System.Xml.Linq" i:nil="true"/>
    </fact>
    <fact i:type="item">
      <id>XMETag_35a48ce6ff6e4005b48505f35e8c843d</id>
      <concept>{http://xbrl.frc.org.uk/fr/2021-01-01/core}FinancialAssets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{http://xbrl.frc.org.uk/fr/2021-01-01/core}FinancialAssetsClassesCategoriesDimension</dimension>
          <member>{http://xbrl.frc.org.uk/fr/2021-01-01/core}FinancialAssetsAmortisedCost</member>
          <typedValue i:nil="true"/>
          <contextContainer>Segment</contextContainer>
        </dimension>
      </dimensions>
      <transformGroup>United Kingdom</transformGroup>
      <hidden>false</hidden>
      <value>143.0</value>
      <format xmlns:d4p1="http://schemas.datacontract.org/2004/07/System.Xml.Linq" i:nil="true"/>
    </fact>
    <fact i:type="item">
      <id>XMETag_7e1b916e629243bf949a3f3a6b23e90e</id>
      <concept>{http://xbrl.frc.org.uk/fr/2021-01-01/core}FinancialAssets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364.3</value>
      <format xmlns:d4p1="http://schemas.datacontract.org/2004/07/System.Xml.Linq" i:nil="true"/>
    </fact>
    <fact i:type="item">
      <id>XMETag_2974b51840564b48a6ec797ce497b2cd</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{http://xbrl.frc.org.uk/fr/2021-01-01/core}FinancialLiabilitiesClassesCategoriesDimension</dimension>
          <member>{http://xbrl.frc.org.uk/fr/2021-01-01/core}FinancialLiabilitiesFairValueThroughProfitOrLoss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XMETag_a1c10c4c541b40fdb8b19e7268ea51a8</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{http://xbrl.frc.org.uk/fr/2021-01-01/core}FinancialLiabilitiesClassesCategoriesDimension</dimension>
          <member>{http://xbrl.frc.org.uk/fr/2021-01-01/core}FinancialLiabilitiesAmortisedCost</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XMETag_7c7ef8e4b02a4683b6a3589132a4f4dc</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(2,494.5)</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XMETag_912ea2e944d14648bb57d0ec82d30d05</id>
      <concept>{http://xbrl.frc.org.uk/fr/2021-01-01/core}TradeOtherPayablesFinancialLiability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{http://xbrl.frc.org.uk/fr/2021-01-01/core}FinancialInstrumentsFairValue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XMETag_f727cc367e3645f3b923bd811992ae28</id>
      <concept>{http://xbrl.frc.org.uk/fr/2021-01-01/core}TradeOtherPayablesFinancialLiability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{http://xbrl.frc.org.uk/fr/2021-01-01/core}LoansReceivables</member>
          <typedValue i:nil="true"/>
          <contextContainer>Segment</contextContainer>
        </dimension>
      </dimensions>
      <transformGroup>United Kingdom</transformGroup>
      <hidden>false</hidden>
      <value>(54.5)</value>
      <format xmlns:d4p1="http://schemas.datacontract.org/2004/07/System.Xml.Linq" i:nil="true"/>
    </fact>
    <fact i:type="item">
      <id>XMETag_9458258c2b504a5a8e44fafc8f2a9097</id>
      <concept>{http://xbrl.frc.org.uk/fr/2021-01-01/core}TradeOtherPayablesFinancialLiability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{http://xbrl.frc.org.uk/fr/2021-01-01/core}FinancialInstrumentsClassesCategoriesDimension</dimension>
          <member>{http://xbrl.frc.org.uk/fr/2021-01-01/core}FinancialAssetsAmortisedCost</member>
          <typedValue i:nil="true"/>
          <contextContainer>Segment</contextContainer>
        </dimension>
      </dimensions>
      <transformGroup>United Kingdom</transformGroup>
      <hidden>false</hidden>
      <value>(70.2)</value>
      <format xmlns:d4p1="http://schemas.datacontract.org/2004/07/System.Xml.Linq" i:nil="true"/>
    </fact>
    <fact i:type="item">
      <id>XMETag_ba2a519cf26045c4976b26662181445e</id>
      <concept>{http://xbrl.frc.org.uk/fr/2021-01-01/core}TradeOtherPayablesFinancialLiability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(124.7)</value>
      <format xmlns:d4p1="http://schemas.datacontract.org/2004/07/System.Xml.Linq" i:nil="true"/>
    </fact>
    <fact i:type="item">
      <id>XMETag_d3f424b8f407403490ca5cea7056c166</id>
      <concept>{http://xbrl.frc.org.uk/fr/2021-01-01/core}FinancialLiabilities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{http://xbrl.frc.org.uk/fr/2021-01-01/core}FinancialLiabilitiesClassesCategoriesDimension</dimension>
          <member>{http://xbrl.frc.org.uk/fr/2021-01-01/core}FinancialLiabilitiesFairValueThroughProfitOrLoss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XMETag_30be83192fbe42cc8e6f47dcdf63e6e9</id>
      <concept>{http://xbrl.frc.org.uk/fr/2021-01-01/core}FinancialLiabilities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{http://xbrl.frc.org.uk/fr/2021-01-01/core}FinancialLiabilitiesClassesCategoriesDimension</dimension>
          <member>{http://xbrl.frc.org.uk/fr/2021-01-01/core}FinancialLiabilitiesAmortisedCost</member>
          <typedValue i:nil="true"/>
          <contextContainer>Segment</contextContainer>
        </dimension>
      </dimensions>
      <transformGroup>United Kingdom</transformGroup>
      <hidden>false</hidden>
      <value>(70.2)</value>
      <format xmlns:d4p1="http://schemas.datacontract.org/2004/07/System.Xml.Linq" i:nil="true"/>
    </fact>
    <fact i:type="item">
      <id>XMETag_ac5dfe6664ad4fb6873990acb51e54cc</id>
      <concept>{http://xbrl.frc.org.uk/fr/2021-01-01/core}FinancialLiabilities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(2,619.2)</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XMETag_8f2b85a004d94b5c9be2cd27e94ba334</id>
      <concept>{http://xbrl.frc.org.uk/fr/2021-01-01/core}InvestmentsInSubsidiaries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3.3</value>
      <format xmlns:d4p1="http://schemas.datacontract.org/2004/07/System.Xml.Linq" i:nil="true"/>
    </fact>
    <fact i:type="item">
      <id>XMETag_850a117d1aab4c25a19b3de093a2fe8b</id>
      <concept>{http://xbrl.frc.org.uk/fr/2021-01-01/core}InvestmentsInSubsidiaries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3.3 </value>
      <format xmlns:d4p1="http://schemas.datacontract.org/2004/07/System.Xml.Linq" i:nil="true"/>
    </fact>
    <fact i:type="item">
      <id>XMETag_d3698629365847a39a688804f2e8d3b5</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{http://xbrl.frc.org.uk/fr/2021-01-01/core}Subsidiary1</member>
          <typedValue i:nil="true"/>
          <contextContainer>Segment</contextContainer>
        </dimension>
      </dimensions>
      <transformGroup>United Kingdom</transformGroup>
      <hidden>false</hidden>
      <value>Peninsula Properties (Exeter) Limited</value>
      <format xmlns:d4p1="http://schemas.datacontract.org/2004/07/System.Xml.Linq" i:nil="true"/>
    </fact>
    <fact i:type="item">
      <id>XMETag_e1383e45634d4d12ad44805b02a824b1</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{http://xbrl.frc.org.uk/fr/2021-01-01/core}Subsidiary2</member>
          <typedValue i:nil="true"/>
          <contextContainer>Segment</contextContainer>
        </dimension>
      </dimensions>
      <transformGroup>United Kingdom</transformGroup>
      <hidden>false</hidden>
      <value>South West Water Finance plc</value>
      <format xmlns:d4p1="http://schemas.datacontract.org/2004/07/System.Xml.Linq" i:nil="true"/>
    </fact>
    <fact i:type="item">
      <id>XMETag_cacd86a83c0e4def891aab7b30783769</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{http://xbrl.frc.org.uk/fr/2021-01-01/core}Subsidiary3</member>
          <typedValue i:nil="true"/>
          <contextContainer>Segment</contextContainer>
        </dimension>
      </dimensions>
      <transformGroup>United Kingdom</transformGroup>
      <hidden>false</hidden>
      <value>South West Water Customer Services Limited</value>
      <format xmlns:d4p1="http://schemas.datacontract.org/2004/07/System.Xml.Linq" i:nil="true"/>
    </fact>
    <fact i:type="item">
      <id>XMETag_ab4b17768fc44e7693bf1a6257f90cae</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{http://xbrl.frc.org.uk/fr/2021-01-01/core}Subsidiary4</member>
          <typedValue i:nil="true"/>
          <contextContainer>Segment</contextContainer>
        </dimension>
      </dimensions>
      <transformGroup>United Kingdom</transformGroup>
      <hidden>false</hidden>
      <value>Bournemouth Water Investments Limited</value>
      <format xmlns:d4p1="http://schemas.datacontract.org/2004/07/System.Xml.Linq" i:nil="true"/>
    </fact>
    <fact i:type="item">
      <id>XMETag_22a76a2419a6495ab60271aa4be7cf13</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{http://xbrl.frc.org.uk/fr/2021-01-01/core}Subsidiary5</member>
          <typedValue i:nil="true"/>
          <contextContainer>Segment</contextContainer>
        </dimension>
      </dimensions>
      <transformGroup>United Kingdom</transformGroup>
      <hidden>false</hidden>
      <value>BWH Enterprises Limited</value>
      <format xmlns:d4p1="http://schemas.datacontract.org/2004/07/System.Xml.Linq" i:nil="true"/>
    </fact>
    <fact i:type="item">
      <id>XMETag_27ca1e77090148819243ca999578ee83</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{http://xbrl.frc.org.uk/fr/2021-01-01/core}Subsidiary6</member>
          <typedValue i:nil="true"/>
          <contextContainer>Segment</contextContainer>
        </dimension>
      </dimensions>
      <transformGroup>United Kingdom</transformGroup>
      <hidden>false</hidden>
      <value>Bournemouth Water Limited</value>
      <format xmlns:d4p1="http://schemas.datacontract.org/2004/07/System.Xml.Linq" i:nil="true"/>
    </fact>
    <fact i:type="item">
      <id>XMETag_bd193ac77b2d461a922655f01c79a1fb</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{http://xbrl.frc.org.uk/fr/2021-01-01/core}Subsidiary7</member>
          <typedValue i:nil="true"/>
          <contextContainer>Segment</contextContainer>
        </dimension>
      </dimensions>
      <transformGroup>United Kingdom</transformGroup>
      <hidden>false</hidden>
      <value>Alderney Water Limited</value>
      <format xmlns:d4p1="http://schemas.datacontract.org/2004/07/System.Xml.Linq" i:nil="true"/>
    </fact>
    <fact i:type="item">
      <id>XMETag_7d676bdc7a5643158265276cd212a5dd</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{http://xbrl.frc.org.uk/fr/2021-01-01/core}Subsidiary8</member>
          <typedValue i:nil="true"/>
          <contextContainer>Segment</contextContainer>
        </dimension>
      </dimensions>
      <transformGroup>United Kingdom</transformGroup>
      <hidden>false</hidden>
      <value>West Hampshire Water Limited</value>
      <format xmlns:d4p1="http://schemas.datacontract.org/2004/07/System.Xml.Linq" i:nil="true"/>
    </fact>
    <fact i:type="item">
      <id>XMETag_a5b57f1498a6478285e6b118f8e458df</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{http://xbrl.frc.org.uk/fr/2021-01-01/core}Subsidiary9</member>
          <typedValue i:nil="true"/>
          <contextContainer>Segment</contextContainer>
        </dimension>
      </dimensions>
      <transformGroup>United Kingdom</transformGroup>
      <hidden>false</hidden>
      <value>Avon Valley Water Limited</value>
      <format xmlns:d4p1="http://schemas.datacontract.org/2004/07/System.Xml.Linq" i:nil="true"/>
    </fact>
    <fact i:type="item">
      <id>XMETag_bc0758936f95456db06b8eebd60e30b8</id>
      <concept>{http://xbrl.frc.org.uk/fr/2021-01-01/core}NameSubsidiary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{http://xbrl.frc.org.uk/fr/2021-01-01/core}SubsidiariesDimension</dimension>
          <member>{http://xbrl.frc.org.uk/fr/2021-01-01/core}Subsidiary10</member>
          <typedValue i:nil="true"/>
          <contextContainer>Segment</contextContainer>
        </dimension>
      </dimensions>
      <transformGroup>United Kingdom</transformGroup>
      <hidden>false</hidden>
      <value>Aquacare (BWH) Limited</value>
      <format xmlns:d4p1="http://schemas.datacontract.org/2004/07/System.Xml.Linq" i:nil="true"/>
    </fact>
    <fact i:type="item">
      <id>XMETag_c5f7d600084944c5ad068da4c6ac1166</id>
      <concept>{http://xbrl.frc.org.uk/fr/2021-01-01/core}CountryIncorporationOrResidenceSubsidiary</concept>
      <identifier>
        <scheme>http://www.companieshouse.gov.uk/</scheme>
        <value>02366665</value>
      </identifier>
      <period>
        <periodType>Duration</periodType>
        <startDate>2021-04-01T00:00:00</startDate>
        <endDate>2022-03-31T00:00:00</endDate>
      </period>
      <numericProperties i:nil="true"/>
      <dimensions>
        <dimension>
          <dimension>{http://xbrl.frc.org.uk/cd/2021-01-01/countries}CountriesRegionsDimension</dimension>
          <member>{http://xbrl.frc.org.uk/cd/2021-01-01/countries}England</member>
          <typedValue i:nil="true"/>
          <contextContainer>Segment</contextContainer>
        </dimension>
      </dimensions>
      <transformGroup>United Kingdom</transformGroup>
      <hidden>false</hidden>
      <value>England</value>
      <format xmlns:d4p1="http://schemas.datacontract.org/2004/07/System.Xml.Linq" xmlns:z="http://schemas.microsoft.com/2003/10/Serialization/" z:FactoryType="d4p1:NameSerializer">
        <name xmlns:d5p1="http://www.w3.org/2001/XMLSchema" xmlns="" i:type="d5p1:string">{http://www.xbrl.org/inlineXBRL/transformation/2011-07-31}nocontent</name>
      </format>
    </fact>
    <fact i:type="item">
      <id>XMETag_e8575f4d74284cf69e8cc6f4007c649b</id>
      <concept>{http://xbrl.frc.org.uk/fr/2021-01-01/core}InvestmentsInSubsidiariesFree-textComment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Company also has a minority shareholding in Landlord Tap Limited, which is incorporated, registered and operates in England.
Consolidated financial statements have not been prepared, as explained in note 2(b).
16.	INVESTMENTS (CONTINUED)
In the opinion of the Directors, the total value of the investments in subsidiaries is not less than the amount at which they are shown in the balance sheet.</value>
      <format xmlns:d4p1="http://schemas.datacontract.org/2004/07/System.Xml.Linq" i:nil="true"/>
    </fact>
    <fact i:type="item">
      <id>XMETag_80d27313136c4444832caf2c23ac1690</id>
      <concept>{http://xbrl.frc.org.uk/cd/2021-01-01/business}ReportIncludesListSubsidiariesTruefalse</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true</hidden>
      <value>true</value>
      <format xmlns:d4p1="http://schemas.datacontract.org/2004/07/System.Xml.Linq" i:nil="true"/>
    </fact>
    <fact i:type="item">
      <id>XMETag_6dd3930aad1a45aab202044779a4e6cd</id>
      <concept>{http://xbrl.frc.org.uk/fr/2021-01-01/core}RawMaterialsConsumables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5.8</value>
      <format xmlns:d4p1="http://schemas.datacontract.org/2004/07/System.Xml.Linq" i:nil="true"/>
    </fact>
    <fact i:type="item">
      <id>XMETag_808382d9037d42dd821b23b4203df303</id>
      <concept>{http://xbrl.frc.org.uk/fr/2021-01-01/core}RawMaterialsConsumables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5.4</value>
      <format xmlns:d4p1="http://schemas.datacontract.org/2004/07/System.Xml.Linq" i:nil="true"/>
    </fact>
    <fact i:type="item">
      <id>XMETag_e7edfc7cd2ee4ad698ac8f965acde1b9</id>
      <concept>{http://xbrl.frc.org.uk/fr/2021-01-01/core}TradeDebtorsTradeReceivables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{http://xbrl.frc.org.uk/fr/2021-01-01/core}ValueBeforeAllowanceForImpairmentLoss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227.5</value>
      <format xmlns:d4p1="http://schemas.datacontract.org/2004/07/System.Xml.Linq" i:nil="true"/>
    </fact>
    <fact i:type="item">
      <id>XMETag_0706c1842b944113bfbd30860914a8b6</id>
      <concept>{http://xbrl.frc.org.uk/fr/2021-01-01/core}TradeDebtorsTradeReceivables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{http://xbrl.frc.org.uk/fr/2021-01-01/core}ValueBeforeAllowanceForImpairmentLoss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216.2</value>
      <format xmlns:d4p1="http://schemas.datacontract.org/2004/07/System.Xml.Linq" i:nil="true"/>
    </fact>
    <fact i:type="item">
      <id>XMETag_95d186060e014ec4aed327deaaa05bf5</id>
      <concept>{http://xbrl.frc.org.uk/fr/2021-01-01/core}TradeDebtorsTradeReceivables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(84.5)</value>
      <format xmlns:d4p1="http://schemas.datacontract.org/2004/07/System.Xml.Linq" i:nil="true"/>
    </fact>
    <fact i:type="item">
      <id>XMETag_9bbd2d516efe468f86572b31915549e7</id>
      <concept>{http://xbrl.frc.org.uk/fr/2021-01-01/core}TradeDebtorsTradeReceivables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(88.4)</value>
      <format xmlns:d4p1="http://schemas.datacontract.org/2004/07/System.Xml.Linq" i:nil="true"/>
    </fact>
    <fact i:type="item">
      <id>XMETag_4356abee0103461db254582ac58021b3</id>
      <concept>{http://xbrl.frc.org.uk/fr/2021-01-01/core}TradeDebtorsTradeReceivables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143.0</value>
      <format xmlns:d4p1="http://schemas.datacontract.org/2004/07/System.Xml.Linq" i:nil="true"/>
    </fact>
    <fact i:type="item">
      <id>XMETag_e3fea7145be54b2eb8b21cc1dcb789ff</id>
      <concept>{http://xbrl.frc.org.uk/fr/2021-01-01/core}TradeDebtorsTradeReceivables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127.8</value>
      <format xmlns:d4p1="http://schemas.datacontract.org/2004/07/System.Xml.Linq" i:nil="true"/>
    </fact>
    <fact i:type="item">
      <id>XMETag_164a2df3fbd94a60858c20d45e74fcca</id>
      <concept>{http://xbrl.frc.org.uk/fr/2021-01-01/core}AmountsOwedBySubsidiaries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13.1</value>
      <format xmlns:d4p1="http://schemas.datacontract.org/2004/07/System.Xml.Linq" i:nil="true"/>
    </fact>
    <fact i:type="item">
      <id>XMETag_31f7d80c440943d79831cf703e02cc00</id>
      <concept>{http://xbrl.frc.org.uk/fr/2021-01-01/core}AmountsOwedBySubsidiaries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10.7</value>
      <format xmlns:d4p1="http://schemas.datacontract.org/2004/07/System.Xml.Linq" i:nil="true"/>
    </fact>
    <fact i:type="item">
      <id>XMETag_dd1090f1b2774800819fac6ae18c3c50</id>
      <concept>{http://xbrl.frc.org.uk/fr/2021-01-01/core}OtherReceivables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35.3</value>
      <format xmlns:d4p1="http://schemas.datacontract.org/2004/07/System.Xml.Linq" i:nil="true"/>
    </fact>
    <fact i:type="item">
      <id>XMETag_792e828370f64c5fb6a3f6cd1a6dc906</id>
      <concept>{http://xbrl.frc.org.uk/fr/2021-01-01/core}OtherReceivables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16.9</value>
      <format xmlns:d4p1="http://schemas.datacontract.org/2004/07/System.Xml.Linq" i:nil="true"/>
    </fact>
    <fact i:type="item">
      <id>XMETag_f70d3e1c151547caa5338a86d873e600</id>
      <concept>{http://xbrl.frc.org.uk/fr/2021-01-01/core}PrepaymentsAccruedIncome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7.5</value>
      <format xmlns:d4p1="http://schemas.datacontract.org/2004/07/System.Xml.Linq" i:nil="true"/>
    </fact>
    <fact i:type="item">
      <id>XMETag_90cc1d8d4af841e4a638da05d99c4464</id>
      <concept>{http://xbrl.frc.org.uk/fr/2021-01-01/core}PrepaymentsAccruedIncome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8.9</value>
      <format xmlns:d4p1="http://schemas.datacontract.org/2004/07/System.Xml.Linq" i:nil="true"/>
    </fact>
    <fact i:type="item">
      <id>XMETag_4c1b67c351134044b268a303f734bf37</id>
      <concept>{http://xbrl.frc.org.uk/fr/2021-01-01/core}TradeOtherReceivables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198.9</value>
      <format xmlns:d4p1="http://schemas.datacontract.org/2004/07/System.Xml.Linq" i:nil="true"/>
    </fact>
    <fact i:type="item">
      <id>XMETag_f2110ef6c78c491ca6ff04e3c2f0becd</id>
      <concept>{http://xbrl.frc.org.uk/fr/2021-01-01/core}TradeOtherReceivables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164.3</value>
      <format xmlns:d4p1="http://schemas.datacontract.org/2004/07/System.Xml.Linq" i:nil="true"/>
    </fact>
    <fact i:type="item">
      <id>XMETag_c0e5693141444a31867f9c296b229db4</id>
      <concept>{http://xbrl.frc.org.uk/fr/2021-01-01/core}TradeDebtorsTradeReceivables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{http://xbrl.frc.org.uk/fr/2021-01-01/core}ValueBeforeAllowanceForImpairmentLoss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{http://xbrl.frc.org.uk/fr/2021-01-01/core}NeitherPastDueNorImpairedCarryingValue</member>
          <typedValue i:nil="true"/>
          <contextContainer>Segment</contextContainer>
        </dimension>
      </dimensions>
      <transformGroup>United Kingdom</transformGroup>
      <hidden>false</hidden>
      <value>35.9</value>
      <format xmlns:d4p1="http://schemas.datacontract.org/2004/07/System.Xml.Linq" i:nil="true"/>
    </fact>
    <fact i:type="item">
      <id>XMETag_85f1ed0a791440f6a29d67898912619f</id>
      <concept>{http://xbrl.frc.org.uk/fr/2021-01-01/core}TradeDebtorsTradeReceivables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{http://xbrl.frc.org.uk/fr/2021-01-01/core}ValueBeforeAllowanceForImpairmentLoss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{http://xbrl.frc.org.uk/fr/2021-01-01/core}FinancialInstrumentValueTypeDimension</dimension>
          <member>{http://xbrl.frc.org.uk/fr/2021-01-01/core}NeitherPastDueNorImpairedCarryingValue</member>
          <typedValue i:nil="true"/>
          <contextContainer>Segment</contextContainer>
        </dimension>
      </dimensions>
      <transformGroup>United Kingdom</transformGroup>
      <hidden>false</hidden>
      <value>31.6</value>
      <format xmlns:d4p1="http://schemas.datacontract.org/2004/07/System.Xml.Linq" i:nil="true"/>
    </fact>
    <fact i:type="item">
      <id>XMETag_85db37c951d0453e8b16ee69e3dd5130</id>
      <concept>{http://xbrl.frc.org.uk/fr/2021-01-01/core}TradeDebtorsTradeReceivables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{http://xbrl.frc.org.uk/fr/2021-01-01/core}ValueBeforeAllowanceForImpairmentLoss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227.5</value>
      <format xmlns:d4p1="http://schemas.datacontract.org/2004/07/System.Xml.Linq" i:nil="true"/>
    </fact>
    <fact i:type="item">
      <id>XMETag_7f48dad6337f4a64ba1ff65ef8a0eeec</id>
      <concept>{http://xbrl.frc.org.uk/fr/2021-01-01/core}TradeDebtorsTradeReceivables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{http://xbrl.frc.org.uk/fr/2021-01-01/core}ValueBeforeAllowanceForImpairmentLoss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216.2</value>
      <format xmlns:d4p1="http://schemas.datacontract.org/2004/07/System.Xml.Linq" i:nil="true"/>
    </fact>
    <fact i:type="item">
      <id>XMETag_281dca2d1fab47699acacbaac7e9d88a</id>
      <concept>{http://xbrl.frc.org.uk/fr/2021-01-01/core}TradeDebtorsTradeReceivables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88.4</value>
      <format xmlns:d4p1="http://schemas.datacontract.org/2004/07/System.Xml.Linq" i:nil="true"/>
    </fact>
    <fact i:type="item">
      <id>XMETag_374d39a051d74013b456ce88e081b709</id>
      <concept>{http://xbrl.frc.org.uk/fr/2021-01-01/core}TradeDebtorsTradeReceivables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91.6</value>
      <format xmlns:d4p1="http://schemas.datacontract.org/2004/07/System.Xml.Linq" i:nil="true"/>
    </fact>
    <fact i:type="item">
      <id>XMETag_304772be477040f49ac6079fdfeab6fb</id>
      <concept>{http://xbrl.frc.org.uk/fr/2021-01-01/core}TradeDebtorsTradeReceivables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{http://xbrl.frc.org.uk/fr/2021-01-01/core}ImpairmentChargeRelease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3.1</value>
      <format xmlns:d4p1="http://schemas.datacontract.org/2004/07/System.Xml.Linq" i:nil="true"/>
    </fact>
    <fact i:type="item">
      <id>XMETag_dadfdfd47b574c40aa660e7946f29ed0</id>
      <concept>{http://xbrl.frc.org.uk/fr/2021-01-01/core}TradeDebtorsTradeReceivables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{http://xbrl.frc.org.uk/fr/2021-01-01/core}ImpairmentChargeRelease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2.8</value>
      <format xmlns:d4p1="http://schemas.datacontract.org/2004/07/System.Xml.Linq" i:nil="true"/>
    </fact>
    <fact i:type="item">
      <id>XMETag_1092122cb4f142dfac8fc91a83902c7a</id>
      <concept>{http://xbrl.frc.org.uk/fr/2021-01-01/core}TradeDebtorsTradeReceivables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{http://xbrl.frc.org.uk/fr/2021-01-01/core}Write-offFinancialAssetsDecreaseInAllowanceForImpairment</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(7.0)</value>
      <format xmlns:d4p1="http://schemas.datacontract.org/2004/07/System.Xml.Linq" i:nil="true"/>
    </fact>
    <fact i:type="item">
      <id>XMETag_69b5270c1bb54cdba11ebe439cf16d04</id>
      <concept>{http://xbrl.frc.org.uk/fr/2021-01-01/core}TradeDebtorsTradeReceivables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{http://xbrl.frc.org.uk/fr/2021-01-01/core}Write-offFinancialAssetsDecreaseInAllowanceForImpairment</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(6.0)</value>
      <format xmlns:d4p1="http://schemas.datacontract.org/2004/07/System.Xml.Linq" i:nil="true"/>
    </fact>
    <fact i:type="item">
      <id>XMETag_d3aeaa085d9343e4b83f398af0ef64af</id>
      <concept>{http://xbrl.frc.org.uk/fr/2021-01-01/core}TradeDebtorsTradeReceivables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84.5</value>
      <format xmlns:d4p1="http://schemas.datacontract.org/2004/07/System.Xml.Linq" i:nil="true"/>
    </fact>
    <fact i:type="item">
      <id>XMETag_b8b3bd164ba84f5d95c7ac0b9c4f4247</id>
      <concept>{http://xbrl.frc.org.uk/fr/2021-01-01/core}TradeDebtorsTradeReceivables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{http://xbrl.frc.org.uk/fr/2021-01-01/core}AllowanceForImpairmentDimension</dimension>
          <member>{http://xbrl.frc.org.uk/fr/2021-01-01/core}AllowanceForImpairmentLoss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88.4</value>
      <format xmlns:d4p1="http://schemas.datacontract.org/2004/07/System.Xml.Linq" i:nil="true"/>
    </fact>
    <fact i:type="item">
      <id>XMETag_d0f00d2dd79f4d9995d1fde8463abfcc</id>
      <concept>{http://xbrl.frc.org.uk/fr/2021-01-01/core}TradeOtherReceivablesFree-textComment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Trade receivables include accrued income relating to customers with metered budget plans. Due to the impact on demand patterns caused by the COVID-19 pandemic, overall demand has increased in the business, causing increased levels of receivables despite the resilient cash collection performance.
The Directors consider that the carrying amounts of trade and other receivables approximate to their fair value.
There is no concentration of credit risk in trade receivables. The Company has a large number of customers who are dispersed and there is no significant loss on trade receivables expected that has not been provided for. The Company applies the simplified approach in calculating the expected credit losses for trade receivables allowing a provision matrix to be used which is based on the expected life of trade receivables, default rates for different customer categories within the collection process and forward looking information.</value>
      <format xmlns:d4p1="http://schemas.datacontract.org/2004/07/System.Xml.Linq" i:nil="true"/>
    </fact>
    <fact i:type="item">
      <id>XMETag_5d2744c9e13f48d7bffa49000ea0415e</id>
      <concept>{http://xbrl.frc.org.uk/fr/2021-01-01/core}TradeOtherReceivablesFree-textComment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{http://xbrl.frc.org.uk/fr/2021-01-01/core}AllowanceForImpairmentDimension</dimension>
          <member>{http://xbrl.frc.org.uk/fr/2021-01-01/core}AllowanceForImpairmentLoss</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Receivables in respect of wholesale water and wastewater services retailed by fellow group subsidiaries are included as amounts owed by fellow subsidiary companies.</value>
      <format xmlns:d4p1="http://schemas.datacontract.org/2004/07/System.Xml.Linq" i:nil="true"/>
    </fact>
    <fact i:type="item">
      <id>XMETag_56f79945c44248d69e3e907c3063c52d</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5.0</value>
      <format xmlns:d4p1="http://schemas.datacontract.org/2004/07/System.Xml.Linq" i:nil="true"/>
    </fact>
    <fact i:type="item">
      <id>XMETag_789d3dfee3594ad0b3789cc44531b337</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0.2</value>
      <format xmlns:d4p1="http://schemas.datacontract.org/2004/07/System.Xml.Linq" i:nil="true"/>
    </fact>
    <fact i:type="item">
      <id>XMETag_b08c6c423ba84fb2aa34d7195f9d6e47</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13.9</value>
      <format xmlns:d4p1="http://schemas.datacontract.org/2004/07/System.Xml.Linq" i:nil="true"/>
    </fact>
    <fact i:type="item">
      <id>XMETag_b38af03a1c544c058eb4e603f95c1759</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1.5</value>
      <format xmlns:d4p1="http://schemas.datacontract.org/2004/07/System.Xml.Linq" i:nil="true"/>
    </fact>
    <fact i:type="item">
      <id>XMETag_c154b300329f4f44b5ac537502ac515d</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s>
      <transformGroup>United Kingdom</transformGroup>
      <hidden>false</hidden>
      <value>18.9</value>
      <format xmlns:d4p1="http://schemas.datacontract.org/2004/07/System.Xml.Linq" i:nil="true"/>
    </fact>
    <fact i:type="item">
      <id>XMETag_dc0df647dc3f432d919956537f5dfd1c</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s>
      <transformGroup>United Kingdom</transformGroup>
      <hidden>false</hidden>
      <value>1.7</value>
      <format xmlns:d4p1="http://schemas.datacontract.org/2004/07/System.Xml.Linq" i:nil="true"/>
    </fact>
    <fact i:type="item">
      <id>XMETag_fbcc5f1819ac483cbc7c95c390b94d6c</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XMETag_c00a094f6c904fd7bff1c3a1602a4f7c</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(6.1)</value>
      <format xmlns:d4p1="http://schemas.datacontract.org/2004/07/System.Xml.Linq" i:nil="true"/>
    </fact>
    <fact i:type="item">
      <id>XMETag_37e4fe6b5dd1468c8faf96a8db94b8e9</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XMETag_df2589e95cfc40bfbf26eaf37762d7ea</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(17.4)</value>
      <format xmlns:d4p1="http://schemas.datacontract.org/2004/07/System.Xml.Linq" i:nil="true"/>
    </fact>
    <fact i:type="item">
      <id>XMETag_020077f7e39b4ab99a12a1f411d38b19</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XMETag_5557d72334bc4a0ab5c964dda7346d1d</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s>
      <transformGroup>United Kingdom</transformGroup>
      <hidden>false</hidden>
      <value>(23.5)</value>
      <format xmlns:d4p1="http://schemas.datacontract.org/2004/07/System.Xml.Linq" i:nil="true"/>
    </fact>
    <fact i:type="item">
      <id>XMETag_b9dafe89978c41ce8e4cccf2344c2b7c</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5.0</value>
      <format xmlns:d4p1="http://schemas.datacontract.org/2004/07/System.Xml.Linq" i:nil="true"/>
    </fact>
    <fact i:type="item">
      <id>XMETag_7aafbf5027574c62bab4313be81fa642</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4.9</value>
      <format xmlns:d4p1="http://schemas.datacontract.org/2004/07/System.Xml.Linq" i:nil="true"/>
    </fact>
    <fact i:type="item">
      <id>XMETag_10d545a472ed4b5f972d447a2404f193</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7.0</value>
      <format xmlns:d4p1="http://schemas.datacontract.org/2004/07/System.Xml.Linq" i:nil="true"/>
    </fact>
    <fact i:type="item">
      <id>XMETag_ca6c4665d0214e6781c779c44cc7ebe6</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2.0</value>
      <format xmlns:d4p1="http://schemas.datacontract.org/2004/07/System.Xml.Linq" i:nil="true"/>
    </fact>
    <fact i:type="item">
      <id>XMETag_5e44c0c7ffd64f4f81a33a766dd825f7</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18.9</value>
      <format xmlns:d4p1="http://schemas.datacontract.org/2004/07/System.Xml.Linq" i:nil="true"/>
    </fact>
    <fact i:type="item">
      <id>XMETag_758ab1844cef40c484907f4ce8e98940</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XMETag_becc745c621f4154b35d5b99ce57c7e3</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XMETag_515acb50b4674b1abc28e48003259d62</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XMETag_125bf57581364d0a8f25a30a7a8b3dc7</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XMETag_ff2908d19395410b97ba5b7013d283cf</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XMETag_d0d51787c0554a09bc58636c7d3c4b8c</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0.2</value>
      <format xmlns:d4p1="http://schemas.datacontract.org/2004/07/System.Xml.Linq" i:nil="true"/>
    </fact>
    <fact i:type="item">
      <id>XMETag_bd71ab4bc87c47f88486633d520025a0</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0.2</value>
      <format xmlns:d4p1="http://schemas.datacontract.org/2004/07/System.Xml.Linq" i:nil="true"/>
    </fact>
    <fact i:type="item">
      <id>XMETag_5379018f8d6a438686676ee7a4b019da</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0.6</value>
      <format xmlns:d4p1="http://schemas.datacontract.org/2004/07/System.Xml.Linq" i:nil="true"/>
    </fact>
    <fact i:type="item">
      <id>XMETag_3328160687bc4c77aeb1993e3f5aca73</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0.7</value>
      <format xmlns:d4p1="http://schemas.datacontract.org/2004/07/System.Xml.Linq" i:nil="true"/>
    </fact>
    <fact i:type="item">
      <id>XMETag_7ef1c6858f04450b8185642024c84245</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1.7</value>
      <format xmlns:d4p1="http://schemas.datacontract.org/2004/07/System.Xml.Linq" i:nil="true"/>
    </fact>
    <fact i:type="item">
      <id>XMETag_a91cb1ed43094b69a6f1545eb4835360</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(6.1)</value>
      <format xmlns:d4p1="http://schemas.datacontract.org/2004/07/System.Xml.Linq" i:nil="true"/>
    </fact>
    <fact i:type="item">
      <id>XMETag_c18effc8886e45d0a4f364c9c86a2b02</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(6.1)</value>
      <format xmlns:d4p1="http://schemas.datacontract.org/2004/07/System.Xml.Linq" i:nil="true"/>
    </fact>
    <fact i:type="item">
      <id>XMETag_fc1ef2f4b64240c5945c87af2556cdc6</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(11.3)</value>
      <format xmlns:d4p1="http://schemas.datacontract.org/2004/07/System.Xml.Linq" i:nil="true"/>
    </fact>
    <fact i:type="item">
      <id>XMETag_5f5439ee05a349c3b95997501135ce6a</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XMETag_47fce8fb746544fd96fc0f470e6beb67</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(23.5)</value>
      <format xmlns:d4p1="http://schemas.datacontract.org/2004/07/System.Xml.Linq" i:nil="true"/>
    </fact>
    <fact i:type="item">
      <id>XMETag_12d35aee55d44e11a32a7a098682990c</id>
      <concept>{http://xbrl.frc.org.uk/fr/2021-01-01/core}DerivativeAssets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{http://xbrl.frc.org.uk/fr/2021-01-01/core}FinancialInstrumentLevelDimension</dimension>
          <member>{http://xbrl.frc.org.uk/fr/2021-01-01/core}Level2</member>
          <typedValue i:nil="true"/>
          <contextContainer>Segment</contextContainer>
        </dimension>
      </dimensions>
      <transformGroup>United Kingdom</transformGroup>
      <hidden>false</hidden>
      <value>18.9</value>
      <format xmlns:d4p1="http://schemas.datacontract.org/2004/07/System.Xml.Linq" i:nil="true"/>
    </fact>
    <fact i:type="item">
      <id>XMETag_ef6e8d533351485ba1421f4e75314088</id>
      <concept>{http://xbrl.frc.org.uk/fr/2021-01-01/core}DerivativeAssets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{http://xbrl.frc.org.uk/fr/2021-01-01/core}FinancialInstrumentLevelDimension</dimension>
          <member>{http://xbrl.frc.org.uk/fr/2021-01-01/core}Level2</member>
          <typedValue i:nil="true"/>
          <contextContainer>Segment</contextContainer>
        </dimension>
      </dimensions>
      <transformGroup>United Kingdom</transformGroup>
      <hidden>false</hidden>
      <value>1.7</value>
      <format xmlns:d4p1="http://schemas.datacontract.org/2004/07/System.Xml.Linq" i:nil="true"/>
    </fact>
    <fact i:type="item">
      <id>XMETag_6c9e11a77e3a49789cbaba07c845546c</id>
      <concept>{http://xbrl.frc.org.uk/fr/2021-01-01/core}DerivativeLiabilities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{http://xbrl.frc.org.uk/fr/2021-01-01/core}FinancialInstrumentLevelDimension</dimension>
          <member>{http://xbrl.frc.org.uk/fr/2021-01-01/core}Level2</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XMETag_71d18eedc491462b937f23c97fb2b7a0</id>
      <concept>{http://xbrl.frc.org.uk/fr/2021-01-01/core}DerivativeLiabilities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{http://xbrl.frc.org.uk/fr/2021-01-01/core}DerivativesTypesDimension</dimension>
          <member>{http://xbrl.frc.org.uk/fr/2021-01-01/core}CashFlowHedge</member>
          <typedValue i:nil="true"/>
          <contextContainer>Segment</contextContainer>
        </dimension>
        <dimension>
          <dimension>{http://xbrl.frc.org.uk/fr/2021-01-01/core}FinancialInstrumentLevelDimension</dimension>
          <member>{http://xbrl.frc.org.uk/fr/2021-01-01/core}Level2</member>
          <typedValue i:nil="true"/>
          <contextContainer>Segment</contextContainer>
        </dimension>
      </dimensions>
      <transformGroup>United Kingdom</transformGroup>
      <hidden>false</hidden>
      <value>23.5</value>
      <format xmlns:d4p1="http://schemas.datacontract.org/2004/07/System.Xml.Linq" i:nil="true"/>
    </fact>
    <fact i:type="item">
      <id>XMETag_61d890c24bd64af5937331e075b7ebc0</id>
      <concept>{http://xbrl.frc.org.uk/fr/2021-01-01/core}CashBankOnHand</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27.6</value>
      <format xmlns:d4p1="http://schemas.datacontract.org/2004/07/System.Xml.Linq" i:nil="true"/>
    </fact>
    <fact i:type="item">
      <id>XMETag_619db2f297ae44da8e62359f935b5507</id>
      <concept>{http://xbrl.frc.org.uk/fr/2021-01-01/core}CashBankOnHand</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17.1</value>
      <format xmlns:d4p1="http://schemas.datacontract.org/2004/07/System.Xml.Linq" i:nil="true"/>
    </fact>
    <fact i:type="item">
      <id>XMETag_a83998fc837a4e3193d9ba2d168abbdb</id>
      <concept>{http://xbrl.frc.org.uk/fr/2021-01-01/core}Short-termDepositsClassifiedAsCashEquivalents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XMETag_2447375005c440e2ad554813d7d53f01</id>
      <concept>{http://xbrl.frc.org.uk/fr/2021-01-01/core}Short-termDepositsClassifiedAsCashEquivalents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147.0</value>
      <format xmlns:d4p1="http://schemas.datacontract.org/2004/07/System.Xml.Linq" i:nil="true"/>
    </fact>
    <fact i:type="item">
      <id>XMETag_a8366f9faf634c5d9fdc1ef73b2c21e9</id>
      <concept>{http://xbrl.frc.org.uk/fr/2021-01-01/core}OtherCashCashEquivalents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161.7</value>
      <format xmlns:d4p1="http://schemas.datacontract.org/2004/07/System.Xml.Linq" i:nil="true"/>
    </fact>
    <fact i:type="item">
      <id>XMETag_535148246cca49fa80a93f2472cc344f</id>
      <concept>{http://xbrl.frc.org.uk/fr/2021-01-01/core}OtherCashCashEquivalents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250.8</value>
      <format xmlns:d4p1="http://schemas.datacontract.org/2004/07/System.Xml.Linq" i:nil="true"/>
    </fact>
    <fact i:type="item">
      <id>XMETag_663e04f129f04f0aae79f22f02a851eb</id>
      <concept>{http://xbrl.frc.org.uk/fr/2021-01-01/core}CashCashEquivalents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189.3</value>
      <format xmlns:d4p1="http://schemas.datacontract.org/2004/07/System.Xml.Linq" i:nil="true"/>
    </fact>
    <fact i:type="item">
      <id>XMETag_f70f3ddb865f4b3f9740af72e1805196</id>
      <concept>{http://xbrl.frc.org.uk/fr/2021-01-01/core}CashCashEquivalents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414.9</value>
      <format xmlns:d4p1="http://schemas.datacontract.org/2004/07/System.Xml.Linq" i:nil="true"/>
    </fact>
    <fact i:type="item">
      <id>XMETag_7f237256896649d6bad0bb7c2183caa5</id>
      <concept>{http://xbrl.frc.org.uk/fr/2021-01-01/core}CashCashEquivalentsUnavailableForUseByEntity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161.7</value>
      <format xmlns:d4p1="http://schemas.datacontract.org/2004/07/System.Xml.Linq" i:nil="true"/>
    </fact>
    <fact i:type="item">
      <id>XMETag_559fbe92f51742b79ff3979138c88575</id>
      <concept>{http://xbrl.frc.org.uk/fr/2021-01-01/core}CashCashEquivalentsUnavailableForUseByEntity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250.8</value>
      <format xmlns:d4p1="http://schemas.datacontract.org/2004/07/System.Xml.Linq" i:nil="true"/>
    </fact>
    <fact i:type="item">
      <id>XMETag_1b3fa875130a4c2e9b8ac5e75031714b</id>
      <concept>{http://xbrl.frc.org.uk/fr/2021-01-01/core}CashCashEquivalents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189.3</value>
      <format xmlns:d4p1="http://schemas.datacontract.org/2004/07/System.Xml.Linq" i:nil="true"/>
    </fact>
    <fact i:type="item">
      <id>XMETag_107442454b0248f1a9394f4c985ddf5a</id>
      <concept>{http://xbrl.frc.org.uk/fr/2021-01-01/core}CashCashEquivalents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414.9</value>
      <format xmlns:d4p1="http://schemas.datacontract.org/2004/07/System.Xml.Linq" i:nil="true"/>
    </fact>
    <fact i:type="item">
      <id>XMETag_3e6e8f4ec4bd435184705cb347254338</id>
      <concept>{http://xbrl.frc.org.uk/fr/2021-01-01/core}CashCashEquivalentsUnavailableForUseByEntity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(161.7)</value>
      <format xmlns:d4p1="http://schemas.datacontract.org/2004/07/System.Xml.Linq" i:nil="true"/>
    </fact>
    <fact i:type="item">
      <id>XMETag_cb344b32e4844bc5aece5ee0ea24e77b</id>
      <concept>{http://xbrl.frc.org.uk/fr/2021-01-01/core}CashCashEquivalentsUnavailableForUseByEntity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(250.8)</value>
      <format xmlns:d4p1="http://schemas.datacontract.org/2004/07/System.Xml.Linq" i:nil="true"/>
    </fact>
    <fact i:type="item">
      <id>XMETag_17b399a3ed07497490075acea67e64ad</id>
      <concept>{http://xbrl.frc.org.uk/fr/2021-01-01/core}CashCashEquivalentsCashFlowValue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27.6</value>
      <format xmlns:d4p1="http://schemas.datacontract.org/2004/07/System.Xml.Linq" i:nil="true"/>
    </fact>
    <fact i:type="item">
      <id>XMETag_713440050d404fab8de96f4799ae444e</id>
      <concept>{http://xbrl.frc.org.uk/fr/2021-01-01/core}CashCashEquivalentsCashFlowValue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164.1</value>
      <format xmlns:d4p1="http://schemas.datacontract.org/2004/07/System.Xml.Linq" i:nil="true"/>
    </fact>
    <fact i:type="item">
      <id>XMETag_bee9d2576cd24086abb2e2f7d2bbfd68</id>
      <concept>{http://xbrl.frc.org.uk/fr/2021-01-01/core}TradeCreditorsTradePayables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70.2</value>
      <format xmlns:d4p1="http://schemas.datacontract.org/2004/07/System.Xml.Linq" i:nil="true"/>
    </fact>
    <fact i:type="item">
      <id>XMETag_2c26f6fa2f2f448eb6c7d65b69a9829e</id>
      <concept>{http://xbrl.frc.org.uk/fr/2021-01-01/core}TradeCreditorsTradePayables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62.1</value>
      <format xmlns:d4p1="http://schemas.datacontract.org/2004/07/System.Xml.Linq" i:nil="true"/>
    </fact>
    <fact i:type="item">
      <id>XMETag_fee33ea7d7b144d39b80aecf01b58730</id>
      <concept>{http://xbrl.frc.org.uk/fr/2021-01-01/core}AmountsOwedToSubsidiaries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9.0</value>
      <format xmlns:d4p1="http://schemas.datacontract.org/2004/07/System.Xml.Linq" i:nil="true"/>
    </fact>
    <fact i:type="item">
      <id>XMETag_80bb37be266c4005ba43966ae1b3e637</id>
      <concept>{http://xbrl.frc.org.uk/fr/2021-01-01/core}AmountsOwedToSubsidiaries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6.1</value>
      <format xmlns:d4p1="http://schemas.datacontract.org/2004/07/System.Xml.Linq" i:nil="true"/>
    </fact>
    <fact i:type="item">
      <id>XMETag_3d8a23c114464afc97be5b4b85f6cd25</id>
      <concept>{http://xbrl.frc.org.uk/fr/2021-01-01/core}AmountsOwedToParentEntities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45.5</value>
      <format xmlns:d4p1="http://schemas.datacontract.org/2004/07/System.Xml.Linq" i:nil="true"/>
    </fact>
    <fact i:type="item">
      <id>XMETag_cafc1aa55bb84f628483b62f5c520c83</id>
      <concept>{http://xbrl.frc.org.uk/fr/2021-01-01/core}AmountsOwedToParentEntities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56.1</value>
      <format xmlns:d4p1="http://schemas.datacontract.org/2004/07/System.Xml.Linq" i:nil="true"/>
    </fact>
    <fact i:type="item">
      <id>XMETag_ef8bb72ce4014be0b993b31473dec653</id>
      <concept>{http://xbrl.frc.org.uk/fr/2021-01-01/core}OtherTaxationSocialSecurityPayable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2.3</value>
      <format xmlns:d4p1="http://schemas.datacontract.org/2004/07/System.Xml.Linq" i:nil="true"/>
    </fact>
    <fact i:type="item">
      <id>XMETag_854c2cd124ce45ada809e48c78f4cc16</id>
      <concept>{http://xbrl.frc.org.uk/fr/2021-01-01/core}OtherTaxationSocialSecurityPayable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1.8</value>
      <format xmlns:d4p1="http://schemas.datacontract.org/2004/07/System.Xml.Linq" i:nil="true"/>
    </fact>
    <fact i:type="item">
      <id>XMETag_6356313e0b5341e88c520df59ba77ac4</id>
      <concept>{http://xbrl.frc.org.uk/fr/2021-01-01/core}OtherPayables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15.2</value>
      <format xmlns:d4p1="http://schemas.datacontract.org/2004/07/System.Xml.Linq" i:nil="true"/>
    </fact>
    <fact i:type="item">
      <id>XMETag_3c56512ec73b4c50a8d0ec4673588b27</id>
      <concept>{http://xbrl.frc.org.uk/fr/2021-01-01/core}OtherPayables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9.9</value>
      <format xmlns:d4p1="http://schemas.datacontract.org/2004/07/System.Xml.Linq" i:nil="true"/>
    </fact>
    <fact i:type="item">
      <id>XMETag_5adc09b76e214478a676f35d7453c675</id>
      <concept>{http://xbrl.frc.org.uk/fr/2021-01-01/core}AccruedLiabilities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17.0</value>
      <format xmlns:d4p1="http://schemas.datacontract.org/2004/07/System.Xml.Linq" i:nil="true"/>
    </fact>
    <fact i:type="item">
      <id>XMETag_da5379855c5248a4a8cc39b4d062cbc9</id>
      <concept>{http://xbrl.frc.org.uk/fr/2021-01-01/core}AccruedLiabilities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21.1</value>
      <format xmlns:d4p1="http://schemas.datacontract.org/2004/07/System.Xml.Linq" i:nil="true"/>
    </fact>
    <fact i:type="item">
      <id>XMETag_d35afaa40d3d4c488bac97099c63a6b9</id>
      <concept>{http://xbrl.frc.org.uk/fr/2021-01-01/core}ContractLiabilitiesCurrentLiability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2.0</value>
      <format xmlns:d4p1="http://schemas.datacontract.org/2004/07/System.Xml.Linq" i:nil="true"/>
    </fact>
    <fact i:type="item">
      <id>XMETag_137e9f44925845f1ac9b23a1f468f307</id>
      <concept>{http://xbrl.frc.org.uk/fr/2021-01-01/core}ContractLiabilitiesCurrentLiability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2.0</value>
      <format xmlns:d4p1="http://schemas.datacontract.org/2004/07/System.Xml.Linq" i:nil="true"/>
    </fact>
    <fact i:type="item">
      <id>XMETag_8650a93ff3a54f539096ee9de019f636</id>
      <concept>{http://xbrl.frc.org.uk/fr/2021-01-01/core}TradeOtherPayables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161.2</value>
      <format xmlns:d4p1="http://schemas.datacontract.org/2004/07/System.Xml.Linq" i:nil="true"/>
    </fact>
    <fact i:type="item">
      <id>XMETag_f310da3dbe5641f394052b913ad4f2fa</id>
      <concept>{http://xbrl.frc.org.uk/fr/2021-01-01/core}TradeOtherPayables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159.1</value>
      <format xmlns:d4p1="http://schemas.datacontract.org/2004/07/System.Xml.Linq" i:nil="true"/>
    </fact>
    <fact i:type="item">
      <id>XMETag_66774ca87f8b413dbb81435b54c967a0</id>
      <concept>{http://xbrl.frc.org.uk/fr/2021-01-01/core}TradeOtherPayablesFree-textComment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The Directors consider that the carrying amount of trade and other payables approximates to their fair value.
Included in amounts owed to parent undertaking is £43.0m relating to payment of the outperformance dividend based on cumulative outperformance for 2020/21 that has been deferred to August 2022.</value>
      <format xmlns:d4p1="http://schemas.datacontract.org/2004/07/System.Xml.Linq" i:nil="true"/>
    </fact>
    <fact i:type="item">
      <id>XMETag_8604230e23ef4650808ad04d48b3fdf6</id>
      <concept>{http://xbrl.frc.org.uk/fr/2021-01-01/core}ContractLiabilities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130.2</value>
      <format xmlns:d4p1="http://schemas.datacontract.org/2004/07/System.Xml.Linq" i:nil="true"/>
    </fact>
    <fact i:type="item">
      <id>XMETag_4c9305cca53f41c3a8c388d569c86ba7</id>
      <concept>{http://xbrl.frc.org.uk/fr/2021-01-01/core}ContractLiabilities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124.9</value>
      <format xmlns:d4p1="http://schemas.datacontract.org/2004/07/System.Xml.Linq" i:nil="true"/>
    </fact>
    <fact i:type="item">
      <id>XMETag_4b41bd7defa3458f86df690357f6bcf4</id>
      <concept>{http://xbrl.frc.org.uk/fr/2021-01-01/core}FurtherItemIncreaseDecreaseInContractLiabilitiesComponentTotalChangeInContractLiabilities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(2.0)</value>
      <format xmlns:d4p1="http://schemas.datacontract.org/2004/07/System.Xml.Linq" i:nil="true"/>
    </fact>
    <fact i:type="item">
      <id>XMETag_c6b043e70d8c4386896a4029e4421054</id>
      <concept>{http://xbrl.frc.org.uk/fr/2021-01-01/core}FurtherItemIncreaseDecreaseInContractLiabilitiesComponentTotalChangeInContractLiabilities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(1.0)</value>
      <format xmlns:d4p1="http://schemas.datacontract.org/2004/07/System.Xml.Linq" i:nil="true"/>
    </fact>
    <fact i:type="item">
      <id>XMETag_329e08f1e63a495cba5a7f26e00549e2</id>
      <concept>{http://xbrl.frc.org.uk/fr/2021-01-01/core}FurtherItemIncreaseDecreaseInContractLiabilitiesComponentTotalChangeInContractLiabilities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11.0</value>
      <format xmlns:d4p1="http://schemas.datacontract.org/2004/07/System.Xml.Linq" i:nil="true"/>
    </fact>
    <fact i:type="item">
      <id>XMETag_1f15fd75b5494e42af60869e6e269990</id>
      <concept>{http://xbrl.frc.org.uk/fr/2021-01-01/core}FurtherItemIncreaseDecreaseInContractLiabilitiesComponentTotalChangeInContractLiabilities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6.3</value>
      <format xmlns:d4p1="http://schemas.datacontract.org/2004/07/System.Xml.Linq" i:nil="true"/>
    </fact>
    <fact i:type="item">
      <id>XMETag_14e84780d55c4f259e3426982ffb2b61</id>
      <concept>{http://xbrl.frc.org.uk/fr/2021-01-01/core}ContractLiabilities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139.2</value>
      <format xmlns:d4p1="http://schemas.datacontract.org/2004/07/System.Xml.Linq" i:nil="true"/>
    </fact>
    <fact i:type="item">
      <id>XMETag_5f460333b8474268b3633607665d80f1</id>
      <concept>{http://xbrl.frc.org.uk/fr/2021-01-01/core}ContractLiabilities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130.2</value>
      <format xmlns:d4p1="http://schemas.datacontract.org/2004/07/System.Xml.Linq" i:nil="true"/>
    </fact>
    <fact i:type="item">
      <id>XMETag_b9ed85dc1b754008b1d6ea70070f43dd</id>
      <concept>{http://xbrl.frc.org.uk/fr/2021-01-01/core}ContractLiabilitiesCurrentLiability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2.0</value>
      <format xmlns:d4p1="http://schemas.datacontract.org/2004/07/System.Xml.Linq" i:nil="true"/>
    </fact>
    <fact i:type="item">
      <id>XMETag_f8e785797c6848df8889dc277cfc89a6</id>
      <concept>{http://xbrl.frc.org.uk/fr/2021-01-01/core}ContractLiabilitiesCurrentLiability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2.0</value>
      <format xmlns:d4p1="http://schemas.datacontract.org/2004/07/System.Xml.Linq" i:nil="true"/>
    </fact>
    <fact i:type="item">
      <id>XMETag_2a768dc9769e49278cf9a925fd929456</id>
      <concept>{http://xbrl.frc.org.uk/fr/2021-01-01/core}ContractLiabilitiesNon-currentLiability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137.2</value>
      <format xmlns:d4p1="http://schemas.datacontract.org/2004/07/System.Xml.Linq" i:nil="true"/>
    </fact>
    <fact i:type="item">
      <id>XMETag_8b3054b381c74291ad1fef727b3b167d</id>
      <concept>{http://xbrl.frc.org.uk/fr/2021-01-01/core}ContractLiabilitiesNon-currentLiability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128.2</value>
      <format xmlns:d4p1="http://schemas.datacontract.org/2004/07/System.Xml.Linq" i:nil="true"/>
    </fact>
    <fact i:type="item">
      <id>XMETag_8daf96c677224cd48c0cd1b9b030687f</id>
      <concept>{http://xbrl.frc.org.uk/fr/2021-01-01/core}ContractLiabilities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139.2</value>
      <format xmlns:d4p1="http://schemas.datacontract.org/2004/07/System.Xml.Linq" i:nil="true"/>
    </fact>
    <fact i:type="item">
      <id>XMETag_41da0a5efee549ed9b6a5bcbbe6b3e6e</id>
      <concept>{http://xbrl.frc.org.uk/fr/2021-01-01/core}ContractLiabilities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130.2</value>
      <format xmlns:d4p1="http://schemas.datacontract.org/2004/07/System.Xml.Linq" i:nil="true"/>
    </fact>
    <fact i:type="item">
      <id>XMETag_c708647d2cfd406bb825b5b363685859</id>
      <concept>{http://xbrl.frc.org.uk/fr/2021-01-01/core}ContractLiabilitiesMovementAnalysisFree-textComment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Performance obligations related to the current contract liabilities closing balance above are expected to be satisfied, and revenue will be recognised, within the financial year ended 31 March 2023.</value>
      <format xmlns:d4p1="http://schemas.datacontract.org/2004/07/System.Xml.Linq" i:nil="true"/>
    </fact>
    <fact i:type="item">
      <id>XMETag_8c0fa573672848e2bdc7caf8974d0994</id>
      <concept>{http://xbrl.frc.org.uk/fr/2021-01-01/core}FurtherItemBorrowingsComponentTotalBorrowings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40.1</value>
      <format xmlns:d4p1="http://schemas.datacontract.org/2004/07/System.Xml.Linq" i:nil="true"/>
    </fact>
    <fact i:type="item">
      <id>XMETag_b486a561e10c498e8aed725b5a329588</id>
      <concept>{http://xbrl.frc.org.uk/fr/2021-01-01/core}FurtherItemBorrowingsComponentTotalBorrowings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40.1</value>
      <format xmlns:d4p1="http://schemas.datacontract.org/2004/07/System.Xml.Linq" i:nil="true"/>
    </fact>
    <fact i:type="item">
      <id>XMETag_6c7df4794fb4421cac078c7ca994723d</id>
      <concept>{http://xbrl.frc.org.uk/fr/2021-01-01/core}LoansFromSubsidiaries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3.0</value>
      <format xmlns:d4p1="http://schemas.datacontract.org/2004/07/System.Xml.Linq" i:nil="true"/>
    </fact>
    <fact i:type="item">
      <id>XMETag_816a5f7d30a9453ba5c8b9613a2c4abf</id>
      <concept>{http://xbrl.frc.org.uk/fr/2021-01-01/core}LoansFromSubsidiaries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3.2</value>
      <format xmlns:d4p1="http://schemas.datacontract.org/2004/07/System.Xml.Linq" i:nil="true"/>
    </fact>
    <fact i:type="item">
      <id>XMETag_47a4b3bf2a544ded8c57dea2d59f76b3</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170.0</value>
      <format xmlns:d4p1="http://schemas.datacontract.org/2004/07/System.Xml.Linq" i:nil="true"/>
    </fact>
    <fact i:type="item">
      <id>XMETag_4e871168f4654271b631c521b51f916c</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48.2</value>
      <format xmlns:d4p1="http://schemas.datacontract.org/2004/07/System.Xml.Linq" i:nil="true"/>
    </fact>
    <fact i:type="item">
      <id>XMETag_3a01047ad6ef4200910f05e1c5289874</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213.1</value>
      <format xmlns:d4p1="http://schemas.datacontract.org/2004/07/System.Xml.Linq" i:nil="true"/>
    </fact>
    <fact i:type="item">
      <id>XMETag_9c5289b71b734abfb29e87a71b17787f</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91.5</value>
      <format xmlns:d4p1="http://schemas.datacontract.org/2004/07/System.Xml.Linq" i:nil="true"/>
    </fact>
    <fact i:type="item">
      <id>XMETag_fae2caf356d34e819b6aa4b1800981c2</id>
      <concept>{http://xbrl.frc.org.uk/fr/2021-01-01/core}FurtherItemBorrowingsComponentTotalBorrowings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727.7</value>
      <format xmlns:d4p1="http://schemas.datacontract.org/2004/07/System.Xml.Linq" i:nil="true"/>
    </fact>
    <fact i:type="item">
      <id>XMETag_67254c954db14e7c9b2be6f3b1711cb4</id>
      <concept>{http://xbrl.frc.org.uk/fr/2021-01-01/core}FurtherItemBorrowingsComponentTotalBorrowings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711.3</value>
      <format xmlns:d4p1="http://schemas.datacontract.org/2004/07/System.Xml.Linq" i:nil="true"/>
    </fact>
    <fact i:type="item">
      <id>XMETag_5e2917eaac014a148b1a538010642912</id>
      <concept>{http://xbrl.frc.org.uk/fr/2021-01-01/core}LoansFromSubsidiaries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512.6</value>
      <format xmlns:d4p1="http://schemas.datacontract.org/2004/07/System.Xml.Linq" i:nil="true"/>
    </fact>
    <fact i:type="item">
      <id>XMETag_0961d5ee27a0420a9129b2ed67789842</id>
      <concept>{http://xbrl.frc.org.uk/fr/2021-01-01/core}LoansFromSubsidiaries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494.6</value>
      <format xmlns:d4p1="http://schemas.datacontract.org/2004/07/System.Xml.Linq" i:nil="true"/>
    </fact>
    <fact i:type="item">
      <id>XMETag_426c39b130b14663b387e8e9cd01421e</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1,391.1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XMETag_73d043cf8ecf4ffc9ada01d393637237</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2,281.4</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XMETag_764530310b014110ba4f79af5f2ac516</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2,597.0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XMETag_4eb37c7458984ea1b1f4f6eb45216ea7</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2,494.5</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XMETag_95aa5dacc4d949489e2dbe5006ca1236</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2,688.5</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XMETag_f5cf4b42f1004d84b57eb5c933d56671</id>
      <concept>{http://xbrl.frc.org.uk/fr/2021-01-01/core}FurtherItemBorrowingsComponentTotalBorrowings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{http://xbrl.frc.org.uk/fr/2021-01-01/core}FairValue</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778.3</value>
      <format xmlns:d4p1="http://schemas.datacontract.org/2004/07/System.Xml.Linq" i:nil="true"/>
    </fact>
    <fact i:type="item">
      <id>XMETag_1e1088bf49fb4a70b2a4caee8e4582cd</id>
      <concept>{http://xbrl.frc.org.uk/fr/2021-01-01/core}FurtherItemBorrowingsComponentTotalBorrowings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711.3</value>
      <format xmlns:d4p1="http://schemas.datacontract.org/2004/07/System.Xml.Linq" i:nil="true"/>
    </fact>
    <fact i:type="item">
      <id>XMETag_5ebd784f0b374624935afef9009645a1</id>
      <concept>{http://xbrl.frc.org.uk/fr/2021-01-01/core}FurtherItemBorrowingsComponentTotalBorrowings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{http://xbrl.frc.org.uk/fr/2021-01-01/core}FairValue</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762.6</value>
      <format xmlns:d4p1="http://schemas.datacontract.org/2004/07/System.Xml.Linq" i:nil="true"/>
    </fact>
    <fact i:type="item">
      <id>XMETag_a70002f4e89148109ccfcf496366469b</id>
      <concept>{http://xbrl.frc.org.uk/fr/2021-01-01/core}LoansFromSubsidiaries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512.6</value>
      <format xmlns:d4p1="http://schemas.datacontract.org/2004/07/System.Xml.Linq" i:nil="true"/>
    </fact>
    <fact i:type="item">
      <id>XMETag_0ac20de5e9d9437aa4173916fcfd356c</id>
      <concept>{http://xbrl.frc.org.uk/fr/2021-01-01/core}LoansFromSubsidiaries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{http://xbrl.frc.org.uk/fr/2021-01-01/core}FairValue</member>
          <typedValue i:nil="true"/>
          <contextContainer>Segment</contextContainer>
        </dimension>
      </dimensions>
      <transformGroup>United Kingdom</transformGroup>
      <hidden>false</hidden>
      <value>608.3</value>
      <format xmlns:d4p1="http://schemas.datacontract.org/2004/07/System.Xml.Linq" i:nil="true"/>
    </fact>
    <fact i:type="item">
      <id>XMETag_90586d034b164a56ad2d4616bd29df80</id>
      <concept>{http://xbrl.frc.org.uk/fr/2021-01-01/core}LoansFromSubsidiaries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494.6</value>
      <format xmlns:d4p1="http://schemas.datacontract.org/2004/07/System.Xml.Linq" i:nil="true"/>
    </fact>
    <fact i:type="item">
      <id>XMETag_ac385edc9e844c71b0d8910b4a501cdb</id>
      <concept>{http://xbrl.frc.org.uk/fr/2021-01-01/core}LoansFromSubsidiaries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{http://xbrl.frc.org.uk/fr/2021-01-01/core}FairValue</member>
          <typedValue i:nil="true"/>
          <contextContainer>Segment</contextContainer>
        </dimension>
      </dimensions>
      <transformGroup>United Kingdom</transformGroup>
      <hidden>false</hidden>
      <value>603.2</value>
      <format xmlns:d4p1="http://schemas.datacontract.org/2004/07/System.Xml.Linq" i:nil="true"/>
    </fact>
    <fact i:type="item">
      <id>XMETag_3163fc49e2224ea8880c4fcca68d74a0</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{http://xbrl.frc.org.uk/fr/2021-01-01/core}FairValue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XMETag_d410c21c281a4232aa94a4ce39d638ea</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1,391.1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XMETag_9d7ae1a5a74740fdb32e624cf2704599</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{http://xbrl.frc.org.uk/fr/2021-01-01/core}FairValue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XMETag_d03019e2e4d840aca93bec0438968867</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2,281.4</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XMETag_4ab443105e6d414896db49b3cbcef231</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{http://xbrl.frc.org.uk/fr/2021-01-01/core}FairValue</member>
          <typedValue i:nil="true"/>
          <contextContainer>Segment</contextContainer>
        </dimension>
      </dimensions>
      <transformGroup>United Kingdom</transformGroup>
      <hidden>false</hidden>
      <value>1,386.6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XMETag_f09da0a1ebbf40148484833f21d49b9f</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2,597.0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XMETag_85fd56893a634adeb4c6140588cb0ef1</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{http://xbrl.frc.org.uk/fr/2021-01-01/core}FinancialInstrumentValueTypeDimension</dimension>
          <member>{http://xbrl.frc.org.uk/fr/2021-01-01/core}FairValue</member>
          <typedValue i:nil="true"/>
          <contextContainer>Segment</contextContainer>
        </dimension>
      </dimensions>
      <transformGroup>United Kingdom</transformGroup>
      <hidden>false</hidden>
      <value>1,365.8</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XMETag_3330adbc8d4b4a35a0ea74cc56b13ade</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68.2</value>
      <format xmlns:d4p1="http://schemas.datacontract.org/2004/07/System.Xml.Linq" i:nil="true"/>
    </fact>
    <fact i:type="item">
      <id>XMETag_451be41bfeab41748e41ed5692ab6c10</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{http://xbrl.frc.org.uk/fr/2021-01-01/core}BetweenOneTwoYears</member>
          <typedValue i:nil="true"/>
          <contextContainer>Segment</contextContainer>
        </dimension>
      </dimensions>
      <transformGroup>United Kingdom</transformGroup>
      <hidden>false</hidden>
      <value>68.7</value>
      <format xmlns:d4p1="http://schemas.datacontract.org/2004/07/System.Xml.Linq" i:nil="true"/>
    </fact>
    <fact i:type="item">
      <id>XMETag_ce836a39521348f88d0c61c60b5f0dca</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331.5</value>
      <format xmlns:d4p1="http://schemas.datacontract.org/2004/07/System.Xml.Linq" i:nil="true"/>
    </fact>
    <fact i:type="item">
      <id>XMETag_60872808f6e346e3a2f084dfacbbf5a5</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{http://xbrl.frc.org.uk/fr/2021-01-01/core}BetweenTwoFiveYears</member>
          <typedValue i:nil="true"/>
          <contextContainer>Segment</contextContainer>
        </dimension>
      </dimensions>
      <transformGroup>United Kingdom</transformGroup>
      <hidden>false</hidden>
      <value>362.4</value>
      <format xmlns:d4p1="http://schemas.datacontract.org/2004/07/System.Xml.Linq" i:nil="true"/>
    </fact>
    <fact i:type="item">
      <id>XMETag_24c4e657ef804cca8c92bba3e3599237</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1,881.7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XMETag_51d1be3d75ae4e9cba7dbb70936c002d</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2,165.9</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XMETag_a3723211e38a444c93ab89c1c910a2c3</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2,281.4</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XMETag_3e47d8163a9d4877b15ffa42877ba85d</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2,597.0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XMETag_d622dae7c57e4f969b90afca65d759b4</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170.0</value>
      <format xmlns:d4p1="http://schemas.datacontract.org/2004/07/System.Xml.Linq" i:nil="true"/>
    </fact>
    <fact i:type="item">
      <id>XMETag_c2987d96ab9c4ce183dbae9d50e4fd7b</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48.2</value>
      <format xmlns:d4p1="http://schemas.datacontract.org/2004/07/System.Xml.Linq" i:nil="true"/>
    </fact>
    <fact i:type="item">
      <id>XMETag_461ba48c31dd4d40b43773bca549a404</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{http://xbrl.frc.org.uk/fr/2021-01-01/core}BetweenOneFiveYears</member>
          <typedValue i:nil="true"/>
          <contextContainer>Segment</contextContainer>
        </dimension>
      </dimensions>
      <transformGroup>United Kingdom</transformGroup>
      <hidden>false</hidden>
      <value>180.6</value>
      <format xmlns:d4p1="http://schemas.datacontract.org/2004/07/System.Xml.Linq" i:nil="true"/>
    </fact>
    <fact i:type="item">
      <id>XMETag_8bc73713651a473ea6633fa9d58e969b</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{http://xbrl.frc.org.uk/fr/2021-01-01/core}BetweenOneFiveYears</member>
          <typedValue i:nil="true"/>
          <contextContainer>Segment</contextContainer>
        </dimension>
      </dimensions>
      <transformGroup>United Kingdom</transformGroup>
      <hidden>false</hidden>
      <value>243.2</value>
      <format xmlns:d4p1="http://schemas.datacontract.org/2004/07/System.Xml.Linq" i:nil="true"/>
    </fact>
    <fact i:type="item">
      <id>XMETag_f0bbfbf3083149d3b2834f97b8187ec1</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860.4</value>
      <format xmlns:d4p1="http://schemas.datacontract.org/2004/07/System.Xml.Linq" i:nil="true"/>
    </fact>
    <fact i:type="item">
      <id>XMETag_6680ba856a7c4d138de6956e0902f37a</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{http://xbrl.frc.org.uk/fr/2021-01-01/core}MaturitiesOrExpirationPeriodsDimension</dimension>
          <member>{http://xbrl.frc.org.uk/fr/2021-01-01/core}MoreThanFiveYears</member>
          <typedValue i:nil="true"/>
          <contextContainer>Segment</contextContainer>
        </dimension>
      </dimensions>
      <transformGroup>United Kingdom</transformGroup>
      <hidden>false</hidden>
      <value>1,147.9</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XMETag_b149d6facfe24e46b3e7808815e0e646</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1,211.1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XMETag_b245e042548540178c53d0e945d718cc</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1,439.3</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XMETag_2a78f4e3bc73421ea71999b909df7198</id>
      <concept>{http://xbrl.frc.org.uk/fr/2021-01-01/core}UndrawnBorrowingFacilities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{http://xbrl.frc.org.uk/fr/2021-01-01/core}InterestRateTypeDimension</dimension>
          <member>{http://xbrl.frc.org.uk/fr/2021-01-01/core}VariableRateInterestBearingFinancialInstruments</member>
          <typedValue i:nil="true"/>
          <contextContainer>Segment</contextContainer>
        </dimension>
        <dimension>
          <dimension>{http://xbrl.frc.org.uk/fr/2021-01-01/core}MaturitiesOrExpirationPeriodsDimension</dimension>
          <member>{http://xbrl.frc.org.uk/fr/2021-01-01/core}AfterOneYear</member>
          <typedValue i:nil="true"/>
          <contextContainer>Segment</contextContainer>
        </dimension>
      </dimensions>
      <transformGroup>United Kingdom</transformGroup>
      <hidden>false</hidden>
      <value>140.0</value>
      <format xmlns:d4p1="http://schemas.datacontract.org/2004/07/System.Xml.Linq" i:nil="true"/>
    </fact>
    <fact i:type="item">
      <id>XMETag_6a57093d28fa48c6a92b2cdc147711de</id>
      <concept>{http://xbrl.frc.org.uk/fr/2021-01-01/core}UndrawnBorrowingFacilities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{http://xbrl.frc.org.uk/fr/2021-01-01/core}InterestRateTypeDimension</dimension>
          <member>{http://xbrl.frc.org.uk/fr/2021-01-01/core}VariableRateInterestBearingFinancialInstruments</member>
          <typedValue i:nil="true"/>
          <contextContainer>Segment</contextContainer>
        </dimension>
        <dimension>
          <dimension>{http://xbrl.frc.org.uk/fr/2021-01-01/core}MaturitiesOrExpirationPeriodsDimension</dimension>
          <member>{http://xbrl.frc.org.uk/fr/2021-01-01/core}AfterOneYear</member>
          <typedValue i:nil="true"/>
          <contextContainer>Segment</contextContainer>
        </dimension>
      </dimensions>
      <transformGroup>United Kingdom</transformGroup>
      <hidden>false</hidden>
      <value>180.0</value>
      <format xmlns:d4p1="http://schemas.datacontract.org/2004/07/System.Xml.Linq" i:nil="true"/>
    </fact>
    <fact i:type="item">
      <id>XMETag_325a378506de49e9b313042d9a66b9e6</id>
      <concept>{http://xbrl.frc.org.uk/fr/2021-01-01/core}UndrawnBorrowingFacilities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{http://xbrl.frc.org.uk/fr/2021-01-01/core}InterestRateTypeDimension</dimension>
          <member>{http://xbrl.frc.org.uk/fr/2021-01-01/core}VariableRateInterestBearingFinancialInstruments</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165.0</value>
      <format xmlns:d4p1="http://schemas.datacontract.org/2004/07/System.Xml.Linq" i:nil="true"/>
    </fact>
    <fact i:type="item">
      <id>XMETag_dfc672126e3047718e780573b9848a8b</id>
      <concept>{http://xbrl.frc.org.uk/fr/2021-01-01/core}UndrawnBorrowingFacilities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
          <dimension>{http://xbrl.frc.org.uk/fr/2021-01-01/core}InterestRateTypeDimension</dimension>
          <member>{http://xbrl.frc.org.uk/fr/2021-01-01/core}VariableRateInterestBearingFinancialInstruments</member>
          <typedValue i:nil="true"/>
          <contextContainer>Segment</contextContainer>
        </dimension>
        <dimension>
          <dimension>{http://xbrl.frc.org.uk/fr/2021-01-01/core}MaturitiesOrExpirationPeriodsDimension</dimension>
          <member>{http://xbrl.frc.org.uk/fr/2021-01-01/core}AllPeriods</member>
          <typedValue i:nil="true"/>
          <contextContainer>Segment</contextContainer>
        </dimension>
      </dimensions>
      <transformGroup>United Kingdom</transformGroup>
      <hidden>false</hidden>
      <value>180.0</value>
      <format xmlns:d4p1="http://schemas.datacontract.org/2004/07/System.Xml.Linq" i:nil="true"/>
    </fact>
    <fact i:type="item">
      <id>XMETag_0c30a52de92c44d693f95a4219b54a36</id>
      <concept>{http://xbrl.frc.org.uk/fr/2021-01-01/core}UndrawnBorrowingFacilities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{http://xbrl.frc.org.uk/fr/2021-01-01/core}InterestRateTypeDimension</dimension>
          <member>{http://xbrl.frc.org.uk/fr/2021-01-01/core}VariableRateInterestBearingFinancialInstruments</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25.0</value>
      <format xmlns:d4p1="http://schemas.datacontract.org/2004/07/System.Xml.Linq" i:nil="true"/>
    </fact>
    <fact i:type="item">
      <id>XMETag_2209f139c6ee4eaf86165362c496e49f</id>
      <concept>{http://xbrl.frc.org.uk/fr/2021-01-01/core}UndrawnBorrowingFacilities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
          <dimension>{http://xbrl.frc.org.uk/fr/2021-01-01/core}InterestRateTypeDimension</dimension>
          <member>{http://xbrl.frc.org.uk/fr/2021-01-01/core}VariableRateInterestBearingFinancialInstruments</member>
          <typedValue i:nil="true"/>
          <contextContainer>Segment</contextContainer>
        </dimension>
        <dimension>
          <dimension>{http://xbrl.frc.org.uk/fr/2021-01-01/core}MaturitiesOrExpirationPeriodsDimension</dimension>
          <member>{http://xbrl.frc.org.uk/fr/2021-01-01/core}WithinOneYear</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XMETag_dad4102dee924b8bb1886e7072562c14</id>
      <concept>{http://xbrl.frc.org.uk/fr/2021-01-01/core}ContractLiabilitiesNon-currentLiability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137.2</value>
      <format xmlns:d4p1="http://schemas.datacontract.org/2004/07/System.Xml.Linq" i:nil="true"/>
    </fact>
    <fact i:type="item">
      <id>XMETag_7f621e9c263a4b26839792a035aefefe</id>
      <concept>{http://xbrl.frc.org.uk/fr/2021-01-01/core}ContractLiabilitiesNon-currentLiability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128.2</value>
      <format xmlns:d4p1="http://schemas.datacontract.org/2004/07/System.Xml.Linq" i:nil="true"/>
    </fact>
    <fact i:type="item">
      <id>XMETag_6cd101439b3d47989047008996672829</id>
      <concept>{http://xbrl.frc.org.uk/fr/2021-01-01/core}AssumedRateIncreasePensionableSalaries</concept>
      <identifier>
        <scheme>http://www.companieshouse.gov.uk/</scheme>
        <value>02366665</value>
      </identifier>
      <period>
        <periodType>Instant</periodType>
        <startDate i:nil="true"/>
        <endDate>2022-03-31T00:00:00</endDate>
      </period>
      <numericProperties>
        <unit>
          <numeratorMeasures>
            <name>{http://www.xbrl.org/2003/instance}pure</name>
          </numeratorMeasures>
          <denominatorMeasures/>
        </unit>
        <negate>false</negate>
        <scale>-2</scale>
      </numericProperties>
      <dimensions/>
      <transformGroup>United Kingdom</transformGroup>
      <hidden>false</hidden>
      <value>3.0</value>
      <format xmlns:d4p1="http://schemas.datacontract.org/2004/07/System.Xml.Linq" i:nil="true"/>
    </fact>
    <fact i:type="item">
      <id>XMETag_e40fc33c9f9344008d4e603b4f8a5274</id>
      <concept>{http://xbrl.frc.org.uk/fr/2021-01-01/core}AssumedRateIncreasePensionableSalaries</concept>
      <identifier>
        <scheme>http://www.companieshouse.gov.uk/</scheme>
        <value>02366665</value>
      </identifier>
      <period>
        <periodType>Instant</periodType>
        <startDate i:nil="true"/>
        <endDate>2021-03-31T00:00:00</endDate>
      </period>
      <numericProperties>
        <unit>
          <numeratorMeasures>
            <name>{http://www.xbrl.org/2003/instance}pure</name>
          </numeratorMeasures>
          <denominatorMeasures/>
        </unit>
        <negate>false</negate>
        <scale>-2</scale>
      </numericProperties>
      <dimensions/>
      <transformGroup>United Kingdom</transformGroup>
      <hidden>false</hidden>
      <value>3.2</value>
      <format xmlns:d4p1="http://schemas.datacontract.org/2004/07/System.Xml.Linq" i:nil="true"/>
    </fact>
    <fact i:type="item">
      <id>XMETag_d9731f6160394c11a26a0b7b00ce42a6</id>
      <concept>{http://xbrl.frc.org.uk/fr/2021-01-01/core}AssumedRateIncreasePensionsInPaymentDeferredPensions</concept>
      <identifier>
        <scheme>http://www.companieshouse.gov.uk/</scheme>
        <value>02366665</value>
      </identifier>
      <period>
        <periodType>Instant</periodType>
        <startDate i:nil="true"/>
        <endDate>2022-03-31T00:00:00</endDate>
      </period>
      <numericProperties>
        <unit>
          <numeratorMeasures>
            <name>{http://www.xbrl.org/2003/instance}pure</name>
          </numeratorMeasures>
          <denominatorMeasures/>
        </unit>
        <negate>false</negate>
        <scale>-2</scale>
      </numericProperties>
      <dimensions/>
      <transformGroup>United Kingdom</transformGroup>
      <hidden>false</hidden>
      <value>3.1</value>
      <format xmlns:d4p1="http://schemas.datacontract.org/2004/07/System.Xml.Linq" i:nil="true"/>
    </fact>
    <fact i:type="item">
      <id>XMETag_9595e85a654640c0a810fec74e3dcdbd</id>
      <concept>{http://xbrl.frc.org.uk/fr/2021-01-01/core}AssumedRateIncreasePensionsInPaymentDeferredPensions</concept>
      <identifier>
        <scheme>http://www.companieshouse.gov.uk/</scheme>
        <value>02366665</value>
      </identifier>
      <period>
        <periodType>Instant</periodType>
        <startDate i:nil="true"/>
        <endDate>2021-03-31T00:00:00</endDate>
      </period>
      <numericProperties>
        <unit>
          <numeratorMeasures>
            <name>{http://www.xbrl.org/2003/instance}pure</name>
          </numeratorMeasures>
          <denominatorMeasures/>
        </unit>
        <negate>false</negate>
        <scale>-2</scale>
      </numericProperties>
      <dimensions/>
      <transformGroup>United Kingdom</transformGroup>
      <hidden>false</hidden>
      <value>2.0</value>
      <format xmlns:d4p1="http://schemas.datacontract.org/2004/07/System.Xml.Linq" i:nil="true"/>
    </fact>
    <fact i:type="item">
      <id>XMETag_d2d001229bb94795b547fe5839052769</id>
      <concept>{http://xbrl.frc.org.uk/fr/2021-01-01/core}DiscountRateUsedDefinedBenefitPlan</concept>
      <identifier>
        <scheme>http://www.companieshouse.gov.uk/</scheme>
        <value>02366665</value>
      </identifier>
      <period>
        <periodType>Instant</periodType>
        <startDate i:nil="true"/>
        <endDate>2022-03-31T00:00:00</endDate>
      </period>
      <numericProperties>
        <unit>
          <numeratorMeasures>
            <name>{http://www.xbrl.org/2003/instance}pure</name>
          </numeratorMeasures>
          <denominatorMeasures/>
        </unit>
        <negate>false</negate>
        <scale>-2</scale>
      </numericProperties>
      <dimensions/>
      <transformGroup>United Kingdom</transformGroup>
      <hidden>false</hidden>
      <value>2.75</value>
      <format xmlns:d4p1="http://schemas.datacontract.org/2004/07/System.Xml.Linq" i:nil="true"/>
    </fact>
    <fact i:type="item">
      <id>XMETag_feabcc879d31461e804556957e712df3</id>
      <concept>{http://xbrl.frc.org.uk/fr/2021-01-01/core}DiscountRateUsedDefinedBenefitPlan</concept>
      <identifier>
        <scheme>http://www.companieshouse.gov.uk/</scheme>
        <value>02366665</value>
      </identifier>
      <period>
        <periodType>Instant</periodType>
        <startDate i:nil="true"/>
        <endDate>2021-03-31T00:00:00</endDate>
      </period>
      <numericProperties>
        <unit>
          <numeratorMeasures>
            <name>{http://www.xbrl.org/2003/instance}pure</name>
          </numeratorMeasures>
          <denominatorMeasures/>
        </unit>
        <negate>false</negate>
        <scale>-2</scale>
      </numericProperties>
      <dimensions/>
      <transformGroup>United Kingdom</transformGroup>
      <hidden>false</hidden>
      <value>2.05</value>
      <format xmlns:d4p1="http://schemas.datacontract.org/2004/07/System.Xml.Linq" i:nil="true"/>
    </fact>
    <fact i:type="item">
      <id>XMETag_5327c755177844178805a5c23619c4b4</id>
      <concept>{http://xbrl.frc.org.uk/fr/2021-01-01/core}NameDefinedBenefitPlan</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Defined benefit schemes</value>
      <format xmlns:d4p1="http://schemas.datacontract.org/2004/07/System.Xml.Linq" i:nil="true"/>
    </fact>
    <fact i:type="item">
      <id>XMETag_67e7d177680f4f68b01855eb124e788a</id>
      <concept>{http://xbrl.frc.org.uk/fr/2021-01-01/core}NameDefinedContributionPlan</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Defined contribution schemes</value>
      <format xmlns:d4p1="http://schemas.datacontract.org/2004/07/System.Xml.Linq" i:nil="true"/>
    </fact>
    <fact i:type="item">
      <id>XMETag_de5811429c4a4200868e7fd5da47f8ae</id>
      <concept>{http://xbrl.frc.org.uk/fr/2021-01-01/core}PensionCostsDefinedContributionPlan</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3.3</value>
      <format xmlns:d4p1="http://schemas.datacontract.org/2004/07/System.Xml.Linq" i:nil="true"/>
    </fact>
    <fact i:type="item">
      <id>XMETag_b7911631af8e4b4ca1ec7bb34275aef6</id>
      <concept>{http://xbrl.frc.org.uk/fr/2021-01-01/core}PensionCostsDefinedContributionPlan</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4.5</value>
      <format xmlns:d4p1="http://schemas.datacontract.org/2004/07/System.Xml.Linq" i:nil="true"/>
    </fact>
    <fact i:type="item">
      <id>XMETag_c7347270c6db418dbf56635c207efb99</id>
      <concept>{http://xbrl.frc.org.uk/fr/2021-01-01/core}GeneralDescriptionMortalityAssumptions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Assumptions regarding future mortality experience are set based on actuarial advice in accordance with published statistics and experience. The mortality assumption uses a scheme-specific calculation based on CMI 2019 actuarial tables with an allowance for future longevity improvement.</value>
      <format xmlns:d4p1="http://schemas.datacontract.org/2004/07/System.Xml.Linq" i:nil="true"/>
    </fact>
    <fact i:type="item">
      <id>XMETag_d7494afa1ee848d9b811cceb1ca47457</id>
      <concept>{http://xbrl.frc.org.uk/fr/2021-01-01/core}LiabilitiesDefinedBenefitPlanPresentValue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(645.2)</value>
      <format xmlns:d4p1="http://schemas.datacontract.org/2004/07/System.Xml.Linq" i:nil="true"/>
    </fact>
    <fact i:type="item">
      <id>XMETag_0ed166c960b84e86b650943f424c84c3</id>
      <concept>{http://xbrl.frc.org.uk/fr/2021-01-01/core}LiabilitiesDefinedBenefitPlanPresentValue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(695.9)</value>
      <format xmlns:d4p1="http://schemas.datacontract.org/2004/07/System.Xml.Linq" i:nil="true"/>
    </fact>
    <fact i:type="item">
      <id>XMETag_0d1c88d2bf234084a00ca601c353f61b</id>
      <concept>{http://xbrl.frc.org.uk/fr/2021-01-01/core}FairValueAssetsDefinedBenefitPlan</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692.3</value>
      <format xmlns:d4p1="http://schemas.datacontract.org/2004/07/System.Xml.Linq" i:nil="true"/>
    </fact>
    <fact i:type="item">
      <id>XMETag_aeddd0132bed48aabcbaebf184e06d06</id>
      <concept>{http://xbrl.frc.org.uk/fr/2021-01-01/core}FairValueAssetsDefinedBenefitPlan</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710.2</value>
      <format xmlns:d4p1="http://schemas.datacontract.org/2004/07/System.Xml.Linq" i:nil="true"/>
    </fact>
    <fact i:type="item">
      <id>XMETag_afe475f5e43b4764aabdef652b743324</id>
      <concept>{http://xbrl.frc.org.uk/fr/2021-01-01/core}DeficitSurplusInDefinedBenefitPlan</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47.1</value>
      <format xmlns:d4p1="http://schemas.datacontract.org/2004/07/System.Xml.Linq" i:nil="true"/>
    </fact>
    <fact i:type="item">
      <id>XMETag_08f9e279400a4e43bafd8e6509b32f62</id>
      <concept>{http://xbrl.frc.org.uk/fr/2021-01-01/core}DeficitSurplusInDefinedBenefitPlan</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14.3</value>
      <format xmlns:d4p1="http://schemas.datacontract.org/2004/07/System.Xml.Linq" i:nil="true"/>
    </fact>
    <fact i:type="item">
      <id>XMETag_cf2be086d88d442d83c05eec6a4dfe3b</id>
      <concept>{http://xbrl.frc.org.uk/fr/2021-01-01/core}LiabilitiesDefinedBenefitPlanPresentValue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(695.9)</value>
      <format xmlns:d4p1="http://schemas.datacontract.org/2004/07/System.Xml.Linq" i:nil="true"/>
    </fact>
    <fact i:type="item">
      <id>XMETag_3339769fcdfe47e7ab6ad45b13560267</id>
      <concept>{http://xbrl.frc.org.uk/fr/2021-01-01/core}FairValueAssetsDefinedBenefitPlan</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710.2</value>
      <format xmlns:d4p1="http://schemas.datacontract.org/2004/07/System.Xml.Linq" i:nil="true"/>
    </fact>
    <fact i:type="item">
      <id>XMETag_919ba77d145e4808a965e8f2a032312a</id>
      <concept>{http://xbrl.frc.org.uk/fr/2021-01-01/core}RetirementBenefitObligationsSurplus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14.3</value>
      <format xmlns:d4p1="http://schemas.datacontract.org/2004/07/System.Xml.Linq" i:nil="true"/>
    </fact>
    <fact i:type="item">
      <id>XMETag_e03dd01247ba4928a92ddf46a460af29</id>
      <concept>{http://xbrl.frc.org.uk/fr/2021-01-01/core}LiabilitiesDefinedBenefitPlanPresentValue</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(636.0)</value>
      <format xmlns:d4p1="http://schemas.datacontract.org/2004/07/System.Xml.Linq" i:nil="true"/>
    </fact>
    <fact i:type="item">
      <id>XMETag_dfd23440ade348c4abf019f95ffa276e</id>
      <concept>{http://xbrl.frc.org.uk/fr/2021-01-01/core}FairValueAssetsDefinedBenefitPlan</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643.1</value>
      <format xmlns:d4p1="http://schemas.datacontract.org/2004/07/System.Xml.Linq" i:nil="true"/>
    </fact>
    <fact i:type="item">
      <id>XMETag_16fe5230d4144f4c80145a0283dd4f59</id>
      <concept>{http://xbrl.frc.org.uk/fr/2021-01-01/core}RetirementBenefitObligationsSurplus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true</negate>
        <scale>6</scale>
      </numericProperties>
      <dimensions/>
      <transformGroup>United Kingdom</transformGroup>
      <hidden>false</hidden>
      <value>7.1</value>
      <format xmlns:d4p1="http://schemas.datacontract.org/2004/07/System.Xml.Linq" i:nil="true"/>
    </fact>
    <fact i:type="item">
      <id>XMETag_2487916fb8c643218052c212f9f5f18a</id>
      <concept>{http://xbrl.frc.org.uk/fr/2021-01-01/core}IncreaseInLiabilitiesDefinedBenefitPlanFromCurrentServiceCost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(2.4)</value>
      <format xmlns:d4p1="http://schemas.datacontract.org/2004/07/System.Xml.Linq" i:nil="true"/>
    </fact>
    <fact i:type="item">
      <id>XMETag_687ec94316b149f98952c0bc6b02a7c4</id>
      <concept>{http://xbrl.frc.org.uk/fr/2021-01-01/core}IncreaseInLiabilitiesDefinedBenefitPlanFromCurrentServiceCost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(2.4)</value>
      <format xmlns:d4p1="http://schemas.datacontract.org/2004/07/System.Xml.Linq" i:nil="true"/>
    </fact>
    <fact i:type="item">
      <id>XMETag_9eb9e2a014524de2b9ad616e8ad4787a</id>
      <concept>{http://xbrl.frc.org.uk/fr/2021-01-01/core}IncreaseInLiabilitiesDefinedBenefitPlanFromCurrentServiceCost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(5.8)</value>
      <format xmlns:d4p1="http://schemas.datacontract.org/2004/07/System.Xml.Linq" i:nil="true"/>
    </fact>
    <fact i:type="item">
      <id>XMETag_9064141bdfbc4e5a9ac4a0af6597a67f</id>
      <concept>{http://xbrl.frc.org.uk/fr/2021-01-01/core}IncreaseInLiabilitiesDefinedBenefitPlanFromCurrentServiceCost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(5.8)</value>
      <format xmlns:d4p1="http://schemas.datacontract.org/2004/07/System.Xml.Linq" i:nil="true"/>
    </fact>
    <fact i:type="item">
      <id>XMETag_9e1fd7f8142746948882cbad52e9d661</id>
      <concept>{http://xbrl.frc.org.uk/fr/2021-01-01/core}IncreaseInLiabilitiesDefinedBenefitPlanFromInterestExpense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(13.9)</value>
      <format xmlns:d4p1="http://schemas.datacontract.org/2004/07/System.Xml.Linq" i:nil="true"/>
    </fact>
    <fact i:type="item">
      <id>XMETag_89491a7384e54a73b0848b19281f5570</id>
      <concept>{http://xbrl.frc.org.uk/fr/2021-01-01/core}IncreaseInAssetsDefinedBenefitPlanFromInterestIncome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14.3</value>
      <format xmlns:d4p1="http://schemas.datacontract.org/2004/07/System.Xml.Linq" i:nil="true"/>
    </fact>
    <fact i:type="item">
      <id>XMETag_b0340117425b4ad38c2e0787eb837f44</id>
      <concept>{http://xbrl.frc.org.uk/fr/2021-01-01/core}IncreaseDecreaseInNetDefinedBenefitLiabilityFromNetInterest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0.4</value>
      <format xmlns:d4p1="http://schemas.datacontract.org/2004/07/System.Xml.Linq" i:nil="true"/>
    </fact>
    <fact i:type="item">
      <id>XMETag_ea131fef6d664d73adeacf1398acfe4c</id>
      <concept>{http://xbrl.frc.org.uk/fr/2021-01-01/core}IncreaseInLiabilitiesDefinedBenefitPlanFromInterestExpense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(12.5)</value>
      <format xmlns:d4p1="http://schemas.datacontract.org/2004/07/System.Xml.Linq" i:nil="true"/>
    </fact>
    <fact i:type="item">
      <id>XMETag_b04b39cf9d2a4116a8e77a9dca7a197e</id>
      <concept>{http://xbrl.frc.org.uk/fr/2021-01-01/core}IncreaseInAssetsDefinedBenefitPlanFromInterestIncome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12.1</value>
      <format xmlns:d4p1="http://schemas.datacontract.org/2004/07/System.Xml.Linq" i:nil="true"/>
    </fact>
    <fact i:type="item">
      <id>XMETag_2f9af88a694e41c890577db42dfbb6d3</id>
      <concept>{http://xbrl.frc.org.uk/fr/2021-01-01/core}IncreaseDecreaseInNetDefinedBenefitLiabilityFromNetInterest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(0.4)</value>
      <format xmlns:d4p1="http://schemas.datacontract.org/2004/07/System.Xml.Linq" i:nil="true"/>
    </fact>
    <fact i:type="item">
      <id>XMETag_8b1e00aa1bcf40de9ad0098020e08db9</id>
      <concept>{http://xbrl.frc.org.uk/fr/2021-01-01/core}IncreaseDecreaseInLiabilitiesDefinedBenefitPlanFromPastServiceCostGainsLossesArisingFromSettlements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(0.2)</value>
      <format xmlns:d4p1="http://schemas.datacontract.org/2004/07/System.Xml.Linq" i:nil="true"/>
    </fact>
    <fact i:type="item">
      <id>XMETag_9637ff22fb8e41618f5731e6e1d34e59</id>
      <concept>{http://xbrl.frc.org.uk/fr/2021-01-01/core}IncreaseDecreaseInLiabilitiesDefinedBenefitPlanFromPastServiceCostGainsLossesArisingFromSettlements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(0.2)</value>
      <format xmlns:d4p1="http://schemas.datacontract.org/2004/07/System.Xml.Linq" i:nil="true"/>
    </fact>
    <fact i:type="item">
      <id>XMETag_9ee3f5883c3e442e8ff6a3232d66282a</id>
      <concept>{http://xbrl.frc.org.uk/fr/2021-01-01/core}IncreaseDecreaseInLiabilitiesDefinedBenefitPlanFromPastServiceCostGainsLossesArisingFromSettlements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(3.5)</value>
      <format xmlns:d4p1="http://schemas.datacontract.org/2004/07/System.Xml.Linq" i:nil="true"/>
    </fact>
    <fact i:type="item">
      <id>XMETag_676fbd6afb754c12b6c507fd9001c45f</id>
      <concept>{http://xbrl.frc.org.uk/fr/2021-01-01/core}IncreaseDecreaseInLiabilitiesDefinedBenefitPlanFromPastServiceCostGainsLossesArisingFromSettlements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(3.5)</value>
      <format xmlns:d4p1="http://schemas.datacontract.org/2004/07/System.Xml.Linq" i:nil="true"/>
    </fact>
    <fact i:type="item">
      <id>XMETag_3faad57d205e409a9973ddfc3114554d</id>
      <concept>{http://xbrl.frc.org.uk/fr/2021-01-01/core}IncreaseDecreaseInLiabilitiesDefinedBenefitPlanFromPensionCosts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(712.4)</value>
      <format xmlns:d4p1="http://schemas.datacontract.org/2004/07/System.Xml.Linq" i:nil="true"/>
    </fact>
    <fact i:type="item">
      <id>XMETag_b5e073a0ca024656a028433a3c946ec9</id>
      <concept>{http://xbrl.frc.org.uk/fr/2021-01-01/core}IncreaseDecreaseInNetRetirementBenefitObligationsFromPensionCosts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12.1</value>
      <format xmlns:d4p1="http://schemas.datacontract.org/2004/07/System.Xml.Linq" i:nil="true"/>
    </fact>
    <fact i:type="item">
      <id>XMETag_58510245402a4161ad391aa3d8d2ed94</id>
      <concept>{http://xbrl.frc.org.uk/fr/2021-01-01/core}IncreaseDecreaseInLiabilitiesDefinedBenefitPlanFromPensionCosts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(21.8)</value>
      <format xmlns:d4p1="http://schemas.datacontract.org/2004/07/System.Xml.Linq" i:nil="true"/>
    </fact>
    <fact i:type="item">
      <id>XMETag_5e2a0a25a2524aa7adaab4f01c8c2079</id>
      <concept>{http://xbrl.frc.org.uk/fr/2021-01-01/core}IncreaseDecreaseInNetRetirementBenefitObligationsFromPensionCosts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(9.7)</value>
      <format xmlns:d4p1="http://schemas.datacontract.org/2004/07/System.Xml.Linq" i:nil="true"/>
    </fact>
    <fact i:type="item">
      <id>XMETag_1c37f9f82653431484eed95fd73952ff</id>
      <concept>{http://xbrl.frc.org.uk/fr/2021-01-01/core}IncreaseInAssetsDefinedBenefitPlanFromReturnOnAssetsNetInterestIncome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4.1</value>
      <format xmlns:d4p1="http://schemas.datacontract.org/2004/07/System.Xml.Linq" i:nil="true"/>
    </fact>
    <fact i:type="item">
      <id>XMETag_cd104e946d3442ddbf12b6ffd82e397d</id>
      <concept>{http://xbrl.frc.org.uk/fr/2021-01-01/core}FurtherItemIncreaseDecreaseInNetRetirementBenefitObligationsComponentTotalChangeInNetRetirementBenefitObligations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4.1</value>
      <format xmlns:d4p1="http://schemas.datacontract.org/2004/07/System.Xml.Linq" i:nil="true"/>
    </fact>
    <fact i:type="item">
      <id>XMETag_b9d7b12035f746f18a8ae3b6ae597c68</id>
      <concept>{http://xbrl.frc.org.uk/fr/2021-01-01/core}FurtherItemIncreaseDecreaseInNetRetirementBenefitObligationsComponentTotalChangeInNetRetirementBenefitObligations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83.0</value>
      <format xmlns:d4p1="http://schemas.datacontract.org/2004/07/System.Xml.Linq" i:nil="true"/>
    </fact>
    <fact i:type="item">
      <id>XMETag_574f80a1c3a74a5aa5cadb33144e7dcd</id>
      <concept>{http://xbrl.frc.org.uk/fr/2021-01-01/core}DecreaseIncreaseInLiabilitiesDefinedBenefitPlanFromActuarialGainsLossesDemographicAssumptions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XMETag_39be6cd4d3fd4aa7b6cfbceb19ecfcb5</id>
      <concept>{http://xbrl.frc.org.uk/fr/2021-01-01/core}FurtherItemIncreaseDecreaseInAssetsDefinedBenefitPlanComponentTotalChangeInFairValuePlanAssets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XMETag_32435eb874984f1ab9be470967df27db</id>
      <concept>{http://xbrl.frc.org.uk/fr/2021-01-01/core}DecreaseIncreaseInLiabilitiesDefinedBenefitPlanFromActuarialGainsLossesDemographicAssumptions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XMETag_36b9327ac9d0430fb2ebf146378d86cd</id>
      <concept>{http://xbrl.frc.org.uk/fr/2021-01-01/core}DecreaseIncreaseInLiabilitiesDefinedBenefitPlanFromActuarialGainsLossesDemographicAssumptions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XMETag_2b633dd1817a4e57a29e9305a1384021</id>
      <concept>{http://xbrl.frc.org.uk/fr/2021-01-01/core}FurtherItemIncreaseDecreaseInAssetsDefinedBenefitPlanComponentTotalChangeInFairValuePlanAssets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XMETag_c28fcbcdf9784726b73ac56be4eccd47</id>
      <concept>{http://xbrl.frc.org.uk/fr/2021-01-01/core}DecreaseIncreaseInLiabilitiesDefinedBenefitPlanFromActuarialGainsLossesDemographicAssumptions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XMETag_11e2b3d746f74a208b2db884e44d9d15</id>
      <concept>{http://xbrl.frc.org.uk/fr/2021-01-01/core}DecreaseIncreaseInLiabilitiesDefinedBenefitPlanFromActuarialGainsLossesFinancialAssumptions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41.1</value>
      <format xmlns:d4p1="http://schemas.datacontract.org/2004/07/System.Xml.Linq" i:nil="true"/>
    </fact>
    <fact i:type="item">
      <id>XMETag_b093fdf8aec843e1a0f2eefcd95e7709</id>
      <concept>{http://xbrl.frc.org.uk/fr/2021-01-01/core}FurtherItemIncreaseDecreaseInAssetsDefinedBenefitPlanComponentTotalChangeInFairValuePlanAssets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XMETag_85e0688108c04d4ca428051196efce8b</id>
      <concept>{http://xbrl.frc.org.uk/fr/2021-01-01/core}DecreaseIncreaseInLiabilitiesDefinedBenefitPlanFromActuarialGainsLossesFinancialAssumptions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41.1</value>
      <format xmlns:d4p1="http://schemas.datacontract.org/2004/07/System.Xml.Linq" i:nil="true"/>
    </fact>
    <fact i:type="item">
      <id>XMETag_4db2b8424ecb489bbcd66c6df6999702</id>
      <concept>{http://xbrl.frc.org.uk/fr/2021-01-01/core}DecreaseIncreaseInLiabilitiesDefinedBenefitPlanFromActuarialGainsLossesFinancialAssumptions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(73.9)</value>
      <format xmlns:d4p1="http://schemas.datacontract.org/2004/07/System.Xml.Linq" i:nil="true"/>
    </fact>
    <fact i:type="item">
      <id>XMETag_fe8f9ae985ac4168afa7be0c53fa81de</id>
      <concept>{http://xbrl.frc.org.uk/fr/2021-01-01/core}FurtherItemIncreaseDecreaseInAssetsDefinedBenefitPlanComponentTotalChangeInFairValuePlanAssets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XMETag_894c5d4638c749e1ba54dcc2fc3706f6</id>
      <concept>{http://xbrl.frc.org.uk/fr/2021-01-01/core}DecreaseIncreaseInLiabilitiesDefinedBenefitPlanFromActuarialGainsLossesFinancialAssumptions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(73.9)</value>
      <format xmlns:d4p1="http://schemas.datacontract.org/2004/07/System.Xml.Linq" i:nil="true"/>
    </fact>
    <fact i:type="item">
      <id>XMETag_c688f8a655654b898d6773ee6fe2ba49</id>
      <concept>{http://xbrl.frc.org.uk/fr/2021-01-01/core}DecreaseIncreaseInLiabilitiesDefinedBenefitPlanFromActuarialGainsLossesExperienceAdjustments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(13.0)</value>
      <format xmlns:d4p1="http://schemas.datacontract.org/2004/07/System.Xml.Linq" i:nil="true"/>
    </fact>
    <fact i:type="item">
      <id>XMETag_9394f9d58b4f41b4bbaaf122a78f303c</id>
      <concept>{http://xbrl.frc.org.uk/fr/2021-01-01/core}FurtherItemIncreaseDecreaseInAssetsDefinedBenefitPlanComponentTotalChangeInFairValuePlanAssets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3</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XMETag_92580aa025694cc79c2eacaf90a61df4</id>
      <concept>{http://xbrl.frc.org.uk/fr/2021-01-01/core}DecreaseIncreaseInLiabilitiesDefinedBenefitPlanFromActuarialGainsLossesExperienceAdjustments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(13.0)</value>
      <format xmlns:d4p1="http://schemas.datacontract.org/2004/07/System.Xml.Linq" i:nil="true"/>
    </fact>
    <fact i:type="item">
      <id>XMETag_fa52dcb2f7a54d95b75bd5531ed8655a</id>
      <concept>{http://xbrl.frc.org.uk/fr/2021-01-01/core}DecreaseIncreaseInLiabilitiesDefinedBenefitPlanFromActuarialGainsLossesExperienceAdjustments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4.8</value>
      <format xmlns:d4p1="http://schemas.datacontract.org/2004/07/System.Xml.Linq" i:nil="true"/>
    </fact>
    <fact i:type="item">
      <id>XMETag_d03c094fc576427db036a56e0bc3144b</id>
      <concept>{http://xbrl.frc.org.uk/fr/2021-01-01/core}FurtherItemIncreaseDecreaseInAssetsDefinedBenefitPlanComponentTotalChangeInFairValuePlanAssets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3</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XMETag_69b35993d7cd41fbbc7fe7c334395d87</id>
      <concept>{http://xbrl.frc.org.uk/fr/2021-01-01/core}DecreaseIncreaseInLiabilitiesDefinedBenefitPlanFromActuarialGainsLossesExperienceAdjustments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4.8</value>
      <format xmlns:d4p1="http://schemas.datacontract.org/2004/07/System.Xml.Linq" i:nil="true"/>
    </fact>
    <fact i:type="item">
      <id>XMETag_b6ffc640b20c46248f338901ee241399</id>
      <concept>{http://xbrl.frc.org.uk/fr/2021-01-01/core}DecreaseIncreaseInLiabilitiesDefinedBenefitPlanFromRemeasurement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27.4</value>
      <format xmlns:d4p1="http://schemas.datacontract.org/2004/07/System.Xml.Linq" i:nil="true"/>
    </fact>
    <fact i:type="item">
      <id>XMETag_22a65a2934494edbb8b3545b5c503474</id>
      <concept>{http://xbrl.frc.org.uk/fr/2021-01-01/core}DecreaseIncreaseInLiabilitiesDefinedBenefitPlanFromRemeasurement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(69.1)</value>
      <format xmlns:d4p1="http://schemas.datacontract.org/2004/07/System.Xml.Linq" i:nil="true"/>
    </fact>
    <fact i:type="item">
      <id>XMETag_4bdc9e5bb62345789ead68a031c8422a</id>
      <concept>{http://xbrl.frc.org.uk/fr/2021-01-01/core}IncreaseInAssetsDefinedBenefitPlanFromContributionsByEmployer</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3.5</value>
      <format xmlns:d4p1="http://schemas.datacontract.org/2004/07/System.Xml.Linq" i:nil="true"/>
    </fact>
    <fact i:type="item">
      <id>XMETag_b139daf573824dcc91bfe80d7947dcc8</id>
      <concept>{http://xbrl.frc.org.uk/fr/2021-01-01/core}DecreaseInNetRetirementBenefitObligationsFromTotalContributions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3.5</value>
      <format xmlns:d4p1="http://schemas.datacontract.org/2004/07/System.Xml.Linq" i:nil="true"/>
    </fact>
    <fact i:type="item">
      <id>XMETag_5b85a95ac3b14c088c565d98afdcf105</id>
      <concept>{http://xbrl.frc.org.uk/fr/2021-01-01/core}IncreaseInAssetsDefinedBenefitPlanFromContributionsByEmployer</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3.0</value>
      <format xmlns:d4p1="http://schemas.datacontract.org/2004/07/System.Xml.Linq" i:nil="true"/>
    </fact>
    <fact i:type="item">
      <id>XMETag_4f53f579b85441acb20fc84c09e764a4</id>
      <concept>{http://xbrl.frc.org.uk/fr/2021-01-01/core}DecreaseInNetRetirementBenefitObligationsFromTotalContributions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3.0</value>
      <format xmlns:d4p1="http://schemas.datacontract.org/2004/07/System.Xml.Linq" i:nil="true"/>
    </fact>
    <fact i:type="item">
      <id>XMETag_f8207775a31f44aab5b948d2997866bc</id>
      <concept>{http://xbrl.frc.org.uk/fr/2021-01-01/core}DecreaseInAssetsDefinedBenefitPlanFromBenefitsPaid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38.4</value>
      <format xmlns:d4p1="http://schemas.datacontract.org/2004/07/System.Xml.Linq" i:nil="true"/>
    </fact>
    <fact i:type="item">
      <id>XMETag_569d5eac3add4a18b8419c6b8988369d</id>
      <concept>{http://xbrl.frc.org.uk/fr/2021-01-01/core}DecreaseInAssetsDefinedBenefitPlanFromBenefitsPaid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(38.4)</value>
      <format xmlns:d4p1="http://schemas.datacontract.org/2004/07/System.Xml.Linq" i:nil="true"/>
    </fact>
    <fact i:type="item">
      <id>XMETag_85cd172bd88a421999103b1d16f37451</id>
      <concept>{http://xbrl.frc.org.uk/fr/2021-01-01/core}DecreaseInNetRetirementBenefitObligationsFromBenefitsPaid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XMETag_edf0ec2ab8304e5daf1d8b9b166f3fd5</id>
      <concept>{http://xbrl.frc.org.uk/fr/2021-01-01/core}DecreaseInAssetsDefinedBenefitPlanFromBenefitsPaid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29.2</value>
      <format xmlns:d4p1="http://schemas.datacontract.org/2004/07/System.Xml.Linq" i:nil="true"/>
    </fact>
    <fact i:type="item">
      <id>XMETag_86941ff0f12842b396937a9bee6010c3</id>
      <concept>{http://xbrl.frc.org.uk/fr/2021-01-01/core}DecreaseInAssetsDefinedBenefitPlanFromBenefitsPaid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(29.2)</value>
      <format xmlns:d4p1="http://schemas.datacontract.org/2004/07/System.Xml.Linq" i:nil="true"/>
    </fact>
    <fact i:type="item">
      <id>XMETag_1462f8465e4d44d397a8d2b75c476604</id>
      <concept>{http://xbrl.frc.org.uk/fr/2021-01-01/core}DecreaseInNetRetirementBenefitObligationsFromBenefitsPaid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XMETag_34475e58c14e4fdb8d2f50c9152a1f5e</id>
      <concept>{http://xbrl.frc.org.uk/fr/2021-01-01/core}FurtherItemIncreaseDecreaseInLiabilitiesDefinedBenefitPlanComponentTotalChangeInPresentValueLiabilities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1.4</value>
      <format xmlns:d4p1="http://schemas.datacontract.org/2004/07/System.Xml.Linq" i:nil="true"/>
    </fact>
    <fact i:type="item">
      <id>XMETag_c194c796903b477ea32737b42e8ef951</id>
      <concept>{http://xbrl.frc.org.uk/fr/2021-01-01/core}FurtherItemIncreaseDecreaseInAssetsDefinedBenefitPlanComponentTotalChangeInFairValuePlanAssets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4</typedValue>
          <contextContainer>Segment</contextContainer>
        </dimension>
      </dimensions>
      <transformGroup>United Kingdom</transformGroup>
      <hidden>false</hidden>
      <value>(1.4)</value>
      <format xmlns:d4p1="http://schemas.datacontract.org/2004/07/System.Xml.Linq" i:nil="true"/>
    </fact>
    <fact i:type="item">
      <id>XMETag_4189e20f02614d6f970e97c640c9765a</id>
      <concept>{http://xbrl.frc.org.uk/fr/2021-01-01/core}FurtherItemIncreaseDecreaseInNetRetirementBenefitObligationsComponentTotalChangeInNetRetirementBenefitObligations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XMETag_3363900ed2334d6380dd5c85d411353d</id>
      <concept>{http://xbrl.frc.org.uk/fr/2021-01-01/core}FurtherItemIncreaseDecreaseInLiabilitiesDefinedBenefitPlanComponentTotalChangeInPresentValueLiabilities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1.8</value>
      <format xmlns:d4p1="http://schemas.datacontract.org/2004/07/System.Xml.Linq" i:nil="true"/>
    </fact>
    <fact i:type="item">
      <id>XMETag_7324d53c9d204e099a6241c8532fb464</id>
      <concept>{http://xbrl.frc.org.uk/fr/2021-01-01/core}FurtherItemIncreaseDecreaseInAssetsDefinedBenefitPlanComponentTotalChangeInFairValuePlanAssets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4</typedValue>
          <contextContainer>Segment</contextContainer>
        </dimension>
      </dimensions>
      <transformGroup>United Kingdom</transformGroup>
      <hidden>false</hidden>
      <value>(1.8)</value>
      <format xmlns:d4p1="http://schemas.datacontract.org/2004/07/System.Xml.Linq" i:nil="true"/>
    </fact>
    <fact i:type="item">
      <id>XMETag_f0cf094ebb934f859ddecd9bfc094f8b</id>
      <concept>{http://xbrl.frc.org.uk/fr/2021-01-01/core}FurtherItemIncreaseDecreaseInNetRetirementBenefitObligationsComponentTotalChangeInNetRetirementBenefitObligations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XMETag_8a815b2223bd4cf89664d4f40a470e4b</id>
      <concept>{http://xbrl.frc.org.uk/fr/2021-01-01/core}LiabilitiesDefinedBenefitPlanPresentValue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(645.2)</value>
      <format xmlns:d4p1="http://schemas.datacontract.org/2004/07/System.Xml.Linq" i:nil="true"/>
    </fact>
    <fact i:type="item">
      <id>XMETag_110c1be9b6724571a30988986dbeb5f6</id>
      <concept>{http://xbrl.frc.org.uk/fr/2021-01-01/core}FairValueAssetsDefinedBenefitPlan</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692.3</value>
      <format xmlns:d4p1="http://schemas.datacontract.org/2004/07/System.Xml.Linq" i:nil="true"/>
    </fact>
    <fact i:type="item">
      <id>XMETag_54e85558a70c410f8dad184578bf7cab</id>
      <concept>{http://xbrl.frc.org.uk/fr/2021-01-01/core}RetirementBenefitObligationsSurplus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47.1</value>
      <format xmlns:d4p1="http://schemas.datacontract.org/2004/07/System.Xml.Linq" i:nil="true"/>
    </fact>
    <fact i:type="item">
      <id>XMETag_72f1b92414ff4863871695288e3147c0</id>
      <concept>{http://xbrl.frc.org.uk/fr/2021-01-01/core}LiabilitiesDefinedBenefitPlanPresentValue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(695.9)</value>
      <format xmlns:d4p1="http://schemas.datacontract.org/2004/07/System.Xml.Linq" i:nil="true"/>
    </fact>
    <fact i:type="item">
      <id>XMETag_dba8d08ee976496fb242bf0057c53c4a</id>
      <concept>{http://xbrl.frc.org.uk/fr/2021-01-01/core}FairValueAssetsDefinedBenefitPlan</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710.2</value>
      <format xmlns:d4p1="http://schemas.datacontract.org/2004/07/System.Xml.Linq" i:nil="true"/>
    </fact>
    <fact i:type="item">
      <id>XMETag_eebc23212c184e19a90e24d8bc16e386</id>
      <concept>{http://xbrl.frc.org.uk/fr/2021-01-01/core}RetirementBenefitObligationsSurplus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14.3</value>
      <format xmlns:d4p1="http://schemas.datacontract.org/2004/07/System.Xml.Linq" i:nil="true"/>
    </fact>
    <fact i:type="item">
      <id>XMETag_0ff4162c7cf340ca89702412ea0491bb</id>
      <concept>{http://xbrl.frc.org.uk/fr/2021-01-01/core}EquitySecuritiesHeldInDefinedBenefitPlanFairValue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169.3</value>
      <format xmlns:d4p1="http://schemas.datacontract.org/2004/07/System.Xml.Linq" i:nil="true"/>
    </fact>
    <fact i:type="item">
      <id>XMETag_e2180199a67c48cb8be14370f0e2c6f1</id>
      <concept>{http://xbrl.frc.org.uk/fr/2021-01-01/core}EquitySecuritiesHeldInDefinedBenefitPlanFairValue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131.1</value>
      <format xmlns:d4p1="http://schemas.datacontract.org/2004/07/System.Xml.Linq" i:nil="true"/>
    </fact>
    <fact i:type="item">
      <id>XMETag_81b850a450534f54b0bf493f2eb4bc36</id>
      <concept>{http://xbrl.frc.org.uk/fr/2021-01-01/core}PropertyHeldInDefinedBenefitPlanFairValue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62.6</value>
      <format xmlns:d4p1="http://schemas.datacontract.org/2004/07/System.Xml.Linq" i:nil="true"/>
    </fact>
    <fact i:type="item">
      <id>XMETag_c8174b0cc5134a9da207034ac5ec5248</id>
      <concept>{http://xbrl.frc.org.uk/fr/2021-01-01/core}PropertyHeldInDefinedBenefitPlanFairValue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49.7</value>
      <format xmlns:d4p1="http://schemas.datacontract.org/2004/07/System.Xml.Linq" i:nil="true"/>
    </fact>
    <fact i:type="item">
      <id>XMETag_ec86aa37b6044b5f87aa1aba2695a1e5</id>
      <concept>{http://xbrl.frc.org.uk/fr/2021-01-01/core}DebtSecuritiesHeldInDefinedBenefitPlanFairValue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344.5</value>
      <format xmlns:d4p1="http://schemas.datacontract.org/2004/07/System.Xml.Linq" i:nil="true"/>
    </fact>
    <fact i:type="item">
      <id>XMETag_1d12ba22397a49f98306117a91dd506d</id>
      <concept>{http://xbrl.frc.org.uk/fr/2021-01-01/core}DebtSecuritiesHeldInDefinedBenefitPlanFairValue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369.1</value>
      <format xmlns:d4p1="http://schemas.datacontract.org/2004/07/System.Xml.Linq" i:nil="true"/>
    </fact>
    <fact i:type="item">
      <id>XMETag_6361a7501ff34f278b7b5eb21aea70d0</id>
      <concept>{http://xbrl.frc.org.uk/fr/2021-01-01/core}FurtherItemAssetsHeldInDefinedBenefitPlanFairValueComponentTotalAssetsHeldInPlan</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52.4</value>
      <format xmlns:d4p1="http://schemas.datacontract.org/2004/07/System.Xml.Linq" i:nil="true"/>
    </fact>
    <fact i:type="item">
      <id>XMETag_d84d1225b7024926aefe79b4bbdb300d</id>
      <concept>{http://xbrl.frc.org.uk/fr/2021-01-01/core}FurtherItemAssetsHeldInDefinedBenefitPlanFairValueComponentTotalAssetsHeldInPlan</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109.9</value>
      <format xmlns:d4p1="http://schemas.datacontract.org/2004/07/System.Xml.Linq" i:nil="true"/>
    </fact>
    <fact i:type="item">
      <id>XMETag_922c2006830a45a58804b330bf97dd75</id>
      <concept>{http://xbrl.frc.org.uk/fr/2021-01-01/core}FurtherItemAssetsHeldInDefinedBenefitPlanFairValueComponentTotalAssetsHeldInPlan</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60.5</value>
      <format xmlns:d4p1="http://schemas.datacontract.org/2004/07/System.Xml.Linq" i:nil="true"/>
    </fact>
    <fact i:type="item">
      <id>XMETag_14690a8517b841cfb97e3a82c771ab70</id>
      <concept>{http://xbrl.frc.org.uk/fr/2021-01-01/core}FurtherItemAssetsHeldInDefinedBenefitPlanFairValueComponentTotalAssetsHeldInPlan</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41.6</value>
      <format xmlns:d4p1="http://schemas.datacontract.org/2004/07/System.Xml.Linq" i:nil="true"/>
    </fact>
    <fact i:type="item">
      <id>XMETag_3a27f6893b5140e1ba9afb277da58da2</id>
      <concept>{http://xbrl.frc.org.uk/fr/2021-01-01/core}OtherAssetsHeldInDefinedBenefitPlanFairValue</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3.0</value>
      <format xmlns:d4p1="http://schemas.datacontract.org/2004/07/System.Xml.Linq" i:nil="true"/>
    </fact>
    <fact i:type="item">
      <id>XMETag_87a4338759b548e2842e6632dc05ba38</id>
      <concept>{http://xbrl.frc.org.uk/fr/2021-01-01/core}OtherAssetsHeldInDefinedBenefitPlanFairValue</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8.8</value>
      <format xmlns:d4p1="http://schemas.datacontract.org/2004/07/System.Xml.Linq" i:nil="true"/>
    </fact>
    <fact i:type="item">
      <id>XMETag_5a934e9aa42a487a8a3b9e0bbc134740</id>
      <concept>{http://xbrl.frc.org.uk/fr/2021-01-01/core}FairValueAssetsDefinedBenefitPlan</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692.3</value>
      <format xmlns:d4p1="http://schemas.datacontract.org/2004/07/System.Xml.Linq" i:nil="true"/>
    </fact>
    <fact i:type="item">
      <id>XMETag_0d0a563697cd459f8f00ab71db5e8917</id>
      <concept>{http://xbrl.frc.org.uk/fr/2021-01-01/core}FairValueAssetsDefinedBenefitPlan</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710.2</value>
      <format xmlns:d4p1="http://schemas.datacontract.org/2004/07/System.Xml.Linq" i:nil="true"/>
    </fact>
    <fact i:type="item">
      <id>XMETag_e6ce3d3ba68b49af8212e04645833d9c</id>
      <concept>{http://xbrl.frc.org.uk/fr/2021-01-01/core}CurrentTaxAssets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5.9</value>
      <format xmlns:d4p1="http://schemas.datacontract.org/2004/07/System.Xml.Linq" i:nil="true"/>
    </fact>
    <fact i:type="item">
      <id>XMETag_ebe07bca0d214146a58d75d58b4d7eda</id>
      <concept>{http://xbrl.frc.org.uk/fr/2021-01-01/core}CurrentTaxAssets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3.9</value>
      <format xmlns:d4p1="http://schemas.datacontract.org/2004/07/System.Xml.Linq" i:nil="true"/>
    </fact>
    <fact i:type="item">
      <id>XMETag_2c802930fdbb45979e1ec103abe1df7f</id>
      <concept>{http://xbrl.frc.org.uk/fr/2021-01-01/core}NetDeferredTaxLiabilityAsset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271.2</value>
      <format xmlns:d4p1="http://schemas.datacontract.org/2004/07/System.Xml.Linq" i:nil="true"/>
    </fact>
    <fact i:type="item">
      <id>XMETag_196f7ec05d06407883f6bc2748cb31be</id>
      <concept>{http://xbrl.frc.org.uk/fr/2021-01-01/core}NetDeferredTaxLiabilityAsset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263.8</value>
      <format xmlns:d4p1="http://schemas.datacontract.org/2004/07/System.Xml.Linq" i:nil="true"/>
    </fact>
    <fact i:type="item">
      <id>XMETag_9dc0d6394128493e8ba5cee04d8bf935</id>
      <concept>{http://xbrl.frc.org.uk/fr/2021-01-01/core}IncreaseDecreaseInNetDeferredTaxLiabilityFromAmountRecognisedInProfitOrLoss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3.1</value>
      <format xmlns:d4p1="http://schemas.datacontract.org/2004/07/System.Xml.Linq" i:nil="true"/>
    </fact>
    <fact i:type="item">
      <id>XMETag_77b748a52e86420aac41b7007b0e2859</id>
      <concept>{http://xbrl.frc.org.uk/fr/2021-01-01/core}IncreaseDecreaseInNetDeferredTaxLiabilityFromAmountRecognisedInProfitOrLoss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3.5</value>
      <format xmlns:d4p1="http://schemas.datacontract.org/2004/07/System.Xml.Linq" i:nil="true"/>
    </fact>
    <fact i:type="item">
      <id>XMETag_990d381828e04b8299e73c7f79acd438</id>
      <concept>{http://xbrl.frc.org.uk/fr/2021-01-01/core}FurtherItemIncreaseDecreaseInNetDeferredTaxLiabilityComponentNetDeferredTaxLiabilityAssetMovement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7.1</value>
      <format xmlns:d4p1="http://schemas.datacontract.org/2004/07/System.Xml.Linq" i:nil="true"/>
    </fact>
    <fact i:type="item">
      <id>XMETag_45b6fe76c86c4e5aab4c1322e24784af</id>
      <concept>{http://xbrl.frc.org.uk/fr/2021-01-01/core}FurtherItemIncreaseDecreaseInNetDeferredTaxLiabilityComponentNetDeferredTaxLiabilityAssetMovement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4.6</value>
      <format xmlns:d4p1="http://schemas.datacontract.org/2004/07/System.Xml.Linq" i:nil="true"/>
    </fact>
    <fact i:type="item">
      <id>XMETag_38fd6d28266044139ff188513630a6a5</id>
      <concept>{http://xbrl.frc.org.uk/fr/2021-01-01/core}FurtherItemIncreaseDecreaseInNetDeferredTaxLiabilityComponentNetDeferredTaxLiabilityAssetMovement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98.7</value>
      <format xmlns:d4p1="http://schemas.datacontract.org/2004/07/System.Xml.Linq" i:nil="true"/>
    </fact>
    <fact i:type="item">
      <id>XMETag_048772b6bffe40b981ff25e65974b834</id>
      <concept>{http://xbrl.frc.org.uk/fr/2021-01-01/core}FurtherItemIncreaseDecreaseInNetDeferredTaxLiabilityComponentNetDeferredTaxLiabilityAssetMovement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(0.7)</value>
      <format xmlns:d4p1="http://schemas.datacontract.org/2004/07/System.Xml.Linq" i:nil="true"/>
    </fact>
    <fact i:type="item">
      <id>XMETag_79842178162d4354b09b07b60cf7329f</id>
      <concept>{http://xbrl.frc.org.uk/fr/2021-01-01/core}NetDeferredTaxLiabilityAsset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380.1</value>
      <format xmlns:d4p1="http://schemas.datacontract.org/2004/07/System.Xml.Linq" i:nil="true"/>
    </fact>
    <fact i:type="item">
      <id>XMETag_282e7c2684fc4c2794249c2953b75364</id>
      <concept>{http://xbrl.frc.org.uk/fr/2021-01-01/core}NetDeferredTaxLiabilityAsset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271.2</value>
      <format xmlns:d4p1="http://schemas.datacontract.org/2004/07/System.Xml.Linq" i:nil="true"/>
    </fact>
    <fact i:type="item">
      <id>XMETag_c95e97cd5cef42d681360930af30aeeb</id>
      <concept>{http://xbrl.frc.org.uk/fr/2021-01-01/core}IncreaseDecreaseInDeferredTaxLiabilityFromAmountRecognisedInProfitOrLoss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s>
      <transformGroup>United Kingdom</transformGroup>
      <hidden>false</hidden>
      <value>2.0</value>
      <format xmlns:d4p1="http://schemas.datacontract.org/2004/07/System.Xml.Linq" i:nil="true"/>
    </fact>
    <fact i:type="item">
      <id>XMETag_3018fd1385f140fa988b4e62d48a9035</id>
      <concept>{http://xbrl.frc.org.uk/fr/2021-01-01/core}IncreaseDecreaseInDeferredTaxLiabilityFromAmountRecognisedInProfitOrLoss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s>
      <transformGroup>United Kingdom</transformGroup>
      <hidden>false</hidden>
      <value>1.0</value>
      <format xmlns:d4p1="http://schemas.datacontract.org/2004/07/System.Xml.Linq" i:nil="true"/>
    </fact>
    <fact i:type="item">
      <id>XMETag_edd0769208cf404dbfeb15d92610f272</id>
      <concept>{http://xbrl.frc.org.uk/fr/2021-01-01/core}IncreaseDecreaseInDeferredTaxLiabilityFromAmountRecognisedInProfitOrLoss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XMETag_f92450f4b4664f0b82f83fe9d923a1ad</id>
      <concept>{http://xbrl.frc.org.uk/fr/2021-01-01/core}FurtherItemIncreaseDecreaseInDeferredTaxLiabilitiesComponentDeferredTaxLiabilitiesMovement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XMETag_a7e12efd8225435cbfea1a4e9051435b</id>
      <concept>{http://xbrl.frc.org.uk/fr/2021-01-01/core}FurtherItemIncreaseDecreaseInDeferredTaxLiabilitiesComponentDeferredTaxLiabilitiesMovement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(0.7)</value>
      <format xmlns:d4p1="http://schemas.datacontract.org/2004/07/System.Xml.Linq" i:nil="true"/>
    </fact>
    <fact i:type="item">
      <id>XMETag_fd7398125591460f8bcc7c5a4ded83a1</id>
      <concept>{http://xbrl.frc.org.uk/fr/2021-01-01/core}FurtherItemIncreaseDecreaseInDeferredTaxLiabilitiesComponentDeferredTaxLiabilitiesMovement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XMETag_1e623945cf244e629b4614e1dccb9282</id>
      <concept>{http://xbrl.frc.org.uk/fr/2021-01-01/core}FurtherItemIncreaseDecreaseInDeferredTaxLiabilitiesComponentDeferredTaxLiabilitiesMovement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XMETag_3380a907b3cd4c0cbcd44dffa89cb7c0</id>
      <concept>{http://xbrl.frc.org.uk/fr/2021-01-01/core}FurtherItemIncreaseDecreaseInDeferredTaxLiabilitiesComponentDeferredTaxLiabilitiesMovement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2.6</value>
      <format xmlns:d4p1="http://schemas.datacontract.org/2004/07/System.Xml.Linq" i:nil="true"/>
    </fact>
    <fact i:type="item">
      <id>XMETag_5bd725c009724027b9394580c31f7267</id>
      <concept>{http://xbrl.frc.org.uk/fr/2021-01-01/core}FurtherItemIncreaseDecreaseInDeferredTaxLiabilitiesComponentDeferredTaxLiabilitiesMovement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XMETag_85a980c37d67489ab6dc653d9db77e51</id>
      <concept>{http://xbrl.frc.org.uk/fr/2021-01-01/core}DeferredTaxLiabilities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s>
      <transformGroup>United Kingdom</transformGroup>
      <hidden>false</hidden>
      <value>276.4</value>
      <format xmlns:d4p1="http://schemas.datacontract.org/2004/07/System.Xml.Linq" i:nil="true"/>
    </fact>
    <fact i:type="item">
      <id>XMETag_2e636a82214f47eb94c66fc14e29c4c4</id>
      <concept>{http://xbrl.frc.org.uk/fr/2021-01-01/core}DeferredTaxLiabilities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s>
      <transformGroup>United Kingdom</transformGroup>
      <hidden>false</hidden>
      <value>0.7</value>
      <format xmlns:d4p1="http://schemas.datacontract.org/2004/07/System.Xml.Linq" i:nil="true"/>
    </fact>
    <fact i:type="item">
      <id>XMETag_70ce14584ce8422abf6632c86642c79b</id>
      <concept>{http://xbrl.frc.org.uk/fr/2021-01-01/core}DeferredTaxLiabilities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XMETag_46db92502b80477ea2ada0f5e5f2ceb8</id>
      <concept>{http://xbrl.frc.org.uk/fr/2021-01-01/core}IncreaseDecreaseInDeferredTaxLiabilityFromAmountRecognisedInProfitOrLoss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3.0</value>
      <format xmlns:d4p1="http://schemas.datacontract.org/2004/07/System.Xml.Linq" i:nil="true"/>
    </fact>
    <fact i:type="item">
      <id>XMETag_e78744289b8a4385a1edf0a6d2ee5f5c</id>
      <concept>{http://xbrl.frc.org.uk/fr/2021-01-01/core}FurtherItemIncreaseDecreaseInDeferredTaxLiabilitiesComponentDeferredTaxLiabilitiesMovement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(0.7)</value>
      <format xmlns:d4p1="http://schemas.datacontract.org/2004/07/System.Xml.Linq" i:nil="true"/>
    </fact>
    <fact i:type="item">
      <id>XMETag_9990a8ac2a9446929c48e798bae6492a</id>
      <concept>{http://xbrl.frc.org.uk/fr/2021-01-01/core}FurtherItemIncreaseDecreaseInDeferredTaxLiabilitiesComponentDeferredTaxLiabilitiesMovement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2.6</value>
      <format xmlns:d4p1="http://schemas.datacontract.org/2004/07/System.Xml.Linq" i:nil="true"/>
    </fact>
    <fact i:type="item">
      <id>XMETag_a9f74e7059eb45e6a3fd1f070d5aaf7f</id>
      <concept>{http://xbrl.frc.org.uk/fr/2021-01-01/core}DeferredTaxLiabilities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277.1</value>
      <format xmlns:d4p1="http://schemas.datacontract.org/2004/07/System.Xml.Linq" i:nil="true"/>
    </fact>
    <fact i:type="item">
      <id>XMETag_6a4530d4c60e42329057ae0284bce35b</id>
      <concept>{http://xbrl.frc.org.uk/fr/2021-01-01/core}DeferredTaxLiabilities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s>
      <transformGroup>United Kingdom</transformGroup>
      <hidden>false</hidden>
      <value>274.4</value>
      <format xmlns:d4p1="http://schemas.datacontract.org/2004/07/System.Xml.Linq" i:nil="true"/>
    </fact>
    <fact i:type="item">
      <id>XMETag_396be251bf8e4abcade001a7a1775d29</id>
      <concept>{http://xbrl.frc.org.uk/fr/2021-01-01/core}DeferredTaxLiabilities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XMETag_5a0d1b57924a4fbbb2c076603f3270c1</id>
      <concept>{http://xbrl.frc.org.uk/fr/2021-01-01/core}DeferredTaxLiabilities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272.2</value>
      <format xmlns:d4p1="http://schemas.datacontract.org/2004/07/System.Xml.Linq" i:nil="true"/>
    </fact>
    <fact i:type="item">
      <id>XMETag_766168d0d9de4148a8f311e45cb0b640</id>
      <concept>{http://xbrl.frc.org.uk/fr/2021-01-01/core}DeferredTaxLiabilities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s>
      <transformGroup>United Kingdom</transformGroup>
      <hidden>false</hidden>
      <value>365.9</value>
      <format xmlns:d4p1="http://schemas.datacontract.org/2004/07/System.Xml.Linq" i:nil="true"/>
    </fact>
    <fact i:type="item">
      <id>XMETag_1f0ab3d9012d4d47a8c5a004bfc691f0</id>
      <concept>{http://xbrl.frc.org.uk/fr/2021-01-01/core}DeferredTaxLiabilities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s>
      <transformGroup>United Kingdom</transformGroup>
      <hidden>false</hidden>
      <value>11.0</value>
      <format xmlns:d4p1="http://schemas.datacontract.org/2004/07/System.Xml.Linq" i:nil="true"/>
    </fact>
    <fact i:type="item">
      <id>XMETag_205062a4db76485e8b5f8ed8539320f5</id>
      <concept>{http://xbrl.frc.org.uk/fr/2021-01-01/core}DeferredTaxLiabilities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4.7</value>
      <format xmlns:d4p1="http://schemas.datacontract.org/2004/07/System.Xml.Linq" i:nil="true"/>
    </fact>
    <fact i:type="item">
      <id>XMETag_0ed262d79f7d46929b3f8b991a709edc</id>
      <concept>{http://xbrl.frc.org.uk/fr/2021-01-01/core}DeferredTaxLiabilities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381.6</value>
      <format xmlns:d4p1="http://schemas.datacontract.org/2004/07/System.Xml.Linq" i:nil="true"/>
    </fact>
    <fact i:type="item">
      <id>XMETag_a53619a5ec444a4fae732c332032f4eb</id>
      <concept>{http://xbrl.frc.org.uk/fr/2021-01-01/core}IncreaseDecreaseInDeferredTaxLiabilityFromAmountRecognisedInProfitOrLoss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s>
      <transformGroup>United Kingdom</transformGroup>
      <hidden>false</hidden>
      <value>1.4</value>
      <format xmlns:d4p1="http://schemas.datacontract.org/2004/07/System.Xml.Linq" i:nil="true"/>
    </fact>
    <fact i:type="item">
      <id>XMETag_086eb0c490694f19a37332136d66266c</id>
      <concept>{http://xbrl.frc.org.uk/fr/2021-01-01/core}IncreaseDecreaseInDeferredTaxLiabilityFromAmountRecognisedInProfitOrLoss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s>
      <transformGroup>United Kingdom</transformGroup>
      <hidden>false</hidden>
      <value>1.5</value>
      <format xmlns:d4p1="http://schemas.datacontract.org/2004/07/System.Xml.Linq" i:nil="true"/>
    </fact>
    <fact i:type="item">
      <id>XMETag_f82e03cefe1842b286dbaa497e4fd386</id>
      <concept>{http://xbrl.frc.org.uk/fr/2021-01-01/core}IncreaseDecreaseInDeferredTaxLiabilityFromAmountRecognisedInProfitOrLoss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XMETag_b2cff94e769e467083a4fddb557c2c41</id>
      <concept>{http://xbrl.frc.org.uk/fr/2021-01-01/core}IncreaseDecreaseInDeferredTaxLiabilityFromAmountRecognisedInProfitOrLoss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2.9</value>
      <format xmlns:d4p1="http://schemas.datacontract.org/2004/07/System.Xml.Linq" i:nil="true"/>
    </fact>
    <fact i:type="item">
      <id>XMETag_1fb3e73a684d4a498a81f5aab8327ca0</id>
      <concept>{http://xbrl.frc.org.uk/fr/2021-01-01/core}FurtherItemIncreaseDecreaseInDeferredTaxLiabilitiesComponentDeferredTaxLiabilitiesMovement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88.1</value>
      <format xmlns:d4p1="http://schemas.datacontract.org/2004/07/System.Xml.Linq" i:nil="true"/>
    </fact>
    <fact i:type="item">
      <id>XMETag_3c58e899ac1a4386b2a065f6a110ff6c</id>
      <concept>{http://xbrl.frc.org.uk/fr/2021-01-01/core}FurtherItemIncreaseDecreaseInDeferredTaxLiabilitiesComponentDeferredTaxLiabilitiesMovement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8.1</value>
      <format xmlns:d4p1="http://schemas.datacontract.org/2004/07/System.Xml.Linq" i:nil="true"/>
    </fact>
    <fact i:type="item">
      <id>XMETag_5292ad5988e44210bf3ed94682efe6fb</id>
      <concept>{http://xbrl.frc.org.uk/fr/2021-01-01/core}FurtherItemIncreaseDecreaseInDeferredTaxLiabilitiesComponentDeferredTaxLiabilitiesMovement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XMETag_6758c62077224a47851c9dbb4db2c0f7</id>
      <concept>{http://xbrl.frc.org.uk/fr/2021-01-01/core}FurtherItemIncreaseDecreaseInDeferredTaxLiabilitiesComponentDeferredTaxLiabilitiesMovement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96.2</value>
      <format xmlns:d4p1="http://schemas.datacontract.org/2004/07/System.Xml.Linq" i:nil="true"/>
    </fact>
    <fact i:type="item">
      <id>XMETag_498c09cf75364e8193a6ba6f29bc645d</id>
      <concept>{http://xbrl.frc.org.uk/fr/2021-01-01/core}FurtherItemIncreaseDecreaseInDeferredTaxLiabilitiesComponentDeferredTaxLiabilitiesMovement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XMETag_736fbcb692554546a2271e5b5fb49c21</id>
      <concept>{http://xbrl.frc.org.uk/fr/2021-01-01/core}FurtherItemIncreaseDecreaseInDeferredTaxLiabilitiesComponentDeferredTaxLiabilitiesMovement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0.7</value>
      <format xmlns:d4p1="http://schemas.datacontract.org/2004/07/System.Xml.Linq" i:nil="true"/>
    </fact>
    <fact i:type="item">
      <id>XMETag_c943c310961c4193bfcb79921dd5f3a8</id>
      <concept>{http://xbrl.frc.org.uk/fr/2021-01-01/core}FurtherItemIncreaseDecreaseInDeferredTaxLiabilitiesComponentDeferredTaxLiabilitiesMovement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XMETag_fd4b488ad60d46a6bd9cfb3f2dd62c19</id>
      <concept>{http://xbrl.frc.org.uk/fr/2021-01-01/core}FurtherItemIncreaseDecreaseInDeferredTaxLiabilitiesComponentDeferredTaxLiabilitiesMovement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0.7</value>
      <format xmlns:d4p1="http://schemas.datacontract.org/2004/07/System.Xml.Linq" i:nil="true"/>
    </fact>
    <fact i:type="item">
      <id>XMETag_2d11269bee8e451e9515940dbe29c7b5</id>
      <concept>{http://xbrl.frc.org.uk/fr/2021-01-01/core}IncreaseDecreaseInDeferredTaxLiabilitiesArisingFromReclassifications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{http://xbrl.frc.org.uk/fr/2021-01-01/core}AcceleratedTaxDepreciationDeferredTax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XMETag_6e5563668fb74cc6a08a3f322fdf8292</id>
      <concept>{http://xbrl.frc.org.uk/fr/2021-01-01/core}IncreaseDecreaseInDeferredTaxLiabilitiesArisingFromReclassifications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XMETag_801b34e5f97f451da00289eb9cd43c55</id>
      <concept>{http://xbrl.frc.org.uk/fr/2021-01-01/core}IncreaseDecreaseInDeferredTaxLiabilitiesArisingFromReclassifications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4.7</value>
      <format xmlns:d4p1="http://schemas.datacontract.org/2004/07/System.Xml.Linq" i:nil="true"/>
    </fact>
    <fact i:type="item">
      <id>XMETag_67eab150de7f4991a028ab1edb26864b</id>
      <concept>{http://xbrl.frc.org.uk/fr/2021-01-01/core}IncreaseDecreaseInDeferredTaxLiabilitiesArisingFromReclassifications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4.7</value>
      <format xmlns:d4p1="http://schemas.datacontract.org/2004/07/System.Xml.Linq" i:nil="true"/>
    </fact>
    <fact i:type="item">
      <id>XMETag_af9b6dc01490414e85e61eff8277a982</id>
      <concept>{http://xbrl.frc.org.uk/fr/2021-01-01/core}DeferredTaxAssets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{http://xbrl.frc.org.uk/fr/2021-01-01/core}ProvisionsDeferredTax</member>
          <typedValue i:nil="true"/>
          <contextContainer>Segment</contextContainer>
        </dimension>
      </dimensions>
      <transformGroup>United Kingdom</transformGroup>
      <hidden>false</hidden>
      <value>(1.4)</value>
      <format xmlns:d4p1="http://schemas.datacontract.org/2004/07/System.Xml.Linq" i:nil="true"/>
    </fact>
    <fact i:type="item">
      <id>XMETag_42ef7261a1fb4b60b8d2c544b5985e7f</id>
      <concept>{http://xbrl.frc.org.uk/fr/2021-01-01/core}DeferredTaxAssets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(5.8)</value>
      <format xmlns:d4p1="http://schemas.datacontract.org/2004/07/System.Xml.Linq" i:nil="true"/>
    </fact>
    <fact i:type="item">
      <id>XMETag_59fcb7bd93d84fb1bc1c9670b59435b6</id>
      <concept>{http://xbrl.frc.org.uk/fr/2021-01-01/core}DeferredTaxAssets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s>
      <transformGroup>United Kingdom</transformGroup>
      <hidden>false</hidden>
      <value>(1.2)</value>
      <format xmlns:d4p1="http://schemas.datacontract.org/2004/07/System.Xml.Linq" i:nil="true"/>
    </fact>
    <fact i:type="item">
      <id>XMETag_157de248a29243cd91135e3670f0a7e4</id>
      <concept>{http://xbrl.frc.org.uk/fr/2021-01-01/core}DeferredTaxAssets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(8.4)</value>
      <format xmlns:d4p1="http://schemas.datacontract.org/2004/07/System.Xml.Linq" i:nil="true"/>
    </fact>
    <fact i:type="item">
      <id>XMETag_eec1abc32fd94ee7824f7c9848a073db</id>
      <concept>{http://xbrl.frc.org.uk/fr/2021-01-01/core}IncreaseDecreaseInDeferredTaxAssetsRecognisedInProfitOrLoss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{http://xbrl.frc.org.uk/fr/2021-01-01/core}DeferredTaxAssetLiabilityClassesDimension</dimension>
          <member>{http://xbrl.frc.org.uk/fr/2021-01-01/core}ProvisionsDeferredTax</member>
          <typedValue i:nil="true"/>
          <contextContainer>Segment</contextContainer>
        </dimension>
      </dimensions>
      <transformGroup>United Kingdom</transformGroup>
      <hidden>false</hidden>
      <value>0.5</value>
      <format xmlns:d4p1="http://schemas.datacontract.org/2004/07/System.Xml.Linq" i:nil="true"/>
    </fact>
    <fact i:type="item">
      <id>XMETag_a542aa1af5754b1180ba0471c13b3297</id>
      <concept>{http://xbrl.frc.org.uk/fr/2021-01-01/core}IncreaseDecreaseInDeferredTaxAssetsRecognisedInProfitOrLoss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XMETag_8e31d86b12304f168254093e465d8109</id>
      <concept>{http://xbrl.frc.org.uk/fr/2021-01-01/core}IncreaseDecreaseInDeferredTaxAssetsRecognisedInProfitOrLoss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XMETag_97622fdb7bcf40bca2f97adf171f4f5f</id>
      <concept>{http://xbrl.frc.org.uk/fr/2021-01-01/core}IncreaseDecreaseInDeferredTaxAssetsRecognisedInProfitOrLoss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0.5</value>
      <format xmlns:d4p1="http://schemas.datacontract.org/2004/07/System.Xml.Linq" i:nil="true"/>
    </fact>
    <fact i:type="item">
      <id>XMETag_a814851c5e7e49a5b6eeee2cf0bfb893</id>
      <concept>{http://xbrl.frc.org.uk/fr/2021-01-01/core}FurtherItemIncreaseDecreaseInDeferredTaxAssetsComponentDeferredTaxAssetsMovement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{http://xbrl.frc.org.uk/fr/2021-01-01/core}ProvisionsDeferredTax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XMETag_a76c36e48cc74bb49a7c90082e3ce83d</id>
      <concept>{http://xbrl.frc.org.uk/fr/2021-01-01/core}FurtherItemIncreaseDecreaseInDeferredTaxAssetsComponentDeferredTaxAssetsMovement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1.6</value>
      <format xmlns:d4p1="http://schemas.datacontract.org/2004/07/System.Xml.Linq" i:nil="true"/>
    </fact>
    <fact i:type="item">
      <id>XMETag_947acbf4d1b0421e99d4576ca9751d76</id>
      <concept>{http://xbrl.frc.org.uk/fr/2021-01-01/core}FurtherItemIncreaseDecreaseInDeferredTaxAssetsComponentDeferredTaxAssetsMovement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0.4</value>
      <format xmlns:d4p1="http://schemas.datacontract.org/2004/07/System.Xml.Linq" i:nil="true"/>
    </fact>
    <fact i:type="item">
      <id>XMETag_740f0a9fe95143f49cefcc77753cae87</id>
      <concept>{http://xbrl.frc.org.uk/fr/2021-01-01/core}FurtherItemIncreaseDecreaseInDeferredTaxAssetsComponentDeferredTaxAssetsMovement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2.0</value>
      <format xmlns:d4p1="http://schemas.datacontract.org/2004/07/System.Xml.Linq" i:nil="true"/>
    </fact>
    <fact i:type="item">
      <id>XMETag_bb8db698d83f46d0851d1185c80fabd9</id>
      <concept>{http://xbrl.frc.org.uk/fr/2021-01-01/core}DeferredTaxAssets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{http://xbrl.frc.org.uk/fr/2021-01-01/core}ProvisionsDeferredTax</member>
          <typedValue i:nil="true"/>
          <contextContainer>Segment</contextContainer>
        </dimension>
      </dimensions>
      <transformGroup>United Kingdom</transformGroup>
      <hidden>false</hidden>
      <value>(0.9)</value>
      <format xmlns:d4p1="http://schemas.datacontract.org/2004/07/System.Xml.Linq" i:nil="true"/>
    </fact>
    <fact i:type="item">
      <id>XMETag_d440b3a0efa84a1f9b961c6efccfb70f</id>
      <concept>{http://xbrl.frc.org.uk/fr/2021-01-01/core}DeferredTaxAssets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(4.2)</value>
      <format xmlns:d4p1="http://schemas.datacontract.org/2004/07/System.Xml.Linq" i:nil="true"/>
    </fact>
    <fact i:type="item">
      <id>XMETag_cb3887757d254d0784e21d35d0f7305f</id>
      <concept>{http://xbrl.frc.org.uk/fr/2021-01-01/core}DeferredTaxAssets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s>
      <transformGroup>United Kingdom</transformGroup>
      <hidden>false</hidden>
      <value>(0.8)</value>
      <format xmlns:d4p1="http://schemas.datacontract.org/2004/07/System.Xml.Linq" i:nil="true"/>
    </fact>
    <fact i:type="item">
      <id>XMETag_8bf983d68d064ff39dbf0ada841310c9</id>
      <concept>{http://xbrl.frc.org.uk/fr/2021-01-01/core}DeferredTaxAssets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(5.9)</value>
      <format xmlns:d4p1="http://schemas.datacontract.org/2004/07/System.Xml.Linq" i:nil="true"/>
    </fact>
    <fact i:type="item">
      <id>XMETag_31b53807c3e14a0da3f68518a2bf66b9</id>
      <concept>{http://xbrl.frc.org.uk/fr/2021-01-01/core}DeferredTaxAssets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{http://xbrl.frc.org.uk/fr/2021-01-01/core}ProvisionsDeferredTax</member>
          <typedValue i:nil="true"/>
          <contextContainer>Segment</contextContainer>
        </dimension>
      </dimensions>
      <transformGroup>United Kingdom</transformGroup>
      <hidden>false</hidden>
      <value>(0.7)</value>
      <format xmlns:d4p1="http://schemas.datacontract.org/2004/07/System.Xml.Linq" i:nil="true"/>
    </fact>
    <fact i:type="item">
      <id>XMETag_0b0c734ed3df4302bd9d9178e417c723</id>
      <concept>{http://xbrl.frc.org.uk/fr/2021-01-01/core}DeferredTaxAssets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XMETag_18248a0af62341afb95fda18ca576f78</id>
      <concept>{http://xbrl.frc.org.uk/fr/2021-01-01/core}DeferredTaxAssets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s>
      <transformGroup>United Kingdom</transformGroup>
      <hidden>false</hidden>
      <value>(0.8)</value>
      <format xmlns:d4p1="http://schemas.datacontract.org/2004/07/System.Xml.Linq" i:nil="true"/>
    </fact>
    <fact i:type="item">
      <id>XMETag_d0b0c0462af2417e8095ecdb13fedcb9</id>
      <concept>{http://xbrl.frc.org.uk/fr/2021-01-01/core}DeferredTaxAssets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(1.5)</value>
      <format xmlns:d4p1="http://schemas.datacontract.org/2004/07/System.Xml.Linq" i:nil="true"/>
    </fact>
    <fact i:type="item">
      <id>XMETag_2d3fb522a4a54547826f592e0d5c9c56</id>
      <concept>{http://xbrl.frc.org.uk/fr/2021-01-01/core}IncreaseDecreaseInDeferredTaxAssetsRecognisedInProfitOrLoss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{http://xbrl.frc.org.uk/fr/2021-01-01/core}DeferredTaxAssetLiabilityClassesDimension</dimension>
          <member>{http://xbrl.frc.org.uk/fr/2021-01-01/core}ProvisionsDeferredTax</member>
          <typedValue i:nil="true"/>
          <contextContainer>Segment</contextContainer>
        </dimension>
      </dimensions>
      <transformGroup>United Kingdom</transformGroup>
      <hidden>false</hidden>
      <value>0.2</value>
      <format xmlns:d4p1="http://schemas.datacontract.org/2004/07/System.Xml.Linq" i:nil="true"/>
    </fact>
    <fact i:type="item">
      <id>XMETag_fe7f370459af476a9c48f7d89345b3e1</id>
      <concept>{http://xbrl.frc.org.uk/fr/2021-01-01/core}IncreaseDecreaseInDeferredTaxAssetsRecognisedInProfitOrLoss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XMETag_f78f479a7342492786f6ff148289e801</id>
      <concept>{http://xbrl.frc.org.uk/fr/2021-01-01/core}IncreaseDecreaseInDeferredTaxAssetsRecognisedInProfitOrLoss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XMETag_0d87ac2eb4af418380bc024003bfb15f</id>
      <concept>{http://xbrl.frc.org.uk/fr/2021-01-01/core}IncreaseDecreaseInDeferredTaxAssetsRecognisedInProfitOrLoss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0.2</value>
      <format xmlns:d4p1="http://schemas.datacontract.org/2004/07/System.Xml.Linq" i:nil="true"/>
    </fact>
    <fact i:type="item">
      <id>XMETag_67f869931dce46b5887f1f778d72284e</id>
      <concept>{http://xbrl.frc.org.uk/fr/2021-01-01/core}FurtherItemIncreaseDecreaseInDeferredTaxAssetsComponentDeferredTaxAssetsMovement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{http://xbrl.frc.org.uk/fr/2021-01-01/core}ProvisionsDeferredTax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XMETag_429d903e018e4fa7be507559744197b9</id>
      <concept>{http://xbrl.frc.org.uk/fr/2021-01-01/core}FurtherItemIncreaseDecreaseInDeferredTaxAssetsComponentDeferredTaxAssetsMovement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6.4</value>
      <format xmlns:d4p1="http://schemas.datacontract.org/2004/07/System.Xml.Linq" i:nil="true"/>
    </fact>
    <fact i:type="item">
      <id>XMETag_1c821530420b4d4e8211fdb67754bcab</id>
      <concept>{http://xbrl.frc.org.uk/fr/2021-01-01/core}FurtherItemIncreaseDecreaseInDeferredTaxAssetsComponentDeferredTaxAssetsMovement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XMETag_92366b11110f427d89705870517f3053</id>
      <concept>{http://xbrl.frc.org.uk/fr/2021-01-01/core}FurtherItemIncreaseDecreaseInDeferredTaxAssetsComponentDeferredTaxAssetsMovement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6.4</value>
      <format xmlns:d4p1="http://schemas.datacontract.org/2004/07/System.Xml.Linq" i:nil="true"/>
    </fact>
    <fact i:type="item">
      <id>XMETag_41dba006c599456fbfcd9e5e30d9551b</id>
      <concept>{http://xbrl.frc.org.uk/fr/2021-01-01/core}FurtherItemIncreaseDecreaseInDeferredTaxAssetsComponentDeferredTaxAssetsMovement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{http://xbrl.frc.org.uk/fr/2021-01-01/core}ProvisionsDeferredTax</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XMETag_1c8b9d1ba7f246d8b733cce772f11d94</id>
      <concept>{http://xbrl.frc.org.uk/fr/2021-01-01/core}FurtherItemIncreaseDecreaseInDeferredTaxAssetsComponentDeferredTaxAssetsMovement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2.5</value>
      <format xmlns:d4p1="http://schemas.datacontract.org/2004/07/System.Xml.Linq" i:nil="true"/>
    </fact>
    <fact i:type="item">
      <id>XMETag_013e4075e21d4618a32e62f714c149f1</id>
      <concept>{http://xbrl.frc.org.uk/fr/2021-01-01/core}FurtherItemIncreaseDecreaseInDeferredTaxAssetsComponentDeferredTaxAssetsMovement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XMETag_e0ef67fba0bc41069602e0fa46b8835f</id>
      <concept>{http://xbrl.frc.org.uk/fr/2021-01-01/core}FurtherItemIncreaseDecreaseInDeferredTaxAssetsComponentDeferredTaxAssetsMovement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2.5</value>
      <format xmlns:d4p1="http://schemas.datacontract.org/2004/07/System.Xml.Linq" i:nil="true"/>
    </fact>
    <fact i:type="item">
      <id>XMETag_675555fc89f54327ac7f25540e059211</id>
      <concept>{http://xbrl.frc.org.uk/fr/2021-01-01/core}IncreaseDecreaseInDeferredTaxAssetsArisingFromReclassifications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{http://xbrl.frc.org.uk/fr/2021-01-01/core}ProvisionsDeferredTax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XMETag_97831703d29c41879b374eb7b34acbf2</id>
      <concept>{http://xbrl.frc.org.uk/fr/2021-01-01/core}IncreaseDecreaseInDeferredTaxAssetsArisingFromReclassifications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{http://xbrl.frc.org.uk/fr/2021-01-01/core}DerivativesDeferredTax</member>
          <typedValue i:nil="true"/>
          <contextContainer>Segment</contextContainer>
        </dimension>
      </dimensions>
      <transformGroup>United Kingdom</transformGroup>
      <hidden>false</hidden>
      <value>(4.7)</value>
      <format xmlns:d4p1="http://schemas.datacontract.org/2004/07/System.Xml.Linq" i:nil="true"/>
    </fact>
    <fact i:type="item">
      <id>XMETag_87d43dac708e4ebf86f78900a7891362</id>
      <concept>{http://xbrl.frc.org.uk/fr/2021-01-01/core}IncreaseDecreaseInDeferredTaxAssetsArisingFromReclassifications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XMETag_0ec343ee4f934235beb390d0c9058e89</id>
      <concept>{http://xbrl.frc.org.uk/fr/2021-01-01/core}IncreaseDecreaseInDeferredTaxAssetsArisingFromReclassifications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(4.7)</value>
      <format xmlns:d4p1="http://schemas.datacontract.org/2004/07/System.Xml.Linq" i:nil="true"/>
    </fact>
    <fact i:type="item">
      <id>XMETag_7f13fc9da85d40948ebb8863ff85ef7c</id>
      <concept>{http://xbrl.frc.org.uk/fr/2021-01-01/core}FurtherItemIncreaseDecreaseInNetDeferredTaxLiabilityComponentNetDeferredTaxLiabilityAssetMovement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(0.7)</value>
      <format xmlns:d4p1="http://schemas.datacontract.org/2004/07/System.Xml.Linq" i:nil="true"/>
    </fact>
    <fact i:type="item">
      <id>XMETag_6cbcc7c85f8d4fc29523594b7ab7c33a</id>
      <concept>{http://xbrl.frc.org.uk/fr/2021-01-01/core}FurtherItemIncreaseDecreaseInNetDeferredTaxLiabilityComponentNetDeferredTaxLiabilityAssetMovement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XMETag_8e12048f969c4df7892564a3c0f4edc5</id>
      <concept>{http://xbrl.frc.org.uk/fr/2021-01-01/core}FurtherItemIncreaseDecreaseInNetDeferredTaxLiabilityComponentNetDeferredTaxLiabilityAssetMovement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{http://xbrl.frc.org.uk/fr/2021-01-01/core}RevaluationCashFlowHedgesDeferredTax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(6.4)</value>
      <format xmlns:d4p1="http://schemas.datacontract.org/2004/07/System.Xml.Linq" i:nil="true"/>
    </fact>
    <fact i:type="item">
      <id>XMETag_3f6cbfa5e7d74890aacbac05cdb26647</id>
      <concept>{http://xbrl.frc.org.uk/fr/2021-01-01/core}FurtherItemIncreaseDecreaseInNetDeferredTaxLiabilityComponentNetDeferredTaxLiabilityAssetMovement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(7.1)</value>
      <format xmlns:d4p1="http://schemas.datacontract.org/2004/07/System.Xml.Linq" i:nil="true"/>
    </fact>
    <fact i:type="item">
      <id>XMETag_bae9df58cf034643abf6de714d932776</id>
      <concept>{http://xbrl.frc.org.uk/fr/2021-01-01/core}FurtherItemIncreaseDecreaseInNetDeferredTaxLiabilityComponentNetDeferredTaxLiabilityAssetMovement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{http://xbrl.frc.org.uk/fr/2021-01-01/core}RetirementBenefitObligationsDeferredTax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(2.6)</value>
      <format xmlns:d4p1="http://schemas.datacontract.org/2004/07/System.Xml.Linq" i:nil="true"/>
    </fact>
    <fact i:type="item">
      <id>XMETag_078a6006e6534f55b86c41a4f0d7e7f7</id>
      <concept>{http://xbrl.frc.org.uk/fr/2021-01-01/core}FurtherItemIncreaseDecreaseInNetDeferredTaxLiabilityComponentNetDeferredTaxLiabilityAssetMovement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{http://xbrl.frc.org.uk/fr/2021-01-01/core}Share-basedPaymentsDeferredTax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(0.4)</value>
      <format xmlns:d4p1="http://schemas.datacontract.org/2004/07/System.Xml.Linq" i:nil="true"/>
    </fact>
    <fact i:type="item">
      <id>XMETag_08184fe75254400dbc871d442879684b</id>
      <concept>{http://xbrl.frc.org.uk/fr/2021-01-01/core}FurtherItemIncreaseDecreaseInNetDeferredTaxLiabilityComponentNetDeferredTaxLiabilityAssetMovement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{http://xbrl.frc.org.uk/fr/2021-01-01/core}DeferredTaxAssetLiabilityClassesDimension</dimension>
          <member>{http://xbrl.frc.org.uk/fr/2021-01-01/core}RevaluationCashFlowHedgesDeferredTax</member>
          <typedValue i:nil="true"/>
          <contextContainer>Segment</contextContainer>
        </dimension>
        <dimension>
          <dimension>{http://xbrl.frc.org.uk/general/2021-01-01/common}X-AnalysisDimension</dimension>
          <member i:nil="true"/>
          <typedValue>1</typedValue>
          <contextContainer>Segment</contextContainer>
        </dimension>
      </dimensions>
      <transformGroup>United Kingdom</transformGroup>
      <hidden>false</hidden>
      <value>(1.6)</value>
      <format xmlns:d4p1="http://schemas.datacontract.org/2004/07/System.Xml.Linq" i:nil="true"/>
    </fact>
    <fact i:type="item">
      <id>XMETag_9ebfcc03009c4efd966d95a90237af49</id>
      <concept>{http://xbrl.frc.org.uk/fr/2021-01-01/core}FurtherItemIncreaseDecreaseInNetDeferredTaxLiabilityComponentNetDeferredTaxLiabilityAssetMovement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(4.6)</value>
      <format xmlns:d4p1="http://schemas.datacontract.org/2004/07/System.Xml.Linq" i:nil="true"/>
    </fact>
    <fact i:type="item">
      <id>XMETag_89fd31b780564e21a418bbeaeddc555c</id>
      <concept>{http://xbrl.frc.org.uk/fr/2021-01-01/core}DeferredTaxationFree-textComment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Capital allowances are available when a business incurs qualifying expenditure on capital items such as infrastructure assets.  Capital allowances provide tax relief on these items in place of accounting depreciation which is not tax deductible.  Over the period of ownership of an asset, cumulative depreciation and capital allowances will equalise.  Capital allowance rates are set by the UK Government and every business receives the same rate of allowance.  Capital allowance rates typically vary from 3% up to 100% in certain instances, with most items qualifying at either 6% or 18% per annum.  Given the Company’s continuing capital expenditure programme, it is unlikely that the deferred tax liability will crystallise in the near future.   
26.	DEFERRED TAX LIABILITIES (CONTINUED)
The different accounting treatment of property, plant and equipment for tax and accounting purposes means that the taxable income of the Company is not the same as the profit reported in the financial statements.  The adjustments for this are reflected in the current tax reconciliation. As explained in note 9, the Government has introduced capital expenditure super-deduction allowance incentives for the two year period to April 2023 which increases the rate of capital allowances to up to 130% for expenditure on qualifying plant and machinery.  This provides an increase in current tax relief for the Company with a consequently higher deferred tax liability and charge due to the additional capital allowance deductions and the increase in the rate of corporation tax to 25% from April 2023. 
Short term temporary differences arise on items such as retirement benefit obligations, derivatives, fair value adjustments and share based payments because the treatment of such items are different for tax and accounting purposes. These differences reverse over future years following that in which they arise, as is reflected in the deferred tax charge in these financial statements. Specifically, retirement benefit obligations will crystallise over the life of the pension scheme and/or the period when spreading applies (this can be up to three years for spreading purposes), whilst share based payments will crystallise over the remaining life of the share schemes which are up to 5 years.  Short term liabilities including provisions will typically crystallise in the following year.
Where interest charges or other costs are capitalised in the accounts, tax relief is either given as the charges are incurred or when the costs are taken to the income statement. 
Derivatives reflect the fair value movements on treasury derivatives, these can fluctuate considerably each year.  The balance will crystallise when derivative items are either terminated or mature, the life of these items can be up to ten years.</value>
      <format xmlns:d4p1="http://schemas.datacontract.org/2004/07/System.Xml.Linq" i:nil="true"/>
    </fact>
    <fact i:type="item">
      <id>XMETag_c7effc307828488fa238dee86a028cc3</id>
      <concept>{http://xbrl.frc.org.uk/fr/2021-01-01/core}Provisions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{http://xbrl.frc.org.uk/fr/2021-01-01/core}ProvisionsClassesDimension</dimension>
          <member>{http://xbrl.frc.org.uk/fr/2021-01-01/core}RestructuringOrReorganisation</member>
          <typedValue i:nil="true"/>
          <contextContainer>Segment</contextContainer>
        </dimension>
      </dimensions>
      <transformGroup>United Kingdom</transformGroup>
      <hidden>false</hidden>
      <value>0.3</value>
      <format xmlns:d4p1="http://schemas.datacontract.org/2004/07/System.Xml.Linq" i:nil="true"/>
    </fact>
    <fact i:type="item">
      <id>XMETag_1fa144ccfcf548e7bc13b054aac64e97</id>
      <concept>{http://xbrl.frc.org.uk/fr/2021-01-01/core}Provisions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{http://xbrl.frc.org.uk/fr/2021-01-01/core}ProvisionsClassesDimension</dimension>
          <member>{http://xbrl.frc.org.uk/fr/2021-01-01/core}RestructuringOrReorganisation</member>
          <typedValue i:nil="true"/>
          <contextContainer>Segment</contextContainer>
        </dimension>
      </dimensions>
      <transformGroup>United Kingdom</transformGroup>
      <hidden>false</hidden>
      <value>0.6</value>
      <format xmlns:d4p1="http://schemas.datacontract.org/2004/07/System.Xml.Linq" i:nil="true"/>
    </fact>
    <fact i:type="item">
      <id>XMETag_f1c2fe8c7d2540a5adb170c0e3a8ee12</id>
      <concept>{http://xbrl.frc.org.uk/fr/2021-01-01/core}Provisions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{http://xbrl.frc.org.uk/fr/2021-01-01/core}ProvisionsClassesDimension</dimension>
          <member>{http://xbrl.frc.org.uk/fr/2021-01-01/core}RestructuringOrReorganisation</member>
          <typedValue i:nil="true"/>
          <contextContainer>Segment</contextContainer>
        </dimension>
      </dimensions>
      <transformGroup>United Kingdom</transformGroup>
      <hidden>false</hidden>
      <value>1.0</value>
      <format xmlns:d4p1="http://schemas.datacontract.org/2004/07/System.Xml.Linq" i:nil="true"/>
    </fact>
    <fact i:type="item">
      <id>XMETag_49b3dcfb203545259f74242462b2b370</id>
      <concept>{http://xbrl.frc.org.uk/fr/2021-01-01/core}Provisions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{http://xbrl.frc.org.uk/fr/2021-01-01/core}ProvisionsClassesDimension</dimension>
          <member>{http://xbrl.frc.org.uk/fr/2021-01-01/core}RestructuringOrReorganisation</member>
          <typedValue i:nil="true"/>
          <contextContainer>Segment</contextContainer>
        </dimension>
      </dimensions>
      <transformGroup>United Kingdom</transformGroup>
      <hidden>false</hidden>
      <value>0.3</value>
      <format xmlns:d4p1="http://schemas.datacontract.org/2004/07/System.Xml.Linq" i:nil="true"/>
    </fact>
    <fact i:type="item">
      <id>XMETag_f7d80127a99e4f3387f137f202c75bc8</id>
      <concept>{http://xbrl.frc.org.uk/fr/2021-01-01/core}ProvisionsUsed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{http://xbrl.frc.org.uk/fr/2021-01-01/core}ProvisionsClassesDimension</dimension>
          <member>{http://xbrl.frc.org.uk/fr/2021-01-01/core}RestructuringOrReorganisation</member>
          <typedValue i:nil="true"/>
          <contextContainer>Segment</contextContainer>
        </dimension>
      </dimensions>
      <transformGroup>United Kingdom</transformGroup>
      <hidden>false</hidden>
      <value>(0.3)</value>
      <format xmlns:d4p1="http://schemas.datacontract.org/2004/07/System.Xml.Linq" i:nil="true"/>
    </fact>
    <fact i:type="item">
      <id>XMETag_6be35bd2cfad4339b40873f163b8415f</id>
      <concept>{http://xbrl.frc.org.uk/fr/2021-01-01/core}ProvisionsUsed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{http://xbrl.frc.org.uk/fr/2021-01-01/core}ProvisionsClassesDimension</dimension>
          <member>{http://xbrl.frc.org.uk/fr/2021-01-01/core}RestructuringOrReorganisation</member>
          <typedValue i:nil="true"/>
          <contextContainer>Segment</contextContainer>
        </dimension>
      </dimensions>
      <transformGroup>United Kingdom</transformGroup>
      <hidden>false</hidden>
      <value>(0.3)</value>
      <format xmlns:d4p1="http://schemas.datacontract.org/2004/07/System.Xml.Linq" i:nil="true"/>
    </fact>
    <fact i:type="item">
      <id>XMETag_17e9f26f9ec247c98aadbb1cf1bde0e9</id>
      <concept>{http://xbrl.frc.org.uk/fr/2021-01-01/core}AdditionalProvisionsIncreaseFromNewProvisionsRecognised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{http://xbrl.frc.org.uk/fr/2021-01-01/core}ProvisionsClassesDimension</dimension>
          <member>{http://xbrl.frc.org.uk/fr/2021-01-01/core}RestructuringOrReorganisation</member>
          <typedValue i:nil="true"/>
          <contextContainer>Segment</contextContainer>
        </dimension>
      </dimensions>
      <transformGroup>United Kingdom</transformGroup>
      <hidden>false</hidden>
      <value>1.0</value>
      <format xmlns:d4p1="http://schemas.datacontract.org/2004/07/System.Xml.Linq" i:nil="true"/>
    </fact>
    <fact i:type="item">
      <id>XMETag_0e353e38c93d42a499660b61c2fcec3f</id>
      <concept>{http://xbrl.frc.org.uk/fr/2021-01-01/core}AdditionalProvisionsIncreaseFromNewProvisionsRecognised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{http://xbrl.frc.org.uk/fr/2021-01-01/core}ProvisionsClassesDimension</dimension>
          <member>{http://xbrl.frc.org.uk/fr/2021-01-01/core}RestructuringOrReorganisation</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XMETag_b39102e879d3442d8e39805f586b6e17</id>
      <concept>{http://xbrl.frc.org.uk/fr/2021-01-01/core}ProvisionsFree-textComment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{http://xbrl.frc.org.uk/fr/2021-01-01/core}ProvisionsClassesDimension</dimension>
          <member>{http://xbrl.frc.org.uk/fr/2021-01-01/core}RestructuringOrReorganisation</member>
          <typedValue i:nil="true"/>
          <contextContainer>Segment</contextContainer>
        </dimension>
      </dimensions>
      <transformGroup>United Kingdom</transformGroup>
      <hidden>false</hidden>
      <value>The restructuring provision is expected to be utilised within one year.</value>
      <format xmlns:d4p1="http://schemas.datacontract.org/2004/07/System.Xml.Linq" i:nil="true"/>
    </fact>
    <fact i:type="item">
      <id>XMETag_9e0c3e25737045b3b2f63ecb039e4634</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{http://xbrl.frc.org.uk/fr/2021-01-01/core}ShareCapitalOrdinaryShares</member>
          <typedValue i:nil="true"/>
          <contextContainer>Segment</contextContainer>
        </dimension>
      </dimensions>
      <transformGroup>United Kingdom</transformGroup>
      <hidden>false</hidden>
      <value>295.9</value>
      <format xmlns:d4p1="http://schemas.datacontract.org/2004/07/System.Xml.Linq" i:nil="true"/>
    </fact>
    <fact i:type="item">
      <id>XMETag_38018d6fa72e48aca3e4682539d2395c</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{http://xbrl.frc.org.uk/fr/2021-01-01/core}ShareCapitalOrdinaryShares</member>
          <typedValue i:nil="true"/>
          <contextContainer>Segment</contextContainer>
        </dimension>
      </dimensions>
      <transformGroup>United Kingdom</transformGroup>
      <hidden>false</hidden>
      <value>250.9</value>
      <format xmlns:d4p1="http://schemas.datacontract.org/2004/07/System.Xml.Linq" i:nil="true"/>
    </fact>
    <fact i:type="item">
      <id>XMETag_f103d465847c43a999b5f5b0b27fc202</id>
      <concept>{http://xbrl.frc.org.uk/cd/2021-01-01/business}DescriptionShareType</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{http://xbrl.frc.org.uk/cd/2021-01-01/business}EntityShareClassesDimension</dimension>
          <member>{http://xbrl.frc.org.uk/cd/2021-01-01/business}AllOrdinaryShares</member>
          <typedValue i:nil="true"/>
          <contextContainer>Segment</contextContainer>
        </dimension>
      </dimensions>
      <transformGroup>United Kingdom</transformGroup>
      <hidden>false</hidden>
      <value>Ordinary shares </value>
      <format xmlns:d4p1="http://schemas.datacontract.org/2004/07/System.Xml.Linq" i:nil="true"/>
    </fact>
    <fact i:type="item">
      <id>XMETag_d29c81cc2ffe4b55908d6cb303a103b1</id>
      <concept>{http://xbrl.frc.org.uk/fr/2021-01-01/core}NumberSharesAuthorised</concept>
      <identifier>
        <scheme>http://www.companieshouse.gov.uk/</scheme>
        <value>02366665</value>
      </identifier>
      <period>
        <periodType>Instant</periodType>
        <startDate i:nil="true"/>
        <endDate>2022-03-31T00:00:00</endDate>
      </period>
      <numericProperties>
        <unit>
          <numeratorMeasures>
            <name>{http://www.xbrl.org/2003/instance}shares</name>
          </numeratorMeasures>
          <denominatorMeasures/>
        </unit>
        <negate>false</negate>
        <scale>0</scale>
      </numericProperties>
      <dimensions>
        <dimension>
          <dimension>{http://xbrl.frc.org.uk/cd/2021-01-01/business}EntityShareClassesDimension</dimension>
          <member>{http://xbrl.frc.org.uk/cd/2021-01-01/business}AllOrdinaryShares</member>
          <typedValue i:nil="true"/>
          <contextContainer>Segment</contextContainer>
        </dimension>
      </dimensions>
      <transformGroup>United Kingdom</transformGroup>
      <hidden>false</hidden>
      <value>500,000,000 </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XMETag_487deaffbc0344e3937e7d64ee833702</id>
      <concept>{http://xbrl.frc.org.uk/fr/2021-01-01/core}NumberSharesIssuedFullyPaid</concept>
      <identifier>
        <scheme>http://www.companieshouse.gov.uk/</scheme>
        <value>02366665</value>
      </identifier>
      <period>
        <periodType>Instant</periodType>
        <startDate i:nil="true"/>
        <endDate>2022-03-31T00:00:00</endDate>
      </period>
      <numericProperties>
        <unit>
          <numeratorMeasures>
            <name>{http://www.xbrl.org/2003/instance}shares</name>
          </numeratorMeasures>
          <denominatorMeasures/>
        </unit>
        <negate>false</negate>
        <scale>0</scale>
      </numericProperties>
      <dimensions>
        <dimension>
          <dimension>{http://xbrl.frc.org.uk/cd/2021-01-01/business}EntityShareClassesDimension</dimension>
          <member>{http://xbrl.frc.org.uk/cd/2021-01-01/business}AllOrdinaryShares</member>
          <typedValue i:nil="true"/>
          <contextContainer>Segment</contextContainer>
        </dimension>
      </dimensions>
      <transformGroup>United Kingdom</transformGroup>
      <hidden>false</hidden>
      <value>295,923,000 </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XMETag_62cf86ac417e4d939567fba20fd1d02f</id>
      <concept>{http://xbrl.frc.org.uk/fr/2021-01-01/core}ParValueShare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name>{http://www.xbrl.org/2003/instance}shares</name>
          </denominatorMeasures>
        </unit>
        <negate>false</negate>
        <scale>0</scale>
      </numericProperties>
      <dimensions>
        <dimension>
          <dimension>{http://xbrl.frc.org.uk/cd/2021-01-01/business}EntityShareClassesDimension</dimension>
          <member>{http://xbrl.frc.org.uk/cd/2021-01-01/business}AllOrdinaryShares</member>
          <typedValue i:nil="true"/>
          <contextContainer>Segment</contextContainer>
        </dimension>
      </dimensions>
      <transformGroup>United Kingdom</transformGroup>
      <hidden>false</hidden>
      <value>1 </value>
      <format xmlns:d4p1="http://schemas.datacontract.org/2004/07/System.Xml.Linq" i:nil="true"/>
    </fact>
    <fact i:type="item">
      <id>XMETag_bb489431ae8842cfa2fa0aaeb82fce08</id>
      <concept>{http://xbrl.frc.org.uk/fr/2021-01-01/core}ShareCapitalFree-textComment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{http://xbrl.frc.org.uk/cd/2021-01-01/business}EntityShareClassesDimension</dimension>
          <member>{http://xbrl.frc.org.uk/cd/2021-01-01/business}AllOrdinaryShares</member>
          <typedValue i:nil="true"/>
          <contextContainer>Segment</contextContainer>
        </dimension>
      </dimensions>
      <transformGroup>United Kingdom</transformGroup>
      <hidden>false</hidden>
      <value>During the year the Company issued 45,000,000 shares at nominal value of £1 per share.</value>
      <format xmlns:d4p1="http://schemas.datacontract.org/2004/07/System.Xml.Linq" i:nil="true"/>
    </fact>
    <fact i:type="item">
      <id>XMETag_b3b893b7561a41189b4667cef71d5be7</id>
      <concept>{http://xbrl.frc.org.uk/fr/2021-01-01/core}NameShare-basedPaymentArrangement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Sharesave Scheme</value>
      <format xmlns:d4p1="http://schemas.datacontract.org/2004/07/System.Xml.Linq" i:nil="true"/>
    </fact>
    <fact i:type="item">
      <id>XMETag_8df5ad56edca497e9c0c6561338966d8</id>
      <concept>{http://xbrl.frc.org.uk/fr/2021-01-01/core}GeneralDescriptionShare-basedPaymentArrangement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An all-employee savings related plan is operated that enables employees to invest up to a maximum of £500 per month for three or five years. These savings can then be used to buy Ordinary shares, at a price set at either a.17% or 20% discount to the market value at the start of the savings period, at the third or fifth anniversary of the option being granted. Options expire six months following the exercise date and, except for certain specific circumstances such as redundancy, lapse if the employee leaves the Pennon Group before the option exercise period commences.</value>
      <format xmlns:d4p1="http://schemas.datacontract.org/2004/07/System.Xml.Linq" i:nil="true"/>
    </fact>
    <fact i:type="item">
      <id>XMETag_c3df5936d8484ae2ae78daee7ea8bb4d</id>
      <concept>{http://xbrl.frc.org.uk/fr/2021-01-01/core}NumberEquityInstrumentsOutstandingShare-basedPaymentArrangement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1,317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XMETag_b935563576f34e4995921b5f49d38cae</id>
      <concept>{http://xbrl.frc.org.uk/fr/2021-01-01/core}WeightedAverageExercisePriceEquityInstrumentsOutstandingShare-basedPaymentArrangement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686</value>
      <format xmlns:d4p1="http://schemas.datacontract.org/2004/07/System.Xml.Linq" i:nil="true"/>
    </fact>
    <fact i:type="item">
      <id>XMETag_b3ef63a3ac054b34b63d1c964e4cbce1</id>
      <concept>{http://xbrl.frc.org.uk/fr/2021-01-01/core}NumberEquityInstrumentsOutstandingShare-basedPaymentArrangement</concept>
      <identifier>
        <scheme>http://www.companieshouse.gov.uk/</scheme>
        <value>02366665</value>
      </identifier>
      <period>
        <periodType>Instant</periodType>
        <startDate i:nil="true"/>
        <endDate>2020-03-31T00:00:00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1,355</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XMETag_c3caae4a131342778c7cf3292b8c9d70</id>
      <concept>{http://xbrl.frc.org.uk/fr/2021-01-01/core}WeightedAverageExercisePriceEquityInstrumentsOutstandingShare-basedPaymentArrangement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651</value>
      <format xmlns:d4p1="http://schemas.datacontract.org/2004/07/System.Xml.Linq" i:nil="true"/>
    </fact>
    <fact i:type="item">
      <id>XMETag_444de7afb1e24bbfa8b1c834bc46207e</id>
      <concept>{http://xbrl.frc.org.uk/fr/2021-01-01/core}NumberEquityInstrumentsGrantedShare-basedPaymentArrangement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448</value>
      <format xmlns:d4p1="http://schemas.datacontract.org/2004/07/System.Xml.Linq" i:nil="true"/>
    </fact>
    <fact i:type="item">
      <id>XMETag_e02dc4bcf7774114a25bba68e021deaf</id>
      <concept>{http://xbrl.frc.org.uk/fr/2021-01-01/core}WeightedAverageExercisePriceEquityInstrumentsGrantedShare-basedPaymentArrangement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879</value>
      <format xmlns:d4p1="http://schemas.datacontract.org/2004/07/System.Xml.Linq" i:nil="true"/>
    </fact>
    <fact i:type="item">
      <id>XMETag_a533ad54d25d42a98827c312d3ad8514</id>
      <concept>{http://xbrl.frc.org.uk/fr/2021-01-01/core}NumberEquityInstrumentsGrantedShare-basedPaymentArrangement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245</value>
      <format xmlns:d4p1="http://schemas.datacontract.org/2004/07/System.Xml.Linq" i:nil="true"/>
    </fact>
    <fact i:type="item">
      <id>XMETag_ec9df169e3f4460fab031bb6302affe0</id>
      <concept>{http://xbrl.frc.org.uk/fr/2021-01-01/core}WeightedAverageExercisePriceEquityInstrumentsGrantedShare-basedPaymentArrangement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928</value>
      <format xmlns:d4p1="http://schemas.datacontract.org/2004/07/System.Xml.Linq" i:nil="true"/>
    </fact>
    <fact i:type="item">
      <id>XMETag_1cd78a88a7d54b5f9451eb3c93b6316a</id>
      <concept>{http://xbrl.frc.org.uk/fr/2021-01-01/core}NumberEquityInstrumentsExercisedShare-basedPaymentArrangement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(510)</value>
      <format xmlns:d4p1="http://schemas.datacontract.org/2004/07/System.Xml.Linq" i:nil="true"/>
    </fact>
    <fact i:type="item">
      <id>XMETag_b0ff6646356c4245bb4c47d0d13f43ca</id>
      <concept>{http://xbrl.frc.org.uk/fr/2021-01-01/core}WeightedAverageExercisePriceEquityInstrumentsExercisedShare-basedPaymentArrangement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641</value>
      <format xmlns:d4p1="http://schemas.datacontract.org/2004/07/System.Xml.Linq" i:nil="true"/>
    </fact>
    <fact i:type="item">
      <id>XMETag_efdaf471aa6348dc80586fbb5eb3def6</id>
      <concept>{http://xbrl.frc.org.uk/fr/2021-01-01/core}NumberEquityInstrumentsExercisedShare-basedPaymentArrangement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(230)</value>
      <format xmlns:d4p1="http://schemas.datacontract.org/2004/07/System.Xml.Linq" i:nil="true"/>
    </fact>
    <fact i:type="item">
      <id>XMETag_062c8b786e6e4b2888b1216947a5482c</id>
      <concept>{http://xbrl.frc.org.uk/fr/2021-01-01/core}WeightedAverageExercisePriceEquityInstrumentsExercisedShare-basedPaymentArrangement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729</value>
      <format xmlns:d4p1="http://schemas.datacontract.org/2004/07/System.Xml.Linq" i:nil="true"/>
    </fact>
    <fact i:type="item">
      <id>XMETag_6c95f047646b40ecb2204ce6e7660580</id>
      <concept>{http://xbrl.frc.org.uk/fr/2021-01-01/core}NumberEquityInstrumentsExpiredShare-basedPaymentArrangement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(71)</value>
      <format xmlns:d4p1="http://schemas.datacontract.org/2004/07/System.Xml.Linq" i:nil="true"/>
    </fact>
    <fact i:type="item">
      <id>XMETag_f90d2ed8acfd4031add18e25ef703b2d</id>
      <concept>{http://xbrl.frc.org.uk/fr/2021-01-01/core}WeightedAverageExercisePriceEquityInstrumentsExpiredShare-basedPaymentArrangement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803</value>
      <format xmlns:d4p1="http://schemas.datacontract.org/2004/07/System.Xml.Linq" i:nil="true"/>
    </fact>
    <fact i:type="item">
      <id>XMETag_3af1b21655ed4179a00108c51264a383</id>
      <concept>{http://xbrl.frc.org.uk/fr/2021-01-01/core}NumberEquityInstrumentsExpiredShare-basedPaymentArrangement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(53)</value>
      <format xmlns:d4p1="http://schemas.datacontract.org/2004/07/System.Xml.Linq" i:nil="true"/>
    </fact>
    <fact i:type="item">
      <id>XMETag_09c6d4e491da4cd7a26a1ef5dcf45125</id>
      <concept>{http://xbrl.frc.org.uk/fr/2021-01-01/core}WeightedAverageExercisePriceEquityInstrumentsExpiredShare-basedPaymentArrangement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730</value>
      <format xmlns:d4p1="http://schemas.datacontract.org/2004/07/System.Xml.Linq" i:nil="true"/>
    </fact>
    <fact i:type="item">
      <id>XMETag_317588c266d5405a9e49440b596c8755</id>
      <concept>{http://xbrl.frc.org.uk/fr/2021-01-01/core}NumberEquityInstrumentsOutstandingShare-basedPaymentArrangement</concept>
      <identifier>
        <scheme>http://www.companieshouse.gov.uk/</scheme>
        <value>02366665</value>
      </identifier>
      <period>
        <periodType>Instant</periodType>
        <startDate i:nil="true"/>
        <endDate>2022-03-31T00:00:00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1,149</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XMETag_643bbf22a3a540a4a400936efbe4d075</id>
      <concept>{http://xbrl.frc.org.uk/fr/2021-01-01/core}WeightedAverageExercisePriceEquityInstrumentsOutstandingShare-basedPaymentArrangement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774</value>
      <format xmlns:d4p1="http://schemas.datacontract.org/2004/07/System.Xml.Linq" i:nil="true"/>
    </fact>
    <fact i:type="item">
      <id>XMETag_72b1f46435ec4890bdfeebbd56fe3ac7</id>
      <concept>{http://xbrl.frc.org.uk/fr/2021-01-01/core}NumberEquityInstrumentsOutstandingShare-basedPaymentArrangement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1,317</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XMETag_8a9c88fa8e3f47678f21c75ac568fedf</id>
      <concept>{http://xbrl.frc.org.uk/fr/2021-01-01/core}WeightedAverageExercisePriceEquityInstrumentsOutstandingShare-basedPaymentArrangement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686</value>
      <format xmlns:d4p1="http://schemas.datacontract.org/2004/07/System.Xml.Linq" i:nil="true"/>
    </fact>
    <fact i:type="item">
      <id>XMETag_168cf3287ca64a7285d2cbfd77e61b7e</id>
      <concept>{http://xbrl.frc.org.uk/fr/2021-01-01/core}NumberEquityInstrumentsForfeitedShare-basedPaymentArrangement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(35)</value>
      <format xmlns:d4p1="http://schemas.datacontract.org/2004/07/System.Xml.Linq" i:nil="true"/>
    </fact>
    <fact i:type="item">
      <id>XMETag_140da8b8d5e2470aaa75243acf208b15</id>
      <concept>{http://xbrl.frc.org.uk/fr/2021-01-01/core}WeightedAverageExercisePriceEquityInstrumentsForfeitedShare-basedPaymentArrangement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695</value>
      <format xmlns:d4p1="http://schemas.datacontract.org/2004/07/System.Xml.Linq" i:nil="true"/>
    </fact>
    <fact i:type="item">
      <id>XMETag_bac28dc0ea144ff9a6baa931e82583ca</id>
      <concept>{http://xbrl.frc.org.uk/fr/2021-01-01/core}NumberEquityInstrumentsForfeitedShare-basedPaymentArrangement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XMETag_97d482c168474708b3edb769af4720e3</id>
      <concept>{http://xbrl.frc.org.uk/fr/2021-01-01/core}WeightedAverageExercisePriceEquityInstrumentsForfeitedShare-basedPaymentArrangement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XMETag_4e4ed113150244148b268b147d005d54</id>
      <concept>{http://xbrl.frc.org.uk/fr/2021-01-01/core}WeightedAverageSharePriceDateExerciseOrDuringPeriodShare-basedPaymentArrangement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1,021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XMETag_cabc9147914249d5a1848f80c63b494c</id>
      <concept>{http://xbrl.frc.org.uk/fr/2021-01-01/core}WeightedAverageSharePriceDateExerciseOrDuringPeriodShare-basedPaymentArrangement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1,219</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XMETag_b1d6f048b9914f78886e9de8f1d90e59</id>
      <concept>{http://xbrl.frc.org.uk/fr/2021-01-01/core}WeightedAverageExercisePriceEquityInstrumentsOutstandingShare-basedPaymentArrangement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774p</value>
      <format xmlns:d4p1="http://schemas.datacontract.org/2004/07/System.Xml.Linq" i:nil="true"/>
    </fact>
    <fact i:type="item">
      <id>XMETag_3915be54bef7429aaf810c122200c0b1</id>
      <concept>{http://xbrl.frc.org.uk/fr/2021-01-01/core}WeightedAverageExercisePriceEquityInstrumentsOutstandingShare-basedPaymentArrangement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686p</value>
      <format xmlns:d4p1="http://schemas.datacontract.org/2004/07/System.Xml.Linq" i:nil="true"/>
    </fact>
    <fact i:type="item">
      <id>XMETag_86242c4eb9b04e278f8f585d9a408ff4</id>
      <concept>{http://xbrl.frc.org.uk/fr/2021-01-01/core}AverageContractualRemainingLifeInYearsEquityInstrumentsShare-basedPaymentArrangement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0</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1.5</value>
      <format xmlns:d4p1="http://schemas.datacontract.org/2004/07/System.Xml.Linq" i:nil="true"/>
    </fact>
    <fact i:type="item">
      <id>XMETag_c050f3fd367c4a17ab114859085b6b6b</id>
      <concept>{http://xbrl.frc.org.uk/fr/2021-01-01/core}AverageContractualRemainingLifeInYearsEquityInstrumentsShare-basedPaymentArrangement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{http://xbrl.frc.org.uk/fr/2021-01-01/core}Share-basedPaymentArrangementsDimension</dimension>
          <member>{http://xbrl.frc.org.uk/fr/2021-01-01/core}Share-basedArrangement1</member>
          <typedValue i:nil="true"/>
          <contextContainer>Segment</contextContainer>
        </dimension>
      </dimensions>
      <transformGroup>United Kingdom</transformGroup>
      <hidden>false</hidden>
      <value>1.76</value>
      <format xmlns:d4p1="http://schemas.datacontract.org/2004/07/System.Xml.Linq" i:nil="true"/>
    </fact>
    <fact i:type="item">
      <id>XMETag_125dc16c7e95468b96781c905f227835</id>
      <concept>{http://xbrl.frc.org.uk/fr/2021-01-01/core}NameShare-basedPaymentArrangement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Long Term Incentive Plan</value>
      <format xmlns:d4p1="http://schemas.datacontract.org/2004/07/System.Xml.Linq" i:nil="true"/>
    </fact>
    <fact i:type="item">
      <id>XMETag_dea50ed4a55b4fcb9a8b0044fb89d338</id>
      <concept>{http://xbrl.frc.org.uk/fr/2021-01-01/core}NameShare-basedPaymentArrangement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Annual Incentive Bonus Plan – Deferred Shares</value>
      <format xmlns:d4p1="http://schemas.datacontract.org/2004/07/System.Xml.Linq" i:nil="true"/>
    </fact>
    <fact i:type="item">
      <id>XMETag_47ec99c1cf504747a97c8c49ca1aec94</id>
      <concept>{http://xbrl.frc.org.uk/fr/2021-01-01/core}GeneralDescriptionShare-basedPaymentArrangement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Executive Directors and Senior Management receive a conditional award of Ordinary shares in Pennon Group plc. Share awards vest subject to the achievement of specific performance conditions measured over a performance period of not less than three years.</value>
      <format xmlns:d4p1="http://schemas.datacontract.org/2004/07/System.Xml.Linq" i:nil="true"/>
    </fact>
    <fact i:type="item">
      <id>XMETag_a31718b7799d408986989e1b3a702282</id>
      <concept>{http://xbrl.frc.org.uk/fr/2021-01-01/core}GeneralDescriptionShare-basedPaymentArrangement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Awards under the plan to Executive Directors and Senior Management involve the release of Ordinary shares in Pennon Group plc to participants. There is no performance condition since vesting is conditional upon continuous service with the Pennon Group for a period of three years from the award.</value>
      <format xmlns:d4p1="http://schemas.datacontract.org/2004/07/System.Xml.Linq" i:nil="true"/>
    </fact>
    <fact i:type="item">
      <id>XMETag_74094c906e5c4dc187356e4500d2a957</id>
      <concept>{http://xbrl.frc.org.uk/fr/2021-01-01/core}NumberEquityInstrumentsOutstandingShare-basedPaymentArrangement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202</value>
      <format xmlns:d4p1="http://schemas.datacontract.org/2004/07/System.Xml.Linq" i:nil="true"/>
    </fact>
    <fact i:type="item">
      <id>XMETag_ce59a77a77dd42e88c0848db4815904a</id>
      <concept>{http://xbrl.frc.org.uk/fr/2021-01-01/core}WeightedAverageExercisePriceEquityInstrumentsOutstandingShare-basedPaymentArrangement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893</value>
      <format xmlns:d4p1="http://schemas.datacontract.org/2004/07/System.Xml.Linq" i:nil="true"/>
    </fact>
    <fact i:type="item">
      <id>XMETag_a8e5b6f77c814264a531643b5990f702</id>
      <concept>{http://xbrl.frc.org.uk/fr/2021-01-01/core}NumberEquityInstrumentsOutstandingShare-basedPaymentArrangement</concept>
      <identifier>
        <scheme>http://www.companieshouse.gov.uk/</scheme>
        <value>02366665</value>
      </identifier>
      <period>
        <periodType>Instant</periodType>
        <startDate i:nil="true"/>
        <endDate>2020-03-31T00:00:00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136</value>
      <format xmlns:d4p1="http://schemas.datacontract.org/2004/07/System.Xml.Linq" i:nil="true"/>
    </fact>
    <fact i:type="item">
      <id>XMETag_a3cd74e777f14d168dcf592cd45f43ad</id>
      <concept>{http://xbrl.frc.org.uk/fr/2021-01-01/core}WeightedAverageExercisePriceEquityInstrumentsOutstandingShare-basedPaymentArrangement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780</value>
      <format xmlns:d4p1="http://schemas.datacontract.org/2004/07/System.Xml.Linq" i:nil="true"/>
    </fact>
    <fact i:type="item">
      <id>XMETag_4e53fad44a4e4c7d873c6c7c55206423</id>
      <concept>{http://xbrl.frc.org.uk/fr/2021-01-01/core}NumberEquityInstrumentsOutstandingShare-basedPaymentArrangement</concept>
      <identifier>
        <scheme>http://www.companieshouse.gov.uk/</scheme>
        <value>02366665</value>
      </identifier>
      <period>
        <periodType>Instant</periodType>
        <startDate i:nil="true"/>
        <endDate>2022-03-31T00:00:00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263</value>
      <format xmlns:d4p1="http://schemas.datacontract.org/2004/07/System.Xml.Linq" i:nil="true"/>
    </fact>
    <fact i:type="item">
      <id>XMETag_a9f30fa99c6b45a18b3ee1c875bcb159</id>
      <concept>{http://xbrl.frc.org.uk/fr/2021-01-01/core}WeightedAverageExercisePriceEquityInstrumentsOutstandingShare-basedPaymentArrangement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954</value>
      <format xmlns:d4p1="http://schemas.datacontract.org/2004/07/System.Xml.Linq" i:nil="true"/>
    </fact>
    <fact i:type="item">
      <id>XMETag_74b1549b65c9481a965ae70177c7a31a</id>
      <concept>{http://xbrl.frc.org.uk/fr/2021-01-01/core}NumberEquityInstrumentsOutstandingShare-basedPaymentArrangement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202</value>
      <format xmlns:d4p1="http://schemas.datacontract.org/2004/07/System.Xml.Linq" i:nil="true"/>
    </fact>
    <fact i:type="item">
      <id>XMETag_fbe7c78d6a474086b4001c816ff0ed94</id>
      <concept>{http://xbrl.frc.org.uk/fr/2021-01-01/core}WeightedAverageExercisePriceEquityInstrumentsOutstandingShare-basedPaymentArrangement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893</value>
      <format xmlns:d4p1="http://schemas.datacontract.org/2004/07/System.Xml.Linq" i:nil="true"/>
    </fact>
    <fact i:type="item">
      <id>XMETag_0b3aaffe2e1f459284c9d49afd339219</id>
      <concept>{http://xbrl.frc.org.uk/fr/2021-01-01/core}AverageContractualRemainingLifeInYearsEquityInstrumentsShare-basedPaymentArrangement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2.6</value>
      <format xmlns:d4p1="http://schemas.datacontract.org/2004/07/System.Xml.Linq" i:nil="true"/>
    </fact>
    <fact i:type="item">
      <id>XMETag_16cef380aaa1421faab840a1d79d10ca</id>
      <concept>{http://xbrl.frc.org.uk/fr/2021-01-01/core}AverageContractualRemainingLifeInYearsEquityInstrumentsShare-basedPaymentArrangement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0</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3.1</value>
      <format xmlns:d4p1="http://schemas.datacontract.org/2004/07/System.Xml.Linq" i:nil="true"/>
    </fact>
    <fact i:type="item">
      <id>XMETag_3a535376a1f64cc3a44d409b50a811c8</id>
      <concept>{http://xbrl.frc.org.uk/fr/2021-01-01/core}WeightedAverageExercisePriceEquityInstrumentsOutstandingShare-basedPaymentArrangement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954p</value>
      <format xmlns:d4p1="http://schemas.datacontract.org/2004/07/System.Xml.Linq" i:nil="true"/>
    </fact>
    <fact i:type="item">
      <id>XMETag_a95c7b0e14ae4222aa73de8664a9b019</id>
      <concept>{http://xbrl.frc.org.uk/fr/2021-01-01/core}WeightedAverageExercisePriceEquityInstrumentsOutstandingShare-basedPaymentArrangement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893</value>
      <format xmlns:d4p1="http://schemas.datacontract.org/2004/07/System.Xml.Linq" i:nil="true"/>
    </fact>
    <fact i:type="item">
      <id>XMETag_50a12af17fc4429eac1c7a62d19fae3f</id>
      <concept>{http://xbrl.frc.org.uk/fr/2021-01-01/core}WeightedAverageExercisePriceEquityInstrumentsOutstandingShare-basedPaymentArrangement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944p</value>
      <format xmlns:d4p1="http://schemas.datacontract.org/2004/07/System.Xml.Linq" i:nil="true"/>
    </fact>
    <fact i:type="item">
      <id>XMETag_b6e7b7891568476186da947577cbe411</id>
      <concept>{http://xbrl.frc.org.uk/fr/2021-01-01/core}WeightedAverageExercisePriceEquityInstrumentsOutstandingShare-basedPaymentArrangement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845</value>
      <format xmlns:d4p1="http://schemas.datacontract.org/2004/07/System.Xml.Linq" i:nil="true"/>
    </fact>
    <fact i:type="item">
      <id>XMETag_5e389128b4594cf7a9e933b3f6ba546b</id>
      <concept>{http://xbrl.frc.org.uk/fr/2021-01-01/core}AverageContractualRemainingLifeInYearsEquityInstrumentsShare-basedPaymentArrangement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0</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1.0</value>
      <format xmlns:d4p1="http://schemas.datacontract.org/2004/07/System.Xml.Linq" i:nil="true"/>
    </fact>
    <fact i:type="item">
      <id>XMETag_ebe5840fa5b54915bbad70c1bce06da5</id>
      <concept>{http://xbrl.frc.org.uk/fr/2021-01-01/core}AverageContractualRemainingLifeInYearsEquityInstrumentsShare-basedPaymentArrangement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0</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1.3</value>
      <format xmlns:d4p1="http://schemas.datacontract.org/2004/07/System.Xml.Linq" i:nil="true"/>
    </fact>
    <fact i:type="item">
      <id>XMETag_7066ddfbca054cf1b1cfcb3772bf38f8</id>
      <concept>{http://xbrl.frc.org.uk/fr/2021-01-01/core}NumberEquityInstrumentsOutstandingShare-basedPaymentArrangement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112</value>
      <format xmlns:d4p1="http://schemas.datacontract.org/2004/07/System.Xml.Linq" i:nil="true"/>
    </fact>
    <fact i:type="item">
      <id>XMETag_63dae37e783843ab93613baaabd8f6dc</id>
      <concept>{http://xbrl.frc.org.uk/fr/2021-01-01/core}WeightedAverageExercisePriceEquityInstrumentsOutstandingShare-basedPaymentArrangement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845</value>
      <format xmlns:d4p1="http://schemas.datacontract.org/2004/07/System.Xml.Linq" i:nil="true"/>
    </fact>
    <fact i:type="item">
      <id>XMETag_532e8a591a8b42a48145dcf23aa5eb29</id>
      <concept>{http://xbrl.frc.org.uk/fr/2021-01-01/core}NumberEquityInstrumentsOutstandingShare-basedPaymentArrangement</concept>
      <identifier>
        <scheme>http://www.companieshouse.gov.uk/</scheme>
        <value>02366665</value>
      </identifier>
      <period>
        <periodType>Instant</periodType>
        <startDate i:nil="true"/>
        <endDate>2020-03-31T00:00:00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126</value>
      <format xmlns:d4p1="http://schemas.datacontract.org/2004/07/System.Xml.Linq" i:nil="true"/>
    </fact>
    <fact i:type="item">
      <id>XMETag_3a4d782f6b464ca5a3fb03e7a55c617e</id>
      <concept>{http://xbrl.frc.org.uk/fr/2021-01-01/core}WeightedAverageExercisePriceEquityInstrumentsOutstandingShare-basedPaymentArrangement</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775</value>
      <format xmlns:d4p1="http://schemas.datacontract.org/2004/07/System.Xml.Linq" i:nil="true"/>
    </fact>
    <fact i:type="item">
      <id>XMETag_241fee1d74894b70b1088087e71d0aba</id>
      <concept>{http://xbrl.frc.org.uk/fr/2021-01-01/core}NumberEquityInstrumentsGrantedShare-basedPaymentArrangement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18</value>
      <format xmlns:d4p1="http://schemas.datacontract.org/2004/07/System.Xml.Linq" i:nil="true"/>
    </fact>
    <fact i:type="item">
      <id>XMETag_b2208881a55a4f06aa0d1224d7c9c718</id>
      <concept>{http://xbrl.frc.org.uk/fr/2021-01-01/core}WeightedAverageExercisePriceEquityInstrumentsGrantedShare-basedPaymentArrangement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1,141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XMETag_db21acd7e1224c8696061e9a9c9c25e9</id>
      <concept>{http://xbrl.frc.org.uk/fr/2021-01-01/core}NumberEquityInstrumentsGrantedShare-basedPaymentArrangement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31</value>
      <format xmlns:d4p1="http://schemas.datacontract.org/2004/07/System.Xml.Linq" i:nil="true"/>
    </fact>
    <fact i:type="item">
      <id>XMETag_1cba8d6961f649b7b657df0e3fb7afda</id>
      <concept>{http://xbrl.frc.org.uk/fr/2021-01-01/core}WeightedAverageExercisePriceEquityInstrumentsGrantedShare-basedPaymentArrangement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1,079</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XMETag_93ed1c1b57e646138cf876f90d350127</id>
      <concept>{http://xbrl.frc.org.uk/fr/2021-01-01/core}NumberEquityInstrumentsOutstandingShare-basedPaymentArrangement</concept>
      <identifier>
        <scheme>http://www.companieshouse.gov.uk/</scheme>
        <value>02366665</value>
      </identifier>
      <period>
        <periodType>Instant</periodType>
        <startDate i:nil="true"/>
        <endDate>2022-03-31T00:00:00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58</value>
      <format xmlns:d4p1="http://schemas.datacontract.org/2004/07/System.Xml.Linq" i:nil="true"/>
    </fact>
    <fact i:type="item">
      <id>XMETag_586b99f033844f038cdeb5685d572297</id>
      <concept>{http://xbrl.frc.org.uk/fr/2021-01-01/core}WeightedAverageExercisePriceEquityInstrumentsOutstandingShare-basedPaymentArrangement</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944</value>
      <format xmlns:d4p1="http://schemas.datacontract.org/2004/07/System.Xml.Linq" i:nil="true"/>
    </fact>
    <fact i:type="item">
      <id>XMETag_4cb09897156c49f5bc0b8be79179a81b</id>
      <concept>{http://xbrl.frc.org.uk/fr/2021-01-01/core}NumberEquityInstrumentsOutstandingShare-basedPaymentArrangement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{http://www.xbrl.org/2003/instance}pure</name>
          </numeratorMeasures>
          <denominatorMeasures/>
        </unit>
        <negate>false</negate>
        <scale>3</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112</value>
      <format xmlns:d4p1="http://schemas.datacontract.org/2004/07/System.Xml.Linq" i:nil="true"/>
    </fact>
    <fact i:type="item">
      <id>XMETag_e8ffda0238804a78bfee9e2aaf79122d</id>
      <concept>{http://xbrl.frc.org.uk/fr/2021-01-01/core}WeightedAverageExercisePriceEquityInstrumentsOutstandingShare-basedPaymentArrangement</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name>{http://www.xbrl.org/2003/instance}shares</name>
          </denominatorMeasures>
        </unit>
        <negate>false</negate>
        <scale>-2</scale>
      </numericProperties>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845</value>
      <format xmlns:d4p1="http://schemas.datacontract.org/2004/07/System.Xml.Linq" i:nil="true"/>
    </fact>
    <fact i:type="item">
      <id>XMETag_e90071b7106c43859e92955bb552d143</id>
      <concept>{http://xbrl.frc.org.uk/fr/2021-01-01/core}Share-basedPaymentsFree-textComment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{http://xbrl.frc.org.uk/fr/2021-01-01/core}Share-basedPaymentArrangementsDimension</dimension>
          <member>{http://xbrl.frc.org.uk/fr/2021-01-01/core}Share-basedArrangement2</member>
          <typedValue i:nil="true"/>
          <contextContainer>Segment</contextContainer>
        </dimension>
      </dimensions>
      <transformGroup>United Kingdom</transformGroup>
      <hidden>false</hidden>
      <value>The aggregate fair value of awards granted during the year was £0.3 million (2021: £0.3 million), determined from market value. No option pricing methodology is applied since the vesting of the shares depend on non-market performance vesting conditions.</value>
      <format xmlns:d4p1="http://schemas.datacontract.org/2004/07/System.Xml.Linq" i:nil="true"/>
    </fact>
    <fact i:type="item">
      <id>XMETag_464351cf1b1746a097fe4094d45fcfe6</id>
      <concept>{http://xbrl.frc.org.uk/fr/2021-01-01/core}Share-basedPaymentsFree-textComment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{http://xbrl.frc.org.uk/fr/2021-01-01/core}Share-basedPaymentArrangementsDimension</dimension>
          <member>{http://xbrl.frc.org.uk/fr/2021-01-01/core}Share-basedArrangement3</member>
          <typedValue i:nil="true"/>
          <contextContainer>Segment</contextContainer>
        </dimension>
      </dimensions>
      <transformGroup>United Kingdom</transformGroup>
      <hidden>false</hidden>
      <value>The aggregate fair value of awards granted during the year was £0.2 million (2020/21: £0.3 million), determined from market value. No option pricing methodology is applied since dividends declared on the shares are receivable by the participants in the scheme.
Further details of the plans and options granted to Directors, included above, are shown in the Directors’ remuneration report.</value>
      <format xmlns:d4p1="http://schemas.datacontract.org/2004/07/System.Xml.Linq" i:nil="true"/>
    </fact>
    <fact i:type="item">
      <id>XMETag_e8c8affc727b4dbaae50509b828fbd24</id>
      <concept>{http://xbrl.frc.org.uk/fr/2021-01-01/core}Equity</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(24.8)</value>
      <format xmlns:d4p1="http://schemas.datacontract.org/2004/07/System.Xml.Linq" i:nil="true"/>
    </fact>
    <fact i:type="item">
      <id>XMETag_0bc0cdba6ff64e189750815dc03e40e7</id>
      <concept>{http://xbrl.frc.org.uk/fr/2021-01-01/core}Equity</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s>
      <transformGroup>United Kingdom</transformGroup>
      <hidden>false</hidden>
      <value>267.5</value>
      <format xmlns:d4p1="http://schemas.datacontract.org/2004/07/System.Xml.Linq" i:nil="true"/>
    </fact>
    <fact i:type="item">
      <id>XMETag_64ffc5c4579b4599a536f8aeab453d51</id>
      <concept>{http://xbrl.frc.org.uk/fr/2021-01-01/core}Equity</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242.7</value>
      <format xmlns:d4p1="http://schemas.datacontract.org/2004/07/System.Xml.Linq" i:nil="true"/>
    </fact>
    <fact i:type="item">
      <id>XMETag_16d80acbc8694df7a266b45aab0ed094</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XMETag_5217a174385a42c791714978923aac59</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s>
      <transformGroup>United Kingdom</transformGroup>
      <hidden>false</hidden>
      <value>114.8</value>
      <format xmlns:d4p1="http://schemas.datacontract.org/2004/07/System.Xml.Linq" i:nil="true"/>
    </fact>
    <fact i:type="item">
      <id>XMETag_5e8dbe5b50974e87be59ecf7a65d6a86</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114.8</value>
      <format xmlns:d4p1="http://schemas.datacontract.org/2004/07/System.Xml.Linq" i:nil="true"/>
    </fact>
    <fact i:type="item">
      <id>XMETag_e49aaae2d28c44379677c6436b528d88</id>
      <concept>{http://xbrl.frc.org.uk/fr/2021-01-01/core}OtherComprehensiveIncomeExpenseNetTax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7.3</value>
      <format xmlns:d4p1="http://schemas.datacontract.org/2004/07/System.Xml.Linq" i:nil="true"/>
    </fact>
    <fact i:type="item">
      <id>XMETag_d268805146af49ff86c70948295082e8</id>
      <concept>{http://xbrl.frc.org.uk/fr/2021-01-01/core}OtherComprehensiveIncomeExpenseNetTax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s>
      <transformGroup>United Kingdom</transformGroup>
      <hidden>false</hidden>
      <value>11.3</value>
      <format xmlns:d4p1="http://schemas.datacontract.org/2004/07/System.Xml.Linq" i:nil="true"/>
    </fact>
    <fact i:type="item">
      <id>XMETag_2b9897f1de2a45e19cac81f0d3ab3759</id>
      <concept>{http://xbrl.frc.org.uk/fr/2021-01-01/core}OtherComprehensiveIncomeExpenseNetTax</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18.6</value>
      <format xmlns:d4p1="http://schemas.datacontract.org/2004/07/System.Xml.Linq" i:nil="true"/>
    </fact>
    <fact i:type="item">
      <id>XMETag_c843e9edf16b4b389c148b8651c9801f</id>
      <concept>{http://xbrl.frc.org.uk/fr/2021-01-01/core}FurtherItemIncreaseDecreaseInEquityComponentTotalIncomeExpenseRecognisedDirectlyInEquity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
          <dimension>{http://xbrl.frc.org.uk/general/2021-01-01/common}X-AnalysisDimension</dimension>
          <member i:nil="true"/>
          <typedValue>3</typedValue>
          <contextContainer>Segment</contextContainer>
        </dimension>
      </dimensions>
      <transformGroup>United Kingdom</transformGroup>
      <hidden>false</hidden>
      <value>(101.6)</value>
      <format xmlns:d4p1="http://schemas.datacontract.org/2004/07/System.Xml.Linq" i:nil="true"/>
    </fact>
    <fact i:type="item">
      <id>XMETag_e599fdacfaf54b368d2cbf5ce691d3ac</id>
      <concept>{http://xbrl.frc.org.uk/fr/2021-01-01/core}FurtherItemIncreaseDecreaseInEquityComponentTotalIncomeExpenseRecognisedDirectlyInEquity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{http://xbrl.frc.org.uk/fr/2021-01-01/core}OtherReservesSubtotal</member>
          <typedValue i:nil="true"/>
          <contextContainer>Segment</contextContainer>
        </dimension>
        <dimension>
          <dimension>{http://xbrl.frc.org.uk/general/2021-01-01/common}X-AnalysisDimension</dimension>
          <member i:nil="true"/>
          <typedValue>3</typedValue>
          <contextContainer>Segment</contextContainer>
        </dimension>
      </dimensions>
      <transformGroup>United Kingdom</transformGroup>
      <hidden>false</hidden>
      <value>(101.6)</value>
      <format xmlns:d4p1="http://schemas.datacontract.org/2004/07/System.Xml.Linq" i:nil="true"/>
    </fact>
    <fact i:type="item">
      <id>XMETag_bd07923ed0c943589275e8fc32183239</id>
      <concept>{http://xbrl.frc.org.uk/fr/2021-01-01/core}FurtherItemIncreaseDecreaseInEquityComponentTotalIncomeExpenseRecognisedDirectlyInEquity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{http://xbrl.frc.org.uk/fr/2021-01-01/core}HedgingReserve</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XMETag_d6f7d1f4dde84d89a939469ddf519054</id>
      <concept>{http://xbrl.frc.org.uk/fr/2021-01-01/core}FurtherItemIncreaseDecreaseInEquityComponentTotalIncomeExpenseRecognisedDirectlyInEquity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1.2</value>
      <format xmlns:d4p1="http://schemas.datacontract.org/2004/07/System.Xml.Linq" i:nil="true"/>
    </fact>
    <fact i:type="item">
      <id>XMETag_2cc2484104d2499d86407d09a9400f23</id>
      <concept>{http://xbrl.frc.org.uk/fr/2021-01-01/core}FurtherItemIncreaseDecreaseInEquityComponentTotalIncomeExpenseRecognisedDirectlyInEquity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
          <dimension>{http://xbrl.frc.org.uk/general/2021-01-01/common}X-AnalysisDimension</dimension>
          <member i:nil="true"/>
          <typedValue>2</typedValue>
          <contextContainer>Segment</contextContainer>
        </dimension>
      </dimensions>
      <transformGroup>United Kingdom</transformGroup>
      <hidden>false</hidden>
      <value>1.2</value>
      <format xmlns:d4p1="http://schemas.datacontract.org/2004/07/System.Xml.Linq" i:nil="true"/>
    </fact>
    <fact i:type="item">
      <id>XMETag_0511f59367134ba68192c76512cc8aad</id>
      <concept>{http://xbrl.frc.org.uk/fr/2021-01-01/core}EquitySettledShare-basedPaymentsIncreaseDecreaseInEquity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XMETag_783031b72ef1438a927adc125b374d04</id>
      <concept>{http://xbrl.frc.org.uk/fr/2021-01-01/core}EquitySettledShare-basedPaymentsIncreaseDecreaseInEquity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s>
      <transformGroup>United Kingdom</transformGroup>
      <hidden>false</hidden>
      <value>0.5</value>
      <format xmlns:d4p1="http://schemas.datacontract.org/2004/07/System.Xml.Linq" i:nil="true"/>
    </fact>
    <fact i:type="item">
      <id>XMETag_ff0bfb5615524c87ab8af92a2f38b842</id>
      <concept>{http://xbrl.frc.org.uk/fr/2021-01-01/core}EquitySettledShare-basedPaymentsIncreaseDecreaseInEquity</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0.5</value>
      <format xmlns:d4p1="http://schemas.datacontract.org/2004/07/System.Xml.Linq" i:nil="true"/>
    </fact>
    <fact i:type="item">
      <id>XMETag_e60572bb6d3f4e7f9b157ab5e9cf5553</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(17.5)</value>
      <format xmlns:d4p1="http://schemas.datacontract.org/2004/07/System.Xml.Linq" i:nil="true"/>
    </fact>
    <fact i:type="item">
      <id>XMETag_22b5ea6e27a7462fad27ed10583ae772</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s>
      <transformGroup>United Kingdom</transformGroup>
      <hidden>false</hidden>
      <value>293.7</value>
      <format xmlns:d4p1="http://schemas.datacontract.org/2004/07/System.Xml.Linq" i:nil="true"/>
    </fact>
    <fact i:type="item">
      <id>XMETag_31c63367cd2c4e43a8a40670f201705d</id>
      <concept>{http://xbrl.frc.org.uk/fr/2021-01-01/core}Equity</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276.2</value>
      <format xmlns:d4p1="http://schemas.datacontract.org/2004/07/System.Xml.Linq" i:nil="true"/>
    </fact>
    <fact i:type="item">
      <id>XMETag_0c83ca5fd7904bf89baa23371bf165bb</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16.7</value>
      <format xmlns:d4p1="http://schemas.datacontract.org/2004/07/System.Xml.Linq" i:nil="true"/>
    </fact>
    <fact i:type="item">
      <id>XMETag_49825d62ad864ab1913572b61b95df23</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s>
      <transformGroup>United Kingdom</transformGroup>
      <hidden>false</hidden>
      <value>261.9</value>
      <format xmlns:d4p1="http://schemas.datacontract.org/2004/07/System.Xml.Linq" i:nil="true"/>
    </fact>
    <fact i:type="item">
      <id>XMETag_52f7ba3399924a8baf282165349a9c26</id>
      <concept>{http://xbrl.frc.org.uk/fr/2021-01-01/core}Equity</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278.6</value>
      <format xmlns:d4p1="http://schemas.datacontract.org/2004/07/System.Xml.Linq" i:nil="true"/>
    </fact>
    <fact i:type="item">
      <id>XMETag_9c6e1c82b73c4c1f82d24259a2dfb9d7</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XMETag_32f459b3f01148cbb374ce8f62b4fd73</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s>
      <transformGroup>United Kingdom</transformGroup>
      <hidden>false</hidden>
      <value>24.5</value>
      <format xmlns:d4p1="http://schemas.datacontract.org/2004/07/System.Xml.Linq" i:nil="true"/>
    </fact>
    <fact i:type="item">
      <id>XMETag_5ec714eaf252416b85d2dda97609c103</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24.5</value>
      <format xmlns:d4p1="http://schemas.datacontract.org/2004/07/System.Xml.Linq" i:nil="true"/>
    </fact>
    <fact i:type="item">
      <id>XMETag_76bb399a8dfd4011a8628a6078c212d7</id>
      <concept>{http://xbrl.frc.org.uk/fr/2021-01-01/core}OtherComprehensiveIncomeExpenseNetTax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34.2</value>
      <format xmlns:d4p1="http://schemas.datacontract.org/2004/07/System.Xml.Linq" i:nil="true"/>
    </fact>
    <fact i:type="item">
      <id>XMETag_b4d6a20f4ef34aaca23b93a54037d931</id>
      <concept>{http://xbrl.frc.org.uk/fr/2021-01-01/core}OtherComprehensiveIncomeExpenseNetTax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s>
      <transformGroup>United Kingdom</transformGroup>
      <hidden>false</hidden>
      <value>30.8</value>
      <format xmlns:d4p1="http://schemas.datacontract.org/2004/07/System.Xml.Linq" i:nil="true"/>
    </fact>
    <fact i:type="item">
      <id>XMETag_5dba769e175b476aa1bb31936b5d5a13</id>
      <concept>{http://xbrl.frc.org.uk/fr/2021-01-01/core}OtherComprehensiveIncomeExpenseNetTax</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65.0</value>
      <format xmlns:d4p1="http://schemas.datacontract.org/2004/07/System.Xml.Linq" i:nil="true"/>
    </fact>
    <fact i:type="item">
      <id>XMETag_d63cfebb8b024ee3a15f2d26affddd67</id>
      <concept>{http://xbrl.frc.org.uk/fr/2021-01-01/core}FurtherItemIncreaseDecreaseInEquityComponentTotalIncomeExpenseRecognisedDirectlyInEquity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
          <dimension>{http://xbrl.frc.org.uk/general/2021-01-01/common}X-AnalysisDimension</dimension>
          <member i:nil="true"/>
          <typedValue>3</typedValue>
          <contextContainer>Segment</contextContainer>
        </dimension>
      </dimensions>
      <transformGroup>United Kingdom</transformGroup>
      <hidden>false</hidden>
      <value>(88.0)</value>
      <format xmlns:d4p1="http://schemas.datacontract.org/2004/07/System.Xml.Linq" i:nil="true"/>
    </fact>
    <fact i:type="item">
      <id>XMETag_74f9724f639f41ea82f7cbcac4c8f6c6</id>
      <concept>{http://xbrl.frc.org.uk/fr/2021-01-01/core}FurtherItemIncreaseDecreaseInEquityComponentTotalIncomeExpenseRecognisedDirectlyInEquity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dimension>
          <dimension>{http://xbrl.frc.org.uk/fr/2021-01-01/core}EquityClassesDimension</dimension>
          <member>{http://xbrl.frc.org.uk/fr/2021-01-01/core}OtherReservesSubtotal</member>
          <typedValue i:nil="true"/>
          <contextContainer>Segment</contextContainer>
        </dimension>
        <dimension>
          <dimension>{http://xbrl.frc.org.uk/general/2021-01-01/common}X-AnalysisDimension</dimension>
          <member i:nil="true"/>
          <typedValue>3</typedValue>
          <contextContainer>Segment</contextContainer>
        </dimension>
      </dimensions>
      <transformGroup>United Kingdom</transformGroup>
      <hidden>false</hidden>
      <value>(88.0)</value>
      <format xmlns:d4p1="http://schemas.datacontract.org/2004/07/System.Xml.Linq" i:nil="true"/>
    </fact>
    <fact i:type="item">
      <id>XMETag_c30e3d7389f94540a9a79e5fcccde024</id>
      <concept>{http://xbrl.frc.org.uk/fr/2021-01-01/core}EquitySettledShare-basedPaymentsIncreaseDecreaseInEquity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XMETag_e45992ee537f455eaef84663222c8c54</id>
      <concept>{http://xbrl.frc.org.uk/fr/2021-01-01/core}EquitySettledShare-basedPaymentsIncreaseDecreaseInEquity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{http://xbrl.frc.org.uk/fr/2021-01-01/core}RetainedEarningsAccumulatedLosses</member>
          <typedValue i:nil="true"/>
          <contextContainer>Segment</contextContainer>
        </dimension>
      </dimensions>
      <transformGroup>United Kingdom</transformGroup>
      <hidden>false</hidden>
      <value>0.9</value>
      <format xmlns:d4p1="http://schemas.datacontract.org/2004/07/System.Xml.Linq" i:nil="true"/>
    </fact>
    <fact i:type="item">
      <id>XMETag_be154ddfb4db492eb1361146cc18f153</id>
      <concept>{http://xbrl.frc.org.uk/fr/2021-01-01/core}EquitySettledShare-basedPaymentsIncreaseDecreaseInEquity</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{http://xbrl.frc.org.uk/fr/2021-01-01/core}EquityClassesDimension</dimension>
          <member>{http://xbrl.frc.org.uk/fr/2021-01-01/core}OtherReservesSubtotal</member>
          <typedValue i:nil="true"/>
          <contextContainer>Segment</contextContainer>
        </dimension>
      </dimensions>
      <transformGroup>United Kingdom</transformGroup>
      <hidden>false</hidden>
      <value>0.9</value>
      <format xmlns:d4p1="http://schemas.datacontract.org/2004/07/System.Xml.Linq" i:nil="true"/>
    </fact>
    <fact i:type="item">
      <id>XMETag_3a33e1e40915472582801a760b1e28b7</id>
      <concept>{http://xbrl.frc.org.uk/fr/2021-01-01/core}DescriptionNaturePurposeReservesWithinEquity</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{http://xbrl.frc.org.uk/fr/2021-01-01/core}EquityClassesDimension</dimension>
          <member>{http://xbrl.frc.org.uk/fr/2021-01-01/core}HedgingReserve</member>
          <typedValue i:nil="true"/>
          <contextContainer>Segment</contextContainer>
        </dimension>
      </dimensions>
      <transformGroup>United Kingdom</transformGroup>
      <hidden>false</hidden>
      <value>The hedging reserve is used to record the portion of the gain or loss on a hedging instrument in a cash flow hedge that is determined to be an effective hedge.</value>
      <format xmlns:d4p1="http://schemas.datacontract.org/2004/07/System.Xml.Linq" i:nil="true"/>
    </fact>
    <fact i:type="item">
      <id>XMETag_872910351af54d0faef7ab66c5920ce7</id>
      <concept>{http://xbrl.frc.org.uk/fr/2021-01-01/core}ProfitLoss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114.8</value>
      <format xmlns:d4p1="http://schemas.datacontract.org/2004/07/System.Xml.Linq" i:nil="true"/>
    </fact>
    <fact i:type="item">
      <id>XMETag_5631c75dddeb445daa339ae69ce2698d</id>
      <concept>{http://xbrl.frc.org.uk/fr/2021-01-01/core}Share-basedPaymentExpenseEquitySettled</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1.0</value>
      <format xmlns:d4p1="http://schemas.datacontract.org/2004/07/System.Xml.Linq" i:nil="true"/>
    </fact>
    <fact i:type="item">
      <id>XMETag_b24a7b04213f411b9fbdd717bd5d7750</id>
      <concept>{http://xbrl.frc.org.uk/fr/2021-01-01/core}GainLossOnDisposalsPropertyPlantEquipment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(0.2)</value>
      <format xmlns:d4p1="http://schemas.datacontract.org/2004/07/System.Xml.Linq" i:nil="true"/>
    </fact>
    <fact i:type="item">
      <id>XMETag_f028258692b5407387dba923b267f03b</id>
      <concept>{http://xbrl.frc.org.uk/fr/2021-01-01/core}DepreciationExpensePropertyPlantEquipment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118.3</value>
      <format xmlns:d4p1="http://schemas.datacontract.org/2004/07/System.Xml.Linq" i:nil="true"/>
    </fact>
    <fact i:type="item">
      <id>XMETag_36cce2d42ddc4746822cfc071cb0944f</id>
      <concept>{http://xbrl.frc.org.uk/fr/2021-01-01/core}AmortisationExpenseIntangibleAssets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XMETag_2f6fa80a4d92440fac824bc1407b72cf</id>
      <concept>{http://xbrl.frc.org.uk/fr/2021-01-01/core}IncomeTaxExpenseCredit</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27.0</value>
      <format xmlns:d4p1="http://schemas.datacontract.org/2004/07/System.Xml.Linq" i:nil="true"/>
    </fact>
    <fact i:type="item">
      <id>XMETag_77870b4549c74dadaf1e3920fbb714ab</id>
      <concept>{http://xbrl.frc.org.uk/fr/2021-01-01/core}FurtherNon-cashItemLeadingToGainLossInCashFlowsComponentTotalAdjustmentsFromNon-cashItems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3.5</value>
      <format xmlns:d4p1="http://schemas.datacontract.org/2004/07/System.Xml.Linq" i:nil="true"/>
    </fact>
    <fact i:type="item">
      <id>XMETag_b5671ce10e154cb8961717f6356c4090</id>
      <concept>{http://xbrl.frc.org.uk/fr/2021-01-01/core}FurtherNon-cashItemLeadingToGainLossInCashFlowsComponentTotalAdjustmentsFromNon-cashItems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20.5</value>
      <format xmlns:d4p1="http://schemas.datacontract.org/2004/07/System.Xml.Linq" i:nil="true"/>
    </fact>
    <fact i:type="item">
      <id>XMETag_8952c87bb2ca4e86b198fb68e2bd27de</id>
      <concept>{http://xbrl.frc.org.uk/fr/2021-01-01/core}FurtherNon-cashItemLeadingToGainLossInCashFlowsComponentTotalAdjustmentsFromNon-cashItems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3</typedValue>
          <contextContainer>Segment</contextContainer>
        </dimension>
      </dimensions>
      <transformGroup>United Kingdom</transformGroup>
      <hidden>false</hidden>
      <value>1.2</value>
      <format xmlns:d4p1="http://schemas.datacontract.org/2004/07/System.Xml.Linq" i:nil="true"/>
    </fact>
    <fact i:type="item">
      <id>XMETag_ef5a05daf1164e3697343ccbb431f4d8</id>
      <concept>{http://xbrl.frc.org.uk/fr/2021-01-01/core}GainLossInCashFlowsFromChangeInInventories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(0.5)</value>
      <format xmlns:d4p1="http://schemas.datacontract.org/2004/07/System.Xml.Linq" i:nil="true"/>
    </fact>
    <fact i:type="item">
      <id>XMETag_9013316246754c499f89fa4f4c64d78c</id>
      <concept>{http://xbrl.frc.org.uk/fr/2021-01-01/core}GainLossInCashFlowsFromChangeInDebtorsTradeOtherReceivables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(39.6)</value>
      <format xmlns:d4p1="http://schemas.datacontract.org/2004/07/System.Xml.Linq" i:nil="true"/>
    </fact>
    <fact i:type="item">
      <id>XMETag_e144f616f607484cbc53643660b3eece</id>
      <concept>{http://xbrl.frc.org.uk/fr/2021-01-01/core}GainLossInCashFlowsFromChangeInCreditorsTradeOtherPayables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9.3</value>
      <format xmlns:d4p1="http://schemas.datacontract.org/2004/07/System.Xml.Linq" i:nil="true"/>
    </fact>
    <fact i:type="item">
      <id>XMETag_654aab010c76466aacdb2b9cb0324849</id>
      <concept>{http://xbrl.frc.org.uk/fr/2021-01-01/core}GainLossInCashFlowsFromChangeInRetirementBenefitObligations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3.1</value>
      <format xmlns:d4p1="http://schemas.datacontract.org/2004/07/System.Xml.Linq" i:nil="true"/>
    </fact>
    <fact i:type="item">
      <id>XMETag_afce66874a9640e18a56b02a9178fd88</id>
      <concept>{http://xbrl.frc.org.uk/fr/2021-01-01/core}GainLossInCashFlowsFromChangeInProvisions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true</negate>
        <scale>6</scale>
      </numericProperties>
      <dimensions/>
      <transformGroup>United Kingdom</transformGroup>
      <hidden>false</hidden>
      <value>(0.3)</value>
      <format xmlns:d4p1="http://schemas.datacontract.org/2004/07/System.Xml.Linq" i:nil="true"/>
    </fact>
    <fact i:type="item">
      <id>XMETag_3b022efd1d334f65888d24652d4830f1</id>
      <concept>{http://xbrl.frc.org.uk/fr/2021-01-01/core}NetCashGeneratedFromOperations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314.6</value>
      <format xmlns:d4p1="http://schemas.datacontract.org/2004/07/System.Xml.Linq" i:nil="true"/>
    </fact>
    <fact i:type="item">
      <id>XMETag_af75079cb53a4b6db2cdd63ec8c812dd</id>
      <concept>{http://xbrl.frc.org.uk/fr/2021-01-01/core}ProfitLoss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24.5</value>
      <format xmlns:d4p1="http://schemas.datacontract.org/2004/07/System.Xml.Linq" i:nil="true"/>
    </fact>
    <fact i:type="item">
      <id>XMETag_42836ed9eca444faa2e78b2da86d5ffe</id>
      <concept>{http://xbrl.frc.org.uk/fr/2021-01-01/core}Share-basedPaymentExpenseEquitySettled</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1.0</value>
      <format xmlns:d4p1="http://schemas.datacontract.org/2004/07/System.Xml.Linq" i:nil="true"/>
    </fact>
    <fact i:type="item">
      <id>XMETag_55b9741c104940f1a070e474de0fecfb</id>
      <concept>{http://xbrl.frc.org.uk/fr/2021-01-01/core}GainLossOnDisposalsPropertyPlantEquipment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value>
      <format xmlns:d4p1="http://schemas.datacontract.org/2004/07/System.Xml.Linq" i:nil="true"/>
    </fact>
    <fact i:type="item">
      <id>XMETag_f26e075c655e426196ee1c41c4796e76</id>
      <concept>{http://xbrl.frc.org.uk/fr/2021-01-01/core}DepreciationExpensePropertyPlantEquipment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117.0</value>
      <format xmlns:d4p1="http://schemas.datacontract.org/2004/07/System.Xml.Linq" i:nil="true"/>
    </fact>
    <fact i:type="item">
      <id>XMETag_6947abd5bc574013af98eaa5a3d170b7</id>
      <concept>{http://xbrl.frc.org.uk/fr/2021-01-01/core}AmortisationExpenseIntangibleAssets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XMETag_6d401a6e26d24bf8ab1f6c7304480dd6</id>
      <concept>{http://xbrl.frc.org.uk/fr/2021-01-01/core}IncomeTaxExpenseCredit</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111.0</value>
      <format xmlns:d4p1="http://schemas.datacontract.org/2004/07/System.Xml.Linq" i:nil="true"/>
    </fact>
    <fact i:type="item">
      <id>XMETag_3bfc65c1f338440eafc7dd646504ecef</id>
      <concept>{http://xbrl.frc.org.uk/fr/2021-01-01/core}FurtherNon-cashItemLeadingToGainLossInCashFlowsComponentTotalAdjustmentsFromNon-cashItems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1</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XMETag_660c2a52156f448695928a7bb7d97ef8</id>
      <concept>{http://xbrl.frc.org.uk/fr/2021-01-01/core}FurtherNon-cashItemLeadingToGainLossInCashFlowsComponentTotalAdjustmentsFromNon-cashItems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2</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XMETag_736ef53d794b4b5681213439cf3b9867</id>
      <concept>{http://xbrl.frc.org.uk/fr/2021-01-01/core}FurtherNon-cashItemLeadingToGainLossInCashFlowsComponentTotalAdjustmentsFromNon-cashItems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{http://xbrl.frc.org.uk/general/2021-01-01/common}X-AnalysisDimension</dimension>
          <member i:nil="true"/>
          <typedValue>3</typedVal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XMETag_00fdf3a605b44dc3ba887ae7c6090949</id>
      <concept>{http://xbrl.frc.org.uk/fr/2021-01-01/core}GainLossInCashFlowsFromChangeInInventories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(0.4)</value>
      <format xmlns:d4p1="http://schemas.datacontract.org/2004/07/System.Xml.Linq" i:nil="true"/>
    </fact>
    <fact i:type="item">
      <id>XMETag_981f8123f58d43dabeeb7b0d12432a71</id>
      <concept>{http://xbrl.frc.org.uk/fr/2021-01-01/core}GainLossInCashFlowsFromChangeInDebtorsTradeOtherReceivables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(34.5)</value>
      <format xmlns:d4p1="http://schemas.datacontract.org/2004/07/System.Xml.Linq" i:nil="true"/>
    </fact>
    <fact i:type="item">
      <id>XMETag_ded92a181dce4f17b05412392d183cef</id>
      <concept>{http://xbrl.frc.org.uk/fr/2021-01-01/core}GainLossInCashFlowsFromChangeInCreditorsTradeOtherPayables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13.5</value>
      <format xmlns:d4p1="http://schemas.datacontract.org/2004/07/System.Xml.Linq" i:nil="true"/>
    </fact>
    <fact i:type="item">
      <id>XMETag_8361ff9c12d74f48840216cfa5fe81b2</id>
      <concept>{http://xbrl.frc.org.uk/fr/2021-01-01/core}GainLossInCashFlowsFromChangeInRetirementBenefitObligations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true</negate>
        <scale>6</scale>
      </numericProperties>
      <dimensions/>
      <transformGroup>United Kingdom</transformGroup>
      <hidden>false</hidden>
      <value>(0.8)</value>
      <format xmlns:d4p1="http://schemas.datacontract.org/2004/07/System.Xml.Linq" i:nil="true"/>
    </fact>
    <fact i:type="item">
      <id>XMETag_184e3b3c0ee44468a0da41347557ecce</id>
      <concept>{http://xbrl.frc.org.uk/fr/2021-01-01/core}GainLossInCashFlowsFromChangeInProvisions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XMETag_e0dc744f350d4d02aa6162e0ca88157d</id>
      <concept>{http://xbrl.frc.org.uk/fr/2021-01-01/core}NetCashGeneratedFromOperations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307.7</value>
      <format xmlns:d4p1="http://schemas.datacontract.org/2004/07/System.Xml.Linq" i:nil="true"/>
    </fact>
    <fact i:type="item">
      <id>XMETag_36cf83cb766b49a79014f8f40391ad36</id>
      <concept>{http://xbrl.frc.org.uk/fr/2021-01-01/core}InterestIncome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(0.8)</value>
      <format xmlns:d4p1="http://schemas.datacontract.org/2004/07/System.Xml.Linq" i:nil="true"/>
    </fact>
    <fact i:type="item">
      <id>XMETag_fb2d9638f49d461ba20ee9de61e415ba</id>
      <concept>{http://xbrl.frc.org.uk/fr/2021-01-01/core}InterestIncome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(0.7)</value>
      <format xmlns:d4p1="http://schemas.datacontract.org/2004/07/System.Xml.Linq" i:nil="true"/>
    </fact>
    <fact i:type="item">
      <id>XMETag_fc145d5baf184f958006c506653e37ac</id>
      <concept>{http://xbrl.frc.org.uk/fr/2021-01-01/core}InterestExpense</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77.6</value>
      <format xmlns:d4p1="http://schemas.datacontract.org/2004/07/System.Xml.Linq" i:nil="true"/>
    </fact>
    <fact i:type="item">
      <id>XMETag_0379c46e81d04f23bd1b4074c2e56065</id>
      <concept>{http://xbrl.frc.org.uk/fr/2021-01-01/core}InterestExpense</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57.2</value>
      <format xmlns:d4p1="http://schemas.datacontract.org/2004/07/System.Xml.Linq" i:nil="true"/>
    </fact>
    <fact i:type="item">
      <id>XMETag_80c1ecfe5f2e41fbb68c221d62871b92</id>
      <concept>{http://xbrl.frc.org.uk/fr/2021-01-01/core}CashCashEquivalents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189.3</value>
      <format xmlns:d4p1="http://schemas.datacontract.org/2004/07/System.Xml.Linq" i:nil="true"/>
    </fact>
    <fact i:type="item">
      <id>XMETag_f8a4a69b0ff84216a633c6f761acc6d0</id>
      <concept>{http://xbrl.frc.org.uk/fr/2021-01-01/core}CashCashEquivalents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414.9</value>
      <format xmlns:d4p1="http://schemas.datacontract.org/2004/07/System.Xml.Linq" i:nil="true"/>
    </fact>
    <fact i:type="item">
      <id>XMETag_5f5c3cbff6fd4826897c3c8e8b21b65c</id>
      <concept>{http://xbrl.frc.org.uk/fr/2021-01-01/core}OtherRemainingBorrowings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(43.1)</value>
      <format xmlns:d4p1="http://schemas.datacontract.org/2004/07/System.Xml.Linq" i:nil="true"/>
    </fact>
    <fact i:type="item">
      <id>XMETag_46ea7e5ff9f041229b3d5d01be93ecb5</id>
      <concept>{http://xbrl.frc.org.uk/fr/2021-01-01/core}OtherRemainingBorrowings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(43.3)</value>
      <format xmlns:d4p1="http://schemas.datacontract.org/2004/07/System.Xml.Linq" i:nil="true"/>
    </fact>
    <fact i:type="item">
      <id>XMETag_ae6d4c8e5d63452db88699222907828a</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(170.0)</value>
      <format xmlns:d4p1="http://schemas.datacontract.org/2004/07/System.Xml.Linq" i:nil="true"/>
    </fact>
    <fact i:type="item">
      <id>XMETag_2e713127bb4b4ac28eed920b904f3592</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(48.2)</value>
      <format xmlns:d4p1="http://schemas.datacontract.org/2004/07/System.Xml.Linq" i:nil="true"/>
    </fact>
    <fact i:type="item">
      <id>XMETag_73f6c3ee5815451f82b811cf9b1f5c2e</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(213.1)</value>
      <format xmlns:d4p1="http://schemas.datacontract.org/2004/07/System.Xml.Linq" i:nil="true"/>
    </fact>
    <fact i:type="item">
      <id>XMETag_6e0dcfdf73fd47a59e61db1e3f09a979</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(91.5)</value>
      <format xmlns:d4p1="http://schemas.datacontract.org/2004/07/System.Xml.Linq" i:nil="true"/>
    </fact>
    <fact i:type="item">
      <id>XMETag_47b0fd56284342f9bf64bb96c7d74025</id>
      <concept>{http://xbrl.frc.org.uk/fr/2021-01-01/core}OtherRemainingBorrowings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(1,240.3)</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XMETag_753a0287f2b2406388b79c57b73979db</id>
      <concept>{http://xbrl.frc.org.uk/fr/2021-01-01/core}OtherRemainingBorrowings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(1,205.9)</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XMETag_19d3aa1c4ed14b60bf2f90a98c7ea8d7</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(1,041.1)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XMETag_7ac59dc05aaa401681c82bf9a1326d54</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(1,391.1)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XMETag_87bb2a6b26f546299e2422e7ef182431</id>
      <concept>{http://xbrl.frc.org.uk/fr/2021-01-01/core}TotalBorrowings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(2,281.4)</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XMETag_933c85bb0c9143d7bc8e80844ed80c12</id>
      <concept>{http://xbrl.frc.org.uk/fr/2021-01-01/core}TotalBorrowings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(2,597.0)</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XMETag_7a118993031c4de0b75d8d200862c64e</id>
      <concept>{http://xbrl.frc.org.uk/fr/2021-01-01/core}NetDebtFunds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(2,305.2)</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XMETag_fa942586e9734ac2846c57a5ff5d5bb2</id>
      <concept>{http://xbrl.frc.org.uk/fr/2021-01-01/core}NetDebtFunds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(2,273.6)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XMETag_5cae3f555bc648058a009a701d46c7d3</id>
      <concept>{http://xbrl.frc.org.uk/fr/2021-01-01/core}NetDebtFunds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(2,305.2)</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XMETag_9cf6ebc6646f47aba54f6bf0def7af9a</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(1,041.1)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XMETag_ad250aa01d424da782ae846eae7cce4d</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(170.0)</value>
      <format xmlns:d4p1="http://schemas.datacontract.org/2004/07/System.Xml.Linq" i:nil="true"/>
    </fact>
    <fact i:type="item">
      <id>XMETag_6116773060be4806ab3325a5b609392d</id>
      <concept>{http://xbrl.frc.org.uk/fr/2021-01-01/core}CashCashEquivalents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189.3</value>
      <format xmlns:d4p1="http://schemas.datacontract.org/2004/07/System.Xml.Linq" i:nil="true"/>
    </fact>
    <fact i:type="item">
      <id>XMETag_0a8a80d6091c44439f1a3dcd7271dc40</id>
      <concept>{http://xbrl.frc.org.uk/fr/2021-01-01/core}CashCashEquivalents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414.9</value>
      <format xmlns:d4p1="http://schemas.datacontract.org/2004/07/System.Xml.Linq" i:nil="true"/>
    </fact>
    <fact i:type="item">
      <id>XMETag_a26177fa2d04437f8951ac8a69d0b8a4</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(48.2)</value>
      <format xmlns:d4p1="http://schemas.datacontract.org/2004/07/System.Xml.Linq" i:nil="true"/>
    </fact>
    <fact i:type="item">
      <id>XMETag_2083518dd9744c33a783dbab73134ea9</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(1,391.1)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XMETag_28d10f8b7654480fb276135474b33c59</id>
      <concept>{http://xbrl.frc.org.uk/fr/2021-01-01/core}NetDebtFunds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(2,273.6)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XMETag_9acdf56550cd45e48f9e4a278a72eca9</id>
      <concept>{http://xbrl.frc.org.uk/fr/2021-01-01/core}CashCashEquivalents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414.9</value>
      <format xmlns:d4p1="http://schemas.datacontract.org/2004/07/System.Xml.Linq" i:nil="true"/>
    </fact>
    <fact i:type="item">
      <id>XMETag_872c58b100e947c1a33b5658eb5f47bf</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(48.2)</value>
      <format xmlns:d4p1="http://schemas.datacontract.org/2004/07/System.Xml.Linq" i:nil="true"/>
    </fact>
    <fact i:type="item">
      <id>XMETag_97353d2dd26b403aa5e2e5502e2b4616</id>
      <concept>{http://xbrl.frc.org.uk/fr/2021-01-01/core}FinanceLeaseLiabilitiesPresentValueTotalLessor</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(1,391.1)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XMETag_3de55addfbb14da4b8630dbf6426095f</id>
      <concept>{http://xbrl.frc.org.uk/fr/2021-01-01/core}NetDebtFunds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(2,273.6)</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XMETag_b1aadf10c0bf41289ee17d6f9f26fc1a</id>
      <concept>{http://xbrl.frc.org.uk/fr/2021-01-01/core}CashCashEquivalents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284.1</value>
      <format xmlns:d4p1="http://schemas.datacontract.org/2004/07/System.Xml.Linq" i:nil="true"/>
    </fact>
    <fact i:type="item">
      <id>XMETag_2f43084a167343e7842617888de7b573</id>
      <concept>{http://xbrl.frc.org.uk/fr/2021-01-01/core}FinanceLeaseLiabilitiesPresentValueTotalLessor</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{http://xbrl.frc.org.uk/fr/2021-01-01/core}CurrentFinancialInstruments</member>
          <typedValue i:nil="true"/>
          <contextContainer>Segment</contextContainer>
        </dimension>
      </dimensions>
      <transformGroup>United Kingdom</transformGroup>
      <hidden>false</hidden>
      <value>(19.2)</value>
      <format xmlns:d4p1="http://schemas.datacontract.org/2004/07/System.Xml.Linq" i:nil="true"/>
    </fact>
    <fact i:type="item">
      <id>XMETag_eb4cb71ff3a54d218a8f7288700c4106</id>
      <concept>{http://xbrl.frc.org.uk/fr/2021-01-01/core}FinanceLeaseLiabilitiesPresentValueTotalLessor</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(1,419.3)</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XMETag_4544b81d93814378aec233a3898481ac</id>
      <concept>{http://xbrl.frc.org.uk/fr/2021-01-01/core}NetDebtFunds</concept>
      <identifier>
        <scheme>http://www.companieshouse.gov.uk/</scheme>
        <value>02366665</value>
      </identifier>
      <period>
        <periodType>Instant</periodType>
        <startDate i:nil="true"/>
        <endDate>2020-03-31T00:00:00</endDate>
      </period>
      <numericProperties>
        <unit>
          <numeratorMeasures>
            <name>{http://www.xbrl.org/2003/iso4217}GBP</name>
          </numeratorMeasures>
          <denominatorMeasures/>
        </unit>
        <negate>false</negate>
        <scale>6</scale>
      </numericProperties>
      <dimensions/>
      <transformGroup>United Kingdom</transformGroup>
      <hidden>false</hidden>
      <value>(2,307.2)</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XMETag_3783fb02d6c5481eb0f691f6d81bcc23</id>
      <concept>{http://xbrl.frc.org.uk/fr/2021-01-01/core}ContingentLiabilities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{http://xbrl.frc.org.uk/fr/2021-01-01/core}ContingentLiabilitiesClassesDimension</dimension>
          <member>{http://xbrl.frc.org.uk/fr/2021-01-01/core}FinancialGuarantees</member>
          <typedValue i:nil="true"/>
          <contextContainer>Segment</contextContainer>
        </dimension>
      </dimensions>
      <transformGroup>United Kingdom</transformGroup>
      <hidden>false</hidden>
      <value>465.9</value>
      <format xmlns:d4p1="http://schemas.datacontract.org/2004/07/System.Xml.Linq" i:nil="true"/>
    </fact>
    <fact i:type="item">
      <id>XMETag_1be6d2ff1d784a6b81c841c6b0881d52</id>
      <concept>{http://xbrl.frc.org.uk/fr/2021-01-01/core}ContingentLiabilities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{http://xbrl.frc.org.uk/fr/2021-01-01/core}ContingentLiabilitiesClassesDimension</dimension>
          <member>{http://xbrl.frc.org.uk/fr/2021-01-01/core}FinancialGuarantees</member>
          <typedValue i:nil="true"/>
          <contextContainer>Segment</contextContainer>
        </dimension>
      </dimensions>
      <transformGroup>United Kingdom</transformGroup>
      <hidden>false</hidden>
      <value>443.4</value>
      <format xmlns:d4p1="http://schemas.datacontract.org/2004/07/System.Xml.Linq" i:nil="true"/>
    </fact>
    <fact i:type="item">
      <id>XMETag_0185fd1da99a46939c8ee0f934662372</id>
      <concept>{http://xbrl.frc.org.uk/fr/2021-01-01/core}GeneralDescriptionContingentLiabilitiesIncludingFinancialEffectUncertaintiesPossibleReimbursement</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{http://xbrl.frc.org.uk/fr/2021-01-01/core}ContingentLiabilitiesClassesDimension</dimension>
          <member>{http://xbrl.frc.org.uk/fr/2021-01-01/core}FinancialGuarantees</member>
          <typedValue i:nil="true"/>
          <contextContainer>Segment</contextContainer>
        </dimension>
      </dimensions>
      <transformGroup>United Kingdom</transformGroup>
      <hidden>false</hidden>
      <value>Guarantees in respect of performance bonds, the last of which expire in 2057 and which will be reduced in line with repayments of the borrowings of the subsidiary undertaking, are entered into in the normal course of business.
Ofwat and the Environment Agency announced an industry-wide investigation into sewage treatment works on 18 November 2021. Since that time, Ofwat announced enforcement actions against certain companies. South West 
Water was not one of those companies but Ofwat have stated that their industry-wide investigation continues. The Environment Agency investigation is ongoing. Please refer to note 37 for subsequent events in relation to this matter. The potential outcome of these investigations remains unknown.
The Company is subject to litigation from time to time as a result of its activities. The Company establishes provisions in connection with litigation where it has a present legal or constructive obligation as a result of past events and where it is more likely than not an outflow of resources will be required to settle the obligation and the amount can be reliably estimated. Where it is uncertain that these conditions are met, a contingent liability is disclosed unless the likelihood of the obligation arising is remote or the matter is not deemed material.</value>
      <format xmlns:d4p1="http://schemas.datacontract.org/2004/07/System.Xml.Linq" i:nil="true"/>
    </fact>
    <fact i:type="item">
      <id>XMETag_9e7e5e87a43247e78c39e3dae70e757b</id>
      <concept>{http://xbrl.frc.org.uk/fr/2021-01-01/core}CapitalCommitments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transformGroup>United Kingdom</transformGroup>
      <hidden>false</hidden>
      <value>52.6</value>
      <format xmlns:d4p1="http://schemas.datacontract.org/2004/07/System.Xml.Linq" i:nil="true"/>
    </fact>
    <fact i:type="item">
      <id>XMETag_46bf7190994a47a4aa0483b979c133a3</id>
      <concept>{http://xbrl.frc.org.uk/fr/2021-01-01/core}CapitalCommitments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transformGroup>United Kingdom</transformGroup>
      <hidden>false</hidden>
      <value>76.2</value>
      <format xmlns:d4p1="http://schemas.datacontract.org/2004/07/System.Xml.Linq" i:nil="true"/>
    </fact>
    <fact i:type="item">
      <id>XMETag_692e55bde0de461ebf442f6e88d8ac01</id>
      <concept>{http://xbrl.frc.org.uk/fr/2021-01-01/core}PaymentsToRelatedParties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
          <dimension>{http://xbrl.frc.org.uk/fr/2021-01-01/core}RelatedPartyTransactionTypeDimension</dimension>
          <member>{http://xbrl.frc.org.uk/fr/2021-01-01/core}SaleOrPurchaseGoods</member>
          <typedValue i:nil="true"/>
          <contextContainer>Segment</contextContainer>
        </dimension>
      </dimensions>
      <transformGroup>United Kingdom</transformGroup>
      <hidden>false</hidden>
      <value>6.6</value>
      <format xmlns:d4p1="http://schemas.datacontract.org/2004/07/System.Xml.Linq" i:nil="true"/>
    </fact>
    <fact i:type="item">
      <id>XMETag_acf53286f54143acae4001df2e6a8745</id>
      <concept>{http://xbrl.frc.org.uk/fr/2021-01-01/core}PaymentsToRelatedParties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
          <dimension>{http://xbrl.frc.org.uk/fr/2021-01-01/core}RelatedPartyTransactionTypeDimension</dimension>
          <member>{http://xbrl.frc.org.uk/fr/2021-01-01/core}SaleOrPurchaseGoods</member>
          <typedValue i:nil="true"/>
          <contextContainer>Segment</contextContainer>
        </dimension>
      </dimensions>
      <transformGroup>United Kingdom</transformGroup>
      <hidden>false</hidden>
      <value>7.0</value>
      <format xmlns:d4p1="http://schemas.datacontract.org/2004/07/System.Xml.Linq" i:nil="true"/>
    </fact>
    <fact i:type="item">
      <id>XMETag_97ff1904dcb645a3980a137b22f78b6b</id>
      <concept>{http://xbrl.frc.org.uk/fr/2021-01-01/core}PaymentsToRelatedParties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
          <dimension>{http://xbrl.frc.org.uk/fr/2021-01-01/core}RelatedPartyTransactionTypeDimension</dimension>
          <member>{http://xbrl.frc.org.uk/fr/2021-01-01/core}InterestExpenseTransactions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XMETag_f9f88b77bb18460a9c91a6b656d25b4e</id>
      <concept>{http://xbrl.frc.org.uk/fr/2021-01-01/core}PaymentsToRelatedParties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
          <dimension>{http://xbrl.frc.org.uk/fr/2021-01-01/core}RelatedPartyTransactionTypeDimension</dimension>
          <member>{http://xbrl.frc.org.uk/fr/2021-01-01/core}InterestExpenseTransactions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XMETag_7be8e3dd4b9740f0988ca3b348f312e1</id>
      <concept>{http://xbrl.frc.org.uk/fr/2021-01-01/core}IncomeFromRelatedParties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
          <dimension>{http://xbrl.frc.org.uk/fr/2021-01-01/core}RelatedPartyTransactionTypeDimension</dimension>
          <member>{http://xbrl.frc.org.uk/fr/2021-01-01/core}AdministrativeServices</member>
          <typedValue i:nil="true"/>
          <contextContainer>Segment</contextContainer>
        </dimension>
      </dimensions>
      <transformGroup>United Kingdom</transformGroup>
      <hidden>false</hidden>
      <value>0.5</value>
      <format xmlns:d4p1="http://schemas.datacontract.org/2004/07/System.Xml.Linq" i:nil="true"/>
    </fact>
    <fact i:type="item">
      <id>XMETag_be2879eccf274731ba8454de697693a6</id>
      <concept>{http://xbrl.frc.org.uk/fr/2021-01-01/core}IncomeFromRelatedParties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
          <dimension>{http://xbrl.frc.org.uk/fr/2021-01-01/core}RelatedPartyTransactionTypeDimension</dimension>
          <member>{http://xbrl.frc.org.uk/fr/2021-01-01/core}AdministrativeServices</member>
          <typedValue i:nil="true"/>
          <contextContainer>Segment</contextContainer>
        </dimension>
      </dimensions>
      <transformGroup>United Kingdom</transformGroup>
      <hidden>false</hidden>
      <value>3.3</value>
      <format xmlns:d4p1="http://schemas.datacontract.org/2004/07/System.Xml.Linq" i:nil="true"/>
    </fact>
    <fact i:type="item">
      <id>XMETag_bafb0b157f5542f6895ce9af2e82d87b</id>
      <concept>{http://xbrl.frc.org.uk/fr/2021-01-01/core}PaymentsToRelatedParties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
          <dimension>{http://xbrl.frc.org.uk/fr/2021-01-01/core}RelatedPartyTransactionTypeDimension</dimension>
          <member>{http://xbrl.frc.org.uk/fr/2021-01-01/core}DividendsPaidTransactions</member>
          <typedValue i:nil="true"/>
          <contextContainer>Segment</contextContainer>
        </dimension>
      </dimensions>
      <transformGroup>United Kingdom</transformGroup>
      <hidden>false</hidden>
      <value>103.1</value>
      <format xmlns:d4p1="http://schemas.datacontract.org/2004/07/System.Xml.Linq" i:nil="true"/>
    </fact>
    <fact i:type="item">
      <id>XMETag_b8a73ba5d2054b7eb21926c5c323d4e2</id>
      <concept>{http://xbrl.frc.org.uk/fr/2021-01-01/core}PaymentsToRelatedParties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
          <dimension>{http://xbrl.frc.org.uk/fr/2021-01-01/core}RelatedPartyTransactionTypeDimension</dimension>
          <member>{http://xbrl.frc.org.uk/fr/2021-01-01/core}DividendsPaidTransactions</member>
          <typedValue i:nil="true"/>
          <contextContainer>Segment</contextContainer>
        </dimension>
      </dimensions>
      <transformGroup>United Kingdom</transformGroup>
      <hidden>false</hidden>
      <value>43.5</value>
      <format xmlns:d4p1="http://schemas.datacontract.org/2004/07/System.Xml.Linq" i:nil="true"/>
    </fact>
    <fact i:type="item">
      <id>XMETag_fe0876930f6d4e62bf98e80ef595a12c</id>
      <concept>{http://xbrl.frc.org.uk/fr/2021-01-01/core}PaymentsToRelatedParties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
          <dimension>{http://xbrl.frc.org.uk/fr/2021-01-01/core}RelatedPartyTransactionTypeDimension</dimension>
          <member>{http://xbrl.frc.org.uk/fr/2021-01-01/core}OtherTransactionType1</member>
          <typedValue i:nil="true"/>
          <contextContainer>Segment</contextContainer>
        </dimension>
      </dimensions>
      <transformGroup>United Kingdom</transformGroup>
      <hidden>false</hidden>
      <value>0.2</value>
      <format xmlns:d4p1="http://schemas.datacontract.org/2004/07/System.Xml.Linq" i:nil="true"/>
    </fact>
    <fact i:type="item">
      <id>XMETag_849f32764cad49ae913d6e94c6cbe294</id>
      <concept>{http://xbrl.frc.org.uk/fr/2021-01-01/core}PaymentsToRelatedParties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
          <dimension>{http://xbrl.frc.org.uk/fr/2021-01-01/core}RelatedPartyTransactionTypeDimension</dimension>
          <member>{http://xbrl.frc.org.uk/fr/2021-01-01/core}OtherTransactionType1</member>
          <typedValue i:nil="true"/>
          <contextContainer>Segment</contextContainer>
        </dimension>
      </dimensions>
      <transformGroup>United Kingdom</transformGroup>
      <hidden>false</hidden>
      <value>0.1</value>
      <format xmlns:d4p1="http://schemas.datacontract.org/2004/07/System.Xml.Linq" i:nil="true"/>
    </fact>
    <fact i:type="item">
      <id>XMETag_a7b049514bfb46fc8a31d06ff65a9b3c</id>
      <concept>{http://xbrl.frc.org.uk/fr/2021-01-01/core}PaymentsToRelatedParties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
          <dimension>{http://xbrl.frc.org.uk/fr/2021-01-01/core}RelatedPartyTransactionTypeDimension</dimension>
          <member>{http://xbrl.frc.org.uk/fr/2021-01-01/core}OtherTransactionType2</member>
          <typedValue i:nil="true"/>
          <contextContainer>Segment</contextContainer>
        </dimension>
      </dimensions>
      <transformGroup>United Kingdom</transformGroup>
      <hidden>false</hidden>
      <value>11.6</value>
      <format xmlns:d4p1="http://schemas.datacontract.org/2004/07/System.Xml.Linq" i:nil="true"/>
    </fact>
    <fact i:type="item">
      <id>XMETag_4e86f09b7eb14325bba76158749cbd38</id>
      <concept>{http://xbrl.frc.org.uk/fr/2021-01-01/core}PaymentsToRelatedParties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
          <dimension>{http://xbrl.frc.org.uk/fr/2021-01-01/core}RelatedPartyTransactionTypeDimension</dimension>
          <member>{http://xbrl.frc.org.uk/fr/2021-01-01/core}OtherTransactionType2</member>
          <typedValue i:nil="true"/>
          <contextContainer>Segment</contextContainer>
        </dimension>
      </dimensions>
      <transformGroup>United Kingdom</transformGroup>
      <hidden>false</hidden>
      <value>11.2</value>
      <format xmlns:d4p1="http://schemas.datacontract.org/2004/07/System.Xml.Linq" i:nil="true"/>
    </fact>
    <fact i:type="item">
      <id>XMETag_6da410928e8b448f99b03de1d0a2e52a</id>
      <concept>{http://xbrl.frc.org.uk/fr/2021-01-01/core}PaymentsToRelatedParties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
          <dimension>{http://xbrl.frc.org.uk/fr/2021-01-01/core}RelatedPartyTransactionTypeDimension</dimension>
          <member>{http://xbrl.frc.org.uk/fr/2021-01-01/core}InterestExpenseTransactions</member>
          <typedValue i:nil="true"/>
          <contextContainer>Segment</contextContainer>
        </dimension>
      </dimensions>
      <transformGroup>United Kingdom</transformGroup>
      <hidden>false</hidden>
      <value>34.6</value>
      <format xmlns:d4p1="http://schemas.datacontract.org/2004/07/System.Xml.Linq" i:nil="true"/>
    </fact>
    <fact i:type="item">
      <id>XMETag_d2be68c248174b28bc639320aa157c39</id>
      <concept>{http://xbrl.frc.org.uk/fr/2021-01-01/core}PaymentsToRelatedParties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
          <dimension>{http://xbrl.frc.org.uk/fr/2021-01-01/core}RelatedPartyTransactionTypeDimension</dimension>
          <member>{http://xbrl.frc.org.uk/fr/2021-01-01/core}InterestExpenseTransactions</member>
          <typedValue i:nil="true"/>
          <contextContainer>Segment</contextContainer>
        </dimension>
      </dimensions>
      <transformGroup>United Kingdom</transformGroup>
      <hidden>false</hidden>
      <value>13.8</value>
      <format xmlns:d4p1="http://schemas.datacontract.org/2004/07/System.Xml.Linq" i:nil="true"/>
    </fact>
    <fact i:type="item">
      <id>XMETag_ddd8449b6bfe4bf2ba4e53580754f075</id>
      <concept>{http://xbrl.frc.org.uk/fr/2021-01-01/core}IncomeFromRelatedParties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
          <dimension>{http://xbrl.frc.org.uk/fr/2021-01-01/core}RelatedPartyTransactionTypeDimension</dimension>
          <member>{http://xbrl.frc.org.uk/fr/2021-01-01/core}AdministrativeServices</member>
          <typedValue i:nil="true"/>
          <contextContainer>Segment</contextContainer>
        </dimension>
      </dimensions>
      <transformGroup>United Kingdom</transformGroup>
      <hidden>false</hidden>
      <value>1.5</value>
      <format xmlns:d4p1="http://schemas.datacontract.org/2004/07/System.Xml.Linq" i:nil="true"/>
    </fact>
    <fact i:type="item">
      <id>XMETag_910b15e11fd144f8952b305f043d468c</id>
      <concept>{http://xbrl.frc.org.uk/fr/2021-01-01/core}IncomeFromRelatedParties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
          <dimension>{http://xbrl.frc.org.uk/fr/2021-01-01/core}RelatedPartyTransactionTypeDimension</dimension>
          <member>{http://xbrl.frc.org.uk/fr/2021-01-01/core}AdministrativeServices</member>
          <typedValue i:nil="true"/>
          <contextContainer>Segment</contextContainer>
        </dimension>
      </dimensions>
      <transformGroup>United Kingdom</transformGroup>
      <hidden>false</hidden>
      <value>1.3</value>
      <format xmlns:d4p1="http://schemas.datacontract.org/2004/07/System.Xml.Linq" i:nil="true"/>
    </fact>
    <fact i:type="item">
      <id>XMETag_7d02a589a4494aba906edf0d7a1a17c4</id>
      <concept>{http://xbrl.frc.org.uk/fr/2021-01-01/core}PaymentsToRelatedParties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
          <dimension>{http://xbrl.frc.org.uk/fr/2021-01-01/core}RelatedPartyTransactionTypeDimension</dimension>
          <member>{http://xbrl.frc.org.uk/fr/2021-01-01/core}ManagementRechargesServices</member>
          <typedValue i:nil="true"/>
          <contextContainer>Segment</contextContainer>
        </dimension>
      </dimensions>
      <transformGroup>United Kingdom</transformGroup>
      <hidden>false</hidden>
      <value>0.2</value>
      <format xmlns:d4p1="http://schemas.datacontract.org/2004/07/System.Xml.Linq" i:nil="true"/>
    </fact>
    <fact i:type="item">
      <id>XMETag_1cc13d35327940c9b662cbf08e3a46e0</id>
      <concept>{http://xbrl.frc.org.uk/fr/2021-01-01/core}PaymentsToRelatedParties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
          <dimension>{http://xbrl.frc.org.uk/fr/2021-01-01/core}RelatedPartyTransactionTypeDimension</dimension>
          <member>{http://xbrl.frc.org.uk/fr/2021-01-01/core}ManagementRechargesServices</member>
          <typedValue i:nil="true"/>
          <contextContainer>Segment</contextContainer>
        </dimension>
      </dimensions>
      <transformGroup>United Kingdom</transformGroup>
      <hidden>false</hidden>
      <value>0.3</value>
      <format xmlns:d4p1="http://schemas.datacontract.org/2004/07/System.Xml.Linq" i:nil="true"/>
    </fact>
    <fact i:type="item">
      <id>XMETag_742b8711d9c54224b363598e26cde754</id>
      <concept>{http://xbrl.frc.org.uk/fr/2021-01-01/core}PaymentsToRelatedParties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
          <dimension>{http://xbrl.frc.org.uk/fr/2021-01-01/core}RelatedPartyTransactionTypeDimension</dimension>
          <member>{http://xbrl.frc.org.uk/fr/2021-01-01/core}OtherTransactionType1</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XMETag_c794e29ff8e54803ace154259f63c61f</id>
      <concept>{http://xbrl.frc.org.uk/fr/2021-01-01/core}PaymentsToRelatedParties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
          <dimension>{http://xbrl.frc.org.uk/fr/2021-01-01/core}RelatedPartyTransactionTypeDimension</dimension>
          <member>{http://xbrl.frc.org.uk/fr/2021-01-01/core}OtherTransactionType1</member>
          <typedValue i:nil="true"/>
          <contextContainer>Segment</contextContainer>
        </dimension>
      </dimensions>
      <transformGroup>United Kingdom</transformGroup>
      <hidden>false</hidden>
      <value>0.2</value>
      <format xmlns:d4p1="http://schemas.datacontract.org/2004/07/System.Xml.Linq" i:nil="true"/>
    </fact>
    <fact i:type="item">
      <id>XMETag_256c2daad99043869cbce53d356df080</id>
      <concept>{http://xbrl.frc.org.uk/fr/2021-01-01/core}IncomeFromRelatedParties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
          <dimension>{http://xbrl.frc.org.uk/fr/2021-01-01/core}RelatedPartyTransactionTypeDimension</dimension>
          <member>{http://xbrl.frc.org.uk/fr/2021-01-01/core}OtherTransactionType1</member>
          <typedValue i:nil="true"/>
          <contextContainer>Segment</contextContainer>
        </dimension>
      </dimensions>
      <transformGroup>United Kingdom</transformGroup>
      <hidden>false</hidden>
      <value>90.4</value>
      <format xmlns:d4p1="http://schemas.datacontract.org/2004/07/System.Xml.Linq" i:nil="true"/>
    </fact>
    <fact i:type="item">
      <id>XMETag_352187e3a4764933a13b94cda43ad872</id>
      <concept>{http://xbrl.frc.org.uk/fr/2021-01-01/core}IncomeFromRelatedParties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
          <dimension>{http://xbrl.frc.org.uk/fr/2021-01-01/core}RelatedPartyTransactionTypeDimension</dimension>
          <member>{http://xbrl.frc.org.uk/fr/2021-01-01/core}OtherTransactionType1</member>
          <typedValue i:nil="true"/>
          <contextContainer>Segment</contextContainer>
        </dimension>
      </dimensions>
      <transformGroup>United Kingdom</transformGroup>
      <hidden>false</hidden>
      <value>81.6</value>
      <format xmlns:d4p1="http://schemas.datacontract.org/2004/07/System.Xml.Linq" i:nil="true"/>
    </fact>
    <fact i:type="item">
      <id>XMETag_e974d1430fa64b85bfaaa37e954cb18f</id>
      <concept>{http://xbrl.frc.org.uk/fr/2021-01-01/core}IncomeFromRelatedParties</concept>
      <identifier>
        <scheme>http://www.companieshouse.gov.uk/</scheme>
        <value>02366665</value>
      </identifier>
      <period>
        <periodType>Duration</periodType>
        <startDate>2021-04-01T00:00:00</startDat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
          <dimension>{http://xbrl.frc.org.uk/fr/2021-01-01/core}RelatedPartyTransactionTypeDimension</dimension>
          <member>{http://xbrl.frc.org.uk/fr/2021-01-01/core}OtherTransactionType2</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XMETag_d41bca659b0e49e3bbbcdd429f2dfe17</id>
      <concept>{http://xbrl.frc.org.uk/fr/2021-01-01/core}IncomeFromRelatedParties</concept>
      <identifier>
        <scheme>http://www.companieshouse.gov.uk/</scheme>
        <value>02366665</value>
      </identifier>
      <period>
        <periodType>Duration</periodType>
        <startDate>2020-04-01T00:00:00</startDat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
          <dimension>{http://xbrl.frc.org.uk/fr/2021-01-01/core}RelatedPartyTransactionTypeDimension</dimension>
          <member>{http://xbrl.frc.org.uk/fr/2021-01-01/core}OtherTransactionType2</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XMETag_6c6aa8bd0bae406d8707b805ab1267ef</id>
      <concept>{http://xbrl.frc.org.uk/fr/2021-01-01/core}LoansOwedToRelatedParties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s>
      <transformGroup>United Kingdom</transformGroup>
      <hidden>false</hidden>
      <value>515.6</value>
      <format xmlns:d4p1="http://schemas.datacontract.org/2004/07/System.Xml.Linq" i:nil="true"/>
    </fact>
    <fact i:type="item">
      <id>XMETag_3aa911248796484d88b0573052484c95</id>
      <concept>{http://xbrl.frc.org.uk/fr/2021-01-01/core}LoansOwedToRelatedParties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s>
      <transformGroup>United Kingdom</transformGroup>
      <hidden>false</hidden>
      <value>497.8</value>
      <format xmlns:d4p1="http://schemas.datacontract.org/2004/07/System.Xml.Linq" i:nil="true"/>
    </fact>
    <fact i:type="item">
      <id>XMETag_d37bd02e3f184fc4b8fbfa34d690bcd7</id>
      <concept>{http://xbrl.frc.org.uk/fr/2021-01-01/core}LoansOwedByRelatedParties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s>
      <transformGroup>United Kingdom</transformGroup>
      <hidden>false</hidden>
      <value>0.8</value>
      <format xmlns:d4p1="http://schemas.datacontract.org/2004/07/System.Xml.Linq" i:nil="true"/>
    </fact>
    <fact i:type="item">
      <id>XMETag_92bfe62cfa6840768c06b87f883ce8fe</id>
      <concept>{http://xbrl.frc.org.uk/fr/2021-01-01/core}LoansOwedByRelatedParties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s>
      <transformGroup>United Kingdom</transformGroup>
      <hidden>false</hidden>
      <value>-</value>
      <format xmlns:d4p1="http://schemas.datacontract.org/2004/07/System.Xml.Linq" xmlns:z="http://schemas.microsoft.com/2003/10/Serialization/" z:FactoryType="d4p1:NameSerializer">
        <name xmlns:d5p1="http://www.w3.org/2001/XMLSchema" xmlns="" i:type="d5p1:string">{http://www.xbrl.org/inlineXBRL/transformation/2011-07-31}zerodash</name>
      </format>
    </fact>
    <fact i:type="item">
      <id>XMETag_ab3dd97095ae4b9bbe182a71f9bcd9f8</id>
      <concept>{http://xbrl.frc.org.uk/fr/2021-01-01/core}NameOrDescriptionRelatedPartyIfNotDefinedByAnotherTag</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{http://xbrl.frc.org.uk/fr/2021-01-01/core}RelatedPartiesDimension</dimension>
          <member>{http://xbrl.frc.org.uk/fr/2021-01-01/core}OtherRelatedPartyRelationshipType1ComponentTotalRelatedParties</member>
          <typedValue i:nil="true"/>
          <contextContainer>Segment</contextContainer>
        </dimension>
      </dimensions>
      <transformGroup>United Kingdom</transformGroup>
      <hidden>false</hidden>
      <value>Pennon Group</value>
      <format xmlns:d4p1="http://schemas.datacontract.org/2004/07/System.Xml.Linq" i:nil="true"/>
    </fact>
    <fact i:type="item">
      <id>XMETag_23a7685853ca4046a1db7e0050af9fe0</id>
      <concept>{http://xbrl.frc.org.uk/fr/2021-01-01/core}BalancesAmountsOwedToRelatedParties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s>
      <transformGroup>United Kingdom</transformGroup>
      <hidden>false</hidden>
      <value>45.5</value>
      <format xmlns:d4p1="http://schemas.datacontract.org/2004/07/System.Xml.Linq" i:nil="true"/>
    </fact>
    <fact i:type="item">
      <id>XMETag_3bf0d70ce6f44a188cd9fea617186eee</id>
      <concept>{http://xbrl.frc.org.uk/fr/2021-01-01/core}BalancesAmountsOwedToRelatedParties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{http://xbrl.frc.org.uk/fr/2021-01-01/core}ParentEntities</member>
          <typedValue i:nil="true"/>
          <contextContainer>Segment</contextContainer>
        </dimension>
      </dimensions>
      <transformGroup>United Kingdom</transformGroup>
      <hidden>false</hidden>
      <value>56.1</value>
      <format xmlns:d4p1="http://schemas.datacontract.org/2004/07/System.Xml.Linq" i:nil="true"/>
    </fact>
    <fact i:type="item">
      <id>XMETag_709d16793772436aba2ef0709de3e214</id>
      <concept>{http://xbrl.frc.org.uk/fr/2021-01-01/core}BalancesAmountsOwedToRelatedParties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s>
      <transformGroup>United Kingdom</transformGroup>
      <hidden>false</hidden>
      <value>9.0</value>
      <format xmlns:d4p1="http://schemas.datacontract.org/2004/07/System.Xml.Linq" i:nil="true"/>
    </fact>
    <fact i:type="item">
      <id>XMETag_b3958814be8a4f269d10d503344809d9</id>
      <concept>{http://xbrl.frc.org.uk/fr/2021-01-01/core}BalancesAmountsOwedToRelatedParties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{http://xbrl.frc.org.uk/fr/2021-01-01/core}AllSubsidiaries</member>
          <typedValue i:nil="true"/>
          <contextContainer>Segment</contextContainer>
        </dimension>
      </dimensions>
      <transformGroup>United Kingdom</transformGroup>
      <hidden>false</hidden>
      <value>6.1</value>
      <format xmlns:d4p1="http://schemas.datacontract.org/2004/07/System.Xml.Linq" i:nil="true"/>
    </fact>
    <fact i:type="item">
      <id>XMETag_f46d64024ed0412a97e530744b442648</id>
      <concept>{http://xbrl.frc.org.uk/fr/2021-01-01/core}LoansOwedByRelatedParties</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s>
      <transformGroup>United Kingdom</transformGroup>
      <hidden>false</hidden>
      <value>12.3</value>
      <format xmlns:d4p1="http://schemas.datacontract.org/2004/07/System.Xml.Linq" i:nil="true"/>
    </fact>
    <fact i:type="item">
      <id>XMETag_ccbb1d9113f6422388e7f67a94f23389</id>
      <concept>{http://xbrl.frc.org.uk/fr/2021-01-01/core}LoansOwedByRelatedParties</concept>
      <identifier>
        <scheme>http://www.companieshouse.gov.uk/</scheme>
        <value>02366665</value>
      </identifier>
      <period>
        <periodType>Instant</periodType>
        <startDate i:nil="true"/>
        <endDate>2021-03-31T00:00:00</endDate>
      </period>
      <numericProperties>
        <unit>
          <numeratorMeasures>
            <name>{http://www.xbrl.org/2003/iso4217}GBP</name>
          </numeratorMeasures>
          <denominatorMeasures/>
        </unit>
        <negate>false</negate>
        <scale>6</scale>
      </numericProperties>
      <dimensions>
        <dimension>
          <dimension>{http://xbrl.frc.org.uk/fr/2021-01-01/core}RelatedPartiesDimension</dimension>
          <member>{http://xbrl.frc.org.uk/fr/2021-01-01/core}OtherRelatedPartyRelationshipType1ComponentTotalRelatedParties</member>
          <typedValue i:nil="true"/>
          <contextContainer>Segment</contextContainer>
        </dimension>
      </dimensions>
      <transformGroup>United Kingdom</transformGroup>
      <hidden>false</hidden>
      <value>10.7</value>
      <format xmlns:d4p1="http://schemas.datacontract.org/2004/07/System.Xml.Linq" i:nil="true"/>
    </fact>
    <fact i:type="item">
      <id>XMETag_13b9b8835c4d493bbbbfc9409c44e34e</id>
      <concept>{http://xbrl.frc.org.uk/fr/2021-01-01/core}DescriptionNatureTransactionsBalancesWithRelatedParties</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The receivables due from related parties are unsecured and will be settled in cash. No guarantees have been given or received. No provisions have been made, or are considered necessary, for doubtful debts in respect of these amounts due.</value>
      <format xmlns:d4p1="http://schemas.datacontract.org/2004/07/System.Xml.Linq" i:nil="true"/>
    </fact>
    <fact i:type="item">
      <id>XMETag_64cd221b65a242f792819e45b0118d34</id>
      <concept>{http://xbrl.frc.org.uk/fr/2021-01-01/core}NameParentEntity</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Pennon Group plc</value>
      <format xmlns:d4p1="http://schemas.datacontract.org/2004/07/System.Xml.Linq" i:nil="true"/>
    </fact>
    <fact i:type="item">
      <id>XMETag_70cabf08cdc440f0b41908b6aa0c4e1b</id>
      <concept>{http://xbrl.frc.org.uk/fr/2021-01-01/core}DescriptionEventAfterReportingDate</concept>
      <identifier>
        <scheme>http://www.companieshouse.gov.uk/</scheme>
        <value>02366665</value>
      </identifier>
      <period>
        <periodType>Duration</periodType>
        <startDate>2021-04-01T00:00:00</startDate>
        <endDate>2022-03-31T00:00:00</endDate>
      </period>
      <numericProperties i:nil="true"/>
      <dimensions>
        <dimension>
          <dimension>{http://xbrl.frc.org.uk/fr/2021-01-01/core}X-EventAfterReportingDateGroupingDimension</dimension>
          <member i:nil="true"/>
          <typedValue>1</typedValue>
          <contextContainer>Segment</contextContainer>
        </dimension>
      </dimensions>
      <transformGroup>United Kingdom</transformGroup>
      <hidden>false</hidden>
      <value>Ofwat and the Environment Agency announced an industry-wide investigation into sewage treatment works on 18 November 2021. Prior to the balance sheet date, Ofwat announced enforcement actions against certain companies. South West Water was not one of those companies but Ofwat stated that their industry-wide investigation was continuing. On 27 June 2022, as part of its ongoing investigation, Ofwat informed South West Water that the Company will now be included alongside the five companies which received formal notices in March 2022. The Company will continue to work openly and constructively with Ofwat to comply with the formal issued notice as part of this ongoing investigation. The potential outcome of these investigations remains unknown.</value>
      <format xmlns:d4p1="http://schemas.datacontract.org/2004/07/System.Xml.Linq" i:nil="true"/>
    </fact>
    <fact i:type="item">
      <id>XMETag_164b0c92fe814f98b432ffd5d2991f8b</id>
      <concept>{http://xbrl.frc.org.uk/fr/2021-01-01/core}FinanceLeaseLiabilitiesPresentValueTotalLessor</concept>
      <identifier>
        <scheme>http://www.companieshouse.gov.uk/</scheme>
        <value>02366665</value>
      </identifier>
      <period>
        <periodType>Instant</periodType>
        <startDate i:nil="true"/>
        <endDate>2022-03-31T00:00:00</endDate>
      </period>
      <numericProperties>
        <unit>
          <numeratorMeasures>
            <name>{http://www.xbrl.org/2003/iso4217}GBP</name>
          </numeratorMeasures>
          <denominatorMeasures/>
        </unit>
        <negate>false</negate>
        <scale>6</scale>
      </numericProperties>
      <dimensions>
        <dimension>
          <dimension>{http://xbrl.frc.org.uk/fr/2021-01-01/core}FinancialInstrumentCurrentNon-currentDimension</dimension>
          <member>{http://xbrl.frc.org.uk/fr/2021-01-01/core}Non-currentFinancialInstruments</member>
          <typedValue i:nil="true"/>
          <contextContainer>Segment</contextContainer>
        </dimension>
      </dimensions>
      <transformGroup>United Kingdom</transformGroup>
      <hidden>false</hidden>
      <value>1,041.1</value>
      <format xmlns:d4p1="http://schemas.datacontract.org/2004/07/System.Xml.Linq" xmlns:z="http://schemas.microsoft.com/2003/10/Serialization/" z:FactoryType="d4p1:NameSerializer">
        <name xmlns:d5p1="http://www.w3.org/2001/XMLSchema" xmlns="" i:type="d5p1:string">{http://www.xbrl.org/inlineXBRL/transformation/2011-07-31}numdotdecimal</name>
      </format>
    </fact>
    <fact i:type="item">
      <id>XMETag_48aecb1ff30d4059a9da129c7fa5fb19</id>
      <concept>{http://xbrl.frc.org.uk/reports/2021-01-01/aurep}StatementOnScopeAuditReport</concept>
      <identifier>
        <scheme>http://www.companieshouse.gov.uk/</scheme>
        <value>02366665</value>
      </identifier>
      <period>
        <periodType>Duration</periodType>
        <startDate>2021-04-01T00:00:00</startDate>
        <endDate>2022-03-31T00:00:00</endDate>
      </period>
      <numericProperties i:nil="true"/>
      <dimensions/>
      <transformGroup>United Kingdom</transformGroup>
      <hidden>false</hidden>
      <value>Our assessment of audit risk, our evaluation of materiality and our allocation of performance materiality determine our audit scope for the Company. This enables us to form an opinion on the financial statements. We take into account size, risk profile, the organisation of the Company and effectiveness of controls, including controls and changes in the business environment when assessing the level of work to be performed. All audit work was performed directly by the engagement team.</value>
      <format xmlns:d4p1="http://schemas.datacontract.org/2004/07/System.Xml.Linq" i:nil="true"/>
    </fact>
  </facts>
</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4C60D2B40AD624EAF8C6F9BEE04A4DA" ma:contentTypeVersion="21" ma:contentTypeDescription="Create a new document." ma:contentTypeScope="" ma:versionID="538bc7ddfd815c8a826d2aedf16658fa">
  <xsd:schema xmlns:xsd="http://www.w3.org/2001/XMLSchema" xmlns:xs="http://www.w3.org/2001/XMLSchema" xmlns:p="http://schemas.microsoft.com/office/2006/metadata/properties" xmlns:ns2="3c0c5d45-c50a-4fcf-bef2-99bd0e8843f7" xmlns:ns3="c06bccfe-9511-4905-847e-1faf32be5bb6" targetNamespace="http://schemas.microsoft.com/office/2006/metadata/properties" ma:root="true" ma:fieldsID="e825f1fdda4f2b5070853bf81ae0b235" ns2:_="" ns3:_="">
    <xsd:import namespace="3c0c5d45-c50a-4fcf-bef2-99bd0e8843f7"/>
    <xsd:import namespace="c06bccfe-9511-4905-847e-1faf32be5b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Comments" minOccurs="0"/>
                <xsd:element ref="ns2:Additionalinfo" minOccurs="0"/>
                <xsd:element ref="ns2:AdditionalInfo0" minOccurs="0"/>
                <xsd:element ref="ns2:Status" minOccurs="0"/>
                <xsd:element ref="ns2:Company" minOccurs="0"/>
                <xsd:element ref="ns2:Personresponsible" minOccurs="0"/>
                <xsd:element ref="ns2:Assignedt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0c5d45-c50a-4fcf-bef2-99bd0e8843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137e0ed-180d-4bcb-abcf-d5c38f75257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Comments" ma:index="21" nillable="true" ma:displayName="Comments" ma:format="Dropdown" ma:internalName="Comments">
      <xsd:simpleType>
        <xsd:union memberTypes="dms:Text">
          <xsd:simpleType>
            <xsd:restriction base="dms:Choice">
              <xsd:enumeration value="Not Started"/>
              <xsd:enumeration value="In progress"/>
              <xsd:enumeration value="Complete"/>
            </xsd:restriction>
          </xsd:simpleType>
        </xsd:union>
      </xsd:simpleType>
    </xsd:element>
    <xsd:element name="Additionalinfo" ma:index="22" nillable="true" ma:displayName="Additional info" ma:format="Dropdown" ma:internalName="Additionalinfo">
      <xsd:simpleType>
        <xsd:restriction base="dms:Text">
          <xsd:maxLength value="255"/>
        </xsd:restriction>
      </xsd:simpleType>
    </xsd:element>
    <xsd:element name="AdditionalInfo0" ma:index="23" nillable="true" ma:displayName="Additional Info" ma:format="Dropdown" ma:internalName="AdditionalInfo0">
      <xsd:simpleType>
        <xsd:restriction base="dms:Text">
          <xsd:maxLength value="255"/>
        </xsd:restriction>
      </xsd:simpleType>
    </xsd:element>
    <xsd:element name="Status" ma:index="24" nillable="true" ma:displayName="Status " ma:format="Dropdown" ma:internalName="Status">
      <xsd:complexType>
        <xsd:complexContent>
          <xsd:extension base="dms:MultiChoice">
            <xsd:sequence>
              <xsd:element name="Value" maxOccurs="unbounded" minOccurs="0" nillable="true">
                <xsd:simpleType>
                  <xsd:restriction base="dms:Choice">
                    <xsd:enumeration value="Open"/>
                    <xsd:enumeration value="Closed"/>
                    <xsd:enumeration value="Tables to Update"/>
                  </xsd:restriction>
                </xsd:simpleType>
              </xsd:element>
            </xsd:sequence>
          </xsd:extension>
        </xsd:complexContent>
      </xsd:complexType>
    </xsd:element>
    <xsd:element name="Company" ma:index="25" nillable="true" ma:displayName="Company " ma:format="RadioButtons" ma:internalName="Company">
      <xsd:simpleType>
        <xsd:restriction base="dms:Choice">
          <xsd:enumeration value="SBB"/>
          <xsd:enumeration value="SES"/>
          <xsd:enumeration value="BRL"/>
          <xsd:enumeration value="SWB"/>
        </xsd:restriction>
      </xsd:simpleType>
    </xsd:element>
    <xsd:element name="Personresponsible" ma:index="26" nillable="true" ma:displayName="Sent to? " ma:format="Dropdown" ma:list="UserInfo" ma:SharePointGroup="0" ma:internalName="Person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to" ma:index="27" nillable="true" ma:displayName="Assigned to" ma:format="Dropdown" ma:list="UserInfo" ma:SharePointGroup="0" ma:internalName="Assignedto">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6bccfe-9511-4905-847e-1faf32be5bb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683d661-68c6-4a8e-a7c4-e977efbba50c}" ma:internalName="TaxCatchAll" ma:showField="CatchAllData" ma:web="c06bccfe-9511-4905-847e-1faf32be5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mpany xmlns="3c0c5d45-c50a-4fcf-bef2-99bd0e8843f7" xsi:nil="true"/>
    <Additionalinfo xmlns="3c0c5d45-c50a-4fcf-bef2-99bd0e8843f7" xsi:nil="true"/>
    <TaxCatchAll xmlns="c06bccfe-9511-4905-847e-1faf32be5bb6" xsi:nil="true"/>
    <Comments xmlns="3c0c5d45-c50a-4fcf-bef2-99bd0e8843f7" xsi:nil="true"/>
    <AdditionalInfo0 xmlns="3c0c5d45-c50a-4fcf-bef2-99bd0e8843f7" xsi:nil="true"/>
    <Status xmlns="3c0c5d45-c50a-4fcf-bef2-99bd0e8843f7" xsi:nil="true"/>
    <lcf76f155ced4ddcb4097134ff3c332f xmlns="3c0c5d45-c50a-4fcf-bef2-99bd0e8843f7">
      <Terms xmlns="http://schemas.microsoft.com/office/infopath/2007/PartnerControls"/>
    </lcf76f155ced4ddcb4097134ff3c332f>
    <Personresponsible xmlns="3c0c5d45-c50a-4fcf-bef2-99bd0e8843f7">
      <UserInfo>
        <DisplayName/>
        <AccountId xsi:nil="true"/>
        <AccountType/>
      </UserInfo>
    </Personresponsible>
    <Assignedto xmlns="3c0c5d45-c50a-4fcf-bef2-99bd0e8843f7">
      <UserInfo>
        <DisplayName/>
        <AccountId xsi:nil="true"/>
        <AccountType/>
      </UserInfo>
    </Assignedto>
  </documentManagement>
</p:properties>
</file>

<file path=customXml/itemProps1.xml><?xml version="1.0" encoding="utf-8"?>
<ds:datastoreItem xmlns:ds="http://schemas.openxmlformats.org/officeDocument/2006/customXml" ds:itemID="{4AC66B4A-986A-4B60-A8FF-C51DFBDF05DC}">
  <ds:schemaRefs>
    <ds:schemaRef ds:uri="http://www.kpmg.co.uk/tmt/xme"/>
    <ds:schemaRef ds:uri="http://schemas.microsoft.com/2003/10/Serialization/Arrays"/>
    <ds:schemaRef ds:uri="http://schemas.datacontract.org/2004/07/System.Xml.Linq"/>
    <ds:schemaRef ds:uri="http://schemas.microsoft.com/2003/10/Serialization/"/>
    <ds:schemaRef ds:uri="http://www.w3.org/2001/XMLSchema"/>
    <ds:schemaRef ds:uri=""/>
  </ds:schemaRefs>
</ds:datastoreItem>
</file>

<file path=customXml/itemProps2.xml><?xml version="1.0" encoding="utf-8"?>
<ds:datastoreItem xmlns:ds="http://schemas.openxmlformats.org/officeDocument/2006/customXml" ds:itemID="{D99B057E-9158-47D3-84ED-15225644D683}">
  <ds:schemaRefs>
    <ds:schemaRef ds:uri="http://schemas.openxmlformats.org/officeDocument/2006/bibliography"/>
  </ds:schemaRefs>
</ds:datastoreItem>
</file>

<file path=customXml/itemProps3.xml><?xml version="1.0" encoding="utf-8"?>
<ds:datastoreItem xmlns:ds="http://schemas.openxmlformats.org/officeDocument/2006/customXml" ds:itemID="{945FF5F4-ED97-472F-A9E2-1AB54E62D634}"/>
</file>

<file path=customXml/itemProps4.xml><?xml version="1.0" encoding="utf-8"?>
<ds:datastoreItem xmlns:ds="http://schemas.openxmlformats.org/officeDocument/2006/customXml" ds:itemID="{EA6BC547-6C4C-497F-8692-4FD7ADEDAAED}"/>
</file>

<file path=customXml/itemProps5.xml><?xml version="1.0" encoding="utf-8"?>
<ds:datastoreItem xmlns:ds="http://schemas.openxmlformats.org/officeDocument/2006/customXml" ds:itemID="{6D928570-77A3-4C37-9063-E36E571308E2}"/>
</file>

<file path=docProps/app.xml><?xml version="1.0" encoding="utf-8"?>
<Properties xmlns="http://schemas.openxmlformats.org/officeDocument/2006/extended-properties" xmlns:vt="http://schemas.openxmlformats.org/officeDocument/2006/docPropsVTypes">
  <Template>Normal</Template>
  <TotalTime>127</TotalTime>
  <Pages>226</Pages>
  <Words>102728</Words>
  <Characters>579657</Characters>
  <Application>Microsoft Office Word</Application>
  <DocSecurity>0</DocSecurity>
  <Lines>15573</Lines>
  <Paragraphs>7182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Ebdon, Sophie</dc:creator>
  <cp:keywords/>
  <dc:description/>
  <cp:lastModifiedBy>Ebdon, Sophie</cp:lastModifiedBy>
  <cp:revision>4</cp:revision>
  <cp:lastPrinted>2026-07-14T13:19:00Z</cp:lastPrinted>
  <dcterms:created xsi:type="dcterms:W3CDTF">2026-07-15T14:41:00Z</dcterms:created>
  <dcterms:modified xsi:type="dcterms:W3CDTF">2026-07-15T15:17:00Z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6,7,15</vt:lpwstr>
  </property>
  <property fmtid="{D5CDD505-2E9C-101B-9397-08002B2CF9AE}" pid="3" name="ClassificationContentMarkingFooterFontProps">
    <vt:lpwstr>#000000,10,Calibri</vt:lpwstr>
  </property>
  <property fmtid="{D5CDD505-2E9C-101B-9397-08002B2CF9AE}" pid="4" name="ClassificationContentMarkingFooterText">
    <vt:lpwstr>Classification: BUSINESS</vt:lpwstr>
  </property>
  <property fmtid="{D5CDD505-2E9C-101B-9397-08002B2CF9AE}" pid="5" name="MSIP_Label_20ad2324-fd97-41a5-8822-ae85afc1f7c6_Enabled">
    <vt:lpwstr>true</vt:lpwstr>
  </property>
  <property fmtid="{D5CDD505-2E9C-101B-9397-08002B2CF9AE}" pid="6" name="MSIP_Label_20ad2324-fd97-41a5-8822-ae85afc1f7c6_SetDate">
    <vt:lpwstr>2024-04-05T13:13:51Z</vt:lpwstr>
  </property>
  <property fmtid="{D5CDD505-2E9C-101B-9397-08002B2CF9AE}" pid="7" name="MSIP_Label_20ad2324-fd97-41a5-8822-ae85afc1f7c6_Method">
    <vt:lpwstr>Standard</vt:lpwstr>
  </property>
  <property fmtid="{D5CDD505-2E9C-101B-9397-08002B2CF9AE}" pid="8" name="MSIP_Label_20ad2324-fd97-41a5-8822-ae85afc1f7c6_Name">
    <vt:lpwstr>Business_Sublabel</vt:lpwstr>
  </property>
  <property fmtid="{D5CDD505-2E9C-101B-9397-08002B2CF9AE}" pid="9" name="MSIP_Label_20ad2324-fd97-41a5-8822-ae85afc1f7c6_SiteId">
    <vt:lpwstr>25d26f64-e150-4587-8705-aefeb42a308c</vt:lpwstr>
  </property>
  <property fmtid="{D5CDD505-2E9C-101B-9397-08002B2CF9AE}" pid="10" name="MSIP_Label_20ad2324-fd97-41a5-8822-ae85afc1f7c6_ActionId">
    <vt:lpwstr>356241fa-f850-4144-9931-7d71b781a5bf</vt:lpwstr>
  </property>
  <property fmtid="{D5CDD505-2E9C-101B-9397-08002B2CF9AE}" pid="11" name="MSIP_Label_20ad2324-fd97-41a5-8822-ae85afc1f7c6_ContentBits">
    <vt:lpwstr>2</vt:lpwstr>
  </property>
  <property fmtid="{D5CDD505-2E9C-101B-9397-08002B2CF9AE}" pid="12" name="ContentTypeId">
    <vt:lpwstr>0x010100D4C60D2B40AD624EAF8C6F9BEE04A4DA</vt:lpwstr>
  </property>
</Properties>
</file>